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00" w:before="36" w:after="0"/>
        <w:rPr/>
      </w:pPr>
      <w:r>
        <w:rPr>
          <w:b/>
          <w:bCs/>
        </w:rPr>
        <w:tab/>
        <w:tab/>
      </w:r>
      <w:r>
        <w:rPr>
          <w:rFonts w:ascii="Calibri" w:hAnsi="Calibri"/>
          <w:b/>
          <w:bCs/>
        </w:rPr>
        <w:tab/>
        <w:tab/>
        <w:tab/>
        <w:tab/>
        <w:tab/>
        <w:tab/>
        <w:tab/>
        <w:tab/>
        <w:tab/>
      </w:r>
      <w:r>
        <w:rPr>
          <w:rFonts w:ascii="Calibri" w:hAnsi="Calibri"/>
          <w:bCs/>
        </w:rPr>
        <w:t>załącznik nr 4</w:t>
        <w:tab/>
        <w:tab/>
        <w:tab/>
        <w:tab/>
        <w:tab/>
        <w:tab/>
        <w:tab/>
      </w:r>
    </w:p>
    <w:p>
      <w:pPr>
        <w:pStyle w:val="Style14"/>
        <w:spacing w:lineRule="auto" w:line="240" w:before="36" w:after="0"/>
        <w:rPr>
          <w:rFonts w:ascii="Calibri" w:hAnsi="Calibri"/>
        </w:rPr>
      </w:pPr>
      <w:r>
        <w:rPr>
          <w:rFonts w:ascii="Calibri" w:hAnsi="Calibri"/>
          <w:b/>
          <w:bCs/>
          <w:sz w:val="24"/>
          <w:szCs w:val="24"/>
          <w:lang w:val="pl-PL"/>
        </w:rPr>
        <w:t xml:space="preserve">Projektowane  postanowienia umowy  </w:t>
      </w:r>
    </w:p>
    <w:p>
      <w:pPr>
        <w:pStyle w:val="Style14"/>
        <w:spacing w:lineRule="auto" w:line="240" w:before="36" w:after="0"/>
        <w:rPr>
          <w:rFonts w:ascii="Calibri" w:hAnsi="Calibri"/>
          <w:sz w:val="24"/>
          <w:szCs w:val="24"/>
        </w:rPr>
      </w:pPr>
      <w:r>
        <w:rPr>
          <w:rFonts w:ascii="Calibri" w:hAnsi="Calibri"/>
          <w:sz w:val="24"/>
          <w:szCs w:val="24"/>
        </w:rPr>
      </w:r>
    </w:p>
    <w:p>
      <w:pPr>
        <w:pStyle w:val="Standard"/>
        <w:spacing w:lineRule="auto" w:line="240"/>
        <w:rPr>
          <w:rFonts w:ascii="Calibri" w:hAnsi="Calibri"/>
          <w:color w:val="000000"/>
          <w:lang w:val="pl-PL"/>
        </w:rPr>
      </w:pPr>
      <w:r>
        <w:rPr>
          <w:rFonts w:ascii="Calibri" w:hAnsi="Calibri"/>
          <w:color w:val="000000"/>
          <w:lang w:val="pl-PL"/>
        </w:rPr>
        <w:t>zawarta w dniu ………………………………….r. w Piekarach Śląskich pomiędzy</w:t>
      </w:r>
    </w:p>
    <w:p>
      <w:pPr>
        <w:pStyle w:val="Standard"/>
        <w:spacing w:lineRule="auto" w:line="240"/>
        <w:rPr>
          <w:rFonts w:ascii="Calibri" w:hAnsi="Calibri" w:cs="Arial"/>
          <w:color w:val="000000"/>
          <w:lang w:val="pl-PL"/>
        </w:rPr>
      </w:pPr>
      <w:r>
        <w:rPr>
          <w:rFonts w:cs="Arial" w:ascii="Calibri" w:hAnsi="Calibri"/>
          <w:color w:val="000000"/>
          <w:lang w:val="pl-PL"/>
        </w:rPr>
        <w:t xml:space="preserve">Samodzielnym Publicznym Wojewódzkim Szpitalem Chirurgii Urazowej  </w:t>
        <w:br/>
        <w:t>im. dr. Janusza Daaba w Piekarach Śląskich</w:t>
      </w:r>
    </w:p>
    <w:p>
      <w:pPr>
        <w:pStyle w:val="Standard"/>
        <w:spacing w:lineRule="auto" w:line="240"/>
        <w:rPr>
          <w:rFonts w:ascii="Calibri" w:hAnsi="Calibri" w:cs="Arial"/>
          <w:color w:val="000000"/>
          <w:lang w:val="pl-PL"/>
        </w:rPr>
      </w:pPr>
      <w:r>
        <w:rPr>
          <w:rFonts w:cs="Arial" w:ascii="Calibri" w:hAnsi="Calibri"/>
          <w:color w:val="000000"/>
          <w:lang w:val="pl-PL"/>
        </w:rPr>
        <w:t>41-940 Piekary Śląskie ul. Bytomska 62</w:t>
      </w:r>
    </w:p>
    <w:p>
      <w:pPr>
        <w:pStyle w:val="Standard"/>
        <w:spacing w:lineRule="auto" w:line="240"/>
        <w:rPr>
          <w:rFonts w:ascii="Calibri" w:hAnsi="Calibri" w:cs="Arial"/>
          <w:color w:val="000000"/>
          <w:lang w:val="pl-PL"/>
        </w:rPr>
      </w:pPr>
      <w:r>
        <w:rPr>
          <w:rFonts w:cs="Arial" w:ascii="Calibri" w:hAnsi="Calibri"/>
          <w:color w:val="000000"/>
          <w:lang w:val="pl-PL"/>
        </w:rPr>
        <w:t xml:space="preserve">wpisanym do Krajowego Rejestru Sądowego prowadzonego przez Sąd Rejonowy </w:t>
        <w:br/>
        <w:t>w Gliwicach, Wydział X Gospodarczy Krajowego Rejestru Sądowego pod numerem KRS:0000046125.</w:t>
      </w:r>
    </w:p>
    <w:p>
      <w:pPr>
        <w:pStyle w:val="Standard"/>
        <w:spacing w:lineRule="auto" w:line="240"/>
        <w:rPr>
          <w:rFonts w:ascii="Calibri" w:hAnsi="Calibri" w:cs="Arial"/>
          <w:color w:val="000000"/>
          <w:lang w:val="pl-PL"/>
        </w:rPr>
      </w:pPr>
      <w:r>
        <w:rPr>
          <w:rFonts w:cs="Arial" w:ascii="Calibri" w:hAnsi="Calibri"/>
          <w:color w:val="000000"/>
          <w:lang w:val="pl-PL"/>
        </w:rPr>
        <w:t>Regon: 000868307</w:t>
      </w:r>
    </w:p>
    <w:p>
      <w:pPr>
        <w:pStyle w:val="Standard"/>
        <w:spacing w:lineRule="auto" w:line="240"/>
        <w:rPr/>
      </w:pPr>
      <w:r>
        <w:rPr>
          <w:rStyle w:val="Domylnaczcionkaakapitu"/>
          <w:rFonts w:cs="Arial" w:ascii="Calibri" w:hAnsi="Calibri"/>
          <w:color w:val="000000"/>
          <w:lang w:val="pl-PL"/>
        </w:rPr>
        <w:t>NIP: 498-01-07-015</w:t>
      </w:r>
      <w:r>
        <w:rPr>
          <w:rStyle w:val="Domylnaczcionkaakapitu"/>
          <w:rFonts w:ascii="Calibri" w:hAnsi="Calibri"/>
          <w:color w:val="000000"/>
          <w:lang w:val="pl-PL"/>
        </w:rPr>
        <w:t xml:space="preserve"> </w:t>
        <w:br/>
        <w:t>zwanym dalej „Zamawiającym”,</w:t>
      </w:r>
    </w:p>
    <w:p>
      <w:pPr>
        <w:pStyle w:val="Standard"/>
        <w:spacing w:lineRule="auto" w:line="240"/>
        <w:rPr>
          <w:rFonts w:ascii="Calibri" w:hAnsi="Calibri"/>
          <w:color w:val="000000"/>
          <w:lang w:val="pl-PL"/>
        </w:rPr>
      </w:pPr>
      <w:r>
        <w:rPr>
          <w:rFonts w:ascii="Calibri" w:hAnsi="Calibri"/>
          <w:color w:val="000000"/>
          <w:lang w:val="pl-PL"/>
        </w:rPr>
        <w:t>reprezentowanym przez:……………………………………………………………………………………….</w:t>
      </w:r>
    </w:p>
    <w:p>
      <w:pPr>
        <w:pStyle w:val="Standard"/>
        <w:spacing w:lineRule="auto" w:line="240"/>
        <w:rPr>
          <w:rFonts w:ascii="Calibri" w:hAnsi="Calibri"/>
          <w:color w:val="000000"/>
          <w:lang w:val="pl-PL"/>
        </w:rPr>
      </w:pPr>
      <w:r>
        <w:rPr>
          <w:rFonts w:ascii="Calibri" w:hAnsi="Calibri"/>
          <w:color w:val="000000"/>
          <w:lang w:val="pl-PL"/>
        </w:rPr>
        <w:t>a</w:t>
      </w:r>
    </w:p>
    <w:p>
      <w:pPr>
        <w:pStyle w:val="Standard"/>
        <w:spacing w:lineRule="auto" w:line="240"/>
        <w:rPr>
          <w:rFonts w:ascii="Calibri" w:hAnsi="Calibri"/>
          <w:color w:val="000000"/>
          <w:lang w:val="pl-PL"/>
        </w:rPr>
      </w:pPr>
      <w:r>
        <w:rPr>
          <w:rFonts w:ascii="Calibri" w:hAnsi="Calibri"/>
          <w:color w:val="000000"/>
          <w:lang w:val="pl-PL"/>
        </w:rPr>
        <w:t>………………………………………………………</w:t>
      </w:r>
      <w:r>
        <w:rPr>
          <w:rFonts w:ascii="Calibri" w:hAnsi="Calibri"/>
          <w:color w:val="000000"/>
          <w:lang w:val="pl-PL"/>
        </w:rPr>
        <w:t>....</w:t>
      </w:r>
    </w:p>
    <w:p>
      <w:pPr>
        <w:pStyle w:val="Standard"/>
        <w:spacing w:lineRule="auto" w:line="240"/>
        <w:rPr>
          <w:color w:val="000000"/>
        </w:rPr>
      </w:pPr>
      <w:r>
        <w:rPr>
          <w:color w:val="000000"/>
        </w:rPr>
      </w:r>
    </w:p>
    <w:p>
      <w:pPr>
        <w:pStyle w:val="Standard"/>
        <w:spacing w:lineRule="auto" w:line="240"/>
        <w:rPr>
          <w:rFonts w:ascii="Calibri" w:hAnsi="Calibri"/>
          <w:color w:val="000000"/>
          <w:lang w:val="pl-PL"/>
        </w:rPr>
      </w:pPr>
      <w:r>
        <w:rPr>
          <w:rFonts w:ascii="Calibri" w:hAnsi="Calibri"/>
          <w:color w:val="000000"/>
          <w:lang w:val="pl-PL"/>
        </w:rPr>
        <w:t>zwanym w treści umowy „Wykonawcą”</w:t>
      </w:r>
    </w:p>
    <w:p>
      <w:pPr>
        <w:pStyle w:val="Standard"/>
        <w:spacing w:lineRule="auto" w:line="240"/>
        <w:rPr>
          <w:rFonts w:ascii="Calibri" w:hAnsi="Calibri"/>
          <w:color w:val="000000"/>
          <w:lang w:val="pl-PL"/>
        </w:rPr>
      </w:pPr>
      <w:r>
        <w:rPr>
          <w:rFonts w:ascii="Calibri" w:hAnsi="Calibri"/>
          <w:color w:val="000000"/>
          <w:lang w:val="pl-PL"/>
        </w:rPr>
        <w:t>reprezentowanym przez:  ………………………………………………………………………………………….</w:t>
      </w:r>
    </w:p>
    <w:p>
      <w:pPr>
        <w:pStyle w:val="Standard"/>
        <w:spacing w:lineRule="auto" w:line="240"/>
        <w:rPr>
          <w:rFonts w:ascii="Calibri" w:hAnsi="Calibri"/>
          <w:color w:val="000000"/>
          <w:lang w:val="pl-PL"/>
        </w:rPr>
      </w:pPr>
      <w:r>
        <w:rPr>
          <w:rFonts w:ascii="Calibri" w:hAnsi="Calibri"/>
          <w:color w:val="000000"/>
          <w:lang w:val="pl-PL"/>
        </w:rPr>
      </w:r>
    </w:p>
    <w:p>
      <w:pPr>
        <w:pStyle w:val="Standard"/>
        <w:spacing w:lineRule="auto" w:line="240"/>
        <w:rPr/>
      </w:pPr>
      <w:r>
        <w:rPr>
          <w:rStyle w:val="Domylnaczcionkaakapitu"/>
          <w:rFonts w:cs="Calibri" w:ascii="Calibri" w:hAnsi="Calibri"/>
          <w:iCs/>
          <w:color w:val="000000"/>
          <w:lang w:val="pl-PL"/>
        </w:rPr>
        <w:t>Niniejszą umowę (zwaną dalej „Umową”) zawarto z wyłączeniem obowiązku stosowania przepisów ustawy Prawo zamówień publicznych (Dz.U.2024 poz.1320 t.j )</w:t>
      </w:r>
    </w:p>
    <w:p>
      <w:pPr>
        <w:pStyle w:val="Standard"/>
        <w:spacing w:lineRule="auto" w:line="240"/>
        <w:rPr>
          <w:rFonts w:ascii="Calibri" w:hAnsi="Calibri" w:cs="Calibri"/>
          <w:iCs/>
          <w:color w:val="000000"/>
          <w:lang w:val="pl-PL"/>
        </w:rPr>
      </w:pPr>
      <w:r>
        <w:rPr>
          <w:rFonts w:cs="Calibri" w:ascii="Calibri" w:hAnsi="Calibri"/>
          <w:iCs/>
          <w:color w:val="000000"/>
          <w:lang w:val="pl-PL"/>
        </w:rPr>
        <w:t>na zasadach określonych w Regulaminie udzielania zamówień przez komórki organizacyjne Samodzielnego Publicznego Wojewódzkiego Szpitala Chirurgii Urazowej im. dr. Janusza Daaba</w:t>
      </w:r>
    </w:p>
    <w:p>
      <w:pPr>
        <w:pStyle w:val="Standard"/>
        <w:spacing w:lineRule="auto" w:line="240" w:before="36" w:after="0"/>
        <w:rPr>
          <w:rFonts w:ascii="Calibri" w:hAnsi="Calibri" w:cs="Calibri"/>
          <w:iCs/>
          <w:color w:val="000000"/>
          <w:lang w:val="pl-PL"/>
        </w:rPr>
      </w:pPr>
      <w:r>
        <w:rPr>
          <w:rStyle w:val="CharacterStyle1"/>
          <w:rFonts w:cs="Calibri" w:ascii="Calibri" w:hAnsi="Calibri"/>
          <w:b/>
          <w:bCs/>
          <w:iCs/>
          <w:color w:val="000000"/>
          <w:spacing w:val="6"/>
          <w:sz w:val="24"/>
          <w:szCs w:val="24"/>
          <w:lang w:val="pl-PL"/>
        </w:rPr>
        <w:t>w Piekarach Śląskich, których wartość netto jest mniejsza niż kwota 1</w:t>
      </w:r>
      <w:r>
        <w:rPr>
          <w:rStyle w:val="CharacterStyle1"/>
          <w:rFonts w:cs="Calibri" w:ascii="Calibri" w:hAnsi="Calibri"/>
          <w:b/>
          <w:bCs/>
          <w:iCs/>
          <w:color w:val="000000"/>
          <w:spacing w:val="6"/>
          <w:sz w:val="24"/>
          <w:szCs w:val="24"/>
          <w:lang w:val="pl-PL"/>
        </w:rPr>
        <w:t>7</w:t>
      </w:r>
      <w:r>
        <w:rPr>
          <w:rStyle w:val="CharacterStyle1"/>
          <w:rFonts w:cs="Calibri" w:ascii="Calibri" w:hAnsi="Calibri"/>
          <w:b/>
          <w:bCs/>
          <w:iCs/>
          <w:color w:val="000000"/>
          <w:spacing w:val="6"/>
          <w:sz w:val="24"/>
          <w:szCs w:val="24"/>
          <w:lang w:val="pl-PL"/>
        </w:rPr>
        <w:t>0 000 tys. zł.</w:t>
      </w:r>
    </w:p>
    <w:p>
      <w:pPr>
        <w:pStyle w:val="Style14"/>
        <w:spacing w:lineRule="auto" w:line="240"/>
        <w:rPr>
          <w:rFonts w:ascii="Calibri" w:hAnsi="Calibri"/>
          <w:sz w:val="24"/>
          <w:szCs w:val="24"/>
        </w:rPr>
      </w:pPr>
      <w:r>
        <w:rPr>
          <w:rFonts w:ascii="Calibri" w:hAnsi="Calibri"/>
          <w:sz w:val="24"/>
          <w:szCs w:val="24"/>
        </w:rPr>
      </w:r>
    </w:p>
    <w:p>
      <w:pPr>
        <w:pStyle w:val="Style14"/>
        <w:spacing w:lineRule="atLeast" w:line="200"/>
        <w:rPr>
          <w:rFonts w:ascii="Calibri" w:hAnsi="Calibri"/>
          <w:sz w:val="24"/>
          <w:szCs w:val="24"/>
        </w:rPr>
      </w:pPr>
      <w:r>
        <w:rPr>
          <w:rFonts w:ascii="Calibri" w:hAnsi="Calibri"/>
          <w:sz w:val="24"/>
          <w:szCs w:val="24"/>
        </w:rPr>
      </w:r>
    </w:p>
    <w:p>
      <w:pPr>
        <w:pStyle w:val="Style14"/>
        <w:spacing w:lineRule="atLeast" w:line="200"/>
        <w:rPr>
          <w:rFonts w:ascii="Calibri" w:hAnsi="Calibri"/>
        </w:rPr>
      </w:pPr>
      <w:r>
        <w:rPr>
          <w:rFonts w:ascii="Calibri" w:hAnsi="Calibri"/>
          <w:sz w:val="24"/>
          <w:szCs w:val="24"/>
          <w:lang w:val="pl-PL"/>
        </w:rPr>
        <w:t>§ 1</w:t>
      </w:r>
    </w:p>
    <w:p>
      <w:pPr>
        <w:pStyle w:val="Style14"/>
        <w:spacing w:lineRule="atLeast" w:line="200"/>
        <w:rPr>
          <w:rFonts w:ascii="Calibri" w:hAnsi="Calibri"/>
          <w:sz w:val="24"/>
          <w:szCs w:val="24"/>
        </w:rPr>
      </w:pPr>
      <w:r>
        <w:rPr>
          <w:rFonts w:ascii="Calibri" w:hAnsi="Calibri"/>
          <w:sz w:val="24"/>
          <w:szCs w:val="24"/>
        </w:rPr>
      </w:r>
    </w:p>
    <w:p>
      <w:pPr>
        <w:pStyle w:val="Domylnie"/>
        <w:numPr>
          <w:ilvl w:val="0"/>
          <w:numId w:val="1"/>
        </w:numPr>
        <w:tabs>
          <w:tab w:val="clear" w:pos="708"/>
          <w:tab w:val="left" w:pos="0" w:leader="none"/>
        </w:tabs>
        <w:spacing w:lineRule="atLeast" w:line="100" w:before="0" w:after="0"/>
        <w:rPr>
          <w:rFonts w:ascii="Calibri" w:hAnsi="Calibri"/>
        </w:rPr>
      </w:pPr>
      <w:r>
        <w:rPr>
          <w:rFonts w:cs="Times New Roman"/>
          <w:bCs/>
          <w:szCs w:val="24"/>
        </w:rPr>
        <w:t>Przedmiotem zamówienia jest</w:t>
      </w:r>
      <w:r>
        <w:rPr>
          <w:rFonts w:cs="Times New Roman"/>
          <w:szCs w:val="24"/>
        </w:rPr>
        <w:t xml:space="preserve"> świadczenie usług pocztowych w obrocie krajowym                          i zagranicznym na rzecz </w:t>
      </w:r>
      <w:r>
        <w:rPr>
          <w:rFonts w:cs="Times New Roman"/>
          <w:bCs/>
          <w:szCs w:val="24"/>
        </w:rPr>
        <w:t>Samodzielnego Publicznego Wojewódzkiego Szpitala Chirurgii Urazowej im. dr. Janusza Daaba w Piekarach Śląskich na zasadach określonych w powszechnie obowiązujących przepisach prawa, w szczególności w ustawie z dnia 23 listopada 2012 r. Prawo pocztowe (t.j. Dz. U. Z 2025 r., poz.366).</w:t>
      </w:r>
    </w:p>
    <w:p>
      <w:pPr>
        <w:pStyle w:val="Domylnie"/>
        <w:numPr>
          <w:ilvl w:val="0"/>
          <w:numId w:val="1"/>
        </w:numPr>
        <w:tabs>
          <w:tab w:val="clear" w:pos="708"/>
          <w:tab w:val="left" w:pos="0" w:leader="none"/>
        </w:tabs>
        <w:spacing w:lineRule="atLeast" w:line="100" w:before="0" w:after="0"/>
        <w:rPr>
          <w:rFonts w:ascii="Calibri" w:hAnsi="Calibri"/>
        </w:rPr>
      </w:pPr>
      <w:r>
        <w:rPr>
          <w:rFonts w:cs="Times New Roman"/>
          <w:bCs/>
          <w:szCs w:val="24"/>
        </w:rPr>
        <w:t xml:space="preserve">Zakres usługi obejmuje: </w:t>
      </w:r>
    </w:p>
    <w:p>
      <w:pPr>
        <w:pStyle w:val="Akapitzlist1"/>
        <w:numPr>
          <w:ilvl w:val="0"/>
          <w:numId w:val="2"/>
        </w:numPr>
        <w:spacing w:lineRule="atLeast" w:line="100" w:before="0" w:after="0"/>
        <w:ind w:left="644" w:hanging="360"/>
        <w:contextualSpacing/>
        <w:rPr>
          <w:rFonts w:ascii="Calibri" w:hAnsi="Calibri"/>
        </w:rPr>
      </w:pPr>
      <w:r>
        <w:rPr>
          <w:rFonts w:cs="Times New Roman"/>
          <w:szCs w:val="24"/>
        </w:rPr>
        <w:t>przyjmowanie, sortowanie, przemieszczanie i doręczanie przesyłek pocztowych (tj. przesyłek listowych i paczek pocztowych),</w:t>
      </w:r>
    </w:p>
    <w:p>
      <w:pPr>
        <w:pStyle w:val="Akapitzlist1"/>
        <w:numPr>
          <w:ilvl w:val="0"/>
          <w:numId w:val="2"/>
        </w:numPr>
        <w:spacing w:lineRule="atLeast" w:line="100" w:before="0" w:after="0"/>
        <w:ind w:left="644" w:hanging="360"/>
        <w:contextualSpacing/>
        <w:rPr>
          <w:rFonts w:ascii="Calibri" w:hAnsi="Calibri"/>
        </w:rPr>
      </w:pPr>
      <w:r>
        <w:rPr>
          <w:rFonts w:cs="Times New Roman"/>
          <w:szCs w:val="24"/>
        </w:rPr>
        <w:t xml:space="preserve">doręczanie Zamawiającemu zwrotnych potwierdzeń odbioru po skutecznym doręczeniu przesyłek, </w:t>
      </w:r>
    </w:p>
    <w:p>
      <w:pPr>
        <w:pStyle w:val="Akapitzlist1"/>
        <w:numPr>
          <w:ilvl w:val="0"/>
          <w:numId w:val="2"/>
        </w:numPr>
        <w:spacing w:lineRule="atLeast" w:line="100" w:before="0" w:after="0"/>
        <w:ind w:left="644" w:hanging="360"/>
        <w:contextualSpacing/>
        <w:rPr>
          <w:rFonts w:ascii="Calibri" w:hAnsi="Calibri"/>
        </w:rPr>
      </w:pPr>
      <w:r>
        <w:rPr>
          <w:rFonts w:cs="Times New Roman"/>
          <w:szCs w:val="24"/>
        </w:rPr>
        <w:t>zwrot do Zamawiającego przesyłek niedoręczonych odbiorcy po wyczerpaniu wszystkich możliwości ich doręczenia lub wydania odbiorcy,</w:t>
      </w:r>
    </w:p>
    <w:p>
      <w:pPr>
        <w:pStyle w:val="Akapitzlist1"/>
        <w:numPr>
          <w:ilvl w:val="0"/>
          <w:numId w:val="2"/>
        </w:numPr>
        <w:spacing w:lineRule="atLeast" w:line="100" w:before="0" w:after="0"/>
        <w:ind w:left="644" w:hanging="360"/>
        <w:contextualSpacing/>
        <w:rPr>
          <w:rFonts w:ascii="Calibri" w:hAnsi="Calibri"/>
        </w:rPr>
      </w:pPr>
      <w:r>
        <w:rPr>
          <w:rFonts w:cs="Times New Roman"/>
          <w:szCs w:val="24"/>
        </w:rPr>
        <w:t xml:space="preserve">usługę przewozu przesyłek pocztowych przeznaczonych do nadania i dokumentów nadawczych z siedziby Zamawiającego do placówki nadawczej Wykonawcy. </w:t>
      </w:r>
    </w:p>
    <w:p>
      <w:pPr>
        <w:pStyle w:val="Domylnie"/>
        <w:numPr>
          <w:ilvl w:val="0"/>
          <w:numId w:val="1"/>
        </w:numPr>
        <w:tabs>
          <w:tab w:val="clear" w:pos="708"/>
          <w:tab w:val="left" w:pos="0" w:leader="none"/>
        </w:tabs>
        <w:spacing w:lineRule="atLeast" w:line="100" w:before="0" w:after="0"/>
        <w:rPr>
          <w:rFonts w:ascii="Calibri" w:hAnsi="Calibri"/>
        </w:rPr>
      </w:pPr>
      <w:r>
        <w:rPr>
          <w:rFonts w:cs="Times New Roman"/>
          <w:szCs w:val="24"/>
        </w:rPr>
        <w:t xml:space="preserve">Przez </w:t>
      </w:r>
      <w:r>
        <w:rPr>
          <w:rFonts w:cs="Times New Roman"/>
          <w:szCs w:val="24"/>
          <w:u w:val="single"/>
        </w:rPr>
        <w:t>przesyłki listowe</w:t>
      </w:r>
      <w:r>
        <w:rPr>
          <w:rFonts w:cs="Times New Roman"/>
          <w:szCs w:val="24"/>
        </w:rPr>
        <w:t>, będące przedmiotem zamówienia rozumie się przesyłki o wadze do 2000g:</w:t>
      </w:r>
    </w:p>
    <w:p>
      <w:pPr>
        <w:pStyle w:val="Akapitzlist1"/>
        <w:numPr>
          <w:ilvl w:val="0"/>
          <w:numId w:val="3"/>
        </w:numPr>
        <w:spacing w:lineRule="atLeast" w:line="100" w:before="0" w:after="0"/>
        <w:contextualSpacing/>
        <w:rPr>
          <w:rFonts w:ascii="Calibri" w:hAnsi="Calibri"/>
        </w:rPr>
      </w:pPr>
      <w:r>
        <w:rPr>
          <w:rFonts w:cs="Times New Roman"/>
          <w:szCs w:val="24"/>
        </w:rPr>
        <w:t>przesyłki nierejestrowane (zwykłe) krajowe i zagraniczne :</w:t>
      </w:r>
    </w:p>
    <w:p>
      <w:pPr>
        <w:pStyle w:val="Akapitzlist1"/>
        <w:numPr>
          <w:ilvl w:val="0"/>
          <w:numId w:val="4"/>
        </w:numPr>
        <w:spacing w:lineRule="atLeast" w:line="100" w:before="0" w:after="0"/>
        <w:ind w:left="927" w:hanging="360"/>
        <w:contextualSpacing/>
        <w:rPr>
          <w:rFonts w:ascii="Calibri" w:hAnsi="Calibri"/>
        </w:rPr>
      </w:pPr>
      <w:r>
        <w:rPr>
          <w:rFonts w:cs="Times New Roman"/>
          <w:szCs w:val="24"/>
          <w:lang w:eastAsia="en-US"/>
        </w:rPr>
        <w:t>niebędące przesyłkami najszybszej kategorii,</w:t>
      </w:r>
    </w:p>
    <w:p>
      <w:pPr>
        <w:pStyle w:val="Akapitzlist1"/>
        <w:numPr>
          <w:ilvl w:val="0"/>
          <w:numId w:val="4"/>
        </w:numPr>
        <w:spacing w:lineRule="atLeast" w:line="100" w:before="0" w:after="0"/>
        <w:ind w:left="927" w:hanging="360"/>
        <w:contextualSpacing/>
        <w:rPr>
          <w:rFonts w:ascii="Calibri" w:hAnsi="Calibri"/>
        </w:rPr>
      </w:pPr>
      <w:r>
        <w:rPr>
          <w:rFonts w:cs="Times New Roman"/>
          <w:szCs w:val="24"/>
          <w:lang w:eastAsia="en-US"/>
        </w:rPr>
        <w:t>będące przesyłkami najszybszej kategorii (priorytetowe);</w:t>
      </w:r>
    </w:p>
    <w:p>
      <w:pPr>
        <w:pStyle w:val="Akapitzlist1"/>
        <w:numPr>
          <w:ilvl w:val="0"/>
          <w:numId w:val="3"/>
        </w:numPr>
        <w:spacing w:lineRule="atLeast" w:line="100" w:before="0" w:after="0"/>
        <w:contextualSpacing/>
        <w:rPr>
          <w:rFonts w:ascii="Calibri" w:hAnsi="Calibri"/>
        </w:rPr>
      </w:pPr>
      <w:r>
        <w:rPr>
          <w:rFonts w:cs="Times New Roman"/>
          <w:szCs w:val="24"/>
          <w:lang w:eastAsia="en-US"/>
        </w:rPr>
        <w:t>przesyłki rejestrowane (polecone) krajowe i zagraniczne, przyjęte za potwierdzeniem do nadania:</w:t>
      </w:r>
    </w:p>
    <w:p>
      <w:pPr>
        <w:pStyle w:val="Akapitzlist1"/>
        <w:numPr>
          <w:ilvl w:val="0"/>
          <w:numId w:val="5"/>
        </w:numPr>
        <w:spacing w:lineRule="atLeast" w:line="100" w:before="0" w:after="0"/>
        <w:ind w:left="927" w:hanging="360"/>
        <w:contextualSpacing/>
        <w:rPr>
          <w:rFonts w:ascii="Calibri" w:hAnsi="Calibri"/>
        </w:rPr>
      </w:pPr>
      <w:r>
        <w:rPr>
          <w:rFonts w:cs="Times New Roman"/>
          <w:szCs w:val="24"/>
          <w:lang w:eastAsia="en-US"/>
        </w:rPr>
        <w:t>niebędące przesyłkami najszybszej kategorii,</w:t>
      </w:r>
    </w:p>
    <w:p>
      <w:pPr>
        <w:pStyle w:val="Akapitzlist1"/>
        <w:numPr>
          <w:ilvl w:val="0"/>
          <w:numId w:val="5"/>
        </w:numPr>
        <w:spacing w:lineRule="atLeast" w:line="100" w:before="0" w:after="0"/>
        <w:ind w:left="927" w:hanging="360"/>
        <w:contextualSpacing/>
        <w:rPr>
          <w:rFonts w:ascii="Calibri" w:hAnsi="Calibri"/>
        </w:rPr>
      </w:pPr>
      <w:r>
        <w:rPr>
          <w:rFonts w:cs="Times New Roman"/>
          <w:szCs w:val="24"/>
          <w:lang w:eastAsia="en-US"/>
        </w:rPr>
        <w:t>będące przesyłkami najszybszej kategorii (priorytetowe);</w:t>
      </w:r>
    </w:p>
    <w:p>
      <w:pPr>
        <w:pStyle w:val="Akapitzlist1"/>
        <w:numPr>
          <w:ilvl w:val="0"/>
          <w:numId w:val="3"/>
        </w:numPr>
        <w:spacing w:lineRule="atLeast" w:line="100" w:before="0" w:after="0"/>
        <w:contextualSpacing/>
        <w:rPr>
          <w:rFonts w:ascii="Calibri" w:hAnsi="Calibri"/>
        </w:rPr>
      </w:pPr>
      <w:r>
        <w:rPr>
          <w:rFonts w:cs="Times New Roman"/>
          <w:szCs w:val="24"/>
          <w:lang w:eastAsia="en-US"/>
        </w:rPr>
        <w:t>przesyłki rejestrowane (polecone) krajowe i zagraniczne za zwrotnym poświadczeniem odbioru (ZPO), przyjęte za potwierdzeniem do nadania i doręczane za pokwitowaniem odbioru:</w:t>
      </w:r>
    </w:p>
    <w:p>
      <w:pPr>
        <w:pStyle w:val="Akapitzlist1"/>
        <w:numPr>
          <w:ilvl w:val="0"/>
          <w:numId w:val="6"/>
        </w:numPr>
        <w:spacing w:lineRule="atLeast" w:line="100" w:before="0" w:after="0"/>
        <w:ind w:left="927" w:hanging="360"/>
        <w:contextualSpacing/>
        <w:rPr>
          <w:rFonts w:ascii="Calibri" w:hAnsi="Calibri"/>
        </w:rPr>
      </w:pPr>
      <w:r>
        <w:rPr>
          <w:rFonts w:cs="Times New Roman"/>
          <w:szCs w:val="24"/>
          <w:lang w:eastAsia="en-US"/>
        </w:rPr>
        <w:t>niebędące przesyłkami najszybszej kategorii,</w:t>
      </w:r>
    </w:p>
    <w:p>
      <w:pPr>
        <w:pStyle w:val="Akapitzlist1"/>
        <w:numPr>
          <w:ilvl w:val="0"/>
          <w:numId w:val="6"/>
        </w:numPr>
        <w:spacing w:lineRule="atLeast" w:line="100" w:before="0" w:after="0"/>
        <w:ind w:left="927" w:hanging="360"/>
        <w:contextualSpacing/>
        <w:rPr>
          <w:rFonts w:ascii="Calibri" w:hAnsi="Calibri"/>
        </w:rPr>
      </w:pPr>
      <w:r>
        <w:rPr>
          <w:rFonts w:cs="Times New Roman"/>
          <w:szCs w:val="24"/>
          <w:lang w:eastAsia="en-US"/>
        </w:rPr>
        <w:t>będące przesyłkami najszybszej kategorii (priorytetowe).</w:t>
      </w:r>
    </w:p>
    <w:p>
      <w:pPr>
        <w:pStyle w:val="Normal"/>
        <w:widowControl/>
        <w:suppressAutoHyphens w:val="false"/>
        <w:rPr>
          <w:rFonts w:ascii="Calibri" w:hAnsi="Calibri" w:eastAsia="Times New Roman"/>
          <w:kern w:val="0"/>
          <w:u w:val="single"/>
          <w:lang w:eastAsia="pl-PL"/>
        </w:rPr>
      </w:pPr>
      <w:r>
        <w:rPr>
          <w:rFonts w:eastAsia="Times New Roman" w:ascii="Calibri" w:hAnsi="Calibri"/>
          <w:kern w:val="0"/>
          <w:u w:val="single"/>
          <w:lang w:eastAsia="pl-PL"/>
        </w:rPr>
      </w:r>
    </w:p>
    <w:p>
      <w:pPr>
        <w:pStyle w:val="Normal"/>
        <w:widowControl/>
        <w:suppressAutoHyphens w:val="false"/>
        <w:rPr>
          <w:rFonts w:ascii="Calibri" w:hAnsi="Calibri"/>
        </w:rPr>
      </w:pPr>
      <w:r>
        <w:rPr>
          <w:rFonts w:eastAsia="Times New Roman" w:ascii="Calibri" w:hAnsi="Calibri"/>
          <w:b/>
          <w:kern w:val="0"/>
          <w:u w:val="single"/>
          <w:lang w:eastAsia="pl-PL"/>
        </w:rPr>
        <w:t>Dla przesyłek  listowych w obrocie krajowym:</w:t>
      </w:r>
    </w:p>
    <w:p>
      <w:pPr>
        <w:pStyle w:val="Normal"/>
        <w:widowControl/>
        <w:suppressAutoHyphens w:val="false"/>
        <w:rPr>
          <w:rFonts w:ascii="Calibri" w:hAnsi="Calibri"/>
        </w:rPr>
      </w:pPr>
      <w:r>
        <w:rPr>
          <w:rFonts w:eastAsia="Times New Roman" w:ascii="Calibri" w:hAnsi="Calibri"/>
          <w:kern w:val="0"/>
          <w:u w:val="single"/>
          <w:lang w:eastAsia="pl-PL"/>
        </w:rPr>
        <w:t xml:space="preserve">Format S do 500 g- to przesyłka o wymiarach: </w:t>
      </w:r>
    </w:p>
    <w:p>
      <w:pPr>
        <w:pStyle w:val="Normal"/>
        <w:widowControl/>
        <w:suppressAutoHyphens w:val="false"/>
        <w:rPr>
          <w:rFonts w:ascii="Calibri" w:hAnsi="Calibri"/>
        </w:rPr>
      </w:pPr>
      <w:r>
        <w:rPr>
          <w:rFonts w:eastAsia="Times New Roman" w:ascii="Calibri" w:hAnsi="Calibri"/>
          <w:kern w:val="0"/>
          <w:lang w:eastAsia="pl-PL"/>
        </w:rPr>
        <w:t xml:space="preserve">Minimum – wymiary strony adresowej nie mogą być mniejsze niż 90 x 140 mm, </w:t>
      </w:r>
    </w:p>
    <w:p>
      <w:pPr>
        <w:pStyle w:val="Normal"/>
        <w:widowControl/>
        <w:suppressAutoHyphens w:val="false"/>
        <w:rPr>
          <w:rFonts w:ascii="Calibri" w:hAnsi="Calibri"/>
        </w:rPr>
      </w:pPr>
      <w:r>
        <w:rPr>
          <w:rFonts w:eastAsia="Times New Roman" w:ascii="Calibri" w:hAnsi="Calibri"/>
          <w:kern w:val="0"/>
          <w:lang w:eastAsia="pl-PL"/>
        </w:rPr>
        <w:t xml:space="preserve">Maksimum – żaden z wymiarów nie może przekroczyć: wysokość 20 mm, długość 230 mm, szerokość 160 mm. </w:t>
      </w:r>
    </w:p>
    <w:p>
      <w:pPr>
        <w:pStyle w:val="Normal"/>
        <w:widowControl/>
        <w:suppressAutoHyphens w:val="false"/>
        <w:rPr>
          <w:rFonts w:ascii="Calibri" w:hAnsi="Calibri" w:eastAsia="Times New Roman"/>
          <w:kern w:val="0"/>
          <w:lang w:eastAsia="pl-PL"/>
        </w:rPr>
      </w:pPr>
      <w:r>
        <w:rPr>
          <w:rFonts w:eastAsia="Times New Roman" w:ascii="Calibri" w:hAnsi="Calibri"/>
          <w:kern w:val="0"/>
          <w:lang w:eastAsia="pl-PL"/>
        </w:rPr>
      </w:r>
    </w:p>
    <w:p>
      <w:pPr>
        <w:pStyle w:val="Normal"/>
        <w:widowControl/>
        <w:suppressAutoHyphens w:val="false"/>
        <w:rPr>
          <w:rFonts w:ascii="Calibri" w:hAnsi="Calibri"/>
        </w:rPr>
      </w:pPr>
      <w:r>
        <w:rPr>
          <w:rFonts w:eastAsia="Times New Roman" w:ascii="Calibri" w:hAnsi="Calibri"/>
          <w:kern w:val="0"/>
          <w:u w:val="single"/>
          <w:lang w:eastAsia="pl-PL"/>
        </w:rPr>
        <w:t xml:space="preserve">Format M do 1000 g– to przesyłka o wymiarach:  </w:t>
      </w:r>
    </w:p>
    <w:p>
      <w:pPr>
        <w:pStyle w:val="Normal"/>
        <w:widowControl/>
        <w:suppressAutoHyphens w:val="false"/>
        <w:rPr>
          <w:rFonts w:ascii="Calibri" w:hAnsi="Calibri"/>
        </w:rPr>
      </w:pPr>
      <w:r>
        <w:rPr>
          <w:rFonts w:eastAsia="Times New Roman" w:ascii="Calibri" w:hAnsi="Calibri"/>
          <w:kern w:val="0"/>
          <w:lang w:eastAsia="pl-PL"/>
        </w:rPr>
        <w:t xml:space="preserve">Minimum – wymiary strony adresowej nie mogą być mniejsze niż 90 x 140 mm. </w:t>
      </w:r>
    </w:p>
    <w:p>
      <w:pPr>
        <w:pStyle w:val="Normal"/>
        <w:widowControl/>
        <w:suppressAutoHyphens w:val="false"/>
        <w:rPr>
          <w:rFonts w:ascii="Calibri" w:hAnsi="Calibri"/>
        </w:rPr>
      </w:pPr>
      <w:r>
        <w:rPr>
          <w:rFonts w:eastAsia="Times New Roman" w:ascii="Calibri" w:hAnsi="Calibri"/>
          <w:kern w:val="0"/>
          <w:lang w:eastAsia="pl-PL"/>
        </w:rPr>
        <w:t xml:space="preserve">Maksimum – żaden z wymiarów nie może przekroczyć: wysokość 20 mm, długość 325 mm, szerokość 230 mm. </w:t>
      </w:r>
    </w:p>
    <w:p>
      <w:pPr>
        <w:pStyle w:val="Normal"/>
        <w:widowControl/>
        <w:suppressAutoHyphens w:val="false"/>
        <w:rPr>
          <w:rFonts w:ascii="Calibri" w:hAnsi="Calibri" w:eastAsia="Times New Roman"/>
          <w:kern w:val="0"/>
          <w:lang w:eastAsia="pl-PL"/>
        </w:rPr>
      </w:pPr>
      <w:r>
        <w:rPr>
          <w:rFonts w:eastAsia="Times New Roman" w:ascii="Calibri" w:hAnsi="Calibri"/>
          <w:kern w:val="0"/>
          <w:lang w:eastAsia="pl-PL"/>
        </w:rPr>
      </w:r>
    </w:p>
    <w:p>
      <w:pPr>
        <w:pStyle w:val="Normal"/>
        <w:widowControl/>
        <w:suppressAutoHyphens w:val="false"/>
        <w:rPr>
          <w:rFonts w:ascii="Calibri" w:hAnsi="Calibri"/>
        </w:rPr>
      </w:pPr>
      <w:r>
        <w:rPr>
          <w:rFonts w:eastAsia="Times New Roman" w:ascii="Calibri" w:hAnsi="Calibri"/>
          <w:kern w:val="0"/>
          <w:u w:val="single"/>
          <w:lang w:eastAsia="pl-PL"/>
        </w:rPr>
        <w:t xml:space="preserve">Format L do 2000 g – to przesyłka o wymiarach: </w:t>
      </w:r>
    </w:p>
    <w:p>
      <w:pPr>
        <w:pStyle w:val="Normal"/>
        <w:widowControl/>
        <w:suppressAutoHyphens w:val="false"/>
        <w:rPr>
          <w:rFonts w:ascii="Calibri" w:hAnsi="Calibri"/>
        </w:rPr>
      </w:pPr>
      <w:r>
        <w:rPr>
          <w:rFonts w:eastAsia="Times New Roman" w:ascii="Calibri" w:hAnsi="Calibri"/>
          <w:kern w:val="0"/>
          <w:lang w:eastAsia="pl-PL"/>
        </w:rPr>
        <w:t xml:space="preserve">Minimum – wymiary strony adresowej nie mogą być mniejsze niż 90 x 140 mm. </w:t>
      </w:r>
    </w:p>
    <w:p>
      <w:pPr>
        <w:pStyle w:val="Normal"/>
        <w:widowControl/>
        <w:suppressAutoHyphens w:val="false"/>
        <w:rPr>
          <w:rFonts w:ascii="Calibri" w:hAnsi="Calibri"/>
        </w:rPr>
      </w:pPr>
      <w:r>
        <w:rPr>
          <w:rFonts w:eastAsia="Times New Roman" w:ascii="Calibri" w:hAnsi="Calibri"/>
          <w:kern w:val="0"/>
          <w:lang w:eastAsia="pl-PL"/>
        </w:rPr>
        <w:t xml:space="preserve">Maksimum – suma długości, szerokości i wysokości nie może być większa niż 900 mm, przy czym największy z tych wymiarów (długość) nie może przekroczyć 600 mm. </w:t>
      </w:r>
    </w:p>
    <w:p>
      <w:pPr>
        <w:pStyle w:val="Normal"/>
        <w:widowControl/>
        <w:suppressAutoHyphens w:val="false"/>
        <w:rPr>
          <w:rFonts w:ascii="Calibri" w:hAnsi="Calibri" w:eastAsia="Times New Roman"/>
          <w:kern w:val="0"/>
          <w:lang w:eastAsia="pl-PL"/>
        </w:rPr>
      </w:pPr>
      <w:r>
        <w:rPr>
          <w:rFonts w:eastAsia="Times New Roman" w:ascii="Calibri" w:hAnsi="Calibri"/>
          <w:kern w:val="0"/>
          <w:lang w:eastAsia="pl-PL"/>
        </w:rPr>
      </w:r>
    </w:p>
    <w:p>
      <w:pPr>
        <w:pStyle w:val="Normal"/>
        <w:widowControl/>
        <w:suppressAutoHyphens w:val="false"/>
        <w:rPr>
          <w:rFonts w:ascii="Calibri" w:hAnsi="Calibri"/>
        </w:rPr>
      </w:pPr>
      <w:r>
        <w:rPr>
          <w:rFonts w:eastAsia="Times New Roman" w:ascii="Calibri" w:hAnsi="Calibri"/>
          <w:b/>
          <w:kern w:val="0"/>
          <w:u w:val="single"/>
          <w:lang w:eastAsia="pl-PL"/>
        </w:rPr>
        <w:t>Dla przesyłek listowych w obrocie zagranicznym:</w:t>
      </w:r>
    </w:p>
    <w:p>
      <w:pPr>
        <w:pStyle w:val="Akapitzlist1"/>
        <w:spacing w:lineRule="atLeast" w:line="100" w:before="0" w:after="0"/>
        <w:ind w:left="0" w:hanging="0"/>
        <w:contextualSpacing/>
        <w:rPr>
          <w:rFonts w:ascii="Calibri" w:hAnsi="Calibri"/>
        </w:rPr>
      </w:pPr>
      <w:r>
        <w:rPr>
          <w:rFonts w:cs="Times New Roman"/>
          <w:szCs w:val="24"/>
        </w:rPr>
        <w:t>Wymiary przesyłek listowych wynoszą: MAKSIMUM: suma długości, szerokości i wysokości -900 mm, przy czym największy z tych wymiarów (długość) nie może przekroczyć 600 mm MINIMUM: wymiary strony adresowej nie mogą być mniejsze niż 90 x 140 mm</w:t>
      </w:r>
    </w:p>
    <w:p>
      <w:pPr>
        <w:pStyle w:val="Normal"/>
        <w:widowControl/>
        <w:suppressAutoHyphens w:val="false"/>
        <w:rPr>
          <w:rFonts w:ascii="Calibri" w:hAnsi="Calibri" w:eastAsia="Times New Roman"/>
          <w:kern w:val="0"/>
          <w:lang w:eastAsia="pl-PL"/>
        </w:rPr>
      </w:pPr>
      <w:r>
        <w:rPr>
          <w:rFonts w:eastAsia="Times New Roman" w:ascii="Calibri" w:hAnsi="Calibri"/>
          <w:kern w:val="0"/>
          <w:lang w:eastAsia="pl-PL"/>
        </w:rPr>
      </w:r>
    </w:p>
    <w:p>
      <w:pPr>
        <w:pStyle w:val="Domylnie"/>
        <w:numPr>
          <w:ilvl w:val="0"/>
          <w:numId w:val="1"/>
        </w:numPr>
        <w:tabs>
          <w:tab w:val="clear" w:pos="708"/>
          <w:tab w:val="left" w:pos="0" w:leader="none"/>
        </w:tabs>
        <w:spacing w:lineRule="atLeast" w:line="100" w:before="0" w:after="0"/>
        <w:ind w:left="357" w:hanging="357"/>
        <w:rPr>
          <w:rFonts w:ascii="Calibri" w:hAnsi="Calibri"/>
        </w:rPr>
      </w:pPr>
      <w:r>
        <w:rPr>
          <w:rFonts w:cs="Times New Roman"/>
          <w:szCs w:val="24"/>
        </w:rPr>
        <w:t xml:space="preserve">Przez </w:t>
      </w:r>
      <w:r>
        <w:rPr>
          <w:rFonts w:cs="Times New Roman"/>
          <w:szCs w:val="24"/>
          <w:u w:val="single"/>
        </w:rPr>
        <w:t>paczki pocztowe</w:t>
      </w:r>
      <w:r>
        <w:rPr>
          <w:rFonts w:cs="Times New Roman"/>
          <w:szCs w:val="24"/>
        </w:rPr>
        <w:t xml:space="preserve">, będące </w:t>
      </w:r>
      <w:r>
        <w:rPr>
          <w:rFonts w:cs="Times New Roman"/>
          <w:color w:val="000000"/>
          <w:szCs w:val="24"/>
        </w:rPr>
        <w:t>przedmiotem zamówienia rozumie się paczki pocztowe o wadze do 10.000 g (gabaryt A):</w:t>
      </w:r>
    </w:p>
    <w:p>
      <w:pPr>
        <w:pStyle w:val="Domylnie"/>
        <w:numPr>
          <w:ilvl w:val="0"/>
          <w:numId w:val="38"/>
        </w:numPr>
        <w:spacing w:lineRule="atLeast" w:line="100" w:before="0" w:after="0"/>
        <w:rPr>
          <w:rFonts w:ascii="Calibri" w:hAnsi="Calibri"/>
        </w:rPr>
      </w:pPr>
      <w:r>
        <w:rPr>
          <w:rFonts w:cs="Times New Roman"/>
          <w:color w:val="000000"/>
          <w:szCs w:val="24"/>
        </w:rPr>
        <w:t>paczki rejestrowane nie będące paczkami najszybszej kategorii,</w:t>
      </w:r>
    </w:p>
    <w:p>
      <w:pPr>
        <w:pStyle w:val="Domylnie"/>
        <w:spacing w:lineRule="atLeast" w:line="100" w:before="0" w:after="0"/>
        <w:rPr>
          <w:rFonts w:ascii="Calibri" w:hAnsi="Calibri"/>
        </w:rPr>
      </w:pPr>
      <w:r>
        <w:rPr>
          <w:rFonts w:cs="Times New Roman"/>
          <w:color w:val="000000"/>
          <w:szCs w:val="24"/>
        </w:rPr>
        <w:tab/>
        <w:t>Gabaryt A – to przesyłka o wymiarach:</w:t>
      </w:r>
    </w:p>
    <w:p>
      <w:pPr>
        <w:pStyle w:val="Domylnie"/>
        <w:spacing w:lineRule="atLeast" w:line="100" w:before="0" w:after="0"/>
        <w:rPr>
          <w:rFonts w:ascii="Calibri" w:hAnsi="Calibri"/>
        </w:rPr>
      </w:pPr>
      <w:r>
        <w:rPr>
          <w:rFonts w:cs="Times New Roman"/>
          <w:color w:val="000000"/>
          <w:szCs w:val="24"/>
        </w:rPr>
        <w:tab/>
        <w:t>Minimum – wymiary strony adresowej nie mogą być mniejsze niż 90 x 140 mm,</w:t>
      </w:r>
    </w:p>
    <w:p>
      <w:pPr>
        <w:pStyle w:val="Domylnie"/>
        <w:spacing w:lineRule="atLeast" w:line="100" w:before="0" w:after="0"/>
        <w:ind w:left="360" w:hanging="360"/>
        <w:rPr>
          <w:rFonts w:ascii="Calibri" w:hAnsi="Calibri"/>
        </w:rPr>
      </w:pPr>
      <w:r>
        <w:rPr>
          <w:rFonts w:cs="Times New Roman"/>
          <w:color w:val="000000"/>
          <w:szCs w:val="24"/>
        </w:rPr>
        <w:tab/>
        <w:t>Maksimum – żaden z wymiarów nie może przekroczyć długości 600 mm, szerokość 500 mm, wysokość 300 mm.</w:t>
      </w:r>
    </w:p>
    <w:p>
      <w:pPr>
        <w:pStyle w:val="Domylnie"/>
        <w:numPr>
          <w:ilvl w:val="0"/>
          <w:numId w:val="1"/>
        </w:numPr>
        <w:tabs>
          <w:tab w:val="clear" w:pos="708"/>
          <w:tab w:val="left" w:pos="0" w:leader="none"/>
        </w:tabs>
        <w:spacing w:lineRule="atLeast" w:line="100" w:before="0" w:after="0"/>
        <w:ind w:left="357" w:hanging="357"/>
        <w:rPr>
          <w:rFonts w:ascii="Calibri" w:hAnsi="Calibri"/>
        </w:rPr>
      </w:pPr>
      <w:r>
        <w:rPr>
          <w:rFonts w:cs="Times New Roman"/>
          <w:bCs/>
          <w:szCs w:val="24"/>
        </w:rPr>
        <w:t xml:space="preserve">Zamawiający w ramach realizacji przedmiotu zamówienia przewiduje nadawanie przesyłek pocztowych rejestrowanych wymagających zastosowania </w:t>
      </w:r>
      <w:r>
        <w:rPr>
          <w:rFonts w:cs="Times New Roman"/>
          <w:b/>
          <w:bCs/>
          <w:szCs w:val="24"/>
        </w:rPr>
        <w:t>przepisu art. 57 § 5 pkt. 2 Kodeksu postępowania administracyjnego, art. 12 § 6 pkt. 2 Ordynacji podatkowej, art. 165 § 2 Kodeksu postępowania cywilnego</w:t>
      </w:r>
      <w:r>
        <w:rPr>
          <w:rFonts w:cs="Times New Roman"/>
          <w:bCs/>
          <w:szCs w:val="24"/>
        </w:rPr>
        <w:t xml:space="preserve"> dla których potwierdzenie nadania wydane przez placówkę pocztową operatora wyznaczonego będzie miało moc dokumentu urzędowego. </w:t>
      </w:r>
    </w:p>
    <w:p>
      <w:pPr>
        <w:pStyle w:val="Domylnie"/>
        <w:spacing w:lineRule="atLeast" w:line="100" w:before="0" w:after="0"/>
        <w:ind w:left="357" w:hanging="0"/>
        <w:rPr>
          <w:rFonts w:ascii="Calibri" w:hAnsi="Calibri"/>
          <w:szCs w:val="24"/>
        </w:rPr>
      </w:pPr>
      <w:r>
        <w:rPr>
          <w:szCs w:val="24"/>
        </w:rPr>
      </w:r>
    </w:p>
    <w:p>
      <w:pPr>
        <w:pStyle w:val="Domylnie"/>
        <w:spacing w:lineRule="atLeast" w:line="200" w:before="0" w:after="0"/>
        <w:rPr>
          <w:rFonts w:ascii="Calibri" w:hAnsi="Calibri" w:cs="Times New Roman"/>
          <w:szCs w:val="24"/>
        </w:rPr>
      </w:pPr>
      <w:r>
        <w:rPr>
          <w:rFonts w:cs="Times New Roman"/>
          <w:szCs w:val="24"/>
        </w:rPr>
      </w:r>
    </w:p>
    <w:p>
      <w:pPr>
        <w:pStyle w:val="Style14"/>
        <w:spacing w:lineRule="atLeast" w:line="200"/>
        <w:rPr>
          <w:rFonts w:ascii="Calibri" w:hAnsi="Calibri"/>
        </w:rPr>
      </w:pPr>
      <w:r>
        <w:rPr>
          <w:rFonts w:ascii="Calibri" w:hAnsi="Calibri"/>
          <w:sz w:val="24"/>
          <w:szCs w:val="24"/>
          <w:lang w:val="pl-PL"/>
        </w:rPr>
        <w:t>§ 2</w:t>
      </w:r>
    </w:p>
    <w:p>
      <w:pPr>
        <w:pStyle w:val="Style14"/>
        <w:spacing w:lineRule="atLeast" w:line="200"/>
        <w:rPr>
          <w:rFonts w:ascii="Calibri" w:hAnsi="Calibri"/>
          <w:sz w:val="24"/>
          <w:szCs w:val="24"/>
        </w:rPr>
      </w:pPr>
      <w:r>
        <w:rPr>
          <w:rFonts w:ascii="Calibri" w:hAnsi="Calibri"/>
          <w:sz w:val="24"/>
          <w:szCs w:val="24"/>
        </w:rPr>
      </w:r>
    </w:p>
    <w:p>
      <w:pPr>
        <w:pStyle w:val="Domylnie"/>
        <w:numPr>
          <w:ilvl w:val="0"/>
          <w:numId w:val="7"/>
        </w:numPr>
        <w:tabs>
          <w:tab w:val="clear" w:pos="708"/>
          <w:tab w:val="left" w:pos="0" w:leader="none"/>
        </w:tabs>
        <w:spacing w:lineRule="atLeast" w:line="100" w:before="0" w:after="0"/>
        <w:rPr>
          <w:rFonts w:ascii="Calibri" w:hAnsi="Calibri"/>
        </w:rPr>
      </w:pPr>
      <w:r>
        <w:rPr>
          <w:rFonts w:cs="Times New Roman"/>
          <w:szCs w:val="24"/>
        </w:rPr>
        <w:t>W ramach świadczenia usług Wykonawca zobowiązuje się m.in. do wykonania następujących czynności:</w:t>
      </w:r>
    </w:p>
    <w:p>
      <w:pPr>
        <w:pStyle w:val="Domylnie"/>
        <w:numPr>
          <w:ilvl w:val="0"/>
          <w:numId w:val="8"/>
        </w:numPr>
        <w:tabs>
          <w:tab w:val="clear" w:pos="708"/>
          <w:tab w:val="left" w:pos="720" w:leader="none"/>
        </w:tabs>
        <w:spacing w:lineRule="atLeast" w:line="100" w:before="0" w:after="0"/>
        <w:rPr>
          <w:rFonts w:ascii="Calibri" w:hAnsi="Calibri"/>
        </w:rPr>
      </w:pPr>
      <w:r>
        <w:rPr>
          <w:rFonts w:cs="Times New Roman"/>
          <w:szCs w:val="24"/>
        </w:rPr>
        <w:t xml:space="preserve">dostarczania i odbierania przesyłek pocztowych jeden raz dziennie w dni robocze                  do i z siedziby Zamawiającego od poniedziałku do piątku w godzinach od 12:00 do 12:30 oraz potwierdzania ich odbioru przez upoważnionego przedstawiciela Wykonawcy. Zamawiający zastrzega sobie możliwość nadania przesyłek dodatkowo w tym samym dniu, w którym Zamawiający zgłosi Wykonawcy taką konieczność. </w:t>
      </w:r>
      <w:r>
        <w:rPr>
          <w:rFonts w:cs="Times New Roman"/>
          <w:color w:val="000000"/>
          <w:szCs w:val="24"/>
        </w:rPr>
        <w:t xml:space="preserve">Przesyłki pocztowe będą nadawane przez Wykonawcę w dniu ich odbioru z siedziby Zamawiającego. W przypadku zastrzeżeń dotyczących odebranych przesyłek, Wykonawca wyjaśnia je z Zamawiającym telefonicznie. Przy braku możliwości ich wyjaśnienia z Zamawiającym w dniu ich odbioru, nadanie odebranych przesyłek nastąpi w następnym dniu roboczym. </w:t>
      </w:r>
    </w:p>
    <w:p>
      <w:pPr>
        <w:pStyle w:val="Domylnie"/>
        <w:tabs>
          <w:tab w:val="clear" w:pos="708"/>
          <w:tab w:val="left" w:pos="1440" w:leader="none"/>
        </w:tabs>
        <w:spacing w:lineRule="atLeast" w:line="100" w:before="0" w:after="0"/>
        <w:ind w:left="720" w:hanging="0"/>
        <w:rPr>
          <w:rFonts w:ascii="Calibri" w:hAnsi="Calibri"/>
        </w:rPr>
      </w:pPr>
      <w:r>
        <w:rPr>
          <w:rFonts w:cs="Times New Roman"/>
          <w:szCs w:val="24"/>
        </w:rPr>
        <w:t>Ponadto w przypadku nadawania przesyłek opisanych w § 1 ust. 5 Wykonawca jest zobowiązany do  nadawania przesyłek w dniu ich odbioru w placówce pocztowej operatora wyznaczonego tj. na dzień sporządzenia zapytania Poczta Polska S.A. Wykonawca zobowiązany jest do uzyskania potwierdzenia nadania przesyłek, a otrzymane potwierdzenie niezwłocznie tzn. w tym samym lub w następnym dniu dostarczyć Zamawiającemu;</w:t>
      </w:r>
    </w:p>
    <w:p>
      <w:pPr>
        <w:pStyle w:val="Normal"/>
        <w:numPr>
          <w:ilvl w:val="0"/>
          <w:numId w:val="8"/>
        </w:numPr>
        <w:tabs>
          <w:tab w:val="clear" w:pos="708"/>
          <w:tab w:val="left" w:pos="426" w:leader="none"/>
        </w:tabs>
        <w:spacing w:before="0" w:after="0"/>
        <w:contextualSpacing/>
        <w:rPr>
          <w:rFonts w:ascii="Calibri" w:hAnsi="Calibri"/>
        </w:rPr>
      </w:pPr>
      <w:r>
        <w:rPr>
          <w:rFonts w:eastAsia="Calibri" w:ascii="Calibri" w:hAnsi="Calibri"/>
          <w:bCs/>
          <w:iCs/>
          <w:color w:val="000000"/>
          <w:lang w:eastAsia="en-US"/>
        </w:rPr>
        <w:t>niezwłocznego doręczenia zwrotnego potwierdzenia odbioru doręczonych przesyłek i zwrotów niedoręczonych przesyłek pocztowych do siedziby Zamawiającego, w dni robocze od poniedziałku do piątku od 12:00 do 12:30. Potwierdzenie odbioru przekazywane jest przez Wykonawcę niezwłocznie po dokonaniu doręczenia przesyłki. W przypadku nieobecności Adresata, przedstawiciel Wykonawcy pozostawia zawiadomienie o próbie doręczenia przesyłki ze wskazaniem, gdzie i kiedy adresat może odebrać przesyłkę. Termin odbioru takiej przesyłki wynosi 14 dni liczonych od dnia następnego po dniu pozostawienia pierwszego zawiadomienia. W tym czasie zawiadomienie o nadejściu przesyłki pozostawiane jest dwukrotnie. Po upływie terminu odbioru przesyłka zwracana jest Zamawiającemu wraz z podaniem przyczyny nieodebrania jej przez adresata.</w:t>
      </w:r>
    </w:p>
    <w:p>
      <w:pPr>
        <w:pStyle w:val="Domylnie"/>
        <w:numPr>
          <w:ilvl w:val="0"/>
          <w:numId w:val="8"/>
        </w:numPr>
        <w:tabs>
          <w:tab w:val="clear" w:pos="708"/>
          <w:tab w:val="left" w:pos="720" w:leader="none"/>
        </w:tabs>
        <w:spacing w:lineRule="atLeast" w:line="100" w:before="0" w:after="0"/>
        <w:rPr>
          <w:rFonts w:ascii="Calibri" w:hAnsi="Calibri"/>
        </w:rPr>
      </w:pPr>
      <w:r>
        <w:rPr>
          <w:rFonts w:cs="Times New Roman"/>
          <w:szCs w:val="24"/>
        </w:rPr>
        <w:t>zwrotu zestawienia nadanych przesyłek pocztowych nierejestrowanych oraz książki nadawczej przesyłek pocztowych rejestrowanych w dniu następnym. Wykonawca zobowiązany jest do samodzielnego oznaczania w dokumentach nadawczych wagi, wartości nadawanych przesyłek pocztowych oraz oznaczania numerami nadawczymi przesyłek rejestrowanych (poleconych);</w:t>
      </w:r>
    </w:p>
    <w:p>
      <w:pPr>
        <w:pStyle w:val="Domylnie"/>
        <w:numPr>
          <w:ilvl w:val="0"/>
          <w:numId w:val="8"/>
        </w:numPr>
        <w:tabs>
          <w:tab w:val="clear" w:pos="708"/>
          <w:tab w:val="left" w:pos="720" w:leader="none"/>
        </w:tabs>
        <w:spacing w:lineRule="atLeast" w:line="100" w:before="0" w:after="0"/>
        <w:rPr>
          <w:rFonts w:ascii="Calibri" w:hAnsi="Calibri"/>
        </w:rPr>
      </w:pPr>
      <w:r>
        <w:rPr>
          <w:rFonts w:cs="Times New Roman"/>
          <w:szCs w:val="24"/>
        </w:rPr>
        <w:t>w przypadku uszkodzenia przesyłki Wykonawca ma obowiązek ją zabezpieczyć oraz nanieść adnotację z informacją o osobie dokonującej zabezpieczenia;</w:t>
      </w:r>
    </w:p>
    <w:p>
      <w:pPr>
        <w:pStyle w:val="Normal"/>
        <w:numPr>
          <w:ilvl w:val="0"/>
          <w:numId w:val="8"/>
        </w:numPr>
        <w:tabs>
          <w:tab w:val="clear" w:pos="708"/>
          <w:tab w:val="left" w:pos="720" w:leader="none"/>
        </w:tabs>
        <w:spacing w:lineRule="atLeast" w:line="100"/>
        <w:rPr>
          <w:rFonts w:ascii="Calibri" w:hAnsi="Calibri"/>
        </w:rPr>
      </w:pPr>
      <w:r>
        <w:rPr>
          <w:rFonts w:ascii="Calibri" w:hAnsi="Calibri"/>
        </w:rPr>
        <w:t>dostarczania bezpłatnie Zamawiającemu druków zwrotnego potwierdzenia odbioru dla przesyłek krajowych i zagranicznych będących własnością oraz nakładzie Wykonawcy.</w:t>
      </w:r>
    </w:p>
    <w:p>
      <w:pPr>
        <w:pStyle w:val="Akapitzlist1"/>
        <w:spacing w:lineRule="atLeast" w:line="200" w:before="0" w:after="0"/>
        <w:ind w:left="0" w:hanging="0"/>
        <w:rPr>
          <w:rFonts w:ascii="Calibri" w:hAnsi="Calibri" w:cs="Times New Roman"/>
          <w:szCs w:val="24"/>
        </w:rPr>
      </w:pPr>
      <w:r>
        <w:rPr>
          <w:rFonts w:cs="Times New Roman"/>
          <w:szCs w:val="24"/>
        </w:rPr>
      </w:r>
    </w:p>
    <w:p>
      <w:pPr>
        <w:pStyle w:val="Domylnie"/>
        <w:spacing w:lineRule="atLeast" w:line="200" w:before="0" w:after="0"/>
        <w:rPr>
          <w:rFonts w:ascii="Calibri" w:hAnsi="Calibri"/>
        </w:rPr>
      </w:pPr>
      <w:r>
        <w:rPr>
          <w:rFonts w:cs="Times New Roman"/>
          <w:szCs w:val="24"/>
        </w:rPr>
        <w:t>§ 3</w:t>
      </w:r>
    </w:p>
    <w:p>
      <w:pPr>
        <w:pStyle w:val="Domylnie"/>
        <w:spacing w:lineRule="atLeast" w:line="200" w:before="0" w:after="0"/>
        <w:rPr>
          <w:rFonts w:ascii="Calibri" w:hAnsi="Calibri" w:cs="Times New Roman"/>
          <w:szCs w:val="24"/>
        </w:rPr>
      </w:pPr>
      <w:r>
        <w:rPr>
          <w:rFonts w:cs="Times New Roman"/>
          <w:szCs w:val="24"/>
        </w:rPr>
      </w:r>
    </w:p>
    <w:p>
      <w:pPr>
        <w:pStyle w:val="Domylnie"/>
        <w:numPr>
          <w:ilvl w:val="0"/>
          <w:numId w:val="9"/>
        </w:numPr>
        <w:spacing w:lineRule="atLeast" w:line="100" w:before="0" w:after="0"/>
        <w:rPr>
          <w:rFonts w:ascii="Calibri" w:hAnsi="Calibri"/>
        </w:rPr>
      </w:pPr>
      <w:r>
        <w:rPr>
          <w:rFonts w:cs="Times New Roman"/>
          <w:szCs w:val="24"/>
        </w:rPr>
        <w:t>Zamawiający zobowiązuje się do:</w:t>
      </w:r>
    </w:p>
    <w:p>
      <w:pPr>
        <w:pStyle w:val="Domylnie"/>
        <w:numPr>
          <w:ilvl w:val="0"/>
          <w:numId w:val="10"/>
        </w:numPr>
        <w:tabs>
          <w:tab w:val="clear" w:pos="708"/>
          <w:tab w:val="left" w:pos="720" w:leader="none"/>
        </w:tabs>
        <w:spacing w:lineRule="atLeast" w:line="100" w:before="0" w:after="0"/>
        <w:rPr>
          <w:rFonts w:ascii="Calibri" w:hAnsi="Calibri"/>
        </w:rPr>
      </w:pPr>
      <w:r>
        <w:rPr>
          <w:rFonts w:cs="Times New Roman"/>
          <w:szCs w:val="24"/>
        </w:rPr>
        <w:t>przygotowania przesyłek pocztowych do nadania w formie odpowiadającej wymogom dla danego rodzaju przesyłek pocztowych;</w:t>
      </w:r>
    </w:p>
    <w:p>
      <w:pPr>
        <w:pStyle w:val="Style14"/>
        <w:numPr>
          <w:ilvl w:val="0"/>
          <w:numId w:val="10"/>
        </w:numPr>
        <w:tabs>
          <w:tab w:val="clear" w:pos="708"/>
          <w:tab w:val="left" w:pos="720" w:leader="none"/>
        </w:tabs>
        <w:spacing w:lineRule="atLeast" w:line="200"/>
        <w:ind w:left="714" w:hanging="357"/>
        <w:rPr>
          <w:rFonts w:ascii="Calibri" w:hAnsi="Calibri"/>
        </w:rPr>
      </w:pPr>
      <w:r>
        <w:rPr>
          <w:rFonts w:ascii="Calibri" w:hAnsi="Calibri"/>
          <w:sz w:val="24"/>
          <w:szCs w:val="24"/>
          <w:lang w:val="pl-PL"/>
        </w:rPr>
        <w:t>umieszczenia na stronie adresowej przesyłki pocztowej nazwy odbiorcy wraz z jego adresem, nadruku (pieczątki) określającej pełną nazwę i adres Zamawiającego, oznaczenia rodzaju przesyłki (</w:t>
      </w:r>
      <w:r>
        <w:rPr>
          <w:rFonts w:ascii="Calibri" w:hAnsi="Calibri"/>
          <w:sz w:val="24"/>
          <w:szCs w:val="24"/>
        </w:rPr>
        <w:t>polecony, priorytet, czy zwrotne potwierdzenie odbioru-PO);</w:t>
      </w:r>
    </w:p>
    <w:p>
      <w:pPr>
        <w:pStyle w:val="Style14"/>
        <w:numPr>
          <w:ilvl w:val="0"/>
          <w:numId w:val="10"/>
        </w:numPr>
        <w:tabs>
          <w:tab w:val="clear" w:pos="708"/>
          <w:tab w:val="left" w:pos="720" w:leader="none"/>
        </w:tabs>
        <w:spacing w:lineRule="atLeast" w:line="200"/>
        <w:ind w:left="714" w:hanging="357"/>
        <w:rPr>
          <w:rFonts w:ascii="Calibri" w:hAnsi="Calibri"/>
        </w:rPr>
      </w:pPr>
      <w:r>
        <w:rPr>
          <w:rFonts w:ascii="Calibri" w:hAnsi="Calibri"/>
          <w:sz w:val="24"/>
          <w:szCs w:val="24"/>
          <w:lang w:val="pl-PL"/>
        </w:rPr>
        <w:t xml:space="preserve"> </w:t>
      </w:r>
      <w:r>
        <w:rPr>
          <w:rFonts w:ascii="Calibri" w:hAnsi="Calibri"/>
          <w:spacing w:val="5"/>
          <w:sz w:val="24"/>
          <w:szCs w:val="24"/>
          <w:lang w:val="pl-PL"/>
        </w:rPr>
        <w:t xml:space="preserve">umieszczenia oznaczenia potwierdzającego wniesienie opłaty za usługę w postaci napisu, nadruku lub odcisku pieczęci </w:t>
      </w:r>
      <w:r>
        <w:rPr>
          <w:rFonts w:ascii="Calibri" w:hAnsi="Calibri"/>
          <w:sz w:val="24"/>
          <w:szCs w:val="24"/>
          <w:lang w:val="pl-PL"/>
        </w:rPr>
        <w:t>o treści ustalonej z Wykonawcą</w:t>
      </w:r>
      <w:r>
        <w:rPr>
          <w:rFonts w:ascii="Calibri" w:hAnsi="Calibri"/>
          <w:spacing w:val="-2"/>
          <w:sz w:val="24"/>
          <w:szCs w:val="24"/>
          <w:lang w:val="pl-PL"/>
        </w:rPr>
        <w:t xml:space="preserve"> przed zawarciem umowy:</w:t>
      </w:r>
    </w:p>
    <w:p>
      <w:pPr>
        <w:pStyle w:val="Style14"/>
        <w:spacing w:lineRule="atLeast" w:line="200"/>
        <w:ind w:firstLine="708"/>
        <w:rPr>
          <w:rFonts w:ascii="Calibri" w:hAnsi="Calibri"/>
        </w:rPr>
      </w:pPr>
      <w:r>
        <w:rPr>
          <w:rFonts w:ascii="Calibri" w:hAnsi="Calibri"/>
          <w:spacing w:val="-2"/>
          <w:sz w:val="24"/>
          <w:szCs w:val="24"/>
          <w:lang w:val="pl-PL"/>
        </w:rPr>
        <w:t>- .............................................................………………...</w:t>
      </w:r>
    </w:p>
    <w:p>
      <w:pPr>
        <w:pStyle w:val="Style14"/>
        <w:spacing w:lineRule="atLeast" w:line="200"/>
        <w:ind w:left="720" w:hanging="0"/>
        <w:rPr>
          <w:rFonts w:ascii="Calibri" w:hAnsi="Calibri"/>
        </w:rPr>
      </w:pPr>
      <w:r>
        <w:rPr>
          <w:rFonts w:ascii="Calibri" w:hAnsi="Calibri"/>
          <w:spacing w:val="-2"/>
          <w:sz w:val="24"/>
          <w:szCs w:val="24"/>
          <w:lang w:val="pl-PL"/>
        </w:rPr>
        <w:t>- w miejscu przeznaczonym na znak opłaty pocztowej, na stronie adresowej przesyłek    pocztowych;</w:t>
      </w:r>
    </w:p>
    <w:p>
      <w:pPr>
        <w:pStyle w:val="Style14"/>
        <w:numPr>
          <w:ilvl w:val="0"/>
          <w:numId w:val="10"/>
        </w:numPr>
        <w:tabs>
          <w:tab w:val="clear" w:pos="708"/>
          <w:tab w:val="left" w:pos="720" w:leader="none"/>
        </w:tabs>
        <w:spacing w:lineRule="auto" w:line="276"/>
        <w:rPr>
          <w:rFonts w:ascii="Calibri" w:hAnsi="Calibri"/>
        </w:rPr>
      </w:pPr>
      <w:r>
        <w:rPr>
          <w:rFonts w:ascii="Calibri" w:hAnsi="Calibri"/>
          <w:sz w:val="24"/>
          <w:szCs w:val="24"/>
        </w:rPr>
        <w:t>nadawania przesyłek w stanie uporz</w:t>
      </w:r>
      <w:r>
        <w:rPr>
          <w:rFonts w:eastAsia="TimesNewRoman" w:ascii="Calibri" w:hAnsi="Calibri"/>
          <w:sz w:val="24"/>
          <w:szCs w:val="24"/>
        </w:rPr>
        <w:t>ą</w:t>
      </w:r>
      <w:r>
        <w:rPr>
          <w:rFonts w:ascii="Calibri" w:hAnsi="Calibri"/>
          <w:sz w:val="24"/>
          <w:szCs w:val="24"/>
        </w:rPr>
        <w:t>dkowanym, przez co nale</w:t>
      </w:r>
      <w:r>
        <w:rPr>
          <w:rFonts w:eastAsia="TimesNewRoman" w:ascii="Calibri" w:hAnsi="Calibri"/>
          <w:sz w:val="24"/>
          <w:szCs w:val="24"/>
        </w:rPr>
        <w:t>ż</w:t>
      </w:r>
      <w:r>
        <w:rPr>
          <w:rFonts w:ascii="Calibri" w:hAnsi="Calibri"/>
          <w:sz w:val="24"/>
          <w:szCs w:val="24"/>
        </w:rPr>
        <w:t>y rozumie</w:t>
      </w:r>
      <w:r>
        <w:rPr>
          <w:rFonts w:eastAsia="TimesNewRoman" w:ascii="Calibri" w:hAnsi="Calibri"/>
          <w:sz w:val="24"/>
          <w:szCs w:val="24"/>
        </w:rPr>
        <w:t>ć</w:t>
      </w:r>
      <w:r>
        <w:rPr>
          <w:rFonts w:ascii="Calibri" w:hAnsi="Calibri"/>
          <w:sz w:val="24"/>
          <w:szCs w:val="24"/>
        </w:rPr>
        <w:t>:</w:t>
      </w:r>
    </w:p>
    <w:p>
      <w:pPr>
        <w:pStyle w:val="Akapitzlist1"/>
        <w:numPr>
          <w:ilvl w:val="0"/>
          <w:numId w:val="11"/>
        </w:numPr>
        <w:tabs>
          <w:tab w:val="clear" w:pos="708"/>
          <w:tab w:val="left" w:pos="720" w:leader="none"/>
          <w:tab w:val="left" w:pos="2160" w:leader="none"/>
        </w:tabs>
        <w:spacing w:lineRule="atLeast" w:line="200" w:before="0" w:after="0"/>
        <w:ind w:left="714" w:hanging="357"/>
        <w:contextualSpacing/>
        <w:rPr>
          <w:rFonts w:ascii="Calibri" w:hAnsi="Calibri"/>
        </w:rPr>
      </w:pPr>
      <w:r>
        <w:rPr>
          <w:rFonts w:cs="Times New Roman"/>
          <w:szCs w:val="24"/>
        </w:rPr>
        <w:t>dla przesyłek rejestrowanych – wpisanie ka</w:t>
      </w:r>
      <w:r>
        <w:rPr>
          <w:rFonts w:eastAsia="TimesNewRoman" w:cs="Times New Roman"/>
          <w:szCs w:val="24"/>
        </w:rPr>
        <w:t>ż</w:t>
      </w:r>
      <w:r>
        <w:rPr>
          <w:rFonts w:cs="Times New Roman"/>
          <w:szCs w:val="24"/>
        </w:rPr>
        <w:t>dej przesyłki w oddzielnej pozycji określając jednocześnie rodzaj przesyłki ( priorytet, czy zwrotne potwierdzenie odbioru-PO) oraz pełną nazwę i adres odbiorcy i Zamawiającego do pocztowej ksi</w:t>
      </w:r>
      <w:r>
        <w:rPr>
          <w:rFonts w:eastAsia="TimesNewRoman" w:cs="Times New Roman"/>
          <w:szCs w:val="24"/>
        </w:rPr>
        <w:t>ąż</w:t>
      </w:r>
      <w:r>
        <w:rPr>
          <w:rFonts w:cs="Times New Roman"/>
          <w:szCs w:val="24"/>
        </w:rPr>
        <w:t>ki nadawczej w dwóch egzemplarzach, z których oryginał b</w:t>
      </w:r>
      <w:r>
        <w:rPr>
          <w:rFonts w:eastAsia="TimesNewRoman" w:cs="Times New Roman"/>
          <w:szCs w:val="24"/>
        </w:rPr>
        <w:t>ę</w:t>
      </w:r>
      <w:r>
        <w:rPr>
          <w:rFonts w:cs="Times New Roman"/>
          <w:szCs w:val="24"/>
        </w:rPr>
        <w:t>dzie przeznaczony dla Wykonawcy w celach rozliczeniowych, a kopia stanowi</w:t>
      </w:r>
      <w:r>
        <w:rPr>
          <w:rFonts w:eastAsia="TimesNewRoman" w:cs="Times New Roman"/>
          <w:szCs w:val="24"/>
        </w:rPr>
        <w:t xml:space="preserve">ć </w:t>
      </w:r>
      <w:r>
        <w:rPr>
          <w:rFonts w:cs="Times New Roman"/>
          <w:szCs w:val="24"/>
        </w:rPr>
        <w:t>b</w:t>
      </w:r>
      <w:r>
        <w:rPr>
          <w:rFonts w:eastAsia="TimesNewRoman" w:cs="Times New Roman"/>
          <w:szCs w:val="24"/>
        </w:rPr>
        <w:t>ę</w:t>
      </w:r>
      <w:r>
        <w:rPr>
          <w:rFonts w:cs="Times New Roman"/>
          <w:szCs w:val="24"/>
        </w:rPr>
        <w:t>dzie dla Zamawiaj</w:t>
      </w:r>
      <w:r>
        <w:rPr>
          <w:rFonts w:eastAsia="TimesNewRoman" w:cs="Times New Roman"/>
          <w:szCs w:val="24"/>
        </w:rPr>
        <w:t>ą</w:t>
      </w:r>
      <w:r>
        <w:rPr>
          <w:rFonts w:cs="Times New Roman"/>
          <w:szCs w:val="24"/>
        </w:rPr>
        <w:t>cego potwierdzenie nadania danej partii przesyłek ( wzór książki nadawczej przesyłek rejestrowanych stanowi załącznik nr 5 );</w:t>
      </w:r>
    </w:p>
    <w:p>
      <w:pPr>
        <w:pStyle w:val="Akapitzlist1"/>
        <w:numPr>
          <w:ilvl w:val="0"/>
          <w:numId w:val="11"/>
        </w:numPr>
        <w:tabs>
          <w:tab w:val="clear" w:pos="708"/>
          <w:tab w:val="left" w:pos="720" w:leader="none"/>
          <w:tab w:val="left" w:pos="2160" w:leader="none"/>
        </w:tabs>
        <w:spacing w:lineRule="atLeast" w:line="200" w:before="0" w:after="0"/>
        <w:ind w:left="714" w:hanging="357"/>
        <w:contextualSpacing/>
        <w:rPr>
          <w:rFonts w:ascii="Calibri" w:hAnsi="Calibri"/>
        </w:rPr>
      </w:pPr>
      <w:r>
        <w:rPr>
          <w:rFonts w:cs="Times New Roman"/>
          <w:szCs w:val="24"/>
        </w:rPr>
        <w:t>dla przesyłek nierejestrowanych – wpisanie ogólnej ilości przesyłek do zestawienia ilo</w:t>
      </w:r>
      <w:r>
        <w:rPr>
          <w:rFonts w:eastAsia="TimesNewRoman" w:cs="Times New Roman"/>
          <w:szCs w:val="24"/>
        </w:rPr>
        <w:t>ś</w:t>
      </w:r>
      <w:r>
        <w:rPr>
          <w:rFonts w:cs="Times New Roman"/>
          <w:szCs w:val="24"/>
        </w:rPr>
        <w:t>ciowo-wartościowego w dwóch egzemplarzach, z których oryginał b</w:t>
      </w:r>
      <w:r>
        <w:rPr>
          <w:rFonts w:eastAsia="TimesNewRoman" w:cs="Times New Roman"/>
          <w:szCs w:val="24"/>
        </w:rPr>
        <w:t>ę</w:t>
      </w:r>
      <w:r>
        <w:rPr>
          <w:rFonts w:cs="Times New Roman"/>
          <w:szCs w:val="24"/>
        </w:rPr>
        <w:t>dzie przeznaczony dla Wykonawcy w celach rozliczeniowych, a kopia stanowi</w:t>
      </w:r>
      <w:r>
        <w:rPr>
          <w:rFonts w:eastAsia="TimesNewRoman" w:cs="Times New Roman"/>
          <w:szCs w:val="24"/>
        </w:rPr>
        <w:t xml:space="preserve">ć </w:t>
      </w:r>
      <w:r>
        <w:rPr>
          <w:rFonts w:cs="Times New Roman"/>
          <w:szCs w:val="24"/>
        </w:rPr>
        <w:t>b</w:t>
      </w:r>
      <w:r>
        <w:rPr>
          <w:rFonts w:eastAsia="TimesNewRoman" w:cs="Times New Roman"/>
          <w:szCs w:val="24"/>
        </w:rPr>
        <w:t>ę</w:t>
      </w:r>
      <w:r>
        <w:rPr>
          <w:rFonts w:cs="Times New Roman"/>
          <w:szCs w:val="24"/>
        </w:rPr>
        <w:t>dzie dla Zamawiaj</w:t>
      </w:r>
      <w:r>
        <w:rPr>
          <w:rFonts w:eastAsia="TimesNewRoman" w:cs="Times New Roman"/>
          <w:szCs w:val="24"/>
        </w:rPr>
        <w:t>ą</w:t>
      </w:r>
      <w:r>
        <w:rPr>
          <w:rFonts w:cs="Times New Roman"/>
          <w:szCs w:val="24"/>
        </w:rPr>
        <w:t>cego potwierdzenie nadania danej partii przesyłek</w:t>
      </w:r>
      <w:r>
        <w:rPr>
          <w:rFonts w:cs="Times New Roman"/>
          <w:b/>
          <w:szCs w:val="24"/>
        </w:rPr>
        <w:t xml:space="preserve"> </w:t>
      </w:r>
      <w:r>
        <w:rPr>
          <w:rFonts w:cs="Times New Roman"/>
          <w:szCs w:val="24"/>
        </w:rPr>
        <w:t>(wzór zestawienia ilościowo-wartościowego  przesyłek nierejestrowanych stanowi załącznik nr 6 );</w:t>
      </w:r>
    </w:p>
    <w:p>
      <w:pPr>
        <w:pStyle w:val="Akapitzlist1"/>
        <w:numPr>
          <w:ilvl w:val="0"/>
          <w:numId w:val="37"/>
        </w:numPr>
        <w:tabs>
          <w:tab w:val="clear" w:pos="708"/>
          <w:tab w:val="left" w:pos="720" w:leader="none"/>
          <w:tab w:val="left" w:pos="2160" w:leader="none"/>
        </w:tabs>
        <w:spacing w:lineRule="atLeast" w:line="200" w:before="0" w:after="0"/>
        <w:ind w:left="782" w:hanging="357"/>
        <w:rPr>
          <w:rFonts w:ascii="Calibri" w:hAnsi="Calibri"/>
        </w:rPr>
      </w:pPr>
      <w:r>
        <w:rPr>
          <w:rFonts w:cs="Times New Roman"/>
          <w:szCs w:val="24"/>
        </w:rPr>
        <w:t xml:space="preserve">nadawania przesyłek w stanie umożliwiającym Wykonawcy doręczenie bez ubytku                i uszkodzenia do miejsca zgodnie z adresem przeznaczenia. </w:t>
      </w:r>
    </w:p>
    <w:p>
      <w:pPr>
        <w:pStyle w:val="Domylnie"/>
        <w:spacing w:lineRule="atLeast" w:line="200" w:before="0" w:after="0"/>
        <w:ind w:left="360" w:hanging="0"/>
        <w:rPr>
          <w:rFonts w:ascii="Calibri" w:hAnsi="Calibri" w:cs="Times New Roman"/>
          <w:szCs w:val="24"/>
        </w:rPr>
      </w:pPr>
      <w:r>
        <w:rPr>
          <w:rFonts w:cs="Times New Roman"/>
          <w:szCs w:val="24"/>
        </w:rPr>
      </w:r>
    </w:p>
    <w:p>
      <w:pPr>
        <w:pStyle w:val="Domylnie"/>
        <w:spacing w:lineRule="atLeast" w:line="200" w:before="0" w:after="0"/>
        <w:rPr>
          <w:rFonts w:ascii="Calibri" w:hAnsi="Calibri"/>
        </w:rPr>
      </w:pPr>
      <w:r>
        <w:rPr>
          <w:rFonts w:cs="Times New Roman"/>
          <w:szCs w:val="24"/>
        </w:rPr>
        <w:t>§ 4</w:t>
      </w:r>
    </w:p>
    <w:p>
      <w:pPr>
        <w:pStyle w:val="Domylnie"/>
        <w:spacing w:lineRule="atLeast" w:line="200" w:before="0" w:after="0"/>
        <w:rPr>
          <w:rFonts w:ascii="Calibri" w:hAnsi="Calibri" w:cs="Times New Roman"/>
          <w:szCs w:val="24"/>
        </w:rPr>
      </w:pPr>
      <w:r>
        <w:rPr>
          <w:rFonts w:cs="Times New Roman"/>
          <w:szCs w:val="24"/>
        </w:rPr>
      </w:r>
    </w:p>
    <w:p>
      <w:pPr>
        <w:pStyle w:val="Domylnie"/>
        <w:numPr>
          <w:ilvl w:val="3"/>
          <w:numId w:val="12"/>
        </w:numPr>
        <w:spacing w:lineRule="atLeast" w:line="200" w:before="0" w:after="0"/>
        <w:rPr>
          <w:rFonts w:ascii="Calibri" w:hAnsi="Calibri"/>
        </w:rPr>
      </w:pPr>
      <w:r>
        <w:rPr>
          <w:rFonts w:cs="Times New Roman"/>
          <w:bCs/>
          <w:szCs w:val="24"/>
        </w:rPr>
        <w:t>Zamawiający wymaga, aby Wykonawca dysponował placówką pocztową/oddziałem oddaloną do 1 km  od siedziby Zamawiającego (wykaz operacyjny – załącznik nr 3)</w:t>
      </w:r>
      <w:r>
        <w:rPr>
          <w:rFonts w:cs="Times New Roman"/>
          <w:szCs w:val="24"/>
        </w:rPr>
        <w:t>.</w:t>
      </w:r>
    </w:p>
    <w:p>
      <w:pPr>
        <w:pStyle w:val="Domylnie"/>
        <w:numPr>
          <w:ilvl w:val="3"/>
          <w:numId w:val="12"/>
        </w:numPr>
        <w:spacing w:lineRule="atLeast" w:line="200" w:before="0" w:after="0"/>
        <w:rPr>
          <w:rFonts w:ascii="Calibri" w:hAnsi="Calibri"/>
        </w:rPr>
      </w:pPr>
      <w:r>
        <w:rPr>
          <w:rFonts w:cs="Times New Roman"/>
          <w:szCs w:val="24"/>
        </w:rPr>
        <w:t>Przesyłki nadawane przez Zamawiającego dostarczane będą przez Wykonawcę do każdego miejsca  w kraju i za granicą na podany adres bądź wskazany adres skrytki pocztowej.</w:t>
      </w:r>
    </w:p>
    <w:p>
      <w:pPr>
        <w:pStyle w:val="Domylnie"/>
        <w:numPr>
          <w:ilvl w:val="3"/>
          <w:numId w:val="12"/>
        </w:numPr>
        <w:spacing w:lineRule="atLeast" w:line="200" w:before="0" w:after="0"/>
        <w:rPr>
          <w:rFonts w:ascii="Calibri" w:hAnsi="Calibri"/>
        </w:rPr>
      </w:pPr>
      <w:r>
        <w:rPr>
          <w:rFonts w:cs="Times New Roman"/>
          <w:szCs w:val="24"/>
        </w:rPr>
        <w:t xml:space="preserve">Doręczanie przesyłek powinno następować zgodnie z ustawą z dnia 14 czerwca 1960 Kodeksu postępowania administracyjnego (t.j. Dz. U. z 2025 r., poz.1691); oraz ustawą z dnia z dnia     23 listopada 2012 r. - Prawo pocztowe (t.j. Dz. U. z 2025 r. poz. 366). </w:t>
      </w:r>
    </w:p>
    <w:p>
      <w:pPr>
        <w:pStyle w:val="Domylnie"/>
        <w:numPr>
          <w:ilvl w:val="3"/>
          <w:numId w:val="12"/>
        </w:numPr>
        <w:spacing w:lineRule="atLeast" w:line="200" w:before="0" w:after="0"/>
        <w:rPr>
          <w:rFonts w:ascii="Calibri" w:hAnsi="Calibri"/>
        </w:rPr>
      </w:pPr>
      <w:r>
        <w:rPr>
          <w:rFonts w:cs="Times New Roman"/>
          <w:szCs w:val="24"/>
        </w:rPr>
        <w:t>W przypadku nieobecności adresata lub innych osób uprawnionych do odbioru przesyłki                 w obrocie krajowym dostarczenie przesyłki będzie odbywać się z uwzględnieniem warunków      i terminów do odbioru przesyłki określonych w powszechnie obowiązujących przepisach prawa     w tym zakresie. W przypadku przesyłek w obrocie zagranicznym obowiązują zasady określone     w przepisach międzynarodowych.</w:t>
      </w:r>
    </w:p>
    <w:p>
      <w:pPr>
        <w:pStyle w:val="Domylnie"/>
        <w:numPr>
          <w:ilvl w:val="3"/>
          <w:numId w:val="12"/>
        </w:numPr>
        <w:spacing w:lineRule="atLeast" w:line="200" w:before="0" w:after="0"/>
        <w:rPr>
          <w:rFonts w:ascii="Calibri" w:hAnsi="Calibri"/>
        </w:rPr>
      </w:pPr>
      <w:r>
        <w:rPr>
          <w:rFonts w:cs="Times New Roman"/>
          <w:szCs w:val="24"/>
          <w:lang w:eastAsia="pl-PL"/>
        </w:rPr>
        <w:t>Zamawiający wymaga, aby punkty odbioru niedoręczonych pod adres przesyłek (awizowanych) znajdowały się na terenie każdej gminy w kraju. Każda placówka pocztowa Wykonawcy,           o której mowa musi spełniać niżej wymienione warunki:</w:t>
      </w:r>
    </w:p>
    <w:p>
      <w:pPr>
        <w:pStyle w:val="Akapitzlist1"/>
        <w:numPr>
          <w:ilvl w:val="0"/>
          <w:numId w:val="13"/>
        </w:numPr>
        <w:suppressAutoHyphens w:val="false"/>
        <w:spacing w:lineRule="atLeast" w:line="100" w:before="0" w:after="0"/>
        <w:rPr>
          <w:rFonts w:ascii="Calibri" w:hAnsi="Calibri"/>
        </w:rPr>
      </w:pPr>
      <w:r>
        <w:rPr>
          <w:rFonts w:eastAsia="Times New Roman" w:cs="Times New Roman"/>
          <w:szCs w:val="24"/>
          <w:lang w:eastAsia="pl-PL"/>
        </w:rPr>
        <w:t xml:space="preserve"> </w:t>
      </w:r>
      <w:r>
        <w:rPr>
          <w:rFonts w:cs="Times New Roman"/>
          <w:szCs w:val="24"/>
          <w:lang w:eastAsia="pl-PL"/>
        </w:rPr>
        <w:t>być czynna co najmniej we wszystkie dni robocze, z wyjątkiem dni ustawowo wolnych od pracy,</w:t>
      </w:r>
    </w:p>
    <w:p>
      <w:pPr>
        <w:pStyle w:val="Akapitzlist1"/>
        <w:numPr>
          <w:ilvl w:val="0"/>
          <w:numId w:val="13"/>
        </w:numPr>
        <w:suppressAutoHyphens w:val="false"/>
        <w:spacing w:lineRule="atLeast" w:line="100" w:before="0" w:after="0"/>
        <w:rPr>
          <w:rFonts w:ascii="Calibri" w:hAnsi="Calibri"/>
        </w:rPr>
      </w:pPr>
      <w:r>
        <w:rPr>
          <w:rFonts w:cs="Times New Roman"/>
          <w:szCs w:val="24"/>
          <w:lang w:eastAsia="pl-PL"/>
        </w:rPr>
        <w:t>być oznakowana w sposób widoczny „szyldem” z nazwą bądź logo Wykonawcy, jednoznacznie wskazującym na jednostkę Wykonawcy.</w:t>
      </w:r>
    </w:p>
    <w:p>
      <w:pPr>
        <w:pStyle w:val="Domylnie"/>
        <w:numPr>
          <w:ilvl w:val="3"/>
          <w:numId w:val="14"/>
        </w:numPr>
        <w:spacing w:lineRule="atLeast" w:line="200" w:before="0" w:after="0"/>
        <w:rPr>
          <w:rFonts w:ascii="Calibri" w:hAnsi="Calibri"/>
        </w:rPr>
      </w:pPr>
      <w:r>
        <w:rPr>
          <w:rFonts w:cs="Times New Roman"/>
          <w:iCs/>
          <w:color w:val="000000"/>
          <w:szCs w:val="24"/>
        </w:rPr>
        <w:t xml:space="preserve">Wykonawca </w:t>
      </w:r>
      <w:r>
        <w:rPr>
          <w:rFonts w:cs="Times New Roman"/>
          <w:color w:val="000000"/>
          <w:szCs w:val="24"/>
        </w:rPr>
        <w:t>zobowiązany jest do posiadania aktualnego wpisu do rejestru operatorów pocztowych, prowadzonego przez Prezesa Urzędu Komunikacji Elektronicznej w zakresie uprawniającym do wykonania zamówienia, przez cały okres obowiązywania umowy.</w:t>
      </w:r>
    </w:p>
    <w:p>
      <w:pPr>
        <w:pStyle w:val="Domylnie"/>
        <w:numPr>
          <w:ilvl w:val="3"/>
          <w:numId w:val="14"/>
        </w:numPr>
        <w:spacing w:lineRule="atLeast" w:line="200" w:before="0" w:after="0"/>
        <w:rPr>
          <w:rFonts w:ascii="Calibri" w:hAnsi="Calibri"/>
        </w:rPr>
      </w:pPr>
      <w:r>
        <w:rPr>
          <w:rFonts w:cs="Times New Roman"/>
          <w:color w:val="000000"/>
          <w:szCs w:val="24"/>
        </w:rPr>
        <w:t xml:space="preserve">W przypadku upływu terminu ważności wpisu, o którym mowa w ust. 6 w trakcie obowiązywania niniejszej umowy, Wykonawca zobowiązany jest do przedstawienia nowego wpisu najpóźniej  w ostatnim dniu obowiązywania dotychczasowego. </w:t>
      </w:r>
    </w:p>
    <w:p>
      <w:pPr>
        <w:pStyle w:val="Domylnie"/>
        <w:numPr>
          <w:ilvl w:val="3"/>
          <w:numId w:val="14"/>
        </w:numPr>
        <w:spacing w:lineRule="atLeast" w:line="200" w:before="0" w:after="0"/>
        <w:rPr>
          <w:rFonts w:ascii="Calibri" w:hAnsi="Calibri"/>
        </w:rPr>
      </w:pPr>
      <w:r>
        <w:rPr>
          <w:rFonts w:cs="Times New Roman"/>
          <w:color w:val="000000"/>
          <w:szCs w:val="24"/>
        </w:rPr>
        <w:t>Wykonawca przez cały okres realizacji umowy, zobowiązany będzie do posiadania opłaconej polisy lub innego dokumentu ubezpieczenia od odpowiedzialności cywilnej w zakresie prowadzonej działalności związanej z przedmiotem  zamówienia.</w:t>
      </w:r>
    </w:p>
    <w:p>
      <w:pPr>
        <w:pStyle w:val="Domylnie"/>
        <w:numPr>
          <w:ilvl w:val="3"/>
          <w:numId w:val="14"/>
        </w:numPr>
        <w:spacing w:lineRule="auto" w:line="240" w:before="0" w:after="0"/>
        <w:rPr>
          <w:rFonts w:ascii="Calibri" w:hAnsi="Calibri"/>
        </w:rPr>
      </w:pPr>
      <w:r>
        <w:rPr>
          <w:rFonts w:cs="Times New Roman"/>
          <w:color w:val="000000"/>
          <w:szCs w:val="24"/>
        </w:rPr>
        <w:t>W przypadku upływu terminu ważności polisy lub innego dokumentu ubezpieczenia o których mowa w ust. 8 w trakcie obowiązywania niniejszej umowy, Wykonawca zobowiązany jest  do zawarcia nowego ubezpieczenia i przedstawienia nowej polisy lub innego dokumentu ubezpieczenia w terminie 7 dni od daty zawarcia nowego ubezpieczenia.</w:t>
      </w:r>
    </w:p>
    <w:p>
      <w:pPr>
        <w:pStyle w:val="Domylnie"/>
        <w:numPr>
          <w:ilvl w:val="3"/>
          <w:numId w:val="14"/>
        </w:numPr>
        <w:spacing w:lineRule="auto" w:line="240" w:before="0" w:after="0"/>
        <w:rPr/>
      </w:pPr>
      <w:r>
        <w:rPr>
          <w:rFonts w:cs="Times New Roman"/>
          <w:color w:val="000000"/>
          <w:szCs w:val="24"/>
        </w:rPr>
        <w:t>Wykonawca dla wypełnienia swoich zobowiązań powinien zapewnić doświadczone i wykwalifikowane osoby zdolne do prowadzenia wszelkich powierzonych zadań, zgodnie z obowiązującymi przepisami prawa i w zgodzie z postanowieniami odpowiednich decyzji, uzgodnieniami i opiniami warunkującymi prawidłową realizację zamówienia.</w:t>
      </w:r>
    </w:p>
    <w:p>
      <w:pPr>
        <w:pStyle w:val="Domylnie"/>
        <w:numPr>
          <w:ilvl w:val="3"/>
          <w:numId w:val="14"/>
        </w:numPr>
        <w:spacing w:lineRule="auto" w:line="240" w:before="0" w:after="0"/>
        <w:rPr/>
      </w:pPr>
      <w:r>
        <w:rPr>
          <w:rFonts w:cs="Calibri" w:cstheme="minorHAnsi"/>
          <w:iCs/>
          <w:color w:val="000000"/>
        </w:rPr>
        <w:t>Podczas wykonywania czynności określonych w przedmiocie umowy Wykonawca  zobowiązuje się do stosowania zasad i dobrych praktyk wynikających z zapisów ustawy z dnia 19 lipca 2019 r. o zapewnianiu dostępności osobom ze szczególnymi potrzebami.</w:t>
      </w:r>
    </w:p>
    <w:p>
      <w:pPr>
        <w:pStyle w:val="ListParagraph"/>
        <w:numPr>
          <w:ilvl w:val="0"/>
          <w:numId w:val="0"/>
        </w:numPr>
        <w:spacing w:lineRule="auto" w:line="360" w:before="0" w:after="0"/>
        <w:ind w:left="360" w:hanging="0"/>
        <w:contextualSpacing/>
        <w:rPr>
          <w:rFonts w:ascii="Calibri" w:hAnsi="Calibri" w:cs="Calibri" w:asciiTheme="minorHAnsi" w:cstheme="minorHAnsi" w:hAnsiTheme="minorHAnsi"/>
          <w:color w:val="000000"/>
        </w:rPr>
      </w:pPr>
      <w:r>
        <w:rPr>
          <w:rFonts w:cs="Calibri" w:cstheme="minorHAnsi" w:ascii="Calibri" w:hAnsi="Calibri"/>
          <w:color w:val="000000"/>
        </w:rPr>
      </w:r>
    </w:p>
    <w:p>
      <w:pPr>
        <w:pStyle w:val="Akapitzlist1"/>
        <w:spacing w:lineRule="atLeast" w:line="200" w:before="0" w:after="0"/>
        <w:ind w:left="360" w:hanging="0"/>
        <w:rPr>
          <w:rFonts w:ascii="Calibri" w:hAnsi="Calibri" w:cs="Times New Roman"/>
          <w:szCs w:val="24"/>
        </w:rPr>
      </w:pPr>
      <w:r>
        <w:rPr>
          <w:rFonts w:cs="Times New Roman"/>
          <w:szCs w:val="24"/>
        </w:rPr>
      </w:r>
    </w:p>
    <w:p>
      <w:pPr>
        <w:pStyle w:val="Domylnie"/>
        <w:spacing w:lineRule="atLeast" w:line="200" w:before="0" w:after="0"/>
        <w:rPr>
          <w:rFonts w:ascii="Calibri" w:hAnsi="Calibri"/>
        </w:rPr>
      </w:pPr>
      <w:r>
        <w:rPr>
          <w:rFonts w:cs="Times New Roman"/>
          <w:szCs w:val="24"/>
        </w:rPr>
        <w:t>§ 5</w:t>
      </w:r>
    </w:p>
    <w:p>
      <w:pPr>
        <w:pStyle w:val="Domylnie"/>
        <w:spacing w:lineRule="atLeast" w:line="200" w:before="0" w:after="0"/>
        <w:rPr>
          <w:rFonts w:ascii="Calibri" w:hAnsi="Calibri" w:cs="Times New Roman"/>
          <w:szCs w:val="24"/>
        </w:rPr>
      </w:pPr>
      <w:r>
        <w:rPr>
          <w:rFonts w:cs="Times New Roman"/>
          <w:szCs w:val="24"/>
        </w:rPr>
      </w:r>
    </w:p>
    <w:p>
      <w:pPr>
        <w:pStyle w:val="Akapitzlist1"/>
        <w:numPr>
          <w:ilvl w:val="0"/>
          <w:numId w:val="15"/>
        </w:numPr>
        <w:suppressAutoHyphens w:val="false"/>
        <w:spacing w:lineRule="atLeast" w:line="100" w:before="0" w:after="0"/>
        <w:rPr>
          <w:rFonts w:ascii="Calibri" w:hAnsi="Calibri"/>
        </w:rPr>
      </w:pPr>
      <w:r>
        <w:rPr>
          <w:rFonts w:cs="Times New Roman"/>
          <w:szCs w:val="24"/>
          <w:lang w:eastAsia="en-US"/>
        </w:rPr>
        <w:t>Maksymalna wartość niniejszej umowy wynosi .............złotych netto, powiększona o podatek VAT, łącznie …….zł brutto (słownie) i nie stanowi zobowiązania dla Zamawiającego               do realizacji umowy do tej wartości, ani podstawy dochodzenia roszczeń odszkodowawczych przez Wykonawcę z tytułu zmian rodzajowych i liczbowych w trakcie realizacji niniejszej umowy. Określone rodzaje i liczba przesyłek w ramach świadczonych usług są szacunkowe  i mogą ulec zmianie w zależności od potrzeb Zamawiającego, na co Wykonawca wyraża zgodę.</w:t>
      </w:r>
      <w:r>
        <w:rPr>
          <w:rFonts w:cs="Times New Roman"/>
          <w:szCs w:val="24"/>
        </w:rPr>
        <w:t xml:space="preserve"> </w:t>
      </w:r>
    </w:p>
    <w:p>
      <w:pPr>
        <w:pStyle w:val="Akapitzlist1"/>
        <w:numPr>
          <w:ilvl w:val="0"/>
          <w:numId w:val="15"/>
        </w:numPr>
        <w:suppressAutoHyphens w:val="false"/>
        <w:spacing w:lineRule="atLeast" w:line="100" w:before="0" w:after="0"/>
        <w:rPr>
          <w:rFonts w:ascii="Calibri" w:hAnsi="Calibri"/>
        </w:rPr>
      </w:pPr>
      <w:r>
        <w:rPr/>
      </w:r>
    </w:p>
    <w:p>
      <w:pPr>
        <w:pStyle w:val="Normal"/>
        <w:spacing w:lineRule="atLeast" w:line="200"/>
        <w:ind w:left="360" w:hanging="0"/>
        <w:rPr>
          <w:rFonts w:ascii="Calibri" w:hAnsi="Calibri"/>
        </w:rPr>
      </w:pPr>
      <w:r>
        <w:rPr>
          <w:rFonts w:ascii="Arial;sans-serif" w:hAnsi="Arial;sans-serif"/>
        </w:rPr>
        <w:t>"Zamawiający, w granicach środków przeznaczonych na realizację przedmiotu umowy, zastrzega sobie, stosownie do potrzeb, możliwość zmiany ilości nadawanych przesyłek pocztowych określonego rodzaju przy jednoczesnej, proporcjonalnej zmianie ilości innych nadawanych przesyłek pocztowych  bez zmiany cen jednostkowych".</w:t>
      </w:r>
      <w:r>
        <w:rPr>
          <w:rFonts w:ascii="Calibri" w:hAnsi="Calibri"/>
        </w:rPr>
        <w:t xml:space="preserve"> </w:t>
      </w:r>
    </w:p>
    <w:p>
      <w:pPr>
        <w:pStyle w:val="Domylnie"/>
        <w:spacing w:lineRule="atLeast" w:line="200" w:before="0" w:after="0"/>
        <w:rPr>
          <w:rFonts w:ascii="Calibri" w:hAnsi="Calibri"/>
        </w:rPr>
      </w:pPr>
      <w:r>
        <w:rPr>
          <w:rFonts w:cs="Times New Roman"/>
          <w:szCs w:val="24"/>
        </w:rPr>
        <w:t>§ 6</w:t>
      </w:r>
    </w:p>
    <w:p>
      <w:pPr>
        <w:pStyle w:val="Domylnie"/>
        <w:spacing w:lineRule="atLeast" w:line="200" w:before="0" w:after="0"/>
        <w:rPr>
          <w:rFonts w:ascii="Calibri" w:hAnsi="Calibri" w:cs="Times New Roman"/>
          <w:szCs w:val="24"/>
        </w:rPr>
      </w:pPr>
      <w:r>
        <w:rPr>
          <w:rFonts w:cs="Times New Roman"/>
          <w:szCs w:val="24"/>
        </w:rPr>
      </w:r>
    </w:p>
    <w:p>
      <w:pPr>
        <w:pStyle w:val="Akapitzlist1"/>
        <w:numPr>
          <w:ilvl w:val="0"/>
          <w:numId w:val="16"/>
        </w:numPr>
        <w:spacing w:lineRule="atLeast" w:line="200" w:before="0" w:after="0"/>
        <w:rPr>
          <w:rFonts w:ascii="Calibri" w:hAnsi="Calibri"/>
        </w:rPr>
      </w:pPr>
      <w:r>
        <w:rPr>
          <w:rFonts w:cs="Times New Roman"/>
          <w:szCs w:val="24"/>
        </w:rPr>
        <w:t>Strony ustalają następujące zasady rozliczania i regulowania należności:</w:t>
      </w:r>
    </w:p>
    <w:p>
      <w:pPr>
        <w:pStyle w:val="Akapitzlist1"/>
        <w:numPr>
          <w:ilvl w:val="0"/>
          <w:numId w:val="35"/>
        </w:numPr>
        <w:spacing w:lineRule="atLeast" w:line="200" w:before="0" w:after="0"/>
        <w:rPr>
          <w:rFonts w:ascii="Calibri" w:hAnsi="Calibri"/>
        </w:rPr>
      </w:pPr>
      <w:r>
        <w:rPr>
          <w:rFonts w:cs="Times New Roman"/>
          <w:szCs w:val="24"/>
        </w:rPr>
        <w:t xml:space="preserve">Rozliczenia finansowe z tytułu realizacji przedmiotu umowy dokonywane będą z dołu            tj. w terminie późniejszym niż dzień nadania przesyłek, z zastrzeżeniem iż obliczenia dokonuje się w ostatnim dniu okresu rozliczeniowego.  </w:t>
      </w:r>
    </w:p>
    <w:p>
      <w:pPr>
        <w:pStyle w:val="Akapitzlist1"/>
        <w:numPr>
          <w:ilvl w:val="0"/>
          <w:numId w:val="35"/>
        </w:numPr>
        <w:spacing w:lineRule="atLeast" w:line="200" w:before="0" w:after="0"/>
        <w:rPr>
          <w:rFonts w:ascii="Calibri" w:hAnsi="Calibri"/>
        </w:rPr>
      </w:pPr>
      <w:r>
        <w:rPr>
          <w:rFonts w:cs="Times New Roman"/>
          <w:szCs w:val="24"/>
        </w:rPr>
        <w:t>Za okres rozliczeniowy przyjmuje się miesiąc kalendarzowy.</w:t>
      </w:r>
    </w:p>
    <w:p>
      <w:pPr>
        <w:pStyle w:val="Akapitzlist1"/>
        <w:numPr>
          <w:ilvl w:val="0"/>
          <w:numId w:val="35"/>
        </w:numPr>
        <w:spacing w:lineRule="atLeast" w:line="200" w:before="0" w:after="0"/>
        <w:rPr>
          <w:rFonts w:ascii="Calibri" w:hAnsi="Calibri"/>
        </w:rPr>
      </w:pPr>
      <w:r>
        <w:rPr>
          <w:rFonts w:cs="Times New Roman"/>
          <w:color w:val="000000"/>
          <w:szCs w:val="24"/>
        </w:rPr>
        <w:t>Za wykonane usługi Zamawiający zapłaci Wykonawcy wynagrodzenie stanowiące:</w:t>
      </w:r>
    </w:p>
    <w:p>
      <w:pPr>
        <w:pStyle w:val="Domylnie"/>
        <w:numPr>
          <w:ilvl w:val="0"/>
          <w:numId w:val="31"/>
        </w:numPr>
        <w:spacing w:before="0" w:after="0"/>
        <w:rPr>
          <w:rFonts w:ascii="Calibri" w:hAnsi="Calibri"/>
        </w:rPr>
      </w:pPr>
      <w:r>
        <w:rPr>
          <w:rFonts w:cs="Times New Roman"/>
          <w:color w:val="000000"/>
          <w:szCs w:val="24"/>
        </w:rPr>
        <w:t xml:space="preserve">iloczyn ilości usług zrealizowanych w zakończonym okresie rozliczeniowym (ilość nadanych   </w:t>
        <w:br/>
        <w:t xml:space="preserve">  i zwróconych przesyłek stwierdzonych na podstawie dokumentów nadawczych) i cen zawartych w formularzu kalkulacji cenowej;</w:t>
      </w:r>
    </w:p>
    <w:p>
      <w:pPr>
        <w:pStyle w:val="Domylnie"/>
        <w:numPr>
          <w:ilvl w:val="0"/>
          <w:numId w:val="31"/>
        </w:numPr>
        <w:spacing w:before="0" w:after="0"/>
        <w:rPr>
          <w:rFonts w:ascii="Calibri" w:hAnsi="Calibri"/>
        </w:rPr>
      </w:pPr>
      <w:r>
        <w:rPr>
          <w:rFonts w:cs="Times New Roman"/>
          <w:color w:val="000000"/>
          <w:szCs w:val="24"/>
        </w:rPr>
        <w:t xml:space="preserve">oraz ewentualną opłatę za wykonanie usługi przewozu przesyłek pocztowych przeznaczonych do nadania i dokumentów nadawczych z siedziby Zamawiającego do placówki nadawczej Wykonawcy zawartą w formularzu kalkulacji cenowej. </w:t>
      </w:r>
    </w:p>
    <w:p>
      <w:pPr>
        <w:pStyle w:val="Domylnie"/>
        <w:numPr>
          <w:ilvl w:val="0"/>
          <w:numId w:val="35"/>
        </w:numPr>
        <w:spacing w:before="0" w:after="0"/>
        <w:rPr>
          <w:rFonts w:ascii="Calibri" w:hAnsi="Calibri"/>
        </w:rPr>
      </w:pPr>
      <w:r>
        <w:rPr>
          <w:rFonts w:cs="Times New Roman"/>
          <w:bCs/>
          <w:color w:val="000000"/>
          <w:szCs w:val="24"/>
          <w:lang w:eastAsia="en-US"/>
        </w:rPr>
        <w:t>W przypadku nadawania przez Zamawiającego przesyłek nie ujętych w formularzu cenowym, podstawą rozliczeń będą ceny z aktualnego cennika usług pocztowych Wykonawcy na dzień nadania przesyłki.</w:t>
      </w:r>
    </w:p>
    <w:p>
      <w:pPr>
        <w:pStyle w:val="Domylnie"/>
        <w:numPr>
          <w:ilvl w:val="0"/>
          <w:numId w:val="35"/>
        </w:numPr>
        <w:spacing w:before="0" w:after="0"/>
        <w:rPr>
          <w:rFonts w:ascii="Calibri" w:hAnsi="Calibri"/>
        </w:rPr>
      </w:pPr>
      <w:r>
        <w:rPr>
          <w:rFonts w:cs="Times New Roman"/>
          <w:szCs w:val="24"/>
        </w:rPr>
        <w:t xml:space="preserve">Zamawiający zastrzega, że podane dane w formularzu kalkulacji cenowej dotyczące ilości nadawanych przesyłek są szacunkowe, a rozliczenie z Wykonawcą będzie się odbywało                na podstawie rzeczywistych ilości wykonania usługi. </w:t>
      </w:r>
    </w:p>
    <w:p>
      <w:pPr>
        <w:pStyle w:val="Domylnie"/>
        <w:numPr>
          <w:ilvl w:val="0"/>
          <w:numId w:val="35"/>
        </w:numPr>
        <w:spacing w:before="0" w:after="0"/>
        <w:rPr>
          <w:rFonts w:ascii="Calibri" w:hAnsi="Calibri"/>
        </w:rPr>
      </w:pPr>
      <w:r>
        <w:rPr>
          <w:rFonts w:cs="Times New Roman"/>
          <w:szCs w:val="24"/>
        </w:rPr>
        <w:t xml:space="preserve">Faktury VAT  z tytułu należności wynikających z realizacji niniejszej umowy, wystawiane będą w terminie do 7 dni od zakończenia okresu rozliczeniowego. </w:t>
      </w:r>
      <w:r>
        <w:rPr>
          <w:rFonts w:cs="Times New Roman"/>
          <w:b/>
          <w:bCs/>
          <w:szCs w:val="24"/>
        </w:rPr>
        <w:t xml:space="preserve"> </w:t>
      </w:r>
    </w:p>
    <w:p>
      <w:pPr>
        <w:pStyle w:val="Normal"/>
        <w:numPr>
          <w:ilvl w:val="0"/>
          <w:numId w:val="35"/>
        </w:numPr>
        <w:spacing w:lineRule="atLeast" w:line="100" w:before="0" w:after="0"/>
        <w:ind w:left="360" w:right="-180" w:hanging="360"/>
        <w:contextualSpacing/>
        <w:rPr>
          <w:rFonts w:ascii="Calibri" w:hAnsi="Calibri"/>
        </w:rPr>
      </w:pPr>
      <w:r>
        <w:rPr>
          <w:rFonts w:eastAsia="Calibri" w:ascii="Calibri" w:hAnsi="Calibri"/>
          <w:bCs/>
          <w:iCs/>
          <w:color w:val="000000"/>
          <w:lang w:eastAsia="en-US"/>
        </w:rPr>
        <w:t>Wynagrodzenie Wykonawcy będzie uiszczane przez Zamawiającego z dołu, przelewem na rachunek bankowy Wykonawcy w terminie 21 dni kalendarzowych licząc od dnia wystawienia faktury VAT, pod warunkiem, że doręczenie przesyłki z fakturą do siedziby Zamawiającego nastąpi w ciągu 4 dni roboczych od dnia jej wystawienia. W przeciwnym wypadku termin płatności faktury VAT wynosi 14 dni kalendarzowych licząc od dnia doręczenia Zamawiającemu przesyłki z fakturą.</w:t>
      </w:r>
    </w:p>
    <w:p>
      <w:pPr>
        <w:pStyle w:val="Domylnie"/>
        <w:numPr>
          <w:ilvl w:val="0"/>
          <w:numId w:val="35"/>
        </w:numPr>
        <w:spacing w:before="0" w:after="0"/>
        <w:rPr>
          <w:rFonts w:ascii="Calibri" w:hAnsi="Calibri"/>
        </w:rPr>
      </w:pPr>
      <w:r>
        <w:rPr>
          <w:rFonts w:cs="Times New Roman"/>
          <w:bCs/>
          <w:szCs w:val="24"/>
        </w:rPr>
        <w:t>Za dzień zapłaty przyjmuje się dzień uznania rachunku bankowego Wykonawcy.</w:t>
      </w:r>
    </w:p>
    <w:p>
      <w:pPr>
        <w:pStyle w:val="Domylnie"/>
        <w:numPr>
          <w:ilvl w:val="0"/>
          <w:numId w:val="35"/>
        </w:numPr>
        <w:spacing w:before="0" w:after="0"/>
        <w:rPr>
          <w:rFonts w:ascii="Calibri" w:hAnsi="Calibri"/>
        </w:rPr>
      </w:pPr>
      <w:r>
        <w:rPr>
          <w:rFonts w:cs="Times New Roman"/>
          <w:bCs/>
          <w:szCs w:val="24"/>
        </w:rPr>
        <w:t>Strony umowy ustalają, że faktury VAT będą wystawiane i przesyłane na adres Zamawiającego</w:t>
      </w:r>
      <w:r>
        <w:rPr>
          <w:rFonts w:cs="Times New Roman"/>
          <w:b/>
          <w:bCs/>
          <w:szCs w:val="24"/>
        </w:rPr>
        <w:t xml:space="preserve"> </w:t>
      </w:r>
      <w:r>
        <w:rPr>
          <w:rFonts w:cs="Times New Roman"/>
          <w:bCs/>
          <w:szCs w:val="24"/>
        </w:rPr>
        <w:t xml:space="preserve">wskazany w preambule umowy. </w:t>
      </w:r>
    </w:p>
    <w:p>
      <w:pPr>
        <w:pStyle w:val="Domylnie"/>
        <w:numPr>
          <w:ilvl w:val="0"/>
          <w:numId w:val="35"/>
        </w:numPr>
        <w:spacing w:before="0" w:after="0"/>
        <w:rPr>
          <w:rFonts w:ascii="Calibri" w:hAnsi="Calibri"/>
        </w:rPr>
      </w:pPr>
      <w:r>
        <w:rPr>
          <w:rFonts w:cs="Times New Roman"/>
          <w:szCs w:val="24"/>
        </w:rPr>
        <w:t>Wykonawca do faktur dołączy specyfikację wykonanych usług pocztowych za dany okres rozliczeniowy.</w:t>
      </w:r>
    </w:p>
    <w:p>
      <w:pPr>
        <w:pStyle w:val="Akapitzlist1"/>
        <w:spacing w:lineRule="atLeast" w:line="200" w:before="0" w:after="0"/>
        <w:ind w:left="644" w:hanging="0"/>
        <w:rPr>
          <w:rFonts w:ascii="Calibri" w:hAnsi="Calibri" w:cs="Times New Roman"/>
          <w:szCs w:val="24"/>
        </w:rPr>
      </w:pPr>
      <w:r>
        <w:rPr>
          <w:rFonts w:cs="Times New Roman"/>
          <w:szCs w:val="24"/>
        </w:rPr>
      </w:r>
    </w:p>
    <w:p>
      <w:pPr>
        <w:pStyle w:val="Domylnie"/>
        <w:widowControl w:val="false"/>
        <w:spacing w:lineRule="atLeast" w:line="200"/>
        <w:rPr>
          <w:rFonts w:ascii="Calibri" w:hAnsi="Calibri"/>
        </w:rPr>
      </w:pPr>
      <w:r>
        <w:rPr>
          <w:rFonts w:cs="Times New Roman"/>
          <w:szCs w:val="24"/>
        </w:rPr>
        <w:t>§ 7</w:t>
      </w:r>
    </w:p>
    <w:p>
      <w:pPr>
        <w:pStyle w:val="Domylnie"/>
        <w:widowControl w:val="false"/>
        <w:numPr>
          <w:ilvl w:val="0"/>
          <w:numId w:val="17"/>
        </w:numPr>
        <w:spacing w:lineRule="atLeast" w:line="200"/>
        <w:rPr>
          <w:rFonts w:ascii="Calibri" w:hAnsi="Calibri"/>
        </w:rPr>
      </w:pPr>
      <w:r>
        <w:rPr>
          <w:rFonts w:cs="Times New Roman"/>
          <w:color w:val="000000"/>
          <w:szCs w:val="24"/>
        </w:rPr>
        <w:t>W przypadku niewykonania lub nie należytego wykonania usługi pocztowej, Zamawiający zastrzega sobie prawo reklamacji. Reklamacja będzie się odbywać zgodnie z obowiązującymi      w tym zakresie przepisami wskazanymi w § 1 ust. 1 umowy a w szczególności przepisami rozporządzenia Ministra Administracji i Cyfryzacji z dnia 26 listopada 2013 r. w sprawie reklamacji usługi pocztowej (t.j. Dz. U. z 2019 r. poz. 474 z póź. zm.).</w:t>
      </w:r>
    </w:p>
    <w:p>
      <w:pPr>
        <w:pStyle w:val="Domylnie"/>
        <w:widowControl w:val="false"/>
        <w:numPr>
          <w:ilvl w:val="0"/>
          <w:numId w:val="17"/>
        </w:numPr>
        <w:spacing w:lineRule="atLeast" w:line="200"/>
        <w:rPr>
          <w:rFonts w:ascii="Calibri" w:hAnsi="Calibri"/>
        </w:rPr>
      </w:pPr>
      <w:r>
        <w:rPr>
          <w:rFonts w:cs="Times New Roman"/>
          <w:color w:val="000000"/>
          <w:szCs w:val="24"/>
        </w:rPr>
        <w:t>Usługę pocztową w zakresie przesyłki rejestrowanej uważa się za niewykonaną jeżeli doręczenie przesyłki rejestrowej lub zawiadomienie o próbie jej doręczenia nie nastąpiło  w terminie 14 dni    od dnia nadania przesyłki.  Do biegu terminu nie wlicza się dni ustawowo wolnych od pracy.</w:t>
      </w:r>
    </w:p>
    <w:p>
      <w:pPr>
        <w:pStyle w:val="Domylnie"/>
        <w:widowControl w:val="false"/>
        <w:numPr>
          <w:ilvl w:val="0"/>
          <w:numId w:val="17"/>
        </w:numPr>
        <w:spacing w:lineRule="atLeast" w:line="200"/>
        <w:rPr>
          <w:rFonts w:ascii="Calibri" w:hAnsi="Calibri"/>
        </w:rPr>
      </w:pPr>
      <w:r>
        <w:rPr>
          <w:rFonts w:cs="Times New Roman"/>
          <w:iCs/>
          <w:color w:val="000000"/>
          <w:szCs w:val="24"/>
          <w:lang w:eastAsia="en-US"/>
        </w:rPr>
        <w:t>Pisemną reklamację z tytułu niewykonania lub nienależytego wykonania usługi Zamawiający może zgłosić do Wykonawcy po upływie 14 dni od nadania przesyłki rejestrowanej, nie później niż 12 miesięcy w obrocie krajowym i 6 miesięcy w obrocie zagranicznym od ich nadania. Termin udzielenia odpowiedzi na reklamację nie może przekroczyć 30 dni od dnia otrzymania reklamacji.</w:t>
      </w:r>
    </w:p>
    <w:p>
      <w:pPr>
        <w:pStyle w:val="Domylnie"/>
        <w:widowControl w:val="false"/>
        <w:spacing w:lineRule="atLeast" w:line="200"/>
        <w:rPr>
          <w:rFonts w:ascii="Calibri" w:hAnsi="Calibri"/>
        </w:rPr>
      </w:pPr>
      <w:r>
        <w:rPr>
          <w:rFonts w:cs="Times New Roman"/>
          <w:color w:val="000000"/>
          <w:szCs w:val="24"/>
        </w:rPr>
        <w:t>§ 8</w:t>
      </w:r>
    </w:p>
    <w:p>
      <w:pPr>
        <w:pStyle w:val="Domylnie"/>
        <w:numPr>
          <w:ilvl w:val="0"/>
          <w:numId w:val="18"/>
        </w:numPr>
        <w:spacing w:lineRule="atLeast" w:line="200" w:before="0" w:after="0"/>
        <w:rPr>
          <w:rFonts w:ascii="Calibri" w:hAnsi="Calibri"/>
        </w:rPr>
      </w:pPr>
      <w:r>
        <w:rPr>
          <w:rFonts w:cs="Times New Roman"/>
          <w:bCs/>
          <w:color w:val="000000"/>
          <w:szCs w:val="24"/>
        </w:rPr>
        <w:t xml:space="preserve">W przypadku utraty, ubytku, uszkodzenia przesyłki bądź niewykonania lub nienależytego wykonania przedmiotu zamówienia Wykonawca zapłaci Zamawiającemu należne odszkodowanie i inne roszczenia, zgodnie z przepisami rozdziału 8 ustawy z dnia 23 listopada 2012 r. - Prawo pocztowe ( t.j. Dz. U. Z 2025 r. poz. 366) i przepisami wykonawczymi,  a w  sprawach nie uregulowanych tymi przepisami stosuje się odpowiednio przepisy ustawy       z dnia 23 kwietnia  1964   r. Kodeks cywilny (t.j. Dz. U. z 2024 r. poz. 1568).   </w:t>
      </w:r>
    </w:p>
    <w:p>
      <w:pPr>
        <w:pStyle w:val="Tekst"/>
        <w:numPr>
          <w:ilvl w:val="0"/>
          <w:numId w:val="19"/>
        </w:numPr>
        <w:spacing w:lineRule="atLeast" w:line="100" w:before="0" w:after="0"/>
        <w:rPr>
          <w:rFonts w:ascii="Calibri" w:hAnsi="Calibri"/>
        </w:rPr>
      </w:pPr>
      <w:r>
        <w:rPr>
          <w:rFonts w:ascii="Calibri" w:hAnsi="Calibri"/>
          <w:color w:val="000000"/>
        </w:rPr>
        <w:t xml:space="preserve"> </w:t>
      </w:r>
      <w:r>
        <w:rPr>
          <w:rFonts w:ascii="Calibri" w:hAnsi="Calibri"/>
          <w:color w:val="000000"/>
        </w:rPr>
        <w:t xml:space="preserve">Zamawiający naliczy karę umowną z tytułu nie zgłoszenia się Wykonawcy po odbiór przesyłek w oznaczonym dniu w wysokości 200% opłaty za jeden odbiór przesyłek. </w:t>
      </w:r>
    </w:p>
    <w:p>
      <w:pPr>
        <w:pStyle w:val="Domylnie"/>
        <w:numPr>
          <w:ilvl w:val="0"/>
          <w:numId w:val="20"/>
        </w:numPr>
        <w:tabs>
          <w:tab w:val="clear" w:pos="708"/>
          <w:tab w:val="left" w:pos="0" w:leader="none"/>
        </w:tabs>
        <w:spacing w:lineRule="atLeast" w:line="100" w:before="0" w:after="0"/>
        <w:rPr>
          <w:rFonts w:ascii="Calibri" w:hAnsi="Calibri"/>
        </w:rPr>
      </w:pPr>
      <w:r>
        <w:rPr>
          <w:rFonts w:cs="Times New Roman"/>
          <w:color w:val="000000"/>
          <w:szCs w:val="24"/>
        </w:rPr>
        <w:t xml:space="preserve">Zamawiający zastrzega sobie, a Wykonawca wyraża zgodę, na potrącenie należności wynikających z kar umownych z przysługującego Wykonawcy wynagrodzenia za wykonanie przedmiotu umowy </w:t>
      </w:r>
      <w:r>
        <w:rPr>
          <w:rFonts w:cs="Times New Roman"/>
          <w:bCs/>
          <w:color w:val="000000"/>
          <w:szCs w:val="24"/>
        </w:rPr>
        <w:t>po przeprowadzeniu z Wykonawcą postępowania potwierdzającego zasadność i wysokość naliczonej kary umownej.</w:t>
      </w:r>
    </w:p>
    <w:p>
      <w:pPr>
        <w:pStyle w:val="Domylnie"/>
        <w:numPr>
          <w:ilvl w:val="0"/>
          <w:numId w:val="20"/>
        </w:numPr>
        <w:tabs>
          <w:tab w:val="clear" w:pos="708"/>
          <w:tab w:val="left" w:pos="0" w:leader="none"/>
        </w:tabs>
        <w:spacing w:lineRule="atLeast" w:line="100" w:before="0" w:after="0"/>
        <w:rPr>
          <w:rFonts w:ascii="Calibri" w:hAnsi="Calibri"/>
        </w:rPr>
      </w:pPr>
      <w:r>
        <w:rPr>
          <w:rFonts w:cs="Times New Roman"/>
          <w:color w:val="000000"/>
          <w:szCs w:val="24"/>
        </w:rPr>
        <w:t>Jeżeli zastrzeżona kara nie pokryje poniesionej szkody, Zamawiający może dochodzić odszkodowania uzupełniającego na zasadach ogólnych.</w:t>
      </w:r>
    </w:p>
    <w:p>
      <w:pPr>
        <w:pStyle w:val="Domylnie"/>
        <w:numPr>
          <w:ilvl w:val="0"/>
          <w:numId w:val="20"/>
        </w:numPr>
        <w:tabs>
          <w:tab w:val="clear" w:pos="708"/>
          <w:tab w:val="left" w:pos="0" w:leader="none"/>
        </w:tabs>
        <w:spacing w:lineRule="atLeast" w:line="100" w:before="0" w:after="0"/>
        <w:rPr>
          <w:rFonts w:ascii="Calibri" w:hAnsi="Calibri"/>
        </w:rPr>
      </w:pPr>
      <w:r>
        <w:rPr>
          <w:rFonts w:cs="Times New Roman"/>
          <w:color w:val="000000"/>
          <w:szCs w:val="24"/>
        </w:rPr>
        <w:t>Zapłata kar umownych nie zwalnia Wykonawcy od obowiązku wykonania umowy.</w:t>
      </w:r>
    </w:p>
    <w:p>
      <w:pPr>
        <w:pStyle w:val="Domylnie"/>
        <w:numPr>
          <w:ilvl w:val="0"/>
          <w:numId w:val="20"/>
        </w:numPr>
        <w:tabs>
          <w:tab w:val="clear" w:pos="708"/>
          <w:tab w:val="left" w:pos="0" w:leader="none"/>
        </w:tabs>
        <w:spacing w:lineRule="atLeast" w:line="100" w:before="0" w:after="0"/>
        <w:rPr>
          <w:rFonts w:ascii="Calibri" w:hAnsi="Calibri"/>
        </w:rPr>
      </w:pPr>
      <w:r>
        <w:rPr>
          <w:rFonts w:cs="Times New Roman"/>
          <w:color w:val="000000"/>
          <w:szCs w:val="24"/>
        </w:rPr>
        <w:t>W przypadku nieterminowej zapłaty należności z tytułu wykonania przedmiotu umowy, Wykonawca ma prawo naliczać i żądać zapłaty przez Zamawiającego odsetek ustawowych.</w:t>
      </w:r>
    </w:p>
    <w:p>
      <w:pPr>
        <w:pStyle w:val="Domylnie"/>
        <w:spacing w:lineRule="atLeast" w:line="200"/>
        <w:rPr>
          <w:rFonts w:ascii="Calibri" w:hAnsi="Calibri" w:cs="Times New Roman"/>
          <w:b/>
          <w:b/>
          <w:bCs/>
          <w:color w:val="FF0000"/>
          <w:szCs w:val="24"/>
        </w:rPr>
      </w:pPr>
      <w:r>
        <w:rPr>
          <w:rFonts w:cs="Times New Roman"/>
          <w:b/>
          <w:bCs/>
          <w:color w:val="FF0000"/>
          <w:szCs w:val="24"/>
        </w:rPr>
      </w:r>
    </w:p>
    <w:p>
      <w:pPr>
        <w:pStyle w:val="Domylnie"/>
        <w:spacing w:lineRule="atLeast" w:line="200"/>
        <w:rPr>
          <w:rFonts w:ascii="Calibri" w:hAnsi="Calibri"/>
        </w:rPr>
      </w:pPr>
      <w:r>
        <w:rPr>
          <w:rFonts w:cs="Times New Roman"/>
          <w:color w:val="000000"/>
          <w:szCs w:val="24"/>
        </w:rPr>
        <w:t>§ 9</w:t>
      </w:r>
    </w:p>
    <w:p>
      <w:pPr>
        <w:pStyle w:val="Domylnie"/>
        <w:numPr>
          <w:ilvl w:val="0"/>
          <w:numId w:val="21"/>
        </w:numPr>
        <w:spacing w:lineRule="atLeast" w:line="100" w:before="0" w:after="0"/>
        <w:rPr>
          <w:rFonts w:ascii="Calibri" w:hAnsi="Calibri"/>
        </w:rPr>
      </w:pPr>
      <w:r>
        <w:rPr>
          <w:rFonts w:cs="Times New Roman"/>
          <w:szCs w:val="24"/>
        </w:rPr>
        <w:t>Zakazuje się istotnych zmian postanowień zawartej umowy, za wyjątkiem sytuacji, o których mowa  w ust. 2.</w:t>
      </w:r>
    </w:p>
    <w:p>
      <w:pPr>
        <w:pStyle w:val="Domylnie"/>
        <w:numPr>
          <w:ilvl w:val="0"/>
          <w:numId w:val="21"/>
        </w:numPr>
        <w:spacing w:lineRule="atLeast" w:line="100" w:before="0" w:after="0"/>
        <w:rPr>
          <w:rFonts w:ascii="Calibri" w:hAnsi="Calibri"/>
        </w:rPr>
      </w:pPr>
      <w:r>
        <w:rPr>
          <w:rFonts w:cs="Times New Roman"/>
          <w:szCs w:val="24"/>
        </w:rPr>
        <w:t>Strony umowy dopuszczają możliwość:</w:t>
      </w:r>
    </w:p>
    <w:p>
      <w:pPr>
        <w:pStyle w:val="Normal"/>
        <w:numPr>
          <w:ilvl w:val="0"/>
          <w:numId w:val="22"/>
        </w:numPr>
        <w:rPr>
          <w:rFonts w:ascii="Calibri" w:hAnsi="Calibri"/>
        </w:rPr>
      </w:pPr>
      <w:r>
        <w:rPr>
          <w:rFonts w:ascii="Calibri" w:hAnsi="Calibri"/>
          <w:color w:val="000000"/>
        </w:rPr>
        <w:t>zmiany "cen jednostkowych brutto" w poszczególnych pozycjach wpisanych przez Wykonawcę w ofercie (formularzu kalkulacji cenowej) w sytuacji spowodowanej zmianami cen tych pozycji zgodnie z przedłożonym przez Wykonawcę dokumentem zatwierdzającym te zmiany przez Prezesa Urzędu Komunikacji Elektronicznej lub w sposób dopuszczony przez Prawo pocztowe.</w:t>
      </w:r>
    </w:p>
    <w:p>
      <w:pPr>
        <w:pStyle w:val="Domylnie"/>
        <w:numPr>
          <w:ilvl w:val="0"/>
          <w:numId w:val="22"/>
        </w:numPr>
        <w:spacing w:lineRule="atLeast" w:line="100" w:before="0" w:after="0"/>
        <w:rPr>
          <w:rFonts w:ascii="Calibri" w:hAnsi="Calibri"/>
        </w:rPr>
      </w:pPr>
      <w:r>
        <w:rPr>
          <w:rFonts w:cs="Times New Roman"/>
          <w:szCs w:val="24"/>
        </w:rPr>
        <w:t>zmiany strony umowy w przypadku następstwa prawnego wynikającego z odrębnych przepisów,</w:t>
      </w:r>
    </w:p>
    <w:p>
      <w:pPr>
        <w:pStyle w:val="Domylnie"/>
        <w:numPr>
          <w:ilvl w:val="0"/>
          <w:numId w:val="22"/>
        </w:numPr>
        <w:spacing w:lineRule="atLeast" w:line="100" w:before="0" w:after="0"/>
        <w:rPr>
          <w:rFonts w:ascii="Calibri" w:hAnsi="Calibri"/>
        </w:rPr>
      </w:pPr>
      <w:r>
        <w:rPr>
          <w:rFonts w:cs="Times New Roman"/>
          <w:szCs w:val="24"/>
        </w:rPr>
        <w:t>zmiany wynagrodzenia Wykonawcy brutto w przypadku zmiany przepisów obowiązujących dotyczących podatku od towarów i usług VAT,</w:t>
      </w:r>
    </w:p>
    <w:p>
      <w:pPr>
        <w:pStyle w:val="Domylnie"/>
        <w:numPr>
          <w:ilvl w:val="0"/>
          <w:numId w:val="22"/>
        </w:numPr>
        <w:spacing w:lineRule="atLeast" w:line="100" w:before="0" w:after="0"/>
        <w:rPr>
          <w:rFonts w:ascii="Calibri" w:hAnsi="Calibri"/>
        </w:rPr>
      </w:pPr>
      <w:r>
        <w:rPr>
          <w:rFonts w:cs="Times New Roman"/>
          <w:szCs w:val="24"/>
        </w:rPr>
        <w:t>zmiany sposobu wykonywania przedmiotu umowy:</w:t>
      </w:r>
    </w:p>
    <w:p>
      <w:pPr>
        <w:pStyle w:val="Domylnie"/>
        <w:numPr>
          <w:ilvl w:val="0"/>
          <w:numId w:val="23"/>
        </w:numPr>
        <w:spacing w:lineRule="atLeast" w:line="100" w:before="0" w:after="0"/>
        <w:rPr>
          <w:rFonts w:ascii="Calibri" w:hAnsi="Calibri"/>
        </w:rPr>
      </w:pPr>
      <w:r>
        <w:rPr>
          <w:rFonts w:cs="Times New Roman"/>
          <w:szCs w:val="24"/>
        </w:rPr>
        <w:t>spowodowanych siłą wyższą, uniemożliwiającą wykonanie przedmiotu umowy zgodnie z jej postanowieniami,</w:t>
      </w:r>
    </w:p>
    <w:p>
      <w:pPr>
        <w:pStyle w:val="Domylnie"/>
        <w:numPr>
          <w:ilvl w:val="0"/>
          <w:numId w:val="23"/>
        </w:numPr>
        <w:spacing w:lineRule="atLeast" w:line="100" w:before="0" w:after="0"/>
        <w:rPr>
          <w:rFonts w:ascii="Calibri" w:hAnsi="Calibri"/>
        </w:rPr>
      </w:pPr>
      <w:r>
        <w:rPr>
          <w:rFonts w:cs="Times New Roman"/>
          <w:szCs w:val="24"/>
        </w:rPr>
        <w:t>w przypadku wyniknięcia rozbieżności lub niejasności w rozumieniu pojęć użytych w umowie, których nie można usunąć w inny sposób, a zmiana będzie umożliwiać usunięcie rozbieżności    i doprecyzowanie umowy w celu jednoznacznej interpretacji jej zapisów przez Strony umowy,</w:t>
      </w:r>
    </w:p>
    <w:p>
      <w:pPr>
        <w:pStyle w:val="Domylnie"/>
        <w:numPr>
          <w:ilvl w:val="0"/>
          <w:numId w:val="23"/>
        </w:numPr>
        <w:spacing w:lineRule="atLeast" w:line="100" w:before="0" w:after="0"/>
        <w:rPr>
          <w:rFonts w:ascii="Calibri" w:hAnsi="Calibri"/>
        </w:rPr>
      </w:pPr>
      <w:r>
        <w:rPr>
          <w:rFonts w:cs="Times New Roman"/>
          <w:szCs w:val="24"/>
        </w:rPr>
        <w:t>w przypadku wystąpienia zmian powszechnie obowiązujących przepisów prawa, w tym prawa miejscowego w zakresie mającym wpływ na realizację przedmiotu umowy,</w:t>
      </w:r>
    </w:p>
    <w:p>
      <w:pPr>
        <w:pStyle w:val="Domylnie"/>
        <w:numPr>
          <w:ilvl w:val="0"/>
          <w:numId w:val="23"/>
        </w:numPr>
        <w:spacing w:lineRule="atLeast" w:line="100" w:before="0" w:after="0"/>
        <w:rPr>
          <w:rFonts w:ascii="Calibri" w:hAnsi="Calibri"/>
        </w:rPr>
      </w:pPr>
      <w:r>
        <w:rPr>
          <w:rFonts w:cs="Times New Roman"/>
          <w:szCs w:val="24"/>
        </w:rPr>
        <w:t>wprowadzenie zmian w stosunku do sposobu wykonywania przedmiotu zamówienia w zakresie wykonywania prac nie wykraczających poza zakres przedmiot zamówienia, w sytuacji konieczności usprawnienia realizacji przedmiotu umowy.</w:t>
      </w:r>
    </w:p>
    <w:p>
      <w:pPr>
        <w:pStyle w:val="Akapitzlist1"/>
        <w:numPr>
          <w:ilvl w:val="0"/>
          <w:numId w:val="24"/>
        </w:numPr>
        <w:spacing w:lineRule="atLeast" w:line="200" w:before="0" w:after="200"/>
        <w:contextualSpacing/>
        <w:rPr>
          <w:rFonts w:ascii="Calibri" w:hAnsi="Calibri"/>
        </w:rPr>
      </w:pPr>
      <w:r>
        <w:rPr>
          <w:rFonts w:cs="Times New Roman"/>
          <w:szCs w:val="24"/>
        </w:rPr>
        <w:t>Dokonanie zmiany umowy w zakresie, o którym mowa w ust. 1, wymaga uprzedniego złożenia drugiej ze Stron, odpowiednio; przez Wykonawcę lub Zamawiającego, pisemnego wniosku, wykazującego zasadność wprowadzania zmiany. Przyjęcie propozycji zmiany, wyrażone na piśmie i doręczone drugiej Stronie, jest równoznaczne z akceptacją zmiany treści umowy.</w:t>
      </w:r>
    </w:p>
    <w:p>
      <w:pPr>
        <w:pStyle w:val="Akapitzlist1"/>
        <w:numPr>
          <w:ilvl w:val="0"/>
          <w:numId w:val="24"/>
        </w:numPr>
        <w:spacing w:lineRule="atLeast" w:line="200" w:before="0" w:after="200"/>
        <w:contextualSpacing/>
        <w:rPr>
          <w:rFonts w:ascii="Calibri" w:hAnsi="Calibri"/>
        </w:rPr>
      </w:pPr>
      <w:r>
        <w:rPr>
          <w:rFonts w:cs="Times New Roman"/>
          <w:szCs w:val="24"/>
        </w:rPr>
        <w:t>Jakiekolwiek zmiany umowy wymagają, pod rygorem nieważności, zachowania formy pisemnej w postaci aneksu.</w:t>
      </w:r>
    </w:p>
    <w:p>
      <w:pPr>
        <w:pStyle w:val="Domylnie"/>
        <w:spacing w:lineRule="atLeast" w:line="200"/>
        <w:rPr>
          <w:rFonts w:ascii="Calibri" w:hAnsi="Calibri"/>
        </w:rPr>
      </w:pPr>
      <w:r>
        <w:rPr>
          <w:rFonts w:cs="Times New Roman"/>
          <w:szCs w:val="24"/>
        </w:rPr>
        <w:t>§ 10</w:t>
      </w:r>
    </w:p>
    <w:p>
      <w:pPr>
        <w:pStyle w:val="Domylnie"/>
        <w:spacing w:lineRule="atLeast" w:line="100" w:before="0" w:after="0"/>
        <w:ind w:left="360" w:hanging="0"/>
        <w:rPr>
          <w:rFonts w:ascii="Calibri" w:hAnsi="Calibri"/>
        </w:rPr>
      </w:pPr>
      <w:r>
        <w:rPr>
          <w:rFonts w:cs="Times New Roman"/>
          <w:color w:val="auto"/>
          <w:szCs w:val="24"/>
        </w:rPr>
        <w:t xml:space="preserve">Umowę zawiera się na okres od dnia …………….. r. do dnia …………….. r. lub do dnia wykorzystania maksymalnej wartości o której mowa w § 5 ust. 1 niniejszej umowy, jednak nie dłużej niż do dnia ……………………. r. </w:t>
      </w:r>
    </w:p>
    <w:p>
      <w:pPr>
        <w:pStyle w:val="Normal"/>
        <w:rPr>
          <w:rFonts w:ascii="Calibri" w:hAnsi="Calibri" w:cs="Calibri Light"/>
          <w:b/>
          <w:b/>
          <w:bCs/>
          <w:color w:val="000000"/>
        </w:rPr>
      </w:pPr>
      <w:r>
        <w:rPr>
          <w:rFonts w:cs="Calibri Light" w:ascii="Calibri" w:hAnsi="Calibri"/>
          <w:b/>
          <w:bCs/>
          <w:color w:val="000000"/>
        </w:rPr>
      </w:r>
    </w:p>
    <w:p>
      <w:pPr>
        <w:pStyle w:val="Normal"/>
        <w:rPr>
          <w:rFonts w:ascii="Calibri" w:hAnsi="Calibri"/>
        </w:rPr>
      </w:pPr>
      <w:r>
        <w:rPr>
          <w:rFonts w:ascii="Calibri" w:hAnsi="Calibri"/>
          <w:bCs/>
          <w:color w:val="000000"/>
        </w:rPr>
        <w:t>§ 11</w:t>
      </w:r>
    </w:p>
    <w:p>
      <w:pPr>
        <w:pStyle w:val="Normal"/>
        <w:rPr>
          <w:rFonts w:ascii="Calibri" w:hAnsi="Calibri"/>
        </w:rPr>
      </w:pPr>
      <w:r>
        <w:rPr>
          <w:rFonts w:ascii="Calibri" w:hAnsi="Calibri"/>
        </w:rPr>
      </w:r>
    </w:p>
    <w:p>
      <w:pPr>
        <w:pStyle w:val="Normal"/>
        <w:numPr>
          <w:ilvl w:val="0"/>
          <w:numId w:val="34"/>
        </w:numPr>
        <w:rPr>
          <w:rFonts w:ascii="Calibri" w:hAnsi="Calibri"/>
        </w:rPr>
      </w:pPr>
      <w:r>
        <w:rPr>
          <w:rFonts w:ascii="Calibri" w:hAnsi="Calibri"/>
          <w:color w:val="000000"/>
        </w:rPr>
        <w:t>Zamawiającemu przysługuje prawo natychmiastowego odstąpienia od umowy :</w:t>
      </w:r>
    </w:p>
    <w:p>
      <w:pPr>
        <w:pStyle w:val="Normal"/>
        <w:rPr>
          <w:rFonts w:ascii="Calibri" w:hAnsi="Calibri"/>
          <w:color w:val="000000"/>
        </w:rPr>
      </w:pPr>
      <w:r>
        <w:rPr>
          <w:rFonts w:ascii="Calibri" w:hAnsi="Calibri"/>
          <w:color w:val="000000"/>
        </w:rPr>
      </w:r>
    </w:p>
    <w:p>
      <w:pPr>
        <w:pStyle w:val="Normal"/>
        <w:numPr>
          <w:ilvl w:val="0"/>
          <w:numId w:val="33"/>
        </w:numPr>
        <w:rPr>
          <w:rFonts w:ascii="Calibri" w:hAnsi="Calibri"/>
        </w:rPr>
      </w:pPr>
      <w:r>
        <w:rPr>
          <w:rFonts w:ascii="Calibri" w:hAnsi="Calibri"/>
          <w:color w:val="000000"/>
        </w:rPr>
        <w:t>gdy Wykonawca, bez uzasadnionych przyczyn, mimo pisemnego wezwania Zamawiającego, nie rozpoczął realizacji przedmiotu umowy;</w:t>
      </w:r>
    </w:p>
    <w:p>
      <w:pPr>
        <w:pStyle w:val="Normal"/>
        <w:numPr>
          <w:ilvl w:val="0"/>
          <w:numId w:val="33"/>
        </w:numPr>
        <w:rPr>
          <w:rFonts w:ascii="Calibri" w:hAnsi="Calibri"/>
        </w:rPr>
      </w:pPr>
      <w:r>
        <w:rPr>
          <w:rFonts w:ascii="Calibri" w:hAnsi="Calibri"/>
          <w:color w:val="000000"/>
        </w:rPr>
        <w:t>gdy Wykonawca przerwał, bez uzgodnienia z Zamawiającym, realizację przedmiotu umowy</w:t>
        <w:br/>
        <w:t>i przerwa ta trwa nieprzerwanie dłużej niż 2 dni;</w:t>
      </w:r>
    </w:p>
    <w:p>
      <w:pPr>
        <w:pStyle w:val="Normal"/>
        <w:numPr>
          <w:ilvl w:val="0"/>
          <w:numId w:val="33"/>
        </w:numPr>
        <w:rPr>
          <w:rFonts w:ascii="Calibri" w:hAnsi="Calibri"/>
        </w:rPr>
      </w:pPr>
      <w:r>
        <w:rPr>
          <w:rFonts w:ascii="Calibri" w:hAnsi="Calibri"/>
          <w:color w:val="000000"/>
        </w:rPr>
        <w:t>gdy Wykonawca, mimo zgłoszenia mu na piśmie przez Zamawiającego, wezwania do realizacji umowy zgodnie z warunkami umowy, realizuje ją wbrew uzgodnieniom umownym lub zaniedbując zobowiązania umowne;</w:t>
      </w:r>
    </w:p>
    <w:p>
      <w:pPr>
        <w:pStyle w:val="Normal"/>
        <w:numPr>
          <w:ilvl w:val="0"/>
          <w:numId w:val="33"/>
        </w:numPr>
        <w:rPr>
          <w:rFonts w:ascii="Calibri" w:hAnsi="Calibri"/>
        </w:rPr>
      </w:pPr>
      <w:r>
        <w:rPr>
          <w:rFonts w:ascii="Calibri" w:hAnsi="Calibri"/>
          <w:color w:val="000000"/>
        </w:rPr>
        <w:t>gdy Wykonawca, mimo pisemnego wezwania Zamawiającego i wyznaczenia mu dodatkowego terminu, opóźnia się z wykonaniem przedmiotu umowy powyżej 24 godzin, licząc od terminów o których mowa w § 2 ust. 1 pkt od 1) do 3) Umowy;</w:t>
        <w:tab/>
        <w:tab/>
      </w:r>
    </w:p>
    <w:p>
      <w:pPr>
        <w:pStyle w:val="Normal"/>
        <w:numPr>
          <w:ilvl w:val="0"/>
          <w:numId w:val="33"/>
        </w:numPr>
        <w:rPr>
          <w:rFonts w:ascii="Calibri" w:hAnsi="Calibri"/>
        </w:rPr>
      </w:pPr>
      <w:r>
        <w:rPr>
          <w:rFonts w:ascii="Calibri" w:hAnsi="Calibri"/>
          <w:color w:val="000000"/>
        </w:rPr>
        <w:t>w przypadku utraty przez Wykonawcę możliwości prowadzenia działalności objętej przedmiotem umowy;</w:t>
      </w:r>
    </w:p>
    <w:p>
      <w:pPr>
        <w:pStyle w:val="Normal"/>
        <w:numPr>
          <w:ilvl w:val="0"/>
          <w:numId w:val="33"/>
        </w:numPr>
        <w:rPr>
          <w:rFonts w:ascii="Calibri" w:hAnsi="Calibri"/>
        </w:rPr>
      </w:pPr>
      <w:r>
        <w:rPr>
          <w:rFonts w:ascii="Calibri" w:hAnsi="Calibri"/>
          <w:color w:val="000000"/>
        </w:rPr>
        <w:t>gdy zostanie ogłoszona upadłość lub likwidacja Wykonawcy z wyłączeniem sytuacji, gdy celem likwidacji jest przekształcenie przedsiębiorstwa lub połączenie z innym przedsiębiorstwem;</w:t>
      </w:r>
    </w:p>
    <w:p>
      <w:pPr>
        <w:pStyle w:val="Normal"/>
        <w:numPr>
          <w:ilvl w:val="0"/>
          <w:numId w:val="33"/>
        </w:numPr>
        <w:rPr>
          <w:rFonts w:ascii="Calibri" w:hAnsi="Calibri"/>
        </w:rPr>
      </w:pPr>
      <w:r>
        <w:rPr>
          <w:rFonts w:ascii="Calibri" w:hAnsi="Calibri"/>
          <w:color w:val="000000"/>
        </w:rPr>
        <w:t>gdy zostanie wydany nakaz zajęcia majątku Wykonawcy lub gdy zostanie wszczęte postępowanie egzekucyjne w stopniu uniemożliwiającym realizacje umowy.</w:t>
      </w:r>
    </w:p>
    <w:p>
      <w:pPr>
        <w:pStyle w:val="Normal"/>
        <w:rPr>
          <w:rFonts w:ascii="Calibri" w:hAnsi="Calibri"/>
          <w:color w:val="000000"/>
        </w:rPr>
      </w:pPr>
      <w:r>
        <w:rPr>
          <w:rFonts w:ascii="Calibri" w:hAnsi="Calibri"/>
          <w:color w:val="000000"/>
        </w:rPr>
      </w:r>
    </w:p>
    <w:p>
      <w:pPr>
        <w:pStyle w:val="Normal"/>
        <w:numPr>
          <w:ilvl w:val="0"/>
          <w:numId w:val="34"/>
        </w:numPr>
        <w:rPr>
          <w:rFonts w:ascii="Calibri" w:hAnsi="Calibri"/>
        </w:rPr>
      </w:pPr>
      <w:r>
        <w:rPr>
          <w:rFonts w:ascii="Calibri" w:hAnsi="Calibri"/>
          <w:color w:val="000000"/>
        </w:rPr>
        <w:t>W razie zaistnienia istotnej zmiany okoliczności powodującej, że wykonanie umowy nie leży</w:t>
        <w:br/>
        <w:t xml:space="preserve">w interesie publicznym, czego nie można było przewidzieć w chwili zawarcia umowy, lub dalsze wykonywanie umowy może zagrozić </w:t>
      </w:r>
      <w:r>
        <w:rPr>
          <w:rFonts w:ascii="Calibri" w:hAnsi="Calibri"/>
          <w:b w:val="false"/>
          <w:bCs w:val="false"/>
          <w:color w:val="000000"/>
          <w:shd w:fill="FFFFFF" w:val="clear"/>
        </w:rPr>
        <w:t>podstawowemu</w:t>
      </w:r>
      <w:r>
        <w:rPr>
          <w:rFonts w:ascii="Calibri" w:hAnsi="Calibri"/>
          <w:color w:val="000000"/>
        </w:rPr>
        <w:t xml:space="preserve"> interesowi bezpieczeństwa państwa lub bezpieczeństwu publicznemu, Zamawiający może odstąpić od umowy w terminie 30 dni licząc od dnia powzięcia wiadomości o tych okolicznościach.</w:t>
      </w:r>
    </w:p>
    <w:p>
      <w:pPr>
        <w:pStyle w:val="Normal"/>
        <w:numPr>
          <w:ilvl w:val="0"/>
          <w:numId w:val="34"/>
        </w:numPr>
        <w:rPr>
          <w:rFonts w:ascii="Calibri" w:hAnsi="Calibri"/>
        </w:rPr>
      </w:pPr>
      <w:r>
        <w:rPr>
          <w:rFonts w:ascii="Calibri" w:hAnsi="Calibri"/>
          <w:color w:val="000000"/>
        </w:rPr>
        <w:t>W przypadku odstąpienia od umowy, Wykonawca może żądać wyłącznie wynagrodzenia należnego z tytułu wykonania części umowy.</w:t>
      </w:r>
    </w:p>
    <w:p>
      <w:pPr>
        <w:pStyle w:val="Normal"/>
        <w:numPr>
          <w:ilvl w:val="0"/>
          <w:numId w:val="34"/>
        </w:numPr>
        <w:rPr>
          <w:rFonts w:ascii="Calibri" w:hAnsi="Calibri"/>
        </w:rPr>
      </w:pPr>
      <w:r>
        <w:rPr>
          <w:rFonts w:ascii="Calibri" w:hAnsi="Calibri"/>
          <w:color w:val="000000"/>
        </w:rPr>
        <w:t>Odstąpienie od umowy winno nastąpić na piśmie i zawierać uzasadnienie.</w:t>
      </w:r>
    </w:p>
    <w:p>
      <w:pPr>
        <w:pStyle w:val="Normal"/>
        <w:numPr>
          <w:ilvl w:val="0"/>
          <w:numId w:val="34"/>
        </w:numPr>
        <w:rPr>
          <w:rFonts w:ascii="Calibri" w:hAnsi="Calibri"/>
        </w:rPr>
      </w:pPr>
      <w:r>
        <w:rPr>
          <w:rFonts w:ascii="Calibri" w:hAnsi="Calibri"/>
          <w:color w:val="000000"/>
        </w:rPr>
        <w:t>W przypadku odstąpienia od umowy, Wykonawca zobowiązany jest przerwać realizację umowy.</w:t>
      </w:r>
    </w:p>
    <w:p>
      <w:pPr>
        <w:pStyle w:val="Legenda1"/>
        <w:spacing w:lineRule="auto" w:line="240"/>
        <w:rPr>
          <w:rFonts w:ascii="Calibri" w:hAnsi="Calibri"/>
        </w:rPr>
      </w:pPr>
      <w:r>
        <w:rPr>
          <w:rFonts w:cs="Times New Roman"/>
          <w:i w:val="false"/>
        </w:rPr>
        <w:t>§ 12</w:t>
      </w:r>
    </w:p>
    <w:p>
      <w:pPr>
        <w:pStyle w:val="Style14"/>
        <w:numPr>
          <w:ilvl w:val="0"/>
          <w:numId w:val="25"/>
        </w:numPr>
        <w:spacing w:lineRule="auto" w:line="240"/>
        <w:ind w:left="360" w:right="432" w:hanging="360"/>
        <w:rPr>
          <w:rFonts w:ascii="Calibri" w:hAnsi="Calibri"/>
        </w:rPr>
      </w:pPr>
      <w:r>
        <w:rPr>
          <w:rFonts w:ascii="Calibri" w:hAnsi="Calibri"/>
          <w:spacing w:val="-1"/>
          <w:sz w:val="24"/>
          <w:szCs w:val="24"/>
          <w:lang w:val="pl-PL"/>
        </w:rPr>
        <w:t xml:space="preserve">Umowa może być rozwiązana przez każdą ze Stron w formie pisemnej, z obowiązkiem dokonania płatności za czynności będące w </w:t>
      </w:r>
      <w:r>
        <w:rPr>
          <w:rFonts w:ascii="Calibri" w:hAnsi="Calibri"/>
          <w:sz w:val="24"/>
          <w:szCs w:val="24"/>
          <w:lang w:val="pl-PL"/>
        </w:rPr>
        <w:t>toku wynikające z wykonania umowy:</w:t>
      </w:r>
    </w:p>
    <w:p>
      <w:pPr>
        <w:pStyle w:val="Style14"/>
        <w:numPr>
          <w:ilvl w:val="0"/>
          <w:numId w:val="26"/>
        </w:numPr>
        <w:spacing w:lineRule="auto" w:line="240"/>
        <w:ind w:left="357" w:hanging="360"/>
        <w:rPr>
          <w:rFonts w:ascii="Calibri" w:hAnsi="Calibri"/>
        </w:rPr>
      </w:pPr>
      <w:r>
        <w:rPr>
          <w:rFonts w:ascii="Calibri" w:hAnsi="Calibri"/>
          <w:sz w:val="24"/>
          <w:szCs w:val="24"/>
          <w:lang w:val="pl-PL"/>
        </w:rPr>
        <w:t>w terminie natychmiastowym, w przypadku niedotrzymania warunków niniejszej umowy, lub    w przypadku zmiany w trakcie obowiązywania umowy przepisów podatkowych i przepisów prawnych regulujących działalność pocztową, jeżeli wejście w życie tych przepisów uniemożliwi realizację umowy,</w:t>
      </w:r>
    </w:p>
    <w:p>
      <w:pPr>
        <w:pStyle w:val="Style14"/>
        <w:numPr>
          <w:ilvl w:val="0"/>
          <w:numId w:val="26"/>
        </w:numPr>
        <w:spacing w:lineRule="atLeast" w:line="200"/>
        <w:ind w:left="357" w:hanging="360"/>
        <w:rPr>
          <w:rFonts w:ascii="Calibri" w:hAnsi="Calibri"/>
        </w:rPr>
      </w:pPr>
      <w:r>
        <w:rPr>
          <w:rFonts w:ascii="Calibri" w:hAnsi="Calibri"/>
          <w:spacing w:val="4"/>
          <w:sz w:val="24"/>
          <w:szCs w:val="24"/>
          <w:lang w:val="pl-PL"/>
        </w:rPr>
        <w:t xml:space="preserve">z zachowaniem 1 miesięcznego okresu wypowiedzenia, ze skutkiem na ostatni dzień miesiąca kalendarzowego, bez podania </w:t>
      </w:r>
      <w:r>
        <w:rPr>
          <w:rFonts w:ascii="Calibri" w:hAnsi="Calibri"/>
          <w:sz w:val="24"/>
          <w:szCs w:val="24"/>
          <w:lang w:val="pl-PL"/>
        </w:rPr>
        <w:t>powodów.</w:t>
      </w:r>
    </w:p>
    <w:p>
      <w:pPr>
        <w:pStyle w:val="Style14"/>
        <w:numPr>
          <w:ilvl w:val="0"/>
          <w:numId w:val="36"/>
        </w:numPr>
        <w:spacing w:lineRule="atLeast" w:line="200"/>
        <w:rPr>
          <w:rFonts w:ascii="Calibri" w:hAnsi="Calibri"/>
        </w:rPr>
      </w:pPr>
      <w:r>
        <w:rPr>
          <w:rFonts w:ascii="Calibri" w:hAnsi="Calibri"/>
          <w:sz w:val="24"/>
          <w:szCs w:val="24"/>
        </w:rPr>
        <w:t>W przypadku wygaśnięcia umowy lub jej rozwiązania, Strony zobowiązują się do dokonania, w terminie 2 miesięcy od zakończenia obowiązywania umowy, rozliczenia liczby nadanych/zwróconych przesyłek, oraz zastosowanych opłat, a w razie potrzeby również           do zwrotu kwot nienależnych wynikających z takiego rozliczenia na podstawie wystawionych przez Wykonawcę faktur korygujących VAT.</w:t>
      </w:r>
    </w:p>
    <w:p>
      <w:pPr>
        <w:pStyle w:val="Normal"/>
        <w:rPr>
          <w:rFonts w:ascii="Calibri" w:hAnsi="Calibri"/>
          <w:bCs/>
          <w:color w:val="000000"/>
        </w:rPr>
      </w:pPr>
      <w:r>
        <w:rPr>
          <w:rFonts w:ascii="Calibri" w:hAnsi="Calibri"/>
          <w:bCs/>
          <w:color w:val="000000"/>
        </w:rPr>
      </w:r>
    </w:p>
    <w:p>
      <w:pPr>
        <w:pStyle w:val="Normal"/>
        <w:spacing w:before="0" w:after="0"/>
        <w:contextualSpacing/>
        <w:rPr>
          <w:rFonts w:ascii="Calibri" w:hAnsi="Calibri"/>
        </w:rPr>
      </w:pPr>
      <w:r>
        <w:rPr>
          <w:rFonts w:ascii="Calibri" w:hAnsi="Calibri"/>
          <w:bCs/>
          <w:color w:val="000000"/>
        </w:rPr>
        <w:t>§ 13</w:t>
      </w:r>
    </w:p>
    <w:p>
      <w:pPr>
        <w:pStyle w:val="Normal"/>
        <w:spacing w:before="0" w:after="0"/>
        <w:contextualSpacing/>
        <w:rPr>
          <w:rFonts w:ascii="Calibri" w:hAnsi="Calibri"/>
        </w:rPr>
      </w:pPr>
      <w:r>
        <w:rPr>
          <w:rFonts w:ascii="Calibri" w:hAnsi="Calibri"/>
        </w:rPr>
      </w:r>
    </w:p>
    <w:p>
      <w:pPr>
        <w:pStyle w:val="Normal"/>
        <w:numPr>
          <w:ilvl w:val="0"/>
          <w:numId w:val="32"/>
        </w:numPr>
        <w:spacing w:lineRule="auto" w:line="240" w:before="0" w:after="0"/>
        <w:contextualSpacing/>
        <w:rPr>
          <w:rFonts w:ascii="Calibri" w:hAnsi="Calibri"/>
        </w:rPr>
      </w:pPr>
      <w:r>
        <w:rPr>
          <w:rFonts w:ascii="Calibri" w:hAnsi="Calibri"/>
          <w:color w:val="000000"/>
        </w:rPr>
        <w:t>Wykonawca zobowiązuje się w czasie trwania umowy oraz po jej rozwiązaniu lub wygaśnięciu,</w:t>
        <w:br/>
        <w:t>do przestrzegania poufności, co do informacji pozyskanych w związku z realizacją umowy,</w:t>
        <w:br/>
        <w:t>w szczególności do przestrzegania przepisów dotyczących ochrony danych osobowych. Wykonawca nie może wykorzystywać pozyskanych danych w żaden inny sposób lub w innym celu niż dla wykonania umowy, w szczególności zakazuje się wykorzystania danych w celach reklamowych lub marketingowych. Wykonawca oświadcza, iż zna przepisy prawa dotyczące tajemnic chronionych prawem i w związku z  wykonywaniem umowy zobowiązuje się przepisów tych przestrzegać.</w:t>
      </w:r>
    </w:p>
    <w:p>
      <w:pPr>
        <w:pStyle w:val="Normal"/>
        <w:numPr>
          <w:ilvl w:val="0"/>
          <w:numId w:val="32"/>
        </w:numPr>
        <w:spacing w:lineRule="auto" w:line="240" w:before="0" w:after="0"/>
        <w:contextualSpacing/>
        <w:rPr>
          <w:rFonts w:ascii="Calibri" w:hAnsi="Calibri"/>
        </w:rPr>
      </w:pPr>
      <w:r>
        <w:rPr>
          <w:rFonts w:ascii="Calibri" w:hAnsi="Calibri"/>
          <w:color w:val="000000"/>
        </w:rPr>
        <w:t>Wszelką odpowiedzialność, tak wobec osób trzecich, jak i wobec Zamawiającego, za szkody wynikające z nieprawidłowego wykorzystania danych osobowych ponosi Wykonawca.</w:t>
      </w:r>
    </w:p>
    <w:p>
      <w:pPr>
        <w:pStyle w:val="Standard"/>
        <w:numPr>
          <w:ilvl w:val="0"/>
          <w:numId w:val="32"/>
        </w:numPr>
        <w:spacing w:lineRule="auto" w:line="240" w:before="0" w:after="0"/>
        <w:contextualSpacing/>
        <w:rPr/>
      </w:pPr>
      <w:r>
        <w:rPr>
          <w:rStyle w:val="Domylnaczcionkaakapitu"/>
          <w:rFonts w:cs="Arial" w:ascii="Calibri" w:hAnsi="Calibri"/>
          <w:color w:val="000000"/>
          <w:lang w:val="pl-PL"/>
        </w:rPr>
        <w:t xml:space="preserve">W związku z zawarciem oraz realizacją niniejszej Umowy, każda ze Stron będzie przetwarzać jako Administrator, dane osobowe osób wymienionych w niniejszej umowie oraz pozostałych osób zatrudnionych przez drugą Stronę lub współpracujących z drugą Stroną na innej podstawie. Dane te zostaną wzajemnie udostępnione przez Strony, wyłącznie w celu wykonania Umowy przez Strony. Strony zobowiązują się do wypełnienia obowiązków informacyjnych, wynikających z art. 13 lub art. 14 RODO wobec osób, o których mowa powyżej, od których dane osobowe bezpośrednio lub pośrednio pozyskały, w celu wykonania Umowy. Pełne informacje o zasadach przetwarzania danych przez Samodzielny Publiczny Wojewódzki Szpital Chirurgii Urazowej im. dr. Janusza Daaba w Piekarach Śląskich oraz prawach z tym związanych dostępne są na stronie internetowej </w:t>
      </w:r>
      <w:hyperlink r:id="rId2" w:tgtFrame="_top">
        <w:r>
          <w:rPr>
            <w:rStyle w:val="Czeinternetowe"/>
            <w:rFonts w:ascii="Calibri" w:hAnsi="Calibri"/>
            <w:color w:val="000000"/>
          </w:rPr>
          <w:t>www.urazowka.piekary.pl</w:t>
        </w:r>
      </w:hyperlink>
      <w:r>
        <w:rPr>
          <w:rStyle w:val="Domylnaczcionkaakapitu"/>
          <w:rFonts w:cs="Arial" w:ascii="Calibri" w:hAnsi="Calibri"/>
          <w:color w:val="000000"/>
          <w:lang w:val="pl-PL"/>
        </w:rPr>
        <w:t>.</w:t>
      </w:r>
    </w:p>
    <w:p>
      <w:pPr>
        <w:pStyle w:val="Standard"/>
        <w:numPr>
          <w:ilvl w:val="0"/>
          <w:numId w:val="32"/>
        </w:numPr>
        <w:spacing w:lineRule="auto" w:line="240" w:before="0" w:after="0"/>
        <w:contextualSpacing/>
        <w:rPr>
          <w:rFonts w:eastAsia="Times New Roman" w:cs="Calibri" w:cstheme="minorHAnsi"/>
          <w:lang w:val="pl-PL"/>
        </w:rPr>
      </w:pPr>
      <w:r>
        <w:rPr>
          <w:rFonts w:eastAsia="Times New Roman" w:cs="Calibri" w:cstheme="minorHAnsi"/>
          <w:lang w:val="pl-PL"/>
        </w:rPr>
      </w:r>
    </w:p>
    <w:p>
      <w:pPr>
        <w:pStyle w:val="Normal"/>
        <w:spacing w:lineRule="auto" w:line="240" w:before="0" w:after="0"/>
        <w:ind w:left="360" w:hanging="0"/>
        <w:contextualSpacing/>
        <w:rPr>
          <w:rFonts w:ascii="Calibri" w:hAnsi="Calibri"/>
          <w:color w:val="FF0000"/>
        </w:rPr>
      </w:pPr>
      <w:r>
        <w:rPr>
          <w:rFonts w:ascii="Calibri" w:hAnsi="Calibri"/>
          <w:color w:val="FF0000"/>
        </w:rPr>
      </w:r>
    </w:p>
    <w:p>
      <w:pPr>
        <w:pStyle w:val="Domylnie"/>
        <w:spacing w:lineRule="auto" w:line="240" w:before="0" w:after="0"/>
        <w:contextualSpacing/>
        <w:rPr>
          <w:rFonts w:ascii="Calibri" w:hAnsi="Calibri"/>
        </w:rPr>
      </w:pPr>
      <w:r>
        <w:rPr>
          <w:rFonts w:cs="Times New Roman"/>
          <w:szCs w:val="24"/>
        </w:rPr>
        <w:t>§ 14</w:t>
      </w:r>
    </w:p>
    <w:p>
      <w:pPr>
        <w:pStyle w:val="Akapitzlist1"/>
        <w:numPr>
          <w:ilvl w:val="0"/>
          <w:numId w:val="27"/>
        </w:numPr>
        <w:spacing w:lineRule="auto" w:line="240" w:before="0" w:after="0"/>
        <w:contextualSpacing/>
        <w:rPr>
          <w:rFonts w:ascii="Calibri" w:hAnsi="Calibri"/>
        </w:rPr>
      </w:pPr>
      <w:r>
        <w:rPr>
          <w:rFonts w:cs="Times New Roman"/>
          <w:szCs w:val="24"/>
        </w:rPr>
        <w:t>Wszelakie zgłoszenia, zawiadomienia, zapytania lub informacje odnoszące się do lub wynikające z realizacji przedmiotu umowy, wymagają formy pisemnej lub elektronicznej.</w:t>
      </w:r>
    </w:p>
    <w:p>
      <w:pPr>
        <w:pStyle w:val="Akapitzlist1"/>
        <w:numPr>
          <w:ilvl w:val="0"/>
          <w:numId w:val="27"/>
        </w:numPr>
        <w:spacing w:lineRule="auto" w:line="240" w:before="0" w:after="0"/>
        <w:contextualSpacing/>
        <w:rPr>
          <w:rFonts w:ascii="Calibri" w:hAnsi="Calibri"/>
        </w:rPr>
      </w:pPr>
      <w:r>
        <w:rPr>
          <w:rFonts w:cs="Times New Roman"/>
          <w:szCs w:val="24"/>
        </w:rPr>
        <w:t>W prowadzonej korespondencji Strony winny powoływać się na tytuł umowy oraz jej numer. Za datę otrzymania dokumentów, o których mowa w ust. 1, Strony uznają odpowiednio: dzień ich wpływu do adresata lub dzień przekazania pocztą elektroniczną, chyba że postanowienia umowy stanowią inaczej.</w:t>
      </w:r>
    </w:p>
    <w:p>
      <w:pPr>
        <w:pStyle w:val="Akapitzlist1"/>
        <w:numPr>
          <w:ilvl w:val="0"/>
          <w:numId w:val="27"/>
        </w:numPr>
        <w:spacing w:lineRule="auto" w:line="240" w:before="0" w:after="0"/>
        <w:contextualSpacing/>
        <w:rPr>
          <w:rFonts w:ascii="Calibri" w:hAnsi="Calibri"/>
        </w:rPr>
      </w:pPr>
      <w:r>
        <w:rPr>
          <w:rFonts w:cs="Times New Roman"/>
          <w:szCs w:val="24"/>
        </w:rPr>
        <w:t>Korespondencję należy kierować na adres:</w:t>
      </w:r>
    </w:p>
    <w:p>
      <w:pPr>
        <w:pStyle w:val="Akapitzlist1"/>
        <w:numPr>
          <w:ilvl w:val="0"/>
          <w:numId w:val="28"/>
        </w:numPr>
        <w:spacing w:lineRule="auto" w:line="240" w:before="0" w:after="0"/>
        <w:ind w:left="1080" w:hanging="360"/>
        <w:contextualSpacing/>
        <w:rPr>
          <w:rFonts w:ascii="Calibri" w:hAnsi="Calibri"/>
        </w:rPr>
      </w:pPr>
      <w:r>
        <w:rPr>
          <w:rFonts w:cs="Times New Roman"/>
          <w:szCs w:val="24"/>
        </w:rPr>
        <w:t>Zamawiającego:</w:t>
      </w:r>
    </w:p>
    <w:p>
      <w:pPr>
        <w:pStyle w:val="Akapitzlist1"/>
        <w:spacing w:lineRule="auto" w:line="240" w:before="0" w:after="0"/>
        <w:ind w:left="1080" w:hanging="0"/>
        <w:contextualSpacing/>
        <w:rPr>
          <w:rFonts w:ascii="Calibri" w:hAnsi="Calibri"/>
        </w:rPr>
      </w:pPr>
      <w:r>
        <w:rPr>
          <w:rFonts w:cs="Times New Roman"/>
          <w:szCs w:val="24"/>
        </w:rPr>
        <w:t xml:space="preserve">Samodzielny Publiczny Wojewódzki Szpital Chirurgii Urazowej im. dr. Janusza Daaba w Piekarach Śląskich, ul. Bytomska 62  41-940 Piekary Śląskie </w:t>
      </w:r>
    </w:p>
    <w:p>
      <w:pPr>
        <w:pStyle w:val="Akapitzlist1"/>
        <w:spacing w:lineRule="auto" w:line="240" w:before="0" w:after="0"/>
        <w:ind w:left="1080" w:hanging="0"/>
        <w:contextualSpacing/>
        <w:rPr/>
      </w:pPr>
      <w:r>
        <w:rPr>
          <w:rFonts w:cs="Times New Roman"/>
          <w:szCs w:val="24"/>
        </w:rPr>
        <w:t xml:space="preserve">e- mail: </w:t>
      </w:r>
      <w:hyperlink r:id="rId3">
        <w:r>
          <w:rPr>
            <w:rStyle w:val="Czeinternetowe"/>
            <w:rFonts w:cs="Times New Roman"/>
            <w:szCs w:val="24"/>
          </w:rPr>
          <w:t>gospodarczy@urazowka.piekary.pl</w:t>
        </w:r>
      </w:hyperlink>
    </w:p>
    <w:p>
      <w:pPr>
        <w:pStyle w:val="Akapitzlist1"/>
        <w:spacing w:lineRule="auto" w:line="240" w:before="0" w:after="0"/>
        <w:ind w:left="1080" w:hanging="0"/>
        <w:contextualSpacing/>
        <w:rPr>
          <w:rFonts w:ascii="Calibri" w:hAnsi="Calibri" w:cs="Times New Roman"/>
          <w:szCs w:val="24"/>
        </w:rPr>
      </w:pPr>
      <w:r>
        <w:rPr>
          <w:rFonts w:cs="Times New Roman"/>
          <w:szCs w:val="24"/>
        </w:rPr>
      </w:r>
    </w:p>
    <w:p>
      <w:pPr>
        <w:pStyle w:val="Akapitzlist1"/>
        <w:spacing w:lineRule="auto" w:line="240" w:before="0" w:after="0"/>
        <w:ind w:left="1080" w:hanging="0"/>
        <w:contextualSpacing/>
        <w:rPr>
          <w:rFonts w:ascii="Calibri" w:hAnsi="Calibri"/>
        </w:rPr>
      </w:pPr>
      <w:r>
        <w:rPr>
          <w:rFonts w:cs="Times New Roman"/>
          <w:szCs w:val="24"/>
        </w:rPr>
        <w:t>Wykonawcy:</w:t>
      </w:r>
    </w:p>
    <w:p>
      <w:pPr>
        <w:pStyle w:val="Akapitzlist1"/>
        <w:spacing w:lineRule="auto" w:line="240" w:before="0" w:after="0"/>
        <w:ind w:left="1080" w:hanging="0"/>
        <w:contextualSpacing/>
        <w:rPr>
          <w:rFonts w:ascii="Calibri" w:hAnsi="Calibri"/>
        </w:rPr>
      </w:pPr>
      <w:r>
        <w:rPr>
          <w:rFonts w:cs="Times New Roman"/>
          <w:szCs w:val="24"/>
        </w:rPr>
        <w:t>.............................................................................</w:t>
      </w:r>
    </w:p>
    <w:p>
      <w:pPr>
        <w:pStyle w:val="Akapitzlist1"/>
        <w:spacing w:lineRule="auto" w:line="240" w:before="0" w:after="0"/>
        <w:ind w:left="1080" w:hanging="0"/>
        <w:contextualSpacing/>
        <w:rPr>
          <w:rFonts w:ascii="Calibri" w:hAnsi="Calibri"/>
        </w:rPr>
      </w:pPr>
      <w:r>
        <w:rPr>
          <w:rFonts w:cs="Times New Roman"/>
          <w:szCs w:val="24"/>
        </w:rPr>
        <w:t>e – mail: ..............................................................</w:t>
      </w:r>
    </w:p>
    <w:p>
      <w:pPr>
        <w:pStyle w:val="Akapitzlist1"/>
        <w:spacing w:lineRule="auto" w:line="240" w:before="0" w:after="0"/>
        <w:ind w:left="1080" w:hanging="0"/>
        <w:contextualSpacing/>
        <w:rPr>
          <w:rFonts w:ascii="Calibri" w:hAnsi="Calibri"/>
          <w:szCs w:val="24"/>
        </w:rPr>
      </w:pPr>
      <w:r>
        <w:rPr>
          <w:szCs w:val="24"/>
        </w:rPr>
      </w:r>
    </w:p>
    <w:p>
      <w:pPr>
        <w:pStyle w:val="Akapitzlist1"/>
        <w:spacing w:lineRule="auto" w:line="240" w:before="0" w:after="0"/>
        <w:ind w:left="0" w:hanging="0"/>
        <w:contextualSpacing/>
        <w:rPr>
          <w:rFonts w:ascii="Calibri" w:hAnsi="Calibri"/>
        </w:rPr>
      </w:pPr>
      <w:r>
        <w:rPr>
          <w:rFonts w:cs="Times New Roman"/>
          <w:szCs w:val="24"/>
        </w:rPr>
        <w:t>4.    Osobami uprawnionymi do kontaktów w sprawach związanych z realizacją niniejszej umowy są:</w:t>
      </w:r>
    </w:p>
    <w:p>
      <w:pPr>
        <w:pStyle w:val="Akapitzlist1"/>
        <w:numPr>
          <w:ilvl w:val="0"/>
          <w:numId w:val="29"/>
        </w:numPr>
        <w:spacing w:lineRule="auto" w:line="240" w:before="0" w:after="0"/>
        <w:ind w:left="1080" w:hanging="360"/>
        <w:contextualSpacing/>
        <w:rPr>
          <w:rFonts w:ascii="Calibri" w:hAnsi="Calibri"/>
        </w:rPr>
      </w:pPr>
      <w:r>
        <w:rPr>
          <w:rFonts w:cs="Times New Roman"/>
          <w:szCs w:val="24"/>
        </w:rPr>
        <w:t>po stronie Zamawiającego: Justyna Strenczek, Jadwiga Dyszy</w:t>
      </w:r>
      <w:r>
        <w:rPr>
          <w:rFonts w:eastAsia="Times New Roman" w:cs="Times New Roman"/>
          <w:szCs w:val="24"/>
        </w:rPr>
        <w:t xml:space="preserve">      </w:t>
      </w:r>
      <w:r>
        <w:rPr>
          <w:rFonts w:cs="Times New Roman"/>
          <w:szCs w:val="24"/>
        </w:rPr>
        <w:t>tel.: 32/3934227</w:t>
      </w:r>
    </w:p>
    <w:p>
      <w:pPr>
        <w:pStyle w:val="Akapitzlist1"/>
        <w:spacing w:lineRule="auto" w:line="240" w:before="0" w:after="0"/>
        <w:contextualSpacing/>
        <w:rPr/>
      </w:pPr>
      <w:r>
        <w:rPr>
          <w:rFonts w:eastAsia="Times New Roman" w:cs="Times New Roman"/>
          <w:szCs w:val="24"/>
          <w:lang w:val="en-US"/>
        </w:rPr>
        <w:t xml:space="preserve">      </w:t>
      </w:r>
      <w:r>
        <w:rPr>
          <w:rFonts w:cs="Times New Roman"/>
          <w:szCs w:val="24"/>
          <w:lang w:val="en-US"/>
        </w:rPr>
        <w:t xml:space="preserve">e – mail: </w:t>
      </w:r>
      <w:hyperlink r:id="rId4">
        <w:r>
          <w:rPr>
            <w:rStyle w:val="Czeinternetowe"/>
            <w:rFonts w:cs="Times New Roman"/>
            <w:szCs w:val="24"/>
            <w:lang w:val="de-AT"/>
          </w:rPr>
          <w:t>gospodarczy@urazowka.piekary.pl</w:t>
        </w:r>
      </w:hyperlink>
    </w:p>
    <w:p>
      <w:pPr>
        <w:pStyle w:val="Akapitzlist1"/>
        <w:numPr>
          <w:ilvl w:val="0"/>
          <w:numId w:val="29"/>
        </w:numPr>
        <w:spacing w:lineRule="auto" w:line="240" w:before="0" w:after="0"/>
        <w:ind w:left="1080" w:hanging="360"/>
        <w:contextualSpacing/>
        <w:rPr>
          <w:rFonts w:ascii="Calibri" w:hAnsi="Calibri"/>
        </w:rPr>
      </w:pPr>
      <w:r>
        <w:rPr>
          <w:rFonts w:cs="Times New Roman"/>
          <w:szCs w:val="24"/>
        </w:rPr>
        <w:t>po stronie Wykonawcy:......................</w:t>
      </w:r>
    </w:p>
    <w:p>
      <w:pPr>
        <w:pStyle w:val="Akapitzlist1"/>
        <w:spacing w:lineRule="auto" w:line="240" w:before="0" w:after="0"/>
        <w:ind w:left="1080" w:hanging="0"/>
        <w:contextualSpacing/>
        <w:rPr>
          <w:rFonts w:ascii="Calibri" w:hAnsi="Calibri"/>
        </w:rPr>
      </w:pPr>
      <w:r>
        <w:rPr>
          <w:rFonts w:eastAsia="Times New Roman" w:cs="Times New Roman"/>
          <w:szCs w:val="24"/>
        </w:rPr>
        <w:t>t</w:t>
      </w:r>
      <w:r>
        <w:rPr>
          <w:rFonts w:cs="Times New Roman"/>
          <w:szCs w:val="24"/>
        </w:rPr>
        <w:t>el: ...........</w:t>
      </w:r>
    </w:p>
    <w:p>
      <w:pPr>
        <w:pStyle w:val="Akapitzlist1"/>
        <w:spacing w:lineRule="auto" w:line="240" w:before="0" w:after="0"/>
        <w:contextualSpacing/>
        <w:rPr>
          <w:rFonts w:ascii="Calibri" w:hAnsi="Calibri"/>
        </w:rPr>
      </w:pPr>
      <w:r>
        <w:rPr>
          <w:rFonts w:eastAsia="Times New Roman" w:cs="Times New Roman"/>
          <w:szCs w:val="24"/>
        </w:rPr>
        <w:t xml:space="preserve">      </w:t>
      </w:r>
      <w:r>
        <w:rPr>
          <w:rFonts w:cs="Times New Roman"/>
          <w:szCs w:val="24"/>
        </w:rPr>
        <w:t>e – mail: ......................................................</w:t>
      </w:r>
    </w:p>
    <w:p>
      <w:pPr>
        <w:pStyle w:val="Domylnie"/>
        <w:spacing w:lineRule="auto" w:line="240" w:before="0" w:after="0"/>
        <w:ind w:left="357" w:hanging="0"/>
        <w:contextualSpacing/>
        <w:rPr>
          <w:rFonts w:ascii="Calibri" w:hAnsi="Calibri" w:cs="Times New Roman"/>
          <w:szCs w:val="24"/>
        </w:rPr>
      </w:pPr>
      <w:r>
        <w:rPr>
          <w:rFonts w:cs="Times New Roman"/>
          <w:szCs w:val="24"/>
        </w:rPr>
      </w:r>
    </w:p>
    <w:p>
      <w:pPr>
        <w:pStyle w:val="Domylnie"/>
        <w:spacing w:lineRule="auto" w:line="240" w:before="0" w:after="0"/>
        <w:contextualSpacing/>
        <w:rPr>
          <w:rFonts w:ascii="Calibri" w:hAnsi="Calibri"/>
        </w:rPr>
      </w:pPr>
      <w:r>
        <w:rPr>
          <w:rFonts w:cs="Times New Roman"/>
          <w:szCs w:val="24"/>
        </w:rPr>
        <w:t>§ 15</w:t>
      </w:r>
    </w:p>
    <w:p>
      <w:pPr>
        <w:pStyle w:val="Domylnie"/>
        <w:spacing w:lineRule="auto" w:line="240" w:before="0" w:after="0"/>
        <w:contextualSpacing/>
        <w:rPr>
          <w:rFonts w:ascii="Calibri" w:hAnsi="Calibri"/>
        </w:rPr>
      </w:pPr>
      <w:r>
        <w:rPr>
          <w:rFonts w:cs="Times New Roman"/>
          <w:szCs w:val="24"/>
        </w:rPr>
        <w:t>W sprawach nieuregulowanych niniejszą umową zastosowanie mają przepisy Kodeksu cywilnego oraz przepisy aktów prawnych wymienionych w § 1 ust. 1 niniejszej umowy.</w:t>
      </w:r>
    </w:p>
    <w:p>
      <w:pPr>
        <w:pStyle w:val="Domylnie"/>
        <w:spacing w:lineRule="auto" w:line="240" w:before="0" w:after="0"/>
        <w:contextualSpacing/>
        <w:rPr>
          <w:rFonts w:ascii="Calibri" w:hAnsi="Calibri"/>
        </w:rPr>
      </w:pPr>
      <w:r>
        <w:rPr>
          <w:rFonts w:cs="Times New Roman"/>
          <w:szCs w:val="24"/>
        </w:rPr>
        <w:t>§ 16</w:t>
      </w:r>
    </w:p>
    <w:p>
      <w:pPr>
        <w:pStyle w:val="Domylnie"/>
        <w:spacing w:lineRule="auto" w:line="240" w:before="0" w:after="0"/>
        <w:contextualSpacing/>
        <w:rPr>
          <w:rFonts w:ascii="Calibri" w:hAnsi="Calibri"/>
        </w:rPr>
      </w:pPr>
      <w:r>
        <w:rPr>
          <w:rFonts w:cs="Times New Roman"/>
          <w:szCs w:val="24"/>
        </w:rPr>
        <w:t>Wszelkie zmiany do niniejszej umowy wymagają formy pisemnej w postaci aneksu pod rygorem nieważności.</w:t>
      </w:r>
    </w:p>
    <w:p>
      <w:pPr>
        <w:pStyle w:val="Domylnie"/>
        <w:spacing w:lineRule="auto" w:line="240" w:before="0" w:after="0"/>
        <w:contextualSpacing/>
        <w:rPr>
          <w:rFonts w:ascii="Calibri" w:hAnsi="Calibri"/>
        </w:rPr>
      </w:pPr>
      <w:r>
        <w:rPr>
          <w:rFonts w:cs="Times New Roman"/>
          <w:szCs w:val="24"/>
        </w:rPr>
        <w:t>§ 17</w:t>
      </w:r>
    </w:p>
    <w:p>
      <w:pPr>
        <w:pStyle w:val="Nagwek1"/>
        <w:numPr>
          <w:ilvl w:val="0"/>
          <w:numId w:val="30"/>
        </w:numPr>
        <w:spacing w:lineRule="auto" w:line="240" w:before="0" w:after="0"/>
        <w:contextualSpacing/>
        <w:jc w:val="left"/>
        <w:rPr>
          <w:rFonts w:ascii="Calibri" w:hAnsi="Calibri"/>
        </w:rPr>
      </w:pPr>
      <w:r>
        <w:rPr>
          <w:rFonts w:ascii="Calibri" w:hAnsi="Calibri"/>
          <w:szCs w:val="24"/>
        </w:rPr>
        <w:t>W przypadku pojawienia się sporu w związku z realizacją postanowień niniejszej umowy, Strony zobowiązują się podjąć stosowne kroki w celu jego polubownego rozstrzygnięcia.</w:t>
      </w:r>
    </w:p>
    <w:p>
      <w:pPr>
        <w:pStyle w:val="Nagwek1"/>
        <w:numPr>
          <w:ilvl w:val="0"/>
          <w:numId w:val="30"/>
        </w:numPr>
        <w:spacing w:lineRule="auto" w:line="240" w:before="0" w:after="0"/>
        <w:contextualSpacing/>
        <w:jc w:val="left"/>
        <w:rPr>
          <w:rFonts w:ascii="Calibri" w:hAnsi="Calibri"/>
        </w:rPr>
      </w:pPr>
      <w:r>
        <w:rPr>
          <w:rFonts w:ascii="Calibri" w:hAnsi="Calibri"/>
          <w:szCs w:val="24"/>
        </w:rPr>
        <w:t>Wszelkie sprawy sporne wynikające z realizacji postanowień niniejszej umowy, które nie zostaną rozwiązane przez Strony w sposób, o którym mowa w ust. 1, rozstrzygać będzie Sąd właściwy dla siedziby Zamawiającego.</w:t>
      </w:r>
    </w:p>
    <w:p>
      <w:pPr>
        <w:pStyle w:val="Domylnie"/>
        <w:spacing w:lineRule="auto" w:line="240" w:before="0" w:after="0"/>
        <w:contextualSpacing/>
        <w:rPr>
          <w:rFonts w:ascii="Calibri" w:hAnsi="Calibri"/>
        </w:rPr>
      </w:pPr>
      <w:r>
        <w:rPr>
          <w:rFonts w:cs="Times New Roman"/>
          <w:szCs w:val="24"/>
        </w:rPr>
        <w:t>§ 18</w:t>
      </w:r>
    </w:p>
    <w:p>
      <w:pPr>
        <w:pStyle w:val="Domylnie"/>
        <w:spacing w:lineRule="auto" w:line="240" w:before="0" w:after="0"/>
        <w:contextualSpacing/>
        <w:rPr>
          <w:rFonts w:ascii="Calibri" w:hAnsi="Calibri"/>
        </w:rPr>
      </w:pPr>
      <w:r>
        <w:rPr>
          <w:rFonts w:cs="Times New Roman"/>
          <w:szCs w:val="24"/>
        </w:rPr>
        <w:t>Umowę sporządzono w dwóch jednobrzmiących egzemplarzach, po jednym dla każdej ze Stron.</w:t>
      </w:r>
    </w:p>
    <w:p>
      <w:pPr>
        <w:pStyle w:val="Domylnie"/>
        <w:spacing w:lineRule="auto" w:line="240" w:before="0" w:after="0"/>
        <w:contextualSpacing/>
        <w:rPr>
          <w:rFonts w:ascii="Calibri" w:hAnsi="Calibri" w:cs="Times New Roman"/>
          <w:szCs w:val="24"/>
        </w:rPr>
      </w:pPr>
      <w:r>
        <w:rPr>
          <w:rFonts w:cs="Times New Roman"/>
          <w:szCs w:val="24"/>
        </w:rPr>
      </w:r>
    </w:p>
    <w:p>
      <w:pPr>
        <w:pStyle w:val="Domylnie"/>
        <w:spacing w:lineRule="auto" w:line="240" w:before="0" w:after="0"/>
        <w:contextualSpacing/>
        <w:rPr>
          <w:rFonts w:ascii="Calibri" w:hAnsi="Calibri"/>
        </w:rPr>
      </w:pPr>
      <w:r>
        <w:rPr>
          <w:rFonts w:eastAsia="Arial" w:cs="Times New Roman"/>
          <w:szCs w:val="24"/>
        </w:rPr>
        <w:t>…</w:t>
      </w:r>
      <w:r>
        <w:rPr>
          <w:rFonts w:eastAsia="Arial" w:cs="Times New Roman"/>
          <w:szCs w:val="24"/>
        </w:rPr>
        <w:t>.............................................</w:t>
        <w:tab/>
        <w:t xml:space="preserve">                                          …............................................. </w:t>
        <w:tab/>
        <w:t xml:space="preserve">    </w:t>
      </w:r>
    </w:p>
    <w:p>
      <w:pPr>
        <w:pStyle w:val="Domylnie"/>
        <w:spacing w:lineRule="auto" w:line="240" w:before="0" w:after="0"/>
        <w:contextualSpacing/>
        <w:rPr>
          <w:rFonts w:ascii="Calibri" w:hAnsi="Calibri"/>
        </w:rPr>
      </w:pPr>
      <w:r>
        <w:rPr>
          <w:rFonts w:eastAsia="Arial" w:cs="Times New Roman"/>
          <w:b/>
          <w:szCs w:val="24"/>
        </w:rPr>
        <w:tab/>
      </w:r>
      <w:r>
        <w:rPr>
          <w:rFonts w:eastAsia="Arial" w:cs="Times New Roman"/>
          <w:szCs w:val="24"/>
        </w:rPr>
        <w:t>ZAMAWIAJĄCY</w:t>
        <w:tab/>
        <w:tab/>
        <w:tab/>
        <w:t xml:space="preserve">  </w:t>
        <w:tab/>
        <w:t xml:space="preserve"> </w:t>
        <w:tab/>
        <w:t xml:space="preserve">             WYKONAWCA </w:t>
      </w:r>
    </w:p>
    <w:p>
      <w:pPr>
        <w:pStyle w:val="Domylnie"/>
        <w:spacing w:lineRule="auto" w:line="240" w:before="0" w:after="0"/>
        <w:contextualSpacing/>
        <w:rPr>
          <w:rFonts w:ascii="Calibri" w:hAnsi="Calibri" w:cs="Times New Roman"/>
          <w:szCs w:val="24"/>
        </w:rPr>
      </w:pPr>
      <w:r>
        <w:rPr>
          <w:rFonts w:cs="Times New Roman"/>
          <w:szCs w:val="24"/>
        </w:rPr>
      </w:r>
    </w:p>
    <w:p>
      <w:pPr>
        <w:pStyle w:val="Normal"/>
        <w:widowControl/>
        <w:suppressAutoHyphens w:val="false"/>
        <w:spacing w:lineRule="auto" w:line="240" w:before="0" w:after="0"/>
        <w:contextualSpacing/>
        <w:rPr>
          <w:rFonts w:ascii="Calibri" w:hAnsi="Calibri" w:eastAsia="Times New Roman"/>
          <w:kern w:val="0"/>
          <w:lang w:eastAsia="pl-PL"/>
        </w:rPr>
      </w:pPr>
      <w:r>
        <w:rPr>
          <w:rFonts w:eastAsia="Times New Roman" w:ascii="Calibri" w:hAnsi="Calibri"/>
          <w:kern w:val="0"/>
          <w:lang w:eastAsia="pl-PL"/>
        </w:rPr>
      </w:r>
    </w:p>
    <w:p>
      <w:pPr>
        <w:pStyle w:val="Normal"/>
        <w:widowControl/>
        <w:suppressAutoHyphens w:val="false"/>
        <w:spacing w:lineRule="auto" w:line="240" w:before="0" w:after="0"/>
        <w:contextualSpacing/>
        <w:rPr>
          <w:rFonts w:ascii="Calibri" w:hAnsi="Calibri" w:eastAsia="Times New Roman"/>
          <w:kern w:val="0"/>
          <w:lang w:eastAsia="pl-PL"/>
        </w:rPr>
      </w:pPr>
      <w:r>
        <w:rPr>
          <w:rFonts w:eastAsia="Times New Roman" w:ascii="Calibri" w:hAnsi="Calibri"/>
          <w:kern w:val="0"/>
          <w:lang w:eastAsia="pl-PL"/>
        </w:rPr>
      </w:r>
    </w:p>
    <w:p>
      <w:pPr>
        <w:pStyle w:val="Normal"/>
        <w:spacing w:lineRule="auto" w:line="240" w:before="0" w:after="0"/>
        <w:contextualSpacing/>
        <w:rPr>
          <w:rFonts w:ascii="Calibri" w:hAnsi="Calibri"/>
        </w:rPr>
      </w:pPr>
      <w:r>
        <w:rPr/>
      </w:r>
    </w:p>
    <w:sectPr>
      <w:type w:val="nextPage"/>
      <w:pgSz w:w="11906" w:h="16838"/>
      <w:pgMar w:left="1134" w:right="1134"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Tahoma">
    <w:charset w:val="ee"/>
    <w:family w:val="roman"/>
    <w:pitch w:val="variable"/>
  </w:font>
  <w:font w:name="Liberation Sans">
    <w:altName w:val="Arial"/>
    <w:charset w:val="ee"/>
    <w:family w:val="roman"/>
    <w:pitch w:val="variable"/>
  </w:font>
  <w:font w:name="Arial">
    <w:altName w:val="sans-serif"/>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sz w:val="24"/>
        <w:szCs w:val="24"/>
        <w:bCs/>
        <w:rFonts w:cs="Times New Roma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lowerLetter"/>
      <w:lvlText w:val="%1)"/>
      <w:lvlJc w:val="left"/>
      <w:pPr>
        <w:tabs>
          <w:tab w:val="num" w:pos="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decimal"/>
      <w:lvlText w:val="%1)"/>
      <w:lvlJc w:val="left"/>
      <w:pPr>
        <w:tabs>
          <w:tab w:val="num" w:pos="0"/>
        </w:tabs>
        <w:ind w:left="644" w:hanging="360"/>
      </w:pPr>
      <w:rPr>
        <w:sz w:val="24"/>
        <w:b w:val="false"/>
        <w:szCs w:val="22"/>
        <w:rFonts w:cs="Times New Roma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lowerLetter"/>
      <w:lvlText w:val="%1)"/>
      <w:lvlJc w:val="left"/>
      <w:pPr>
        <w:tabs>
          <w:tab w:val="num" w:pos="0"/>
        </w:tabs>
        <w:ind w:left="644"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lowerLetter"/>
      <w:lvlText w:val="%1)"/>
      <w:lvlJc w:val="left"/>
      <w:pPr>
        <w:tabs>
          <w:tab w:val="num" w:pos="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lowerLetter"/>
      <w:lvlText w:val="%1)"/>
      <w:lvlJc w:val="left"/>
      <w:pPr>
        <w:tabs>
          <w:tab w:val="num" w:pos="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decimal"/>
      <w:lvlText w:val="%1."/>
      <w:lvlJc w:val="left"/>
      <w:pPr>
        <w:tabs>
          <w:tab w:val="num" w:pos="0"/>
        </w:tabs>
        <w:ind w:left="360" w:hanging="360"/>
      </w:pPr>
      <w:rPr>
        <w:sz w:val="24"/>
        <w:b w:val="false"/>
        <w:rFonts w:cs="Times New Roma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decimal"/>
      <w:lvlText w:val="%1)"/>
      <w:lvlJc w:val="left"/>
      <w:pPr>
        <w:tabs>
          <w:tab w:val="num" w:pos="0"/>
        </w:tabs>
        <w:ind w:left="720" w:hanging="360"/>
      </w:pPr>
      <w:rPr>
        <w:sz w:val="24"/>
        <w:szCs w:val="24"/>
        <w:rFonts w:cs="Times New Roma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
    <w:lvl w:ilvl="0">
      <w:start w:val="1"/>
      <w:numFmt w:val="decimal"/>
      <w:lvlText w:val="%1."/>
      <w:lvlJc w:val="left"/>
      <w:pPr>
        <w:tabs>
          <w:tab w:val="num" w:pos="0"/>
        </w:tabs>
        <w:ind w:left="360" w:hanging="360"/>
      </w:pPr>
      <w:rPr>
        <w:sz w:val="24"/>
        <w:szCs w:val="22"/>
        <w:rFonts w:cs="Times New Roma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
    <w:lvl w:ilvl="0">
      <w:start w:val="1"/>
      <w:numFmt w:val="decimal"/>
      <w:lvlText w:val="%1)"/>
      <w:lvlJc w:val="left"/>
      <w:pPr>
        <w:tabs>
          <w:tab w:val="num" w:pos="0"/>
        </w:tabs>
        <w:ind w:left="720" w:hanging="360"/>
      </w:pPr>
      <w:rPr>
        <w:sz w:val="24"/>
        <w:spacing w:val="-2"/>
        <w:szCs w:val="24"/>
        <w:lang w:val="pl-P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
    <w:lvl w:ilvl="0">
      <w:start w:val="1"/>
      <w:numFmt w:val="lowerLetter"/>
      <w:lvlText w:val="%1)"/>
      <w:lvlJc w:val="left"/>
      <w:pPr>
        <w:tabs>
          <w:tab w:val="num" w:pos="0"/>
        </w:tabs>
        <w:ind w:left="720" w:hanging="360"/>
      </w:pPr>
      <w:rPr>
        <w:sz w:val="24"/>
        <w:b w:val="false"/>
        <w:szCs w:val="24"/>
        <w:rFonts w:cs="Times New Roma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2">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360" w:hanging="360"/>
      </w:pPr>
      <w:rPr>
        <w:sz w:val="24"/>
        <w:szCs w:val="24"/>
        <w:rFonts w:cs="Times New Roman"/>
        <w:lang w:eastAsia="pl-PL"/>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3">
    <w:lvl w:ilvl="0">
      <w:start w:val="1"/>
      <w:numFmt w:val="lowerLetter"/>
      <w:lvlText w:val="%1)"/>
      <w:lvlJc w:val="left"/>
      <w:pPr>
        <w:tabs>
          <w:tab w:val="num" w:pos="0"/>
        </w:tabs>
        <w:ind w:left="360" w:hanging="360"/>
      </w:pPr>
      <w:rPr>
        <w:sz w:val="24"/>
        <w:szCs w:val="24"/>
        <w:rFonts w:cs="Times New Roman"/>
        <w:lang w:eastAsia="pl-PL"/>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36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4">
    <w:lvl w:ilvl="0">
      <w:start w:val="2"/>
      <w:numFmt w:val="lowerLetter"/>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6"/>
      <w:numFmt w:val="decimal"/>
      <w:lvlText w:val="%4."/>
      <w:lvlJc w:val="left"/>
      <w:pPr>
        <w:tabs>
          <w:tab w:val="num" w:pos="0"/>
        </w:tabs>
        <w:ind w:left="360" w:hanging="360"/>
      </w:pPr>
      <w:rPr>
        <w:sz w:val="24"/>
        <w:szCs w:val="24"/>
        <w:rFonts w:cs="Times New Roman"/>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5">
    <w:lvl w:ilvl="0">
      <w:start w:val="1"/>
      <w:numFmt w:val="decimal"/>
      <w:lvlText w:val="%1."/>
      <w:lvlJc w:val="left"/>
      <w:pPr>
        <w:tabs>
          <w:tab w:val="num" w:pos="0"/>
        </w:tabs>
        <w:ind w:left="360" w:hanging="360"/>
      </w:pPr>
      <w:rPr>
        <w:sz w:val="24"/>
        <w:szCs w:val="22"/>
        <w:rFonts w:cs="Times New Roma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0"/>
        </w:tabs>
        <w:ind w:left="360" w:hanging="360"/>
      </w:pPr>
      <w:rPr>
        <w:sz w:val="24"/>
        <w:szCs w:val="22"/>
        <w:rFonts w:cs="Times New Roma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0"/>
        </w:tabs>
        <w:ind w:left="360" w:hanging="360"/>
      </w:pPr>
      <w:rPr>
        <w:sz w:val="24"/>
        <w:szCs w:val="24"/>
        <w:rFonts w:cs="Times New Roman"/>
      </w:rPr>
    </w:lvl>
    <w:lvl w:ilvl="1">
      <w:start w:val="1"/>
      <w:numFmt w:val="decimal"/>
      <w:lvlText w:val="%2."/>
      <w:lvlJc w:val="left"/>
      <w:pPr>
        <w:tabs>
          <w:tab w:val="num" w:pos="0"/>
        </w:tabs>
        <w:ind w:left="1080" w:hanging="360"/>
      </w:pPr>
      <w:rPr/>
    </w:lvl>
    <w:lvl w:ilvl="2">
      <w:start w:val="1"/>
      <w:numFmt w:val="lowerRoman"/>
      <w:lvlText w:val="%3."/>
      <w:lvlJc w:val="lef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lef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left"/>
      <w:pPr>
        <w:tabs>
          <w:tab w:val="num" w:pos="0"/>
        </w:tabs>
        <w:ind w:left="6120" w:hanging="180"/>
      </w:pPr>
      <w:rPr/>
    </w:lvl>
  </w:abstractNum>
  <w:abstractNum w:abstractNumId="18">
    <w:lvl w:ilvl="0">
      <w:start w:val="1"/>
      <w:numFmt w:val="decimal"/>
      <w:lvlText w:val="%1."/>
      <w:lvlJc w:val="left"/>
      <w:pPr>
        <w:tabs>
          <w:tab w:val="num" w:pos="0"/>
        </w:tabs>
        <w:ind w:left="360" w:hanging="360"/>
      </w:pPr>
      <w:rPr>
        <w:sz w:val="24"/>
        <w:szCs w:val="24"/>
        <w:bCs/>
        <w:rFonts w:cs="Times New Roman"/>
      </w:rPr>
    </w:lvl>
    <w:lvl w:ilvl="1">
      <w:start w:val="1"/>
      <w:numFmt w:val="decimal"/>
      <w:lvlText w:val="%2."/>
      <w:lvlJc w:val="left"/>
      <w:pPr>
        <w:tabs>
          <w:tab w:val="num" w:pos="0"/>
        </w:tabs>
        <w:ind w:left="1080" w:hanging="360"/>
      </w:pPr>
      <w:rPr/>
    </w:lvl>
    <w:lvl w:ilvl="2">
      <w:start w:val="1"/>
      <w:numFmt w:val="lowerRoman"/>
      <w:lvlText w:val="%3."/>
      <w:lvlJc w:val="lef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lef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left"/>
      <w:pPr>
        <w:tabs>
          <w:tab w:val="num" w:pos="0"/>
        </w:tabs>
        <w:ind w:left="6120" w:hanging="180"/>
      </w:pPr>
      <w:rPr/>
    </w:lvl>
  </w:abstractNum>
  <w:abstractNum w:abstractNumId="19">
    <w:lvl w:ilvl="0">
      <w:start w:val="2"/>
      <w:numFmt w:val="decimal"/>
      <w:lvlText w:val="%1."/>
      <w:lvlJc w:val="left"/>
      <w:pPr>
        <w:tabs>
          <w:tab w:val="num" w:pos="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0">
    <w:lvl w:ilvl="0">
      <w:start w:val="3"/>
      <w:numFmt w:val="decimal"/>
      <w:lvlText w:val="%1."/>
      <w:lvlJc w:val="left"/>
      <w:pPr>
        <w:tabs>
          <w:tab w:val="num" w:pos="0"/>
        </w:tabs>
        <w:ind w:left="360" w:hanging="360"/>
      </w:pPr>
      <w:rPr>
        <w:sz w:val="24"/>
        <w:szCs w:val="24"/>
        <w:bCs/>
        <w:rFonts w:cs="Times New Roma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1">
    <w:lvl w:ilvl="0">
      <w:start w:val="1"/>
      <w:numFmt w:val="decimal"/>
      <w:lvlText w:val="%1."/>
      <w:lvlJc w:val="left"/>
      <w:pPr>
        <w:tabs>
          <w:tab w:val="num" w:pos="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decimal"/>
      <w:lvlText w:val="%1)"/>
      <w:lvlJc w:val="left"/>
      <w:pPr>
        <w:tabs>
          <w:tab w:val="num" w:pos="0"/>
        </w:tabs>
        <w:ind w:left="360" w:hanging="360"/>
      </w:pPr>
      <w:rPr>
        <w:sz w:val="24"/>
        <w:szCs w:val="24"/>
        <w:rFonts w:cs="Times New Roman"/>
      </w:rPr>
    </w:lvl>
    <w:lvl w:ilvl="1">
      <w:start w:val="1"/>
      <w:numFmt w:val="decimal"/>
      <w:lvlText w:val="%2."/>
      <w:lvlJc w:val="left"/>
      <w:pPr>
        <w:tabs>
          <w:tab w:val="num" w:pos="360"/>
        </w:tabs>
        <w:ind w:left="360" w:hanging="360"/>
      </w:pPr>
      <w:rPr/>
    </w:lvl>
    <w:lvl w:ilvl="2">
      <w:start w:val="1"/>
      <w:numFmt w:val="decimal"/>
      <w:lvlText w:val="%3."/>
      <w:lvlJc w:val="left"/>
      <w:pPr>
        <w:tabs>
          <w:tab w:val="num" w:pos="720"/>
        </w:tabs>
        <w:ind w:left="720" w:hanging="360"/>
      </w:pPr>
      <w:rPr/>
    </w:lvl>
    <w:lvl w:ilvl="3">
      <w:start w:val="1"/>
      <w:numFmt w:val="decimal"/>
      <w:lvlText w:val="%4."/>
      <w:lvlJc w:val="left"/>
      <w:pPr>
        <w:tabs>
          <w:tab w:val="num" w:pos="1080"/>
        </w:tabs>
        <w:ind w:left="1080" w:hanging="360"/>
      </w:pPr>
      <w:rPr/>
    </w:lvl>
    <w:lvl w:ilvl="4">
      <w:start w:val="1"/>
      <w:numFmt w:val="decimal"/>
      <w:lvlText w:val="%5."/>
      <w:lvlJc w:val="left"/>
      <w:pPr>
        <w:tabs>
          <w:tab w:val="num" w:pos="1440"/>
        </w:tabs>
        <w:ind w:left="1440" w:hanging="360"/>
      </w:pPr>
      <w:rPr/>
    </w:lvl>
    <w:lvl w:ilvl="5">
      <w:start w:val="1"/>
      <w:numFmt w:val="decimal"/>
      <w:lvlText w:val="%6."/>
      <w:lvlJc w:val="left"/>
      <w:pPr>
        <w:tabs>
          <w:tab w:val="num" w:pos="1800"/>
        </w:tabs>
        <w:ind w:left="1800" w:hanging="360"/>
      </w:pPr>
      <w:rPr/>
    </w:lvl>
    <w:lvl w:ilvl="6">
      <w:start w:val="1"/>
      <w:numFmt w:val="decimal"/>
      <w:lvlText w:val="%7."/>
      <w:lvlJc w:val="left"/>
      <w:pPr>
        <w:tabs>
          <w:tab w:val="num" w:pos="2160"/>
        </w:tabs>
        <w:ind w:left="2160" w:hanging="360"/>
      </w:pPr>
      <w:rPr/>
    </w:lvl>
    <w:lvl w:ilvl="7">
      <w:start w:val="1"/>
      <w:numFmt w:val="decimal"/>
      <w:lvlText w:val="%8."/>
      <w:lvlJc w:val="left"/>
      <w:pPr>
        <w:tabs>
          <w:tab w:val="num" w:pos="2520"/>
        </w:tabs>
        <w:ind w:left="2520" w:hanging="360"/>
      </w:pPr>
      <w:rPr/>
    </w:lvl>
    <w:lvl w:ilvl="8">
      <w:start w:val="1"/>
      <w:numFmt w:val="decimal"/>
      <w:lvlText w:val="%9."/>
      <w:lvlJc w:val="left"/>
      <w:pPr>
        <w:tabs>
          <w:tab w:val="num" w:pos="2880"/>
        </w:tabs>
        <w:ind w:left="2880" w:hanging="360"/>
      </w:pPr>
      <w:rPr/>
    </w:lvl>
  </w:abstractNum>
  <w:abstractNum w:abstractNumId="23">
    <w:lvl w:ilvl="0">
      <w:start w:val="1"/>
      <w:numFmt w:val="lowerLetter"/>
      <w:lvlText w:val="%1)"/>
      <w:lvlJc w:val="left"/>
      <w:pPr>
        <w:tabs>
          <w:tab w:val="num" w:pos="0"/>
        </w:tabs>
        <w:ind w:left="360" w:hanging="360"/>
      </w:pPr>
      <w:rPr>
        <w:sz w:val="24"/>
        <w:szCs w:val="24"/>
        <w:rFonts w:cs="Times New Roman"/>
      </w:rPr>
    </w:lvl>
    <w:lvl w:ilvl="1">
      <w:start w:val="1"/>
      <w:numFmt w:val="lowerLetter"/>
      <w:lvlText w:val="%2."/>
      <w:lvlJc w:val="left"/>
      <w:pPr>
        <w:tabs>
          <w:tab w:val="num" w:pos="0"/>
        </w:tabs>
        <w:ind w:left="0" w:hanging="360"/>
      </w:pPr>
      <w:rPr/>
    </w:lvl>
    <w:lvl w:ilvl="2">
      <w:start w:val="1"/>
      <w:numFmt w:val="lowerRoman"/>
      <w:lvlText w:val="%3."/>
      <w:lvlJc w:val="right"/>
      <w:pPr>
        <w:tabs>
          <w:tab w:val="num" w:pos="0"/>
        </w:tabs>
        <w:ind w:left="720" w:hanging="180"/>
      </w:pPr>
      <w:rPr/>
    </w:lvl>
    <w:lvl w:ilvl="3">
      <w:start w:val="1"/>
      <w:numFmt w:val="decimal"/>
      <w:lvlText w:val="%4."/>
      <w:lvlJc w:val="left"/>
      <w:pPr>
        <w:tabs>
          <w:tab w:val="num" w:pos="0"/>
        </w:tabs>
        <w:ind w:left="1440" w:hanging="360"/>
      </w:pPr>
      <w:rPr/>
    </w:lvl>
    <w:lvl w:ilvl="4">
      <w:start w:val="1"/>
      <w:numFmt w:val="lowerLetter"/>
      <w:lvlText w:val="%5."/>
      <w:lvlJc w:val="left"/>
      <w:pPr>
        <w:tabs>
          <w:tab w:val="num" w:pos="0"/>
        </w:tabs>
        <w:ind w:left="2160" w:hanging="360"/>
      </w:pPr>
      <w:rPr/>
    </w:lvl>
    <w:lvl w:ilvl="5">
      <w:start w:val="1"/>
      <w:numFmt w:val="lowerRoman"/>
      <w:lvlText w:val="%6."/>
      <w:lvlJc w:val="right"/>
      <w:pPr>
        <w:tabs>
          <w:tab w:val="num" w:pos="0"/>
        </w:tabs>
        <w:ind w:left="2880" w:hanging="180"/>
      </w:pPr>
      <w:rPr/>
    </w:lvl>
    <w:lvl w:ilvl="6">
      <w:start w:val="1"/>
      <w:numFmt w:val="decimal"/>
      <w:lvlText w:val="%7."/>
      <w:lvlJc w:val="left"/>
      <w:pPr>
        <w:tabs>
          <w:tab w:val="num" w:pos="0"/>
        </w:tabs>
        <w:ind w:left="3600" w:hanging="360"/>
      </w:pPr>
      <w:rPr/>
    </w:lvl>
    <w:lvl w:ilvl="7">
      <w:start w:val="1"/>
      <w:numFmt w:val="lowerLetter"/>
      <w:lvlText w:val="%8."/>
      <w:lvlJc w:val="left"/>
      <w:pPr>
        <w:tabs>
          <w:tab w:val="num" w:pos="0"/>
        </w:tabs>
        <w:ind w:left="4320" w:hanging="360"/>
      </w:pPr>
      <w:rPr/>
    </w:lvl>
    <w:lvl w:ilvl="8">
      <w:start w:val="1"/>
      <w:numFmt w:val="lowerRoman"/>
      <w:lvlText w:val="%9."/>
      <w:lvlJc w:val="right"/>
      <w:pPr>
        <w:tabs>
          <w:tab w:val="num" w:pos="0"/>
        </w:tabs>
        <w:ind w:left="5040" w:hanging="180"/>
      </w:pPr>
      <w:rPr/>
    </w:lvl>
  </w:abstractNum>
  <w:abstractNum w:abstractNumId="24">
    <w:lvl w:ilvl="0">
      <w:start w:val="3"/>
      <w:numFmt w:val="decimal"/>
      <w:lvlText w:val="%1."/>
      <w:lvlJc w:val="left"/>
      <w:pPr>
        <w:tabs>
          <w:tab w:val="num" w:pos="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5">
    <w:lvl w:ilvl="0">
      <w:start w:val="1"/>
      <w:numFmt w:val="decimal"/>
      <w:lvlText w:val="%1."/>
      <w:lvlJc w:val="left"/>
      <w:pPr>
        <w:tabs>
          <w:tab w:val="num" w:pos="0"/>
        </w:tabs>
        <w:ind w:left="360" w:hanging="360"/>
      </w:pPr>
      <w:rPr>
        <w:sz w:val="24"/>
        <w:szCs w:val="24"/>
        <w:lang w:val="pl-P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6">
    <w:lvl w:ilvl="0">
      <w:start w:val="1"/>
      <w:numFmt w:val="lowerLetter"/>
      <w:lvlText w:val="%1)"/>
      <w:lvlJc w:val="left"/>
      <w:pPr>
        <w:tabs>
          <w:tab w:val="num" w:pos="360"/>
        </w:tabs>
        <w:ind w:left="360" w:hanging="360"/>
      </w:pPr>
      <w:rPr>
        <w:sz w:val="24"/>
        <w:szCs w:val="24"/>
        <w:lang w:val="pl-P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7">
    <w:lvl w:ilvl="0">
      <w:start w:val="1"/>
      <w:numFmt w:val="decimal"/>
      <w:lvlText w:val="%1."/>
      <w:lvlJc w:val="left"/>
      <w:pPr>
        <w:tabs>
          <w:tab w:val="num" w:pos="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8">
    <w:lvl w:ilvl="0">
      <w:start w:val="1"/>
      <w:numFmt w:val="lowerLetter"/>
      <w:lvlText w:val="%1)"/>
      <w:lvlJc w:val="left"/>
      <w:pPr>
        <w:tabs>
          <w:tab w:val="num" w:pos="0"/>
        </w:tabs>
        <w:ind w:left="360" w:hanging="360"/>
      </w:pPr>
      <w:rPr/>
    </w:lvl>
    <w:lvl w:ilvl="1">
      <w:start w:val="1"/>
      <w:numFmt w:val="decimal"/>
      <w:lvlText w:val="%2."/>
      <w:lvlJc w:val="left"/>
      <w:pPr>
        <w:tabs>
          <w:tab w:val="num" w:pos="0"/>
        </w:tabs>
        <w:ind w:left="1080" w:hanging="360"/>
      </w:pPr>
      <w:rPr/>
    </w:lvl>
    <w:lvl w:ilvl="2">
      <w:start w:val="1"/>
      <w:numFmt w:val="lowerRoman"/>
      <w:lvlText w:val="%3."/>
      <w:lvlJc w:val="lef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lef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left"/>
      <w:pPr>
        <w:tabs>
          <w:tab w:val="num" w:pos="0"/>
        </w:tabs>
        <w:ind w:left="6120" w:hanging="180"/>
      </w:pPr>
      <w:rPr/>
    </w:lvl>
  </w:abstractNum>
  <w:abstractNum w:abstractNumId="29">
    <w:lvl w:ilvl="0">
      <w:start w:val="1"/>
      <w:numFmt w:val="decimal"/>
      <w:lvlText w:val="%1."/>
      <w:lvlJc w:val="left"/>
      <w:pPr>
        <w:tabs>
          <w:tab w:val="num" w:pos="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0">
    <w:lvl w:ilvl="0">
      <w:start w:val="1"/>
      <w:numFmt w:val="decimal"/>
      <w:lvlText w:val="%1."/>
      <w:lvlJc w:val="left"/>
      <w:pPr>
        <w:tabs>
          <w:tab w:val="num" w:pos="0"/>
        </w:tabs>
        <w:ind w:left="360" w:hanging="360"/>
      </w:pPr>
      <w:rPr/>
    </w:lvl>
    <w:lvl w:ilvl="1">
      <w:start w:val="1"/>
      <w:numFmt w:val="decimal"/>
      <w:lvlText w:val="%2."/>
      <w:lvlJc w:val="left"/>
      <w:pPr>
        <w:tabs>
          <w:tab w:val="num" w:pos="0"/>
        </w:tabs>
        <w:ind w:left="1080" w:hanging="360"/>
      </w:pPr>
      <w:rPr/>
    </w:lvl>
    <w:lvl w:ilvl="2">
      <w:start w:val="1"/>
      <w:numFmt w:val="lowerRoman"/>
      <w:lvlText w:val="%3."/>
      <w:lvlJc w:val="lef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lef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left"/>
      <w:pPr>
        <w:tabs>
          <w:tab w:val="num" w:pos="0"/>
        </w:tabs>
        <w:ind w:left="6120" w:hanging="180"/>
      </w:pPr>
      <w:rPr/>
    </w:lvl>
  </w:abstractNum>
  <w:abstractNum w:abstractNumId="31">
    <w:lvl w:ilvl="0">
      <w:start w:val="1"/>
      <w:numFmt w:val="lowerLetter"/>
      <w:lvlText w:val="%1)"/>
      <w:lvlJc w:val="left"/>
      <w:pPr>
        <w:tabs>
          <w:tab w:val="num" w:pos="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2">
    <w:lvl w:ilvl="0">
      <w:start w:val="1"/>
      <w:numFmt w:val="decimal"/>
      <w:lvlText w:val="%1."/>
      <w:lvlJc w:val="left"/>
      <w:pPr>
        <w:tabs>
          <w:tab w:val="num" w:pos="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decimal"/>
      <w:lvlText w:val="%1."/>
      <w:lvlJc w:val="left"/>
      <w:pPr>
        <w:tabs>
          <w:tab w:val="num" w:pos="0"/>
        </w:tabs>
        <w:ind w:left="360" w:hanging="360"/>
      </w:pPr>
      <w:rPr>
        <w:lang w:val="pl-P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5">
    <w:lvl w:ilvl="0">
      <w:start w:val="1"/>
      <w:numFmt w:val="decimal"/>
      <w:lvlText w:val="%1)"/>
      <w:lvlJc w:val="left"/>
      <w:pPr>
        <w:tabs>
          <w:tab w:val="num" w:pos="0"/>
        </w:tabs>
        <w:ind w:left="360" w:hanging="360"/>
      </w:pPr>
      <w:rPr>
        <w:sz w:val="24"/>
        <w:b/>
        <w:szCs w:val="24"/>
        <w:bCs/>
        <w:rFonts w:ascii="Times New Roman" w:hAnsi="Times New Roman" w:cs="Times New Roma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6">
    <w:lvl w:ilvl="0">
      <w:start w:val="2"/>
      <w:numFmt w:val="decimal"/>
      <w:lvlText w:val="%1."/>
      <w:lvlJc w:val="left"/>
      <w:pPr>
        <w:tabs>
          <w:tab w:val="num" w:pos="0"/>
        </w:tabs>
        <w:ind w:left="360" w:hanging="360"/>
      </w:pPr>
      <w:rPr>
        <w:sz w:val="24"/>
        <w:szCs w:val="22"/>
        <w:rFonts w:cs="Times New Roma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7">
    <w:lvl w:ilvl="0">
      <w:start w:val="5"/>
      <w:numFmt w:val="decimal"/>
      <w:lvlText w:val="%1)"/>
      <w:lvlJc w:val="left"/>
      <w:pPr>
        <w:tabs>
          <w:tab w:val="num" w:pos="0"/>
        </w:tabs>
        <w:ind w:left="786" w:hanging="360"/>
      </w:pPr>
      <w:rPr>
        <w:sz w:val="24"/>
        <w:szCs w:val="24"/>
        <w:rFonts w:cs="Times New Roma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lowerLetter"/>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3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w="http://schemas.openxmlformats.org/wordprocessingml/2006/main">
  <w:zoom w:percent="108"/>
  <w:defaultTabStop w:val="708"/>
  <w:autoHyphenation w:val="true"/>
  <w:hyphenationZone w:val="425"/>
  <w:compat>
    <w:compatSetting w:name="compatibilityMode" w:uri="http://schemas.microsoft.com/office/word" w:val="12"/>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l-P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c37c7"/>
    <w:pPr>
      <w:widowControl w:val="false"/>
      <w:suppressAutoHyphens w:val="true"/>
      <w:bidi w:val="0"/>
      <w:spacing w:before="0" w:after="0"/>
      <w:jc w:val="left"/>
    </w:pPr>
    <w:rPr>
      <w:rFonts w:ascii="Times New Roman" w:hAnsi="Times New Roman" w:eastAsia="Andale Sans UI" w:cs="Times New Roman"/>
      <w:color w:val="auto"/>
      <w:kern w:val="2"/>
      <w:sz w:val="24"/>
      <w:szCs w:val="24"/>
      <w:lang w:val="pl-PL" w:eastAsia="zh-CN" w:bidi="ar-SA"/>
    </w:rPr>
  </w:style>
  <w:style w:type="character" w:styleId="DefaultParagraphFont" w:default="1">
    <w:name w:val="Default Paragraph Font"/>
    <w:uiPriority w:val="1"/>
    <w:semiHidden/>
    <w:unhideWhenUsed/>
    <w:qFormat/>
    <w:rPr/>
  </w:style>
  <w:style w:type="character" w:styleId="CharacterStyle1" w:customStyle="1">
    <w:name w:val="Character Style 1"/>
    <w:qFormat/>
    <w:rsid w:val="008c37c7"/>
    <w:rPr>
      <w:rFonts w:ascii="Tahoma" w:hAnsi="Tahoma" w:cs="Tahoma"/>
      <w:sz w:val="16"/>
    </w:rPr>
  </w:style>
  <w:style w:type="character" w:styleId="Czeinternetowe" w:customStyle="1">
    <w:name w:val="Hyperlink"/>
    <w:rsid w:val="008c37c7"/>
    <w:rPr>
      <w:color w:val="0000FF"/>
      <w:u w:val="single"/>
    </w:rPr>
  </w:style>
  <w:style w:type="character" w:styleId="DeltaViewInsertion" w:customStyle="1">
    <w:name w:val="DeltaView Insertion"/>
    <w:qFormat/>
    <w:rsid w:val="008c37c7"/>
    <w:rPr>
      <w:b/>
      <w:i/>
      <w:spacing w:val="0"/>
    </w:rPr>
  </w:style>
  <w:style w:type="character" w:styleId="WWZnakiprzypiswdolnych" w:customStyle="1">
    <w:name w:val="WW-Znaki przypisów dolnych"/>
    <w:qFormat/>
    <w:rsid w:val="008c37c7"/>
    <w:rPr>
      <w:vertAlign w:val="superscript"/>
    </w:rPr>
  </w:style>
  <w:style w:type="character" w:styleId="Domylnaczcionkaakapitu">
    <w:name w:val="Domyślna czcionka akapitu"/>
    <w:qFormat/>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rsid w:val="009b1c15"/>
    <w:pPr>
      <w:spacing w:lineRule="auto" w:line="276" w:before="0" w:after="140"/>
    </w:pPr>
    <w:rPr/>
  </w:style>
  <w:style w:type="paragraph" w:styleId="Lista">
    <w:name w:val="List"/>
    <w:basedOn w:val="Tretekstu"/>
    <w:rsid w:val="009b1c15"/>
    <w:pPr/>
    <w:rPr>
      <w:rFonts w:cs="Arial"/>
    </w:rPr>
  </w:style>
  <w:style w:type="paragraph" w:styleId="Podpis" w:customStyle="1">
    <w:name w:val="Caption"/>
    <w:basedOn w:val="Normal"/>
    <w:qFormat/>
    <w:rsid w:val="009b1c15"/>
    <w:pPr>
      <w:suppressLineNumbers/>
      <w:spacing w:before="120" w:after="120"/>
    </w:pPr>
    <w:rPr>
      <w:rFonts w:cs="Arial"/>
      <w:i/>
      <w:iCs/>
    </w:rPr>
  </w:style>
  <w:style w:type="paragraph" w:styleId="Indeks" w:customStyle="1">
    <w:name w:val="Indeks"/>
    <w:basedOn w:val="Normal"/>
    <w:qFormat/>
    <w:rsid w:val="009b1c15"/>
    <w:pPr>
      <w:suppressLineNumbers/>
    </w:pPr>
    <w:rPr>
      <w:rFonts w:cs="Arial"/>
    </w:rPr>
  </w:style>
  <w:style w:type="paragraph" w:styleId="Gwkaistopka">
    <w:name w:val="Główka i stopka"/>
    <w:basedOn w:val="Normal"/>
    <w:qFormat/>
    <w:pPr/>
    <w:rPr/>
  </w:style>
  <w:style w:type="paragraph" w:styleId="Gwka">
    <w:name w:val="Header"/>
    <w:basedOn w:val="Normal"/>
    <w:next w:val="Tretekstu"/>
    <w:qFormat/>
    <w:rsid w:val="009b1c15"/>
    <w:pPr>
      <w:keepNext w:val="true"/>
      <w:spacing w:before="240" w:after="120"/>
    </w:pPr>
    <w:rPr>
      <w:rFonts w:ascii="Liberation Sans" w:hAnsi="Liberation Sans" w:eastAsia="Microsoft YaHei" w:cs="Arial"/>
      <w:sz w:val="28"/>
      <w:szCs w:val="28"/>
    </w:rPr>
  </w:style>
  <w:style w:type="paragraph" w:styleId="Domylnie" w:customStyle="1">
    <w:name w:val="Domyślnie"/>
    <w:qFormat/>
    <w:rsid w:val="008c37c7"/>
    <w:pPr>
      <w:widowControl/>
      <w:suppressAutoHyphens w:val="true"/>
      <w:bidi w:val="0"/>
      <w:spacing w:lineRule="auto" w:line="276" w:before="0" w:after="200"/>
      <w:jc w:val="left"/>
    </w:pPr>
    <w:rPr>
      <w:rFonts w:ascii="Calibri" w:hAnsi="Calibri" w:eastAsia="Calibri" w:cs="Calibri"/>
      <w:color w:val="00000A"/>
      <w:kern w:val="2"/>
      <w:sz w:val="24"/>
      <w:szCs w:val="22"/>
      <w:lang w:val="pl-PL" w:eastAsia="zh-CN" w:bidi="ar-SA"/>
    </w:rPr>
  </w:style>
  <w:style w:type="paragraph" w:styleId="Style14" w:customStyle="1">
    <w:name w:val="Style 1"/>
    <w:qFormat/>
    <w:rsid w:val="008c37c7"/>
    <w:pPr>
      <w:widowControl w:val="false"/>
      <w:suppressAutoHyphens w:val="true"/>
      <w:bidi w:val="0"/>
      <w:spacing w:lineRule="atLeast" w:line="100" w:before="0" w:after="0"/>
      <w:jc w:val="left"/>
    </w:pPr>
    <w:rPr>
      <w:rFonts w:ascii="Times New Roman" w:hAnsi="Times New Roman" w:eastAsia="Times New Roman" w:cs="Times New Roman"/>
      <w:color w:val="00000A"/>
      <w:kern w:val="2"/>
      <w:sz w:val="20"/>
      <w:szCs w:val="20"/>
      <w:lang w:val="en-US" w:eastAsia="zh-CN" w:bidi="ar-SA"/>
    </w:rPr>
  </w:style>
  <w:style w:type="paragraph" w:styleId="Style21" w:customStyle="1">
    <w:name w:val="Style 2"/>
    <w:qFormat/>
    <w:rsid w:val="008c37c7"/>
    <w:pPr>
      <w:widowControl w:val="false"/>
      <w:suppressAutoHyphens w:val="true"/>
      <w:bidi w:val="0"/>
      <w:spacing w:lineRule="atLeast" w:line="100" w:before="0" w:after="0"/>
      <w:ind w:left="360" w:hanging="0"/>
      <w:jc w:val="left"/>
    </w:pPr>
    <w:rPr>
      <w:rFonts w:ascii="Tahoma" w:hAnsi="Tahoma" w:eastAsia="Times New Roman" w:cs="Tahoma"/>
      <w:color w:val="00000A"/>
      <w:kern w:val="2"/>
      <w:sz w:val="16"/>
      <w:szCs w:val="16"/>
      <w:lang w:val="en-US" w:eastAsia="zh-CN" w:bidi="ar-SA"/>
    </w:rPr>
  </w:style>
  <w:style w:type="paragraph" w:styleId="Akapitzlist1" w:customStyle="1">
    <w:name w:val="Akapit z listą1"/>
    <w:basedOn w:val="Domylnie"/>
    <w:qFormat/>
    <w:rsid w:val="008c37c7"/>
    <w:pPr>
      <w:ind w:left="720" w:hanging="0"/>
    </w:pPr>
    <w:rPr/>
  </w:style>
  <w:style w:type="paragraph" w:styleId="Tekst" w:customStyle="1">
    <w:name w:val="Tekst"/>
    <w:qFormat/>
    <w:rsid w:val="008c37c7"/>
    <w:pPr>
      <w:widowControl w:val="false"/>
      <w:suppressAutoHyphens w:val="true"/>
      <w:bidi w:val="0"/>
      <w:spacing w:before="0" w:after="120"/>
      <w:jc w:val="left"/>
    </w:pPr>
    <w:rPr>
      <w:rFonts w:ascii="Times New Roman" w:hAnsi="Times New Roman" w:eastAsia="Andale Sans UI" w:cs="Times New Roman"/>
      <w:color w:val="auto"/>
      <w:kern w:val="2"/>
      <w:sz w:val="24"/>
      <w:szCs w:val="24"/>
      <w:lang w:val="pl-PL" w:eastAsia="zh-CN" w:bidi="ar-SA"/>
    </w:rPr>
  </w:style>
  <w:style w:type="paragraph" w:styleId="Legenda1" w:customStyle="1">
    <w:name w:val="Legenda1"/>
    <w:basedOn w:val="Domylnie"/>
    <w:qFormat/>
    <w:rsid w:val="008c37c7"/>
    <w:pPr>
      <w:suppressLineNumbers/>
      <w:spacing w:before="120" w:after="120"/>
    </w:pPr>
    <w:rPr>
      <w:rFonts w:cs="Mangal"/>
      <w:i/>
      <w:iCs/>
      <w:szCs w:val="24"/>
    </w:rPr>
  </w:style>
  <w:style w:type="paragraph" w:styleId="Nagwek1" w:customStyle="1">
    <w:name w:val="Nagłówek1"/>
    <w:basedOn w:val="Domylnie"/>
    <w:qFormat/>
    <w:rsid w:val="008c37c7"/>
    <w:pPr>
      <w:spacing w:lineRule="atLeast" w:line="100" w:before="0" w:after="0"/>
      <w:jc w:val="center"/>
    </w:pPr>
    <w:rPr>
      <w:rFonts w:ascii="Times New Roman" w:hAnsi="Times New Roman" w:eastAsia="Times New Roman" w:cs="Times New Roman"/>
      <w:szCs w:val="20"/>
    </w:rPr>
  </w:style>
  <w:style w:type="paragraph" w:styleId="Standard" w:customStyle="1">
    <w:name w:val="Standard"/>
    <w:qFormat/>
    <w:rsid w:val="009b1c15"/>
    <w:pPr>
      <w:widowControl w:val="false"/>
      <w:suppressAutoHyphens w:val="true"/>
      <w:bidi w:val="0"/>
      <w:spacing w:before="0" w:after="0"/>
      <w:jc w:val="left"/>
      <w:textAlignment w:val="baseline"/>
    </w:pPr>
    <w:rPr>
      <w:rFonts w:ascii="Times New Roman" w:hAnsi="Times New Roman" w:eastAsia="Tahoma" w:cs="Tahoma"/>
      <w:color w:val="000000"/>
      <w:kern w:val="2"/>
      <w:sz w:val="24"/>
      <w:szCs w:val="24"/>
      <w:lang w:val="en-US" w:eastAsia="zh-CN" w:bidi="hi-IN"/>
    </w:rPr>
  </w:style>
  <w:style w:type="paragraph" w:styleId="ListParagraph">
    <w:name w:val="List Paragraph"/>
    <w:basedOn w:val="Standard"/>
    <w:qFormat/>
    <w:pPr>
      <w:ind w:left="720" w:hanging="0"/>
    </w:pPr>
    <w:rPr/>
  </w:style>
  <w:style w:type="numbering" w:styleId="NoList" w:default="1">
    <w:name w:val="No List"/>
    <w:uiPriority w:val="99"/>
    <w:semiHidden/>
    <w:unhideWhenUsed/>
    <w:qFormat/>
  </w:style>
  <w:style w:type="table" w:default="1" w:styleId="Standardowy">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urazowka.piekary.pl/" TargetMode="External"/><Relationship Id="rId3" Type="http://schemas.openxmlformats.org/officeDocument/2006/relationships/hyperlink" Target="mailto:gospodarczy@urazowka.piekary.pl" TargetMode="External"/><Relationship Id="rId4" Type="http://schemas.openxmlformats.org/officeDocument/2006/relationships/hyperlink" Target="mailto:gospodarczy@urazowka.piekary.pl"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B932DE-DFA6-4BE5-B78A-BFFE71EEF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Application>LibreOffice/7.4.3.2$Windows_X86_64 LibreOffice_project/1048a8393ae2eeec98dff31b5c133c5f1d08b890</Application>
  <AppVersion>15.0000</AppVersion>
  <Pages>10</Pages>
  <Words>3519</Words>
  <Characters>23013</Characters>
  <CharactersWithSpaces>26619</CharactersWithSpaces>
  <Paragraphs>178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2020-02-02T22:12:00Z</dcterms:created>
  <dc:creator>faust</dc:creator>
  <dc:description/>
  <dc:language>pl-PL</dc:language>
  <cp:lastModifiedBy/>
  <cp:lastPrinted>2021-02-04T08:49:00Z</cp:lastPrinted>
  <dcterms:modified xsi:type="dcterms:W3CDTF">2026-01-08T11:04:42Z</dcterms:modified>
  <cp:revision>29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