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 xml:space="preserve">Znak sprawy: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KJ.272/K/1/2024</w:t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Calibri" w:ascii="Calibri" w:hAnsi="Calibri"/>
          <w:iCs/>
          <w:strike w:val="false"/>
          <w:dstrike w:val="false"/>
          <w:color w:val="000000"/>
          <w:lang w:val="pl-PL"/>
        </w:rPr>
        <w:t>Wykaz świadczeń medycznych –</w:t>
      </w:r>
      <w:r>
        <w:rPr>
          <w:rFonts w:cs="Calibri" w:ascii="Calibri" w:hAnsi="Calibri"/>
          <w:b/>
          <w:bCs/>
          <w:iCs/>
          <w:strike w:val="false"/>
          <w:dstrike w:val="false"/>
          <w:color w:val="000000"/>
          <w:lang w:val="pl-PL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 w:cs="Arial"/>
          <w:iCs/>
          <w:color w:val="000000"/>
        </w:rPr>
      </w:pPr>
      <w:r>
        <w:rPr>
          <w:rFonts w:cs="Arial" w:ascii="Calibri" w:hAnsi="Calibri"/>
          <w:iCs/>
          <w:color w:val="000000"/>
        </w:rPr>
      </w:r>
    </w:p>
    <w:p>
      <w:pPr>
        <w:pStyle w:val="PlainText"/>
        <w:spacing w:lineRule="auto" w:line="276" w:before="0" w:after="0"/>
        <w:jc w:val="left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  <w:lang w:val="pl-PL"/>
        </w:rPr>
        <w:t xml:space="preserve">Przedmiotem zamówienia jest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zabezpieczenie świadczenia usług medycznych przez lekarza </w:t>
        <w:br/>
        <w:t>w zakresie medycyny pracy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 w Sam</w:t>
      </w:r>
      <w:r>
        <w:rPr>
          <w:rFonts w:cs="Arial" w:ascii="Calibri" w:hAnsi="Calibri"/>
          <w:color w:val="000000"/>
          <w:sz w:val="24"/>
          <w:szCs w:val="24"/>
          <w:lang w:val="pl-PL"/>
        </w:rPr>
        <w:t>odzielnym Publicznym Wojewódzkim Szpitalu Chirurgii Urazowej w Piekarach Śląskich w ilości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  <w:sz w:val="8"/>
          <w:szCs w:val="8"/>
        </w:rPr>
      </w:pPr>
      <w:r>
        <w:rPr>
          <w:rFonts w:ascii="Calibri" w:hAnsi="Calibri"/>
          <w:b/>
          <w:bCs/>
          <w:color w:val="000000"/>
          <w:sz w:val="8"/>
          <w:szCs w:val="8"/>
        </w:rPr>
      </w:r>
    </w:p>
    <w:tbl>
      <w:tblPr>
        <w:tblW w:w="91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512"/>
        <w:gridCol w:w="2040"/>
        <w:gridCol w:w="1529"/>
        <w:gridCol w:w="1485"/>
      </w:tblGrid>
      <w:tr>
        <w:trPr>
          <w:trHeight w:val="15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t>Rodzaj świadczenia usługi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zł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/>
            </w:pPr>
            <w:r>
              <w:rPr>
                <w:rStyle w:val="Domylnaczcionkaakapitu"/>
                <w:rFonts w:ascii="Calibri" w:hAnsi="Calibri"/>
                <w:color w:val="000000"/>
                <w:lang w:val="pl-PL" w:eastAsia="pl-PL"/>
              </w:rPr>
              <w:t>Świadczenie usług medycznych przez lekarza w zakresie</w:t>
              <w:br/>
              <w:t xml:space="preserve">medycyny pracy </w:t>
              <w:br/>
              <w:t xml:space="preserve">w zakresie wynikającym </w:t>
              <w:br/>
              <w:t xml:space="preserve">z przepisów </w:t>
            </w:r>
            <w:r>
              <w:rPr>
                <w:rStyle w:val="Domylnaczcionkaakapitu"/>
                <w:rFonts w:eastAsia="Arial" w:cs="Calibri" w:ascii="Calibri" w:hAnsi="Calibri"/>
                <w:color w:val="000000"/>
                <w:sz w:val="24"/>
                <w:szCs w:val="24"/>
                <w:lang w:val="pl-PL" w:eastAsia="pl-PL"/>
              </w:rPr>
              <w:t xml:space="preserve"> (ryczałt za miesiąc).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……</w:t>
            </w: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.. miesiące</w:t>
            </w:r>
          </w:p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z max. 24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7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RAZEM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Ilość osób: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br/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1 lekarzowi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medycyny pracy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000000"/>
          <w:lang w:val="pl-PL"/>
        </w:rPr>
        <w:t>Miejsce wykonywania świadczeń:</w:t>
      </w:r>
    </w:p>
    <w:p>
      <w:pPr>
        <w:pStyle w:val="Standard"/>
        <w:spacing w:lineRule="auto" w:line="276" w:before="0" w:after="0"/>
        <w:jc w:val="left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lang w:val="pl-PL" w:eastAsia="hi-IN"/>
        </w:rPr>
        <w:t xml:space="preserve">Samodzielny Publiczny Wojewódzki Szpital Chirurgii Urazowej im. dr. Janusza Daaba </w:t>
        <w:br/>
        <w:t>w Piekarach Śląskich, ul. Bytomska 62, 41 – 940 Piekary Śląskie.</w:t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color w:val="000000"/>
        </w:rPr>
      </w:pPr>
      <w:r>
        <w:rPr>
          <w:rFonts w:eastAsia="Arial" w:cs="Calibr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obowiązków lekarza medycyny pracy należą:</w:t>
      </w:r>
    </w:p>
    <w:p>
      <w:pPr>
        <w:pStyle w:val="Normal"/>
        <w:tabs>
          <w:tab w:val="clear" w:pos="720"/>
          <w:tab w:val="left" w:pos="347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  <w:tab/>
        <w:t xml:space="preserve">Wykonywanie profilaktycznych badań lekarskich pracowników Zamawiającego </w:t>
        <w:tab/>
        <w:t>(wstępnych, okresowych, kontrolnych oraz do celów sanitarno – epidemiologicznych).</w:t>
      </w:r>
    </w:p>
    <w:p>
      <w:pPr>
        <w:pStyle w:val="Normal"/>
        <w:tabs>
          <w:tab w:val="clear" w:pos="720"/>
          <w:tab w:val="left" w:pos="347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  <w:tab/>
        <w:t xml:space="preserve">Wykonywanie profilaktycznych badań pracowników narażonych na działanie </w:t>
        <w:tab/>
        <w:t>promieniowania jonizującego.</w:t>
      </w:r>
    </w:p>
    <w:p>
      <w:pPr>
        <w:pStyle w:val="Normal"/>
        <w:tabs>
          <w:tab w:val="clear" w:pos="720"/>
          <w:tab w:val="left" w:pos="347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  <w:tab/>
        <w:t>Kwalifikacja pracowników Zamawiającego do szczepienia WZW.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Sporządzanie zaświadczeń lub orzeczeń  lekarskich zgodnie z obowiązującymi przepisami </w:t>
        <w:br/>
        <w:t>w tym zakresie zgodnie z m. in.:</w:t>
      </w:r>
    </w:p>
    <w:p>
      <w:pPr>
        <w:pStyle w:val="Normalny"/>
        <w:tabs>
          <w:tab w:val="clear" w:pos="720"/>
          <w:tab w:val="left" w:pos="347" w:leader="none"/>
        </w:tabs>
        <w:suppressAutoHyphens w:val="false"/>
        <w:spacing w:lineRule="auto" w:line="276"/>
        <w:rPr/>
      </w:pPr>
      <w:r>
        <w:rPr>
          <w:rStyle w:val="Domylnaczcionkaakapitu"/>
          <w:rFonts w:eastAsia="Times New Roman" w:cs="Arial"/>
          <w:color w:val="000000"/>
          <w:kern w:val="0"/>
          <w:sz w:val="24"/>
          <w:szCs w:val="24"/>
          <w:lang w:val="pl-PL" w:eastAsia="pl-PL" w:bidi="ar-SA"/>
        </w:rPr>
        <w:t xml:space="preserve">1. </w:t>
        <w:tab/>
        <w:t>Ustawą o służbie medycyny pracy z dnia 27 czerwca 1997 r.</w:t>
      </w:r>
    </w:p>
    <w:p>
      <w:pPr>
        <w:pStyle w:val="Normalny"/>
        <w:tabs>
          <w:tab w:val="clear" w:pos="720"/>
          <w:tab w:val="left" w:pos="347" w:leader="none"/>
        </w:tabs>
        <w:suppressAutoHyphens w:val="false"/>
        <w:spacing w:lineRule="auto" w:line="276"/>
        <w:rPr/>
      </w:pPr>
      <w:r>
        <w:rPr>
          <w:rStyle w:val="Domylnaczcionkaakapitu"/>
          <w:rFonts w:eastAsia="Times New Roman" w:cs="Arial"/>
          <w:b w:val="false"/>
          <w:color w:val="000000"/>
          <w:kern w:val="0"/>
          <w:sz w:val="24"/>
          <w:szCs w:val="24"/>
          <w:shd w:fill="FFFFFF" w:val="clear"/>
          <w:lang w:val="pl-PL" w:eastAsia="pl-PL" w:bidi="ar-SA"/>
        </w:rPr>
        <w:t xml:space="preserve">2. </w:t>
        <w:tab/>
        <w:t xml:space="preserve">Rozporządzeniem Ministra Zdrowia z dnia 26 marca 2015 r. zmieniającym rozporządzenie </w:t>
        <w:tab/>
        <w:t xml:space="preserve">Ministra Zdrowia i Opieki Społecznej w sprawie przeprowadzania badań lekarskich </w:t>
      </w:r>
      <w:r>
        <w:br w:type="page"/>
      </w:r>
    </w:p>
    <w:p>
      <w:pPr>
        <w:pStyle w:val="Normalny"/>
        <w:tabs>
          <w:tab w:val="clear" w:pos="720"/>
          <w:tab w:val="left" w:pos="347" w:leader="none"/>
        </w:tabs>
        <w:suppressAutoHyphens w:val="false"/>
        <w:spacing w:lineRule="auto" w:line="276"/>
        <w:rPr/>
      </w:pPr>
      <w:r>
        <w:rPr>
          <w:rStyle w:val="Domylnaczcionkaakapitu"/>
          <w:rFonts w:eastAsia="Times New Roman" w:cs="Arial"/>
          <w:b w:val="false"/>
          <w:color w:val="000000"/>
          <w:kern w:val="0"/>
          <w:sz w:val="24"/>
          <w:szCs w:val="24"/>
          <w:shd w:fill="FFFFFF" w:val="clear"/>
          <w:lang w:val="pl-PL" w:eastAsia="pl-PL" w:bidi="ar-SA"/>
        </w:rPr>
        <w:tab/>
        <w:t xml:space="preserve">pracowników, zakresu profilaktycznej opieki zdrowotnej nad pracownikami oraz orzeczeń </w:t>
        <w:tab/>
        <w:t>lekarskich wydawanych do celów przewidzianych w Kodeksie Pracy.</w:t>
      </w:r>
    </w:p>
    <w:p>
      <w:pPr>
        <w:pStyle w:val="Normalny"/>
        <w:tabs>
          <w:tab w:val="clear" w:pos="720"/>
          <w:tab w:val="left" w:pos="347" w:leader="none"/>
        </w:tabs>
        <w:suppressAutoHyphens w:val="false"/>
        <w:spacing w:lineRule="auto" w:line="276"/>
        <w:rPr/>
      </w:pPr>
      <w:r>
        <w:rPr>
          <w:rStyle w:val="Domylnaczcionkaakapitu"/>
          <w:rFonts w:eastAsia="Times New Roman" w:cs="Arial"/>
          <w:color w:val="000000"/>
          <w:kern w:val="0"/>
          <w:sz w:val="24"/>
          <w:szCs w:val="24"/>
          <w:lang w:val="pl-PL" w:eastAsia="pl-PL" w:bidi="ar-SA"/>
        </w:rPr>
        <w:t xml:space="preserve">3. </w:t>
        <w:tab/>
        <w:t xml:space="preserve">Ustawą o zapobieganiu i zwalczaniu zakażeń oraz chorób zakaźnych u ludzi z dnia </w:t>
        <w:br/>
        <w:tab/>
        <w:t>5 grudnia 2008 r.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Ilość pracowników w zakładzie pracy około: 800 osób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Szacunkowa ilość badań na okres 24 miesięcy m.in.: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7989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3"/>
        <w:gridCol w:w="2555"/>
      </w:tblGrid>
      <w:tr>
        <w:trPr>
          <w:trHeight w:val="567" w:hRule="exact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l-PL" w:eastAsia="pl-PL"/>
              </w:rPr>
              <w:t>Rodzaj świadczenia</w:t>
            </w:r>
          </w:p>
          <w:p>
            <w:pPr>
              <w:pStyle w:val="Normal"/>
              <w:widowControl w:val="false"/>
              <w:suppressAutoHyphens w:val="false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4"/>
                <w:szCs w:val="24"/>
                <w:lang w:val="pl-PL" w:eastAsia="pl-PL"/>
              </w:rPr>
              <w:t>Szacunkowa ilość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Wydanie orzeczenia lekarskiego (wykonanie badania: wstępnego, okresowego)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  <w:lang w:val="pl-PL" w:eastAsia="pl-PL"/>
              </w:rPr>
              <w:t>1200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textAlignment w:val="center"/>
              <w:rPr/>
            </w:pPr>
            <w:r>
              <w:rPr>
                <w:rStyle w:val="Domylnaczcionkaakapitu"/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Wydanie orzeczenia lekarskiego(wykonanie badania kontrolnego)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  <w:lang w:val="pl-PL" w:eastAsia="pl-PL"/>
              </w:rPr>
              <w:t>800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textAlignment w:val="center"/>
              <w:rPr/>
            </w:pPr>
            <w:r>
              <w:rPr>
                <w:rStyle w:val="Domylnaczcionkaakapitu"/>
                <w:rFonts w:ascii="Calibri" w:hAnsi="Calibri"/>
                <w:color w:val="000000"/>
                <w:sz w:val="24"/>
                <w:szCs w:val="24"/>
                <w:lang w:val="pl-PL" w:eastAsia="pl-PL"/>
              </w:rPr>
              <w:t>Wydanie zaświadczenia dla celów sanitarno</w:t>
              <w:br/>
              <w:t>– epidemiologicznych.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  <w:lang w:val="pl-PL" w:eastAsia="pl-PL"/>
              </w:rPr>
              <w:t>600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</w:tr>
    </w:tbl>
    <w:p>
      <w:pPr>
        <w:pStyle w:val="Normal"/>
        <w:rPr>
          <w:rFonts w:eastAsia="Arial" w:cs="Calibri"/>
          <w:color w:val="000000"/>
          <w:lang w:val="pl-PL"/>
        </w:rPr>
      </w:pPr>
      <w:r>
        <w:rPr>
          <w:rFonts w:eastAsia="Arial" w:cs="Calibri"/>
          <w:color w:val="000000"/>
          <w:lang w:val="pl-PL"/>
        </w:rPr>
      </w:r>
    </w:p>
    <w:p>
      <w:pPr>
        <w:pStyle w:val="Standard"/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Znak sprawy: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KJ.272/K/1/2024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dnia 5.02.2024 r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. do dnia 31.01.2026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ascii="Calibri" w:hAnsi="Calibri" w:cs="Arial"/>
          <w:b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KJ.272/K/1/2024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>na z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abezpieczenie świadczenia usług medycznych przez lekarza w zakresie medycyny pracy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,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ascii="Calibri" w:hAnsi="Calibri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lekarza specjalisty </w:t>
              <w:br/>
              <w:t>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rFonts w:ascii="Calibri" w:hAnsi="Calibri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20 lat i więcej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medycyny pracy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</w:t>
        <w:br/>
        <w:t>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Doświadczenie od 10 do 19 lat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medycyny pracy</w:t>
      </w:r>
      <w:r>
        <w:rPr>
          <w:color w:val="000000"/>
          <w:sz w:val="24"/>
          <w:szCs w:val="24"/>
        </w:rPr>
        <w:t xml:space="preserve"> </w:t>
        <w:br/>
        <w:t>– 50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Doświadczenie 9 lat i mniej jako lekarz specjalista w zakresie medycyny pracy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rFonts w:ascii="Calibri" w:hAnsi="Calibri"/>
          <w:color w:val="000000"/>
        </w:rPr>
      </w:pPr>
      <w:r>
        <w:rPr>
          <w:color w:val="000000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 poświadczone dokumentem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Tytuł co najmniej dr. n. med.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poświadczony dokumentem 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Tytuł niższy od dr. n. med. 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Akapitzlist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color w:val="000000"/>
        </w:rPr>
      </w:pPr>
      <w:r>
        <w:rPr>
          <w:color w:val="000000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w siedzibie Zamawiającego więcej niż 1 raz w tygodniu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Dostępność w siedzibie Zamawiającego 1 raz w tygodniu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 xml:space="preserve">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>Znajomość obsługi HIS Mediqus –100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Calibri" w:cs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>Brak znajomości obsługi HIS Mediqus</w:t>
      </w:r>
      <w:r>
        <w:rPr>
          <w:rFonts w:eastAsia="Times New Roman" w:cs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 xml:space="preserve">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2. Przewidywany czas oczekiwania na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rFonts w:ascii="Calibri" w:hAnsi="Calibri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false"/>
        <w:bidi w:val="0"/>
        <w:spacing w:lineRule="auto" w:line="276" w:before="57" w:after="0"/>
        <w:ind w:left="227" w:right="0" w:hanging="0"/>
        <w:jc w:val="left"/>
        <w:rPr>
          <w:rFonts w:ascii="Calibri" w:hAnsi="Calibri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false"/>
        <w:bidi w:val="0"/>
        <w:spacing w:lineRule="auto" w:line="276" w:before="57" w:after="0"/>
        <w:ind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false"/>
        <w:bidi w:val="0"/>
        <w:spacing w:lineRule="auto" w:line="276" w:before="57" w:after="0"/>
        <w:ind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false"/>
        <w:bidi w:val="0"/>
        <w:spacing w:lineRule="auto" w:line="276" w:before="57" w:after="0"/>
        <w:ind w:right="0" w:hanging="0"/>
        <w:jc w:val="left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000000"/>
          <w:lang w:val="pl-PL"/>
        </w:rPr>
        <w:t>3.</w:t>
        <w:tab/>
        <w:t>Miejsce wykonywania świadczeń:</w:t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false"/>
        <w:bidi w:val="0"/>
        <w:spacing w:lineRule="auto" w:line="276" w:before="57" w:after="0"/>
        <w:ind w:right="0" w:hanging="0"/>
        <w:jc w:val="left"/>
        <w:rPr>
          <w:rFonts w:ascii="Calibri" w:hAnsi="Calibri"/>
        </w:rPr>
      </w:pP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hi-IN" w:bidi="ar-SA"/>
        </w:rPr>
        <w:tab/>
        <w:t xml:space="preserve">Samodzielny Publiczny Wojewódzki Szpital Chirurgii Urazowej im. dr. Janusza Daaba </w:t>
        <w:br/>
        <w:tab/>
        <w:t>w Piekarach Śląskich, ul. Bytomska 62, 41 – 940 Piekary Śląskie.</w:t>
      </w:r>
    </w:p>
    <w:p>
      <w:pPr>
        <w:pStyle w:val="Normal"/>
        <w:spacing w:lineRule="auto" w:line="276" w:before="113" w:after="0"/>
        <w:ind w:left="284" w:right="0" w:hanging="284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Application>LibreOffice/7.4.3.2$Windows_X86_64 LibreOffice_project/1048a8393ae2eeec98dff31b5c133c5f1d08b890</Application>
  <AppVersion>15.0000</AppVersion>
  <Pages>10</Pages>
  <Words>772</Words>
  <Characters>5171</Characters>
  <CharactersWithSpaces>5895</CharactersWithSpaces>
  <Paragraphs>120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2022-11-03T14:28:35Z</cp:lastPrinted>
  <dcterms:modified xsi:type="dcterms:W3CDTF">2024-01-09T10:13:04Z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