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ab/>
        <w:tab/>
        <w:tab/>
        <w:tab/>
        <w:tab/>
        <w:tab/>
        <w:tab/>
        <w:tab/>
        <w:tab/>
        <w:t>Załącznik nr  2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rFonts w:cs="Calibri"/>
          <w:b/>
          <w:bCs/>
          <w:sz w:val="24"/>
          <w:szCs w:val="24"/>
        </w:rPr>
        <w:t>S</w:t>
      </w:r>
      <w:bookmarkStart w:id="0" w:name="_GoBack"/>
      <w:bookmarkEnd w:id="0"/>
      <w:r>
        <w:rPr>
          <w:rFonts w:cs="Calibri"/>
          <w:b/>
          <w:bCs/>
          <w:sz w:val="24"/>
          <w:szCs w:val="24"/>
        </w:rPr>
        <w:t xml:space="preserve">zczegółowy opis przedmiotu zamówienia </w:t>
      </w:r>
    </w:p>
    <w:p>
      <w:pPr>
        <w:pStyle w:val="Tretekstu"/>
        <w:spacing w:lineRule="auto" w:line="276"/>
        <w:rPr>
          <w:rFonts w:ascii="Calibri" w:hAnsi="Calibri" w:cs="Calibri"/>
        </w:rPr>
      </w:pPr>
      <w:r>
        <w:rPr>
          <w:rFonts w:cs="Calibri"/>
        </w:rPr>
        <w:t>Wycena aktuarialna rezerw na odprawy emerytalne i nagrody jubileuszowe na dzień 31.12.202</w:t>
      </w:r>
      <w:r>
        <w:rPr>
          <w:rFonts w:cs="Calibri"/>
        </w:rPr>
        <w:t>3</w:t>
      </w:r>
      <w:r>
        <w:rPr>
          <w:rFonts w:cs="Calibri"/>
        </w:rPr>
        <w:t>r.:</w:t>
      </w:r>
    </w:p>
    <w:p>
      <w:pPr>
        <w:pStyle w:val="Tretekstu"/>
        <w:ind w:left="567" w:right="567" w:hanging="0"/>
        <w:rPr>
          <w:rFonts w:ascii="Calibri" w:hAnsi="Calibri" w:cs="Calibri"/>
        </w:rPr>
      </w:pPr>
      <w:r>
        <w:rPr/>
        <w:t>Wynik wyceny ma zostać zaprezentowany w dwóch wariantach:</w:t>
      </w:r>
    </w:p>
    <w:p>
      <w:pPr>
        <w:pStyle w:val="Cytaty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283"/>
        <w:ind w:left="1287" w:right="567" w:hanging="360"/>
        <w:rPr>
          <w:rFonts w:ascii="Calibri" w:hAnsi="Calibri" w:cs="Calibri"/>
        </w:rPr>
      </w:pPr>
      <w:r>
        <w:rPr/>
        <w:t xml:space="preserve">Wariant zgodny z polskimi standardami rachunkowości (metoda prognozowanych uprawnień jednostkowych). </w:t>
      </w:r>
    </w:p>
    <w:p>
      <w:pPr>
        <w:pStyle w:val="Cytaty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283"/>
        <w:ind w:left="1287" w:right="567" w:hanging="360"/>
        <w:jc w:val="both"/>
        <w:rPr>
          <w:rFonts w:ascii="Calibri" w:hAnsi="Calibri" w:cs="Calibri"/>
        </w:rPr>
      </w:pPr>
      <w:r>
        <w:rPr/>
        <w:t xml:space="preserve">Wariant przygotowany na zlecenie Szpitala (rezerwa na nagrody jubileuszowe oszacowana zgodnie z obowiązującą Polityką rachunkowości: „Ze względu na znacznie krótszy okres nabywania uprawnień do nagród jubileuszowych, a tym samym mniejsze ryzyko aktuarialne, rezerwa z tytułu nagród jubileuszowych jest obliczana przy założeniu, że jest to wynagrodzenie o cyklu pięcioletnim, składane przez cztery lata i wypłacane w piątym roku. Rezerwa z tytułu nagród jubileuszowych obliczana jest indywidualnie dla każdego pracownika, w oparciu bieżącą wysokość jego wynagrodzenia, przy uwzględnieniu jego stażu pracy oraz następujące założenia ogólne: roczny planowany wzrost wynagrodzeń, prawdopodobieństwo zatrudnienia (współczynnik rotacji) oraz czynnik dyskontujący przyszłą wypłatę.”) </w:t>
      </w:r>
    </w:p>
    <w:p>
      <w:pPr>
        <w:pStyle w:val="Tretekstu"/>
        <w:ind w:left="567" w:right="567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Tretekstu"/>
        <w:ind w:left="567" w:right="567" w:hanging="0"/>
        <w:rPr>
          <w:rFonts w:ascii="Calibri" w:hAnsi="Calibri" w:cs="Calibri"/>
        </w:rPr>
      </w:pPr>
      <w:r>
        <w:rPr/>
        <w:t>Cena powinna obejmować możliwość co najmniej jednorazowej zmiany prognozowanej stopy wzrostu wynagrodzeń.</w:t>
      </w:r>
    </w:p>
    <w:p>
      <w:pPr>
        <w:pStyle w:val="Tretekstu"/>
        <w:ind w:left="567" w:right="567" w:hanging="0"/>
        <w:rPr>
          <w:rFonts w:ascii="Calibri" w:hAnsi="Calibri" w:cs="Calibri"/>
        </w:rPr>
      </w:pPr>
      <w:r>
        <w:rPr/>
        <w:t>Obliczenia należy przedstawić w ramach wyceny wstępnej (na podstawie danych z okresu lipiec-sierpień 2023r.) oraz wyceny końcowej (na podstawie danych z grudnia 2023r.)</w:t>
      </w:r>
    </w:p>
    <w:p>
      <w:pPr>
        <w:pStyle w:val="Tretekstu"/>
        <w:ind w:left="567" w:right="567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Tretekstu"/>
        <w:ind w:left="567" w:right="567" w:hanging="0"/>
        <w:rPr>
          <w:rFonts w:ascii="Calibri" w:hAnsi="Calibri" w:cs="Calibri"/>
        </w:rPr>
      </w:pPr>
      <w:r>
        <w:rPr/>
        <w:t>Dodatkowo (osobno wyceniona) powinna być usługa oszacowania tzw. Bilansu otwarcia nagród jubileuszowych na dzień 31.12.2022 (zgodnie z polskimi standardami rachunkowości – metoda prognozowanych uprawnień jednostkowych).</w:t>
      </w:r>
    </w:p>
    <w:p>
      <w:pPr>
        <w:pStyle w:val="Standard"/>
        <w:spacing w:lineRule="auto" w:line="276"/>
        <w:rPr>
          <w:rFonts w:ascii="Calibri" w:hAnsi="Calibri" w:cs="Calibr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4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432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bb006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LibreOffice/7.4.1.2$Windows_X86_64 LibreOffice_project/3c58a8f3a960df8bc8fd77b461821e42c061c5f0</Application>
  <AppVersion>15.0000</AppVersion>
  <Pages>1</Pages>
  <Words>194</Words>
  <Characters>1390</Characters>
  <CharactersWithSpaces>1588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2023-02-10T13:16:00Z</dcterms:created>
  <dc:creator>Damian Skrzypek</dc:creator>
  <dc:description/>
  <dc:language>pl-PL</dc:language>
  <cp:lastModifiedBy/>
  <cp:lastPrinted>2023-09-08T12:29:19Z</cp:lastPrinted>
  <dcterms:modified xsi:type="dcterms:W3CDTF">2023-09-08T12:35:37Z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