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BB" w:rsidRDefault="003471BB" w:rsidP="003471BB">
      <w:pPr>
        <w:spacing w:line="360" w:lineRule="auto"/>
        <w:outlineLvl w:val="1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2 – Opis przedmiotu zamówienia</w:t>
      </w:r>
    </w:p>
    <w:p w:rsidR="003471BB" w:rsidRDefault="003471BB">
      <w:pPr>
        <w:spacing w:line="360" w:lineRule="auto"/>
        <w:jc w:val="right"/>
        <w:outlineLvl w:val="1"/>
        <w:rPr>
          <w:rFonts w:cstheme="minorHAnsi"/>
          <w:b/>
          <w:u w:val="single"/>
        </w:rPr>
      </w:pPr>
    </w:p>
    <w:p w:rsidR="00DA469B" w:rsidRDefault="003471BB">
      <w:pPr>
        <w:spacing w:line="360" w:lineRule="auto"/>
        <w:jc w:val="right"/>
        <w:outlineLvl w:val="1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Piekary 30.08.2022</w:t>
      </w:r>
    </w:p>
    <w:p w:rsidR="00DA469B" w:rsidRDefault="003471B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 xml:space="preserve">„Przeprowadzenie  1 etapowego audytu bezpieczeństwa systemu informacyjnego i ochrony danych medycznych dla zgodnie z wymaganiami Zarządzenia nr 8/2023/BBIICD prezesa Narodowego Funduszu Zdrowia  w </w:t>
      </w:r>
      <w:r>
        <w:rPr>
          <w:rFonts w:ascii="Arial Narrow" w:hAnsi="Arial Narrow" w:cs="Arial"/>
          <w:b/>
        </w:rPr>
        <w:t>SP Wojewódzk</w:t>
      </w:r>
      <w:r>
        <w:rPr>
          <w:rFonts w:ascii="Arial Narrow" w:hAnsi="Arial Narrow" w:cs="Arial"/>
          <w:b/>
        </w:rPr>
        <w:t xml:space="preserve">im Szpitalu Chirurgii </w:t>
      </w:r>
      <w:r>
        <w:rPr>
          <w:rFonts w:ascii="Arial Narrow" w:hAnsi="Arial Narrow" w:cs="Arial"/>
          <w:b/>
        </w:rPr>
        <w:t xml:space="preserve">Urazowej im. </w:t>
      </w:r>
      <w:proofErr w:type="spellStart"/>
      <w:r>
        <w:rPr>
          <w:rFonts w:ascii="Arial Narrow" w:hAnsi="Arial Narrow" w:cs="Arial"/>
          <w:b/>
        </w:rPr>
        <w:t>dr</w:t>
      </w:r>
      <w:proofErr w:type="spellEnd"/>
      <w:r>
        <w:rPr>
          <w:rFonts w:ascii="Arial Narrow" w:hAnsi="Arial Narrow" w:cs="Arial"/>
          <w:b/>
        </w:rPr>
        <w:t xml:space="preserve">. Janusza </w:t>
      </w:r>
      <w:proofErr w:type="spellStart"/>
      <w:r>
        <w:rPr>
          <w:rFonts w:ascii="Arial Narrow" w:hAnsi="Arial Narrow" w:cs="Arial"/>
          <w:b/>
        </w:rPr>
        <w:t>Daaba</w:t>
      </w:r>
      <w:proofErr w:type="spellEnd"/>
      <w:r>
        <w:rPr>
          <w:rFonts w:ascii="Arial Narrow" w:hAnsi="Arial Narrow" w:cs="Arial"/>
          <w:b/>
        </w:rPr>
        <w:t xml:space="preserve"> w Piekarach Śląskich”</w:t>
      </w:r>
    </w:p>
    <w:p w:rsidR="00DA469B" w:rsidRDefault="00DA469B">
      <w:pPr>
        <w:rPr>
          <w:rFonts w:ascii="Arial Narrow" w:hAnsi="Arial Narrow" w:cs="Arial"/>
        </w:rPr>
      </w:pPr>
    </w:p>
    <w:p w:rsidR="00DA469B" w:rsidRDefault="00DA469B">
      <w:pPr>
        <w:rPr>
          <w:rFonts w:ascii="Arial Narrow" w:hAnsi="Arial Narrow" w:cs="Arial"/>
          <w:b/>
          <w:bCs/>
        </w:rPr>
      </w:pPr>
    </w:p>
    <w:p w:rsidR="00DA469B" w:rsidRDefault="00DA469B">
      <w:pPr>
        <w:rPr>
          <w:rFonts w:ascii="Arial Narrow" w:hAnsi="Arial Narrow" w:cs="Arial"/>
          <w:b/>
          <w:bCs/>
        </w:rPr>
      </w:pPr>
    </w:p>
    <w:p w:rsidR="00DA469B" w:rsidRDefault="003471BB">
      <w:pPr>
        <w:spacing w:line="244" w:lineRule="exact"/>
      </w:pPr>
      <w:r>
        <w:rPr>
          <w:rStyle w:val="Teksttreci50"/>
          <w:rFonts w:eastAsiaTheme="minorHAnsi"/>
          <w:sz w:val="24"/>
          <w:szCs w:val="24"/>
        </w:rPr>
        <w:t>Zakres audytu</w:t>
      </w:r>
    </w:p>
    <w:p w:rsidR="00DA469B" w:rsidRDefault="003471BB">
      <w:pPr>
        <w:spacing w:after="276" w:line="264" w:lineRule="exact"/>
      </w:pPr>
      <w:r>
        <w:t>Ocena stopnia dojrzałości i zgodności organizacyjno - technicznej infrastruktury ICT w kontekście zabezpieczeń konfiguracji, eksploatacji modernizacji ICT Zamawiającego.</w:t>
      </w:r>
    </w:p>
    <w:p w:rsidR="00DA469B" w:rsidRDefault="003471BB">
      <w:pPr>
        <w:spacing w:after="276" w:line="264" w:lineRule="exact"/>
      </w:pPr>
      <w:r>
        <w:t>Wymagania dotycz</w:t>
      </w:r>
      <w:r>
        <w:t>ące audytu bezpieczeństwa</w:t>
      </w:r>
    </w:p>
    <w:p w:rsidR="00DA469B" w:rsidRDefault="003471BB">
      <w:pPr>
        <w:spacing w:after="276" w:line="264" w:lineRule="exact"/>
      </w:pPr>
      <w:r>
        <w:t>1. Audyt bezpieczeństwa może być przeprowadzony przez:</w:t>
      </w:r>
    </w:p>
    <w:p w:rsidR="00DA469B" w:rsidRDefault="003471BB">
      <w:pPr>
        <w:spacing w:after="276" w:line="264" w:lineRule="exact"/>
      </w:pPr>
      <w:r>
        <w:t xml:space="preserve">1) jednostkę oceniającą zgodność, akredytowaną zgodnie z przepisami ustawy z dnia 13 kwietnia 2016 r. o systemach oceny zgodności i nadzoru rynku (Dz. U. z 2022 r. poz. 5), w </w:t>
      </w:r>
      <w:r>
        <w:t>zakresie właściwym do podejmowanych ocen bezpieczeństwa systemów informacyjnych;</w:t>
      </w:r>
    </w:p>
    <w:p w:rsidR="00DA469B" w:rsidRDefault="003471BB">
      <w:pPr>
        <w:spacing w:after="276" w:line="264" w:lineRule="exact"/>
      </w:pPr>
      <w:r>
        <w:t>2) co najmniej dwóch audytorów posiadających:</w:t>
      </w:r>
    </w:p>
    <w:p w:rsidR="00DA469B" w:rsidRDefault="003471BB">
      <w:pPr>
        <w:spacing w:after="276" w:line="264" w:lineRule="exact"/>
      </w:pPr>
      <w:r>
        <w:t>a) certyfikaty określone w poniższym wykazie certyfikatów uprawiających do przeprowadzenia audytu lub</w:t>
      </w:r>
    </w:p>
    <w:p w:rsidR="00DA469B" w:rsidRDefault="003471BB">
      <w:pPr>
        <w:spacing w:after="276" w:line="264" w:lineRule="exact"/>
      </w:pPr>
      <w:r>
        <w:t>b) co najmniej trzyletnią p</w:t>
      </w:r>
      <w:r>
        <w:t>raktykę w zakresie audytu bezpieczeństwa systemów informacyjnych, lub</w:t>
      </w:r>
    </w:p>
    <w:p w:rsidR="00DA469B" w:rsidRDefault="003471BB">
      <w:pPr>
        <w:spacing w:after="276" w:line="264" w:lineRule="exact"/>
      </w:pPr>
      <w:r>
        <w:t>c) co najmniej dwuletnią praktykę w zakresie audytu bezpieczeństwa systemów informacyjnych</w:t>
      </w:r>
    </w:p>
    <w:p w:rsidR="00DA469B" w:rsidRDefault="003471BB">
      <w:pPr>
        <w:spacing w:after="276" w:line="264" w:lineRule="exact"/>
      </w:pPr>
      <w:r>
        <w:t>i legitymujących się dyplomem ukończenia studiów podyplomowych w zakresie audytu bezpieczeństwa</w:t>
      </w:r>
      <w:r>
        <w:t xml:space="preserve"> systemów informacyjnych, wydanym przez jednostkę organizacyjną, która w dniu wydania dyplomu była uprawniona, zgodnie z odrębnymi przepisami, do nadawania stopnia naukowego doktora nauk ekonomicznych, technicznych lub prawnych.</w:t>
      </w:r>
    </w:p>
    <w:p w:rsidR="00DA469B" w:rsidRDefault="003471BB">
      <w:pPr>
        <w:spacing w:after="276" w:line="264" w:lineRule="exact"/>
      </w:pPr>
      <w:r>
        <w:t>2. Wykaz certyfikatów upraw</w:t>
      </w:r>
      <w:r>
        <w:t>niających do przeprowadzenia audytu:</w:t>
      </w:r>
    </w:p>
    <w:p w:rsidR="00DA469B" w:rsidRDefault="003471BB">
      <w:pPr>
        <w:spacing w:after="276" w:line="264" w:lineRule="exact"/>
      </w:pPr>
      <w:r>
        <w:t xml:space="preserve">1)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Auditor</w:t>
      </w:r>
      <w:proofErr w:type="spellEnd"/>
      <w:r>
        <w:t xml:space="preserve"> (CIA);</w:t>
      </w:r>
    </w:p>
    <w:p w:rsidR="00DA469B" w:rsidRDefault="003471BB">
      <w:pPr>
        <w:spacing w:after="276" w:line="264" w:lineRule="exact"/>
      </w:pPr>
      <w:r>
        <w:t xml:space="preserve">2)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 </w:t>
      </w:r>
      <w:proofErr w:type="spellStart"/>
      <w:r>
        <w:t>Auditor</w:t>
      </w:r>
      <w:proofErr w:type="spellEnd"/>
      <w:r>
        <w:t xml:space="preserve"> (CISA);</w:t>
      </w:r>
    </w:p>
    <w:p w:rsidR="00DA469B" w:rsidRDefault="003471BB">
      <w:pPr>
        <w:spacing w:after="276" w:line="264" w:lineRule="exact"/>
      </w:pPr>
      <w:r>
        <w:t>3) Certyfikat audytora wiodącego systemu zarządzania bezpieczeństwem informacji według normy PN-EN</w:t>
      </w:r>
    </w:p>
    <w:p w:rsidR="00DA469B" w:rsidRDefault="003471BB">
      <w:pPr>
        <w:spacing w:after="276" w:line="264" w:lineRule="exact"/>
      </w:pPr>
      <w:r>
        <w:t>ISO/IEC 27001 wydany przez jednostk</w:t>
      </w:r>
      <w:r>
        <w:t>ę oceniającą zgodność, akredytowaną zgodnie z przepisami ustawy z dnia 13 kwietnia 2016 r. o systemach oceny zgodności i nadzoru rynku, w zakresie certyfikacji osób;</w:t>
      </w:r>
    </w:p>
    <w:p w:rsidR="00DA469B" w:rsidRDefault="003471BB">
      <w:pPr>
        <w:spacing w:after="276" w:line="264" w:lineRule="exact"/>
      </w:pPr>
      <w:r>
        <w:lastRenderedPageBreak/>
        <w:t xml:space="preserve">4) Certyfikat audytora wiodącego systemu zarządzania ciągłością działania PN-EN ISO 22301 </w:t>
      </w:r>
      <w:r>
        <w:t>wydany przez jednostkę oceniającą zgodność, akredytowaną zgodnie z przepisami ustawy z dnia 13 kwietnia 2016 r. o systemach oceny zgodności i nadzoru rynku, w zakresie certyfikacji osób;</w:t>
      </w:r>
    </w:p>
    <w:p w:rsidR="00DA469B" w:rsidRDefault="003471BB">
      <w:pPr>
        <w:spacing w:after="276" w:line="264" w:lineRule="exact"/>
      </w:pPr>
      <w:r>
        <w:t xml:space="preserve">5)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Security Manager (CISM);</w:t>
      </w:r>
    </w:p>
    <w:p w:rsidR="00DA469B" w:rsidRDefault="003471BB">
      <w:pPr>
        <w:spacing w:after="276" w:line="264" w:lineRule="exact"/>
      </w:pPr>
      <w:r>
        <w:t xml:space="preserve">6)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Ris</w:t>
      </w:r>
      <w:r>
        <w:t>k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Systems </w:t>
      </w:r>
      <w:proofErr w:type="spellStart"/>
      <w:r>
        <w:t>Control</w:t>
      </w:r>
      <w:proofErr w:type="spellEnd"/>
      <w:r>
        <w:t xml:space="preserve"> (CRISC);</w:t>
      </w:r>
    </w:p>
    <w:p w:rsidR="00DA469B" w:rsidRDefault="003471BB">
      <w:pPr>
        <w:spacing w:after="276" w:line="264" w:lineRule="exact"/>
      </w:pPr>
      <w:r>
        <w:t xml:space="preserve">7)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of </w:t>
      </w:r>
      <w:proofErr w:type="spellStart"/>
      <w:r>
        <w:t>Enterprise</w:t>
      </w:r>
      <w:proofErr w:type="spellEnd"/>
      <w:r>
        <w:t xml:space="preserve"> IT (CGEIT);</w:t>
      </w:r>
    </w:p>
    <w:p w:rsidR="00DA469B" w:rsidRDefault="003471BB">
      <w:pPr>
        <w:spacing w:after="276" w:line="264" w:lineRule="exact"/>
      </w:pPr>
      <w:r>
        <w:t xml:space="preserve">8)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Systems Security Professional (CISSP);</w:t>
      </w:r>
    </w:p>
    <w:p w:rsidR="00DA469B" w:rsidRDefault="003471BB">
      <w:pPr>
        <w:spacing w:after="276" w:line="264" w:lineRule="exact"/>
      </w:pPr>
      <w:r>
        <w:t xml:space="preserve">9) Systems Security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(SSCP);</w:t>
      </w:r>
    </w:p>
    <w:p w:rsidR="00DA469B" w:rsidRDefault="003471BB">
      <w:pPr>
        <w:spacing w:after="276" w:line="264" w:lineRule="exact"/>
      </w:pPr>
      <w:r>
        <w:t xml:space="preserve">10)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Professional;</w:t>
      </w:r>
    </w:p>
    <w:p w:rsidR="00DA469B" w:rsidRDefault="003471BB">
      <w:pPr>
        <w:spacing w:after="276" w:line="264" w:lineRule="exact"/>
      </w:pPr>
      <w:r>
        <w:t xml:space="preserve">11) Certyfikaty uprawniające do posiadania tytułu ISA/IEC 62443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>.</w:t>
      </w:r>
    </w:p>
    <w:p w:rsidR="00DA469B" w:rsidRDefault="003471BB">
      <w:pPr>
        <w:spacing w:after="276" w:line="264" w:lineRule="exact"/>
      </w:pPr>
      <w:r>
        <w:t>3. Celem audytu jest wykazanie przez Świadczeniodawcę podniesienia poziomu bezpieczeństwa teleinformatycznego po zrealizowaniu czynności zgodnie z niniejszym zarządzeniem</w:t>
      </w:r>
      <w:r>
        <w:t xml:space="preserve"> oraz w obszarach wskazanych w poniższej tabeli w odniesieniu do stanu na dzień przeprowadzenia badania poziomu dojrzałości </w:t>
      </w:r>
      <w:proofErr w:type="spellStart"/>
      <w:r>
        <w:t>cyberbezpieczeństwa</w:t>
      </w:r>
      <w:proofErr w:type="spellEnd"/>
      <w:r>
        <w:t xml:space="preserve"> u Świadczeniodawcy w formie ankiety. Przeprowadzony audyt wykaże podniesienie poziomu bezpieczeństwa teleinforma</w:t>
      </w:r>
      <w:r>
        <w:t>tycznego w odniesieniu do poziomu wynikającego z ankiety lub jego brak.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6"/>
        <w:gridCol w:w="6996"/>
      </w:tblGrid>
      <w:tr w:rsidR="00DA469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obszaru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działań skutkujących podniesieniem poziomu bezpieczeństwa teleinformatycznego u Świadczeniodawców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>Skuteczność działania infrastruktury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</w:pPr>
            <w:r>
              <w:t xml:space="preserve">-Urządzenia i konfiguracja w </w:t>
            </w:r>
            <w:r>
              <w:t>zakresie ochrony poczty.</w:t>
            </w:r>
          </w:p>
          <w:p w:rsidR="00DA469B" w:rsidRDefault="003471BB">
            <w:pPr>
              <w:pStyle w:val="Zawartotabeli"/>
            </w:pPr>
            <w:r>
              <w:t>-Urządzenia i konfiguracja w zakresie ochrony sieci.</w:t>
            </w:r>
          </w:p>
          <w:p w:rsidR="00DA469B" w:rsidRDefault="003471BB">
            <w:pPr>
              <w:pStyle w:val="Zawartotabeli"/>
            </w:pPr>
            <w:r>
              <w:t>-Urządzenia i konfiguracja w zakresie systemów serwerowych.</w:t>
            </w:r>
          </w:p>
          <w:p w:rsidR="00DA469B" w:rsidRDefault="003471BB">
            <w:pPr>
              <w:pStyle w:val="Zawartotabeli"/>
            </w:pPr>
            <w:r>
              <w:t>-Urządzenia i konfiguracja w zakresie stacji roboczych.</w:t>
            </w:r>
          </w:p>
          <w:p w:rsidR="00DA469B" w:rsidRDefault="003471BB">
            <w:pPr>
              <w:pStyle w:val="Zawartotabeli"/>
              <w:spacing w:after="200"/>
            </w:pPr>
            <w:r>
              <w:t>-Urządzenia i konfiguracja w zakresie systemów bezpieczeństwa.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>Procesy zarządzania bezpieczeństwem informacji.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</w:pPr>
            <w:r>
              <w:t>-Nośniki wymienne - udokumentowany sposób postępowania.</w:t>
            </w:r>
          </w:p>
          <w:p w:rsidR="00DA469B" w:rsidRDefault="003471BB">
            <w:pPr>
              <w:pStyle w:val="Zawartotabeli"/>
            </w:pPr>
            <w:r>
              <w:t>-Zarządzanie tożsamością/dostęp do systemów w zakresie:</w:t>
            </w:r>
          </w:p>
          <w:p w:rsidR="00DA469B" w:rsidRDefault="003471BB">
            <w:pPr>
              <w:pStyle w:val="Zawartotabeli"/>
            </w:pPr>
            <w:r>
              <w:t>- - przydzielanie dostępu,</w:t>
            </w:r>
          </w:p>
          <w:p w:rsidR="00DA469B" w:rsidRDefault="003471BB">
            <w:pPr>
              <w:pStyle w:val="Zawartotabeli"/>
            </w:pPr>
            <w:r>
              <w:t>- - odbieranie dostępu.</w:t>
            </w:r>
          </w:p>
          <w:p w:rsidR="00DA469B" w:rsidRDefault="003471BB">
            <w:pPr>
              <w:pStyle w:val="Zawartotabeli"/>
              <w:spacing w:after="200"/>
            </w:pPr>
            <w:r>
              <w:t xml:space="preserve">-Pomieszczenie w dyspozycji struktur </w:t>
            </w:r>
            <w:r>
              <w:t xml:space="preserve">zespołu odpowiedzialnego za </w:t>
            </w:r>
            <w:proofErr w:type="spellStart"/>
            <w:r>
              <w:t>cyberbezpieczeństwo</w:t>
            </w:r>
            <w:proofErr w:type="spellEnd"/>
            <w:r>
              <w:t xml:space="preserve"> w przypadku podmiotów, które otrzymały decyzję uznającą taki podmiot za operatora usługi kluczowej, o którym mowa w art. 5 ustawy z dnia 5 lipca 2018 r. o Krajowym Systemie </w:t>
            </w:r>
            <w:proofErr w:type="spellStart"/>
            <w:r>
              <w:t>Cyberbezpieczeństwa</w:t>
            </w:r>
            <w:proofErr w:type="spellEnd"/>
            <w:r>
              <w:t>.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>Monitorowanie</w:t>
            </w:r>
            <w:r>
              <w:t xml:space="preserve"> i reagowanie na incydenty bezpieczeństwa.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</w:pPr>
            <w:r>
              <w:t>-Procedury zarządzania incydentami.</w:t>
            </w:r>
          </w:p>
          <w:p w:rsidR="00DA469B" w:rsidRDefault="003471BB">
            <w:pPr>
              <w:pStyle w:val="Zawartotabeli"/>
            </w:pPr>
            <w:r>
              <w:t>-Raportowanie poziomów pokrycia scenariuszami znanych incydentów.</w:t>
            </w:r>
          </w:p>
          <w:p w:rsidR="00DA469B" w:rsidRDefault="003471BB">
            <w:pPr>
              <w:pStyle w:val="Zawartotabeli"/>
            </w:pPr>
            <w:r>
              <w:t>-Dokumentacja dotycząca przekazywania informacji do właściwego zespołu CSIRT poziomu krajowego/sektorowego zesp</w:t>
            </w:r>
            <w:r>
              <w:t xml:space="preserve">ołu </w:t>
            </w:r>
            <w:proofErr w:type="spellStart"/>
            <w:r>
              <w:t>cyberbezpieczeństwa</w:t>
            </w:r>
            <w:proofErr w:type="spellEnd"/>
            <w:r>
              <w:t>.</w:t>
            </w:r>
          </w:p>
          <w:p w:rsidR="00DA469B" w:rsidRDefault="003471BB">
            <w:pPr>
              <w:pStyle w:val="Zawartotabeli"/>
            </w:pPr>
            <w:r>
              <w:t>-Monitorowanie i wykrycie incydentów bezpieczeństwa.</w:t>
            </w:r>
          </w:p>
          <w:p w:rsidR="00DA469B" w:rsidRDefault="003471BB">
            <w:pPr>
              <w:pStyle w:val="Zawartotabeli"/>
              <w:spacing w:after="200"/>
            </w:pPr>
            <w:r>
              <w:t>-Identyfikacja i dokumentowanie przyczyn wystąpienia incydentów.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 xml:space="preserve">Zarządzanie ciągłością </w:t>
            </w:r>
            <w:r>
              <w:lastRenderedPageBreak/>
              <w:t>działania.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</w:pPr>
            <w:r>
              <w:lastRenderedPageBreak/>
              <w:t>Konfiguracja oraz polityki systemów do wykonywania kopii bezpieczeństwa.</w:t>
            </w:r>
          </w:p>
          <w:p w:rsidR="00DA469B" w:rsidRDefault="003471BB">
            <w:pPr>
              <w:pStyle w:val="Zawartotabeli"/>
            </w:pPr>
            <w:r>
              <w:lastRenderedPageBreak/>
              <w:t>-Rapo</w:t>
            </w:r>
            <w:r>
              <w:t>rt z przeglądów i testów odtwarzania kopii bezpieczeństwa.</w:t>
            </w:r>
          </w:p>
          <w:p w:rsidR="00DA469B" w:rsidRDefault="003471BB">
            <w:pPr>
              <w:pStyle w:val="Zawartotabeli"/>
            </w:pPr>
            <w:r>
              <w:t>-Procedury wykonywania i przechowywania kopii zapasowych.</w:t>
            </w:r>
          </w:p>
          <w:p w:rsidR="00DA469B" w:rsidRDefault="003471BB">
            <w:pPr>
              <w:pStyle w:val="Zawartotabeli"/>
            </w:pPr>
            <w:r>
              <w:t>-Strategia i polityka ciągłości działania, awaryjne oraz odtwarzania po katastrofie (DRP).</w:t>
            </w:r>
          </w:p>
          <w:p w:rsidR="00DA469B" w:rsidRDefault="003471BB">
            <w:pPr>
              <w:pStyle w:val="Zawartotabeli"/>
              <w:spacing w:after="200"/>
            </w:pPr>
            <w:r>
              <w:t>-Procedury utrzymaniowe.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lastRenderedPageBreak/>
              <w:t xml:space="preserve">Utrzymanie systemów </w:t>
            </w:r>
            <w:r>
              <w:t>informacyjnych.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</w:pPr>
            <w:r>
              <w:t>-Harmonogramy skanowania podatności.</w:t>
            </w:r>
          </w:p>
          <w:p w:rsidR="00DA469B" w:rsidRDefault="003471BB">
            <w:pPr>
              <w:pStyle w:val="Zawartotabeli"/>
            </w:pPr>
            <w:r>
              <w:t xml:space="preserve">-Aktualny status realizacji postępowania z </w:t>
            </w:r>
            <w:proofErr w:type="spellStart"/>
            <w:r>
              <w:t>podatnościami</w:t>
            </w:r>
            <w:proofErr w:type="spellEnd"/>
            <w:r>
              <w:t>.</w:t>
            </w:r>
          </w:p>
          <w:p w:rsidR="00DA469B" w:rsidRDefault="003471BB">
            <w:pPr>
              <w:pStyle w:val="Zawartotabeli"/>
            </w:pPr>
            <w:r>
              <w:t>-Procedury związane ze z identyfikowaniem (wykryciem) podatności.</w:t>
            </w:r>
          </w:p>
          <w:p w:rsidR="00DA469B" w:rsidRDefault="003471BB">
            <w:pPr>
              <w:pStyle w:val="Zawartotabeli"/>
              <w:spacing w:after="200"/>
            </w:pPr>
            <w:r>
              <w:t>-Współpraca z osobami odpowiedzialnymi za procesy zarządzania incydentami.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>Zar</w:t>
            </w:r>
            <w:r>
              <w:t>ządzanie bezpieczeństwem i ciągłością działania łańcucha usług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</w:pPr>
            <w:r>
              <w:t>Polityka bezpieczeństwa w relacjach z dostawcami.</w:t>
            </w:r>
          </w:p>
          <w:p w:rsidR="00DA469B" w:rsidRDefault="003471BB">
            <w:pPr>
              <w:pStyle w:val="Zawartotabeli"/>
            </w:pPr>
            <w:r>
              <w:t xml:space="preserve">-Standardy i wymagania nakładane na dostawców w umowach w zakresie </w:t>
            </w:r>
            <w:proofErr w:type="spellStart"/>
            <w:r>
              <w:t>cyberbezpieczeństwa</w:t>
            </w:r>
            <w:proofErr w:type="spellEnd"/>
            <w:r>
              <w:t>.</w:t>
            </w:r>
          </w:p>
          <w:p w:rsidR="00DA469B" w:rsidRDefault="003471BB">
            <w:pPr>
              <w:pStyle w:val="Zawartotabeli"/>
            </w:pPr>
            <w:r>
              <w:t>-Dostęp zdalny.</w:t>
            </w:r>
          </w:p>
          <w:p w:rsidR="00DA469B" w:rsidRDefault="003471BB">
            <w:pPr>
              <w:pStyle w:val="Zawartotabeli"/>
              <w:spacing w:after="200"/>
            </w:pPr>
            <w:r>
              <w:t>-Metody uwierzytelnienia.</w:t>
            </w:r>
          </w:p>
        </w:tc>
      </w:tr>
      <w:tr w:rsidR="00DA469B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 xml:space="preserve">Weryfikacja </w:t>
            </w:r>
            <w:r>
              <w:t>podniesienia poziomu bezpieczeństwa.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B" w:rsidRDefault="003471BB">
            <w:pPr>
              <w:pStyle w:val="Zawartotabeli"/>
              <w:spacing w:after="200"/>
            </w:pPr>
            <w:r>
              <w:t>Przeprowadzony audyt wykazał podniesienie poziomu bezpieczeństwa teleinformatycznego w stosunku do stanu sprzed przystąpienia do działań mających na celu podniesienie poziomu bezpieczeństwa teleinformatycznego finansowa</w:t>
            </w:r>
            <w:r>
              <w:t>nych w ramach zarządzenia.</w:t>
            </w:r>
          </w:p>
        </w:tc>
      </w:tr>
    </w:tbl>
    <w:p w:rsidR="00DA469B" w:rsidRDefault="00DA469B">
      <w:pPr>
        <w:spacing w:after="276" w:line="264" w:lineRule="exact"/>
      </w:pPr>
    </w:p>
    <w:p w:rsidR="00DA469B" w:rsidRDefault="00DA469B">
      <w:pPr>
        <w:spacing w:after="276" w:line="264" w:lineRule="exact"/>
      </w:pPr>
    </w:p>
    <w:p w:rsidR="00DA469B" w:rsidRDefault="003471BB">
      <w:r>
        <w:t>Wynikiem audytu będzie raport zawierający co najmniej:</w:t>
      </w:r>
    </w:p>
    <w:p w:rsidR="00DA469B" w:rsidRDefault="003471BB">
      <w:pPr>
        <w:pStyle w:val="Akapitzlist"/>
        <w:numPr>
          <w:ilvl w:val="0"/>
          <w:numId w:val="1"/>
        </w:numPr>
      </w:pPr>
      <w:r>
        <w:t>Opisy zidentyfikowanych nieprawidłowości wraz ze wskazaniem miejsc ich występowania,</w:t>
      </w:r>
    </w:p>
    <w:p w:rsidR="00DA469B" w:rsidRDefault="003471BB">
      <w:pPr>
        <w:pStyle w:val="Akapitzlist"/>
        <w:numPr>
          <w:ilvl w:val="0"/>
          <w:numId w:val="1"/>
        </w:numPr>
      </w:pPr>
      <w:r>
        <w:t xml:space="preserve">Wskazania zebranych dowodów </w:t>
      </w:r>
      <w:proofErr w:type="spellStart"/>
      <w:r>
        <w:t>audytowych</w:t>
      </w:r>
      <w:proofErr w:type="spellEnd"/>
      <w:r>
        <w:t>,</w:t>
      </w:r>
    </w:p>
    <w:p w:rsidR="00DA469B" w:rsidRDefault="003471BB">
      <w:pPr>
        <w:pStyle w:val="Akapitzlist"/>
        <w:numPr>
          <w:ilvl w:val="0"/>
          <w:numId w:val="1"/>
        </w:numPr>
      </w:pPr>
      <w:r>
        <w:t xml:space="preserve">Rekomendacje wskazujące sposoby eliminacji </w:t>
      </w:r>
      <w:r>
        <w:t>zidentyfikowanych nieprawidłowości</w:t>
      </w:r>
    </w:p>
    <w:p w:rsidR="00DA469B" w:rsidRDefault="003471BB">
      <w:pPr>
        <w:pStyle w:val="Akapitzlist"/>
        <w:numPr>
          <w:ilvl w:val="0"/>
          <w:numId w:val="1"/>
        </w:numPr>
      </w:pPr>
      <w:r>
        <w:t>Wypełniony formularz samooceny dojrzałości organizacji zgodny z wzorem stosowanym przez NFZ</w:t>
      </w:r>
    </w:p>
    <w:p w:rsidR="00DA469B" w:rsidRDefault="003471BB">
      <w:pPr>
        <w:pStyle w:val="Akapitzlist"/>
        <w:numPr>
          <w:ilvl w:val="0"/>
          <w:numId w:val="1"/>
        </w:numPr>
        <w:spacing w:after="160"/>
        <w:contextualSpacing/>
      </w:pPr>
      <w:bookmarkStart w:id="0" w:name="_GoBack"/>
      <w:bookmarkEnd w:id="0"/>
      <w:r>
        <w:rPr>
          <w:rStyle w:val="Teksttreci50"/>
          <w:rFonts w:eastAsiaTheme="minorHAnsi"/>
          <w:b w:val="0"/>
          <w:bCs w:val="0"/>
          <w:sz w:val="24"/>
          <w:szCs w:val="24"/>
          <w:u w:val="none"/>
        </w:rPr>
        <w:t xml:space="preserve">Podsumowanie dla kierownictwa przedstawiające w sposób syntetyczny wnioski, oceny i rekomendacje </w:t>
      </w:r>
      <w:bookmarkStart w:id="1" w:name="_GoBack_kopia_1"/>
      <w:bookmarkEnd w:id="1"/>
      <w:proofErr w:type="spellStart"/>
      <w:r>
        <w:rPr>
          <w:rStyle w:val="Teksttreci50"/>
          <w:rFonts w:eastAsiaTheme="minorHAnsi"/>
          <w:b w:val="0"/>
          <w:bCs w:val="0"/>
          <w:sz w:val="24"/>
          <w:szCs w:val="24"/>
          <w:u w:val="none"/>
        </w:rPr>
        <w:t>audytowe</w:t>
      </w:r>
      <w:proofErr w:type="spellEnd"/>
    </w:p>
    <w:p w:rsidR="00DA469B" w:rsidRDefault="00DA469B">
      <w:pPr>
        <w:pStyle w:val="Akapitzlist"/>
        <w:spacing w:after="160"/>
        <w:contextualSpacing/>
        <w:rPr>
          <w:rStyle w:val="Teksttreci50"/>
          <w:rFonts w:eastAsiaTheme="minorHAnsi"/>
          <w:b w:val="0"/>
          <w:bCs w:val="0"/>
          <w:sz w:val="24"/>
          <w:szCs w:val="24"/>
          <w:u w:val="none"/>
        </w:rPr>
      </w:pPr>
    </w:p>
    <w:p w:rsidR="00DA469B" w:rsidRDefault="00DA469B">
      <w:pPr>
        <w:pStyle w:val="Akapitzlist"/>
        <w:spacing w:after="160"/>
        <w:contextualSpacing/>
        <w:rPr>
          <w:rStyle w:val="Teksttreci50"/>
          <w:rFonts w:eastAsiaTheme="minorHAnsi"/>
          <w:b w:val="0"/>
          <w:bCs w:val="0"/>
          <w:sz w:val="24"/>
          <w:szCs w:val="24"/>
          <w:u w:val="none"/>
        </w:rPr>
      </w:pPr>
    </w:p>
    <w:p w:rsidR="00DA469B" w:rsidRDefault="00DA469B">
      <w:pPr>
        <w:spacing w:line="276" w:lineRule="auto"/>
        <w:rPr>
          <w:rFonts w:ascii="Calibri" w:hAnsi="Calibri" w:cs="Calibri"/>
          <w:b/>
          <w:color w:val="FF0000"/>
        </w:rPr>
      </w:pPr>
    </w:p>
    <w:p w:rsidR="00DA469B" w:rsidRDefault="003471BB">
      <w:pPr>
        <w:spacing w:after="160"/>
        <w:contextualSpacing/>
      </w:pPr>
      <w:bookmarkStart w:id="2" w:name="_GoBack_kopia_1_kopia_1"/>
      <w:r>
        <w:t xml:space="preserve">Czas realizacji </w:t>
      </w:r>
      <w:r>
        <w:t>zamówienia: zakończenie audytu i przedstawienie wniosków  do 26 września 2023</w:t>
      </w:r>
      <w:bookmarkEnd w:id="2"/>
    </w:p>
    <w:sectPr w:rsidR="00DA469B" w:rsidSect="00DA46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9B" w:rsidRDefault="00DA469B" w:rsidP="00DA469B">
      <w:r>
        <w:separator/>
      </w:r>
    </w:p>
  </w:endnote>
  <w:endnote w:type="continuationSeparator" w:id="0">
    <w:p w:rsidR="00DA469B" w:rsidRDefault="00DA469B" w:rsidP="00DA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B" w:rsidRDefault="00DA4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B" w:rsidRDefault="003471BB">
    <w:pPr>
      <w:spacing w:after="200"/>
      <w:jc w:val="center"/>
      <w:rPr>
        <w:sz w:val="20"/>
        <w:szCs w:val="20"/>
      </w:rPr>
    </w:pPr>
    <w:r>
      <w:rPr>
        <w:rFonts w:ascii="Arial Narrow" w:hAnsi="Arial Narrow" w:cs="Arial"/>
        <w:i/>
        <w:iCs/>
        <w:sz w:val="20"/>
        <w:szCs w:val="20"/>
      </w:rPr>
      <w:t xml:space="preserve">„Przeprowadzenie  1 etapowego audytu bezpieczeństwa systemu informacyjnego i ochrony danych medycznych dla </w:t>
    </w:r>
    <w:r>
      <w:rPr>
        <w:rFonts w:ascii="Arial Narrow" w:hAnsi="Arial Narrow" w:cs="Arial"/>
        <w:i/>
        <w:iCs/>
        <w:sz w:val="20"/>
        <w:szCs w:val="20"/>
      </w:rPr>
      <w:t xml:space="preserve">zgodnie z wymaganiami Zarządzenia nr 8/2023/BBIICD prezesa Narodowego Funduszu Zdrowia  w SP Wojewódzkim Szpitalu Chirurgii Urazowej im. </w:t>
    </w:r>
    <w:proofErr w:type="spellStart"/>
    <w:r>
      <w:rPr>
        <w:rFonts w:ascii="Arial Narrow" w:hAnsi="Arial Narrow" w:cs="Arial"/>
        <w:i/>
        <w:iCs/>
        <w:sz w:val="20"/>
        <w:szCs w:val="20"/>
      </w:rPr>
      <w:t>dr</w:t>
    </w:r>
    <w:proofErr w:type="spellEnd"/>
    <w:r>
      <w:rPr>
        <w:rFonts w:ascii="Arial Narrow" w:hAnsi="Arial Narrow" w:cs="Arial"/>
        <w:i/>
        <w:iCs/>
        <w:sz w:val="20"/>
        <w:szCs w:val="20"/>
      </w:rPr>
      <w:t xml:space="preserve">. Janusza </w:t>
    </w:r>
    <w:proofErr w:type="spellStart"/>
    <w:r>
      <w:rPr>
        <w:rFonts w:ascii="Arial Narrow" w:hAnsi="Arial Narrow" w:cs="Arial"/>
        <w:i/>
        <w:iCs/>
        <w:sz w:val="20"/>
        <w:szCs w:val="20"/>
      </w:rPr>
      <w:t>Daaba</w:t>
    </w:r>
    <w:proofErr w:type="spellEnd"/>
    <w:r>
      <w:rPr>
        <w:rFonts w:ascii="Arial Narrow" w:hAnsi="Arial Narrow" w:cs="Arial"/>
        <w:i/>
        <w:iCs/>
        <w:sz w:val="20"/>
        <w:szCs w:val="20"/>
      </w:rPr>
      <w:t xml:space="preserve"> w Piekarach Śląskich”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9B" w:rsidRDefault="00DA469B" w:rsidP="00DA469B">
      <w:r>
        <w:separator/>
      </w:r>
    </w:p>
  </w:footnote>
  <w:footnote w:type="continuationSeparator" w:id="0">
    <w:p w:rsidR="00DA469B" w:rsidRDefault="00DA469B" w:rsidP="00DA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B" w:rsidRDefault="00DA4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B" w:rsidRDefault="00DA4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6D7"/>
    <w:multiLevelType w:val="multilevel"/>
    <w:tmpl w:val="F0D25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238DC"/>
    <w:multiLevelType w:val="multilevel"/>
    <w:tmpl w:val="39A4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9B"/>
    <w:rsid w:val="003471BB"/>
    <w:rsid w:val="00D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D71B3"/>
  </w:style>
  <w:style w:type="character" w:customStyle="1" w:styleId="StopkaZnak">
    <w:name w:val="Stopka Znak"/>
    <w:basedOn w:val="Domylnaczcionkaakapitu"/>
    <w:link w:val="Footer"/>
    <w:uiPriority w:val="99"/>
    <w:qFormat/>
    <w:rsid w:val="002D71B3"/>
  </w:style>
  <w:style w:type="character" w:customStyle="1" w:styleId="Znakiwypunktowania">
    <w:name w:val="Znaki wypunktowania"/>
    <w:qFormat/>
    <w:rsid w:val="00DA469B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DA469B"/>
    <w:rPr>
      <w:rFonts w:ascii="Symbol" w:hAnsi="Symbol"/>
    </w:rPr>
  </w:style>
  <w:style w:type="character" w:customStyle="1" w:styleId="FontStyle31">
    <w:name w:val="Font Style31"/>
    <w:qFormat/>
    <w:rsid w:val="00DA469B"/>
    <w:rPr>
      <w:rFonts w:ascii="Arial Narrow" w:hAnsi="Arial Narrow"/>
      <w:color w:val="000000"/>
      <w:sz w:val="16"/>
    </w:rPr>
  </w:style>
  <w:style w:type="character" w:customStyle="1" w:styleId="Teksttreci5">
    <w:name w:val="Tekst treści (5)_"/>
    <w:basedOn w:val="Domylnaczcionkaakapitu"/>
    <w:qFormat/>
    <w:rsid w:val="00DA46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qFormat/>
    <w:rsid w:val="00DA46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qFormat/>
    <w:rsid w:val="00DA46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60">
    <w:name w:val="Tekst treści (6)"/>
    <w:basedOn w:val="Teksttreci6"/>
    <w:qFormat/>
    <w:rsid w:val="00DA46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qFormat/>
    <w:rsid w:val="00DA469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7PogrubienieBezkursywy">
    <w:name w:val="Tekst treści (7) + Pogrubienie;Bez kursywy"/>
    <w:basedOn w:val="Teksttreci7"/>
    <w:qFormat/>
    <w:rsid w:val="00DA46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232323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7Bezkursywy">
    <w:name w:val="Tekst treści (7) + Bez kursywy"/>
    <w:basedOn w:val="Teksttreci7"/>
    <w:qFormat/>
    <w:rsid w:val="00DA469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232323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70">
    <w:name w:val="Tekst treści (7)"/>
    <w:basedOn w:val="Teksttreci7"/>
    <w:qFormat/>
    <w:rsid w:val="00DA469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232323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qFormat/>
    <w:rsid w:val="00DA4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PogrubienieNagweklubstopkaSylfaen17pt">
    <w:name w:val="Pogrubienie;Nagłówek lub stopka + Sylfaen;17 pt"/>
    <w:basedOn w:val="Nagweklubstopka"/>
    <w:qFormat/>
    <w:rsid w:val="00DA469B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444343"/>
      <w:spacing w:val="0"/>
      <w:w w:val="100"/>
      <w:sz w:val="34"/>
      <w:szCs w:val="34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qFormat/>
    <w:rsid w:val="00DA4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NagweklubstopkaSylfaen55ptKursywa">
    <w:name w:val="Nagłówek lub stopka + Sylfaen;5;5 pt;Kursywa"/>
    <w:basedOn w:val="Nagweklubstopka"/>
    <w:qFormat/>
    <w:rsid w:val="00DA469B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929595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Nagweklubstopka45pt">
    <w:name w:val="Nagłówek lub stopka + 4;5 pt"/>
    <w:basedOn w:val="Nagweklubstopka"/>
    <w:qFormat/>
    <w:rsid w:val="00DA4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929595"/>
      <w:spacing w:val="0"/>
      <w:w w:val="100"/>
      <w:sz w:val="9"/>
      <w:szCs w:val="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qFormat/>
    <w:rsid w:val="00DA469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  <w:lang w:val="en-US" w:eastAsia="en-US" w:bidi="en-US"/>
    </w:rPr>
  </w:style>
  <w:style w:type="character" w:customStyle="1" w:styleId="Nagwek2Maelitery">
    <w:name w:val="Nagłówek #2 + Małe litery"/>
    <w:basedOn w:val="Nagwek2"/>
    <w:qFormat/>
    <w:rsid w:val="00DA469B"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232323"/>
      <w:spacing w:val="0"/>
      <w:w w:val="100"/>
      <w:sz w:val="32"/>
      <w:szCs w:val="32"/>
      <w:u w:val="none"/>
      <w:lang w:val="en-US" w:eastAsia="en-US" w:bidi="en-US"/>
    </w:rPr>
  </w:style>
  <w:style w:type="character" w:styleId="Hipercze">
    <w:name w:val="Hyperlink"/>
    <w:rsid w:val="00DA469B"/>
    <w:rPr>
      <w:color w:val="000080"/>
      <w:u w:val="single"/>
    </w:rPr>
  </w:style>
  <w:style w:type="character" w:customStyle="1" w:styleId="Teksttreci2">
    <w:name w:val="Tekst treści (2)_"/>
    <w:basedOn w:val="Domylnaczcionkaakapitu"/>
    <w:qFormat/>
    <w:rsid w:val="00DA4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DA46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DA4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32323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DA469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DA46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A469B"/>
    <w:pPr>
      <w:spacing w:after="140" w:line="276" w:lineRule="auto"/>
    </w:pPr>
  </w:style>
  <w:style w:type="paragraph" w:styleId="Lista">
    <w:name w:val="List"/>
    <w:basedOn w:val="Tekstpodstawowy"/>
    <w:rsid w:val="00DA469B"/>
    <w:rPr>
      <w:rFonts w:cs="Lucida Sans"/>
    </w:rPr>
  </w:style>
  <w:style w:type="paragraph" w:customStyle="1" w:styleId="Caption">
    <w:name w:val="Caption"/>
    <w:basedOn w:val="Normalny"/>
    <w:qFormat/>
    <w:rsid w:val="00DA46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469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A469B"/>
  </w:style>
  <w:style w:type="paragraph" w:customStyle="1" w:styleId="Header">
    <w:name w:val="Header"/>
    <w:basedOn w:val="Normalny"/>
    <w:link w:val="NagwekZnak"/>
    <w:uiPriority w:val="99"/>
    <w:unhideWhenUsed/>
    <w:rsid w:val="002D71B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2D71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A469B"/>
    <w:pPr>
      <w:ind w:left="720"/>
    </w:pPr>
  </w:style>
  <w:style w:type="paragraph" w:customStyle="1" w:styleId="Zawartotabeli">
    <w:name w:val="Zawartość tabeli"/>
    <w:basedOn w:val="Normalny"/>
    <w:qFormat/>
    <w:rsid w:val="00DA469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DA469B"/>
    <w:pPr>
      <w:jc w:val="center"/>
    </w:pPr>
    <w:rPr>
      <w:b/>
      <w:bCs/>
    </w:rPr>
  </w:style>
  <w:style w:type="paragraph" w:customStyle="1" w:styleId="Pa15">
    <w:name w:val="Pa15"/>
    <w:basedOn w:val="Normalny"/>
    <w:next w:val="Normalny"/>
    <w:qFormat/>
    <w:rsid w:val="00DA469B"/>
    <w:pPr>
      <w:spacing w:line="181" w:lineRule="atLeast"/>
    </w:pPr>
    <w:rPr>
      <w:rFonts w:ascii="Inter" w:hAnsi="Inter"/>
      <w:sz w:val="24"/>
      <w:szCs w:val="24"/>
    </w:rPr>
  </w:style>
  <w:style w:type="paragraph" w:customStyle="1" w:styleId="Standardowy1">
    <w:name w:val="Standardowy1"/>
    <w:qFormat/>
    <w:rsid w:val="00DA469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DA469B"/>
  </w:style>
  <w:style w:type="paragraph" w:customStyle="1" w:styleId="Nagwek20">
    <w:name w:val="Nagłówek #2"/>
    <w:basedOn w:val="Normalny"/>
    <w:qFormat/>
    <w:rsid w:val="00DA469B"/>
    <w:pPr>
      <w:shd w:val="clear" w:color="auto" w:fill="FFFFFF"/>
      <w:spacing w:before="460" w:line="422" w:lineRule="exact"/>
      <w:jc w:val="right"/>
      <w:outlineLvl w:val="1"/>
    </w:pPr>
    <w:rPr>
      <w:rFonts w:ascii="Sylfaen" w:eastAsia="Sylfaen" w:hAnsi="Sylfaen" w:cs="Sylfaen"/>
      <w:sz w:val="32"/>
      <w:szCs w:val="32"/>
      <w:lang w:val="en-US" w:bidi="en-US"/>
    </w:rPr>
  </w:style>
  <w:style w:type="paragraph" w:customStyle="1" w:styleId="Default">
    <w:name w:val="Default"/>
    <w:qFormat/>
    <w:rsid w:val="00DA469B"/>
    <w:rPr>
      <w:rFonts w:ascii="Times New Roman" w:eastAsia="Calibri" w:hAnsi="Times New Roman"/>
      <w:color w:val="000000"/>
      <w:sz w:val="24"/>
    </w:rPr>
  </w:style>
  <w:style w:type="table" w:styleId="Tabela-Siatka">
    <w:name w:val="Table Grid"/>
    <w:basedOn w:val="Standardowy"/>
    <w:uiPriority w:val="39"/>
    <w:rsid w:val="0035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8/2023/BBIICD</dc:title>
  <dc:subject>Zarządzenie Nr 8/2023/BBIICD z dnia 16 stycznia 2023 r. Prezesa Narodowego Funduszu Zdrowia w sprawie finansowania dzialan w celu podniesienia poziomu bezpieczenstwa teleinformatycznego u swiadczeniodawcow</dc:subject>
  <dc:creator>Prezes Narodowego Funduszu Zdrowia</dc:creator>
  <dc:description/>
  <cp:lastModifiedBy>Adam.Pietrzyk</cp:lastModifiedBy>
  <cp:revision>29</cp:revision>
  <dcterms:created xsi:type="dcterms:W3CDTF">2023-01-16T15:32:00Z</dcterms:created>
  <dcterms:modified xsi:type="dcterms:W3CDTF">2023-09-06T09:50:00Z</dcterms:modified>
  <dc:language>pl-PL</dc:language>
</cp:coreProperties>
</file>