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KJ.272/K/13/2023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>Wykaz świadczeń medycznych – Formularz cenowy i wymagania.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Przedmiotem zamówienia jest usługa w zakresie opieki medycznej – </w:t>
      </w:r>
      <w:r>
        <w:rPr>
          <w:rFonts w:eastAsia="SimSun;宋体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zabezpieczenie świadczenia usług medycznych przez lekarzy specjalistów w zakresie konsultacji i zabiegów operacyjnych w ramach chirurgii ogólnej</w:t>
      </w:r>
      <w:r>
        <w:rPr>
          <w:rFonts w:ascii="Calibri" w:hAnsi="Calibri"/>
          <w:sz w:val="24"/>
          <w:szCs w:val="24"/>
        </w:rPr>
        <w:t xml:space="preserve"> w liczbie godzin i cenie: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9000" w:type="dxa"/>
        <w:jc w:val="left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2820"/>
        <w:gridCol w:w="2322"/>
        <w:gridCol w:w="1518"/>
        <w:gridCol w:w="183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Rodzaj świadczonej usługi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Liczba godzin</w:t>
              <w:br/>
              <w:t>na cały okres trwania umowy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Wartość brutto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(III x IV)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Pozostawanie w gotowości do udzielania świadczeń zdrowotnych przez lekarza specjalistę w dni zwykłe.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max. 12432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Pozostawanie w gotowości do udzielania świadczeń zdrowotnych przez lekarza specjalistę w dni świąteczne.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max. 5592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Świadczenie usług </w:t>
              <w:br/>
              <w:t xml:space="preserve">w przypadku wezwania </w:t>
              <w:br/>
              <w:t>w dni zwykłe.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max. 1500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Świadczenie usług </w:t>
              <w:br/>
              <w:t xml:space="preserve">w przypadku wezwania </w:t>
              <w:br/>
              <w:t>w dni świąteczne.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Oferowana ilość: ……………….. h</w:t>
              <w:br/>
              <w:t xml:space="preserve">z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max. 1200 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bCs/>
                <w:u w:val="non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none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alibri" w:hAnsi="Calibri"/>
          <w:b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specjalizacja z chirurgii ogólnej.</w:t>
      </w:r>
    </w:p>
    <w:p>
      <w:pPr>
        <w:pStyle w:val="Normal"/>
        <w:spacing w:lineRule="auto" w:line="276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Ilość osób: </w:t>
        <w:br/>
        <w:t xml:space="preserve">Zamawiający udzieli zamówienia 4 lekarzom specjalistom z chirurgii ogólnej zgodnie </w:t>
        <w:br/>
        <w:t xml:space="preserve">z przyjętymi kryteriami oceny.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ab/>
        <w:tab/>
        <w:tab/>
        <w:tab/>
        <w:tab/>
        <w:t xml:space="preserve">   ……………………………………………………</w:t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KJ.272/K/13/2023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  <w:sz w:val="12"/>
          <w:szCs w:val="12"/>
        </w:rPr>
      </w:pPr>
      <w:r>
        <w:rPr>
          <w:rFonts w:cs="Arial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  <w:sz w:val="12"/>
          <w:szCs w:val="12"/>
        </w:rPr>
      </w:pPr>
      <w:r>
        <w:rPr>
          <w:rFonts w:cs="Arial" w:ascii="Calibri" w:hAnsi="Calibri"/>
          <w:b/>
          <w:i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Style11"/>
        <w:spacing w:lineRule="auto" w:line="276" w:before="0" w:after="0"/>
        <w:jc w:val="both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Od </w:t>
      </w:r>
      <w:r>
        <w:rPr>
          <w:rFonts w:eastAsia="Arial Unicode MS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dnia 11.09.2023 r. do dnia 30.09.2025 r</w:t>
      </w:r>
      <w:r>
        <w:rPr>
          <w:rFonts w:cs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KJ.272/K/13/2023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na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zabezpieczenie świadczenia usług medycznych przez lekarzy specjalistów w zakresie konsultacji i zabiegów operacyjnych w ramach chirurgii ogólnej </w:t>
      </w:r>
      <w:r>
        <w:rPr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z</w:t>
      </w:r>
      <w:r>
        <w:rPr>
          <w:rFonts w:cs="Arial"/>
          <w:bCs/>
          <w:color w:val="000000"/>
          <w:sz w:val="24"/>
          <w:szCs w:val="24"/>
        </w:rPr>
        <w:t xml:space="preserve">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</w:t>
        <w:br/>
        <w:t>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>Cena (stawka) za 1 h za p</w:t>
      </w:r>
      <w:r>
        <w:rPr>
          <w:rFonts w:eastAsia="Arial Unicode MS" w:cs="Calibri"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ozostawanie w gotowości do udzielania świadczeń zdrowotnych przez lekarza specjalistę w dni zwykłe</w:t>
      </w: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>zł brutto.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>Cena (stawka) za 1 h za p</w:t>
      </w:r>
      <w:r>
        <w:rPr>
          <w:rFonts w:eastAsia="Arial Unicode MS" w:cs="Calibri"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ozos</w:t>
      </w:r>
      <w:r>
        <w:rPr>
          <w:rFonts w:eastAsia="Arial Unicode MS" w:cs="Calibri"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tawanie w gotowości do udzielania świadczeń zdrowotnych przez lekarza specjalistę w dni świąteczne </w:t>
      </w: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>wynosi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>zł brutto.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>Cena (stawka) za 1 h za ś</w:t>
      </w:r>
      <w:r>
        <w:rPr>
          <w:rFonts w:eastAsia="Arial Unicode MS" w:cs="Calibri"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wiadczenie usług w przypadku wezwania w dni zwykłe</w:t>
      </w: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>zł brutto.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>Cena (stawka) za 1 h za ś</w:t>
      </w:r>
      <w:r>
        <w:rPr>
          <w:rFonts w:eastAsia="Arial Unicode MS" w:cs="Calibri"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wiadczenie usług w przypadku wezwania w dni świąteczne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 xml:space="preserve">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>zł brutto.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b/>
          <w:color w:val="000000"/>
          <w:sz w:val="24"/>
          <w:szCs w:val="24"/>
        </w:rPr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(łączna wartość ww. cen (stawek) posłuży do porównania w kryterium nr 1 oceny ofert).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eastAsia="Arial Unicode MS" w:cs="Calibri"/>
          <w:sz w:val="24"/>
          <w:szCs w:val="24"/>
        </w:rPr>
      </w:pPr>
      <w:r>
        <w:rPr>
          <w:rFonts w:eastAsia="Arial Unicode MS" w:cs="Calibri" w:ascii="Calibri" w:hAnsi="Calibri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łączna cena stawek jednostkowych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pracy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nr 2:   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/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Posiadanie tytułu co najmniej dr n. med. </w:t>
      </w:r>
      <w:r>
        <w:rPr>
          <w:color w:val="000000"/>
          <w:sz w:val="24"/>
          <w:szCs w:val="24"/>
        </w:rPr>
        <w:t>– 100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/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Posiadanie tytułu niższego niż dr n. med.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tbl>
      <w:tblPr>
        <w:tblW w:w="7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022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L. p.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Posiadane specjalizacje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1.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2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 xml:space="preserve">Specjalizacja z więcej niż jednej dziedziny medycyny, w tym z zakresu chirurgii ogólnej – </w:t>
        <w:tab/>
        <w:t>100 pkt.</w:t>
      </w:r>
    </w:p>
    <w:p>
      <w:pPr>
        <w:pStyle w:val="Akapitzlist"/>
        <w:numPr>
          <w:ilvl w:val="0"/>
          <w:numId w:val="2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pecjalizacja wyłącznie z zakresu chirurgii ogólnej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mniejsza niż przez 7 dni w tygodniu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Odległość siedziby Wykonawcy od siedziby Zamawiającego</w:t>
      </w:r>
      <w:r>
        <w:rPr>
          <w:rFonts w:cs="Arial"/>
          <w:bCs/>
          <w:color w:val="000000"/>
          <w:sz w:val="24"/>
          <w:szCs w:val="24"/>
        </w:rPr>
        <w:t xml:space="preserve"> (w km) wynosi ………… .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Odległość siedziby Wykonawcy od siedziby Zamawiającego mniejsza lub równa 20 km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Arial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zh-CN" w:bidi="ar-SA"/>
        </w:rPr>
        <w:t>O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dległość siedziby Wykonawcy od siedziby Zamawiającego większa niż 20 km – 0 pkt.</w:t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2. </w:t>
        <w:tab/>
        <w:t>Przewidywany czas oczekiwania na konsultację / badanie*: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rPr/>
      </w:pPr>
      <w:r>
        <w:rPr>
          <w:rFonts w:cs="Calibri" w:ascii="Calibri" w:hAnsi="Calibri"/>
          <w:i/>
          <w:iCs/>
          <w:color w:val="000000"/>
          <w:shd w:fill="FFFFFF" w:val="clear"/>
          <w:lang w:val="pl-PL"/>
        </w:rPr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rPr/>
      </w:pPr>
      <w:r>
        <w:rPr>
          <w:rFonts w:cs="Calibri" w:ascii="Calibri" w:hAnsi="Calibri"/>
          <w:i/>
          <w:iCs/>
          <w:color w:val="000000"/>
          <w:shd w:fill="FFFFFF" w:val="clear"/>
          <w:lang w:val="pl-PL"/>
        </w:rPr>
        <w:tab/>
      </w: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overflowPunct w:val="fals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 xml:space="preserve">cito </w:t>
        <w:tab/>
        <w:t xml:space="preserve">     ………………………………………………………..</w:t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false"/>
        <w:bidi w:val="0"/>
        <w:spacing w:lineRule="auto" w:line="276" w:before="0" w:after="0"/>
        <w:ind w:left="227" w:right="0" w:hanging="0"/>
        <w:jc w:val="left"/>
        <w:rPr/>
      </w:pPr>
      <w:r>
        <w:rPr/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rPr>
          <w:i/>
          <w:i/>
          <w:iCs/>
        </w:rPr>
      </w:pPr>
      <w:r>
        <w:rPr>
          <w:rFonts w:cs="Calibri" w:ascii="Calibri" w:hAnsi="Calibri"/>
          <w:i/>
          <w:iCs/>
          <w:color w:val="000000"/>
          <w:shd w:fill="FFFFFF" w:val="clear"/>
          <w:lang w:val="pl-PL"/>
        </w:rPr>
        <w:t>*</w:t>
        <w:tab/>
        <w:t xml:space="preserve">Zgodnie z zapisami umowy (Zał. nr 4 do SWK) w przypadku wezwania Wykonawca </w:t>
        <w:tab/>
        <w:t xml:space="preserve">zobowiązany jest do zgłoszenia się w siedzibie Zamawiającego w przedziale czasu </w:t>
        <w:br/>
        <w:tab/>
        <w:t>od 30 min. do 1 godziny od wezwania.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 w:before="0" w:after="0"/>
        <w:ind w:left="284" w:right="0" w:hanging="284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fals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fals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6z0">
    <w:name w:val="WW8Num16z0"/>
    <w:qFormat/>
    <w:rPr>
      <w:rFonts w:ascii="Symbol" w:hAnsi="Symbol" w:cs="OpenSymbol;Arial Unicode MS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fals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Application>LibreOffice/7.4.3.2$Windows_X86_64 LibreOffice_project/1048a8393ae2eeec98dff31b5c133c5f1d08b890</Application>
  <AppVersion>15.0000</AppVersion>
  <Pages>5</Pages>
  <Words>737</Words>
  <Characters>4646</Characters>
  <CharactersWithSpaces>5334</CharactersWithSpaces>
  <Paragraphs>116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2023-07-21T12:32:22Z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