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Znak sprawy: KJ.272/K/11/2023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Times New Roman" w:ascii="Calibri" w:hAnsi="Calibri" w:asciiTheme="minorHAnsi" w:hAnsiTheme="minorHAnsi"/>
          <w:color w:val="000000"/>
          <w:sz w:val="24"/>
          <w:szCs w:val="24"/>
        </w:rPr>
        <w:t xml:space="preserve">Wykaz </w:t>
      </w:r>
      <w:r>
        <w:rPr>
          <w:rFonts w:ascii="Calibri" w:hAnsi="Calibri"/>
        </w:rPr>
        <w:t>świadczeń medycznych – Formularz cenowy</w:t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</w:rPr>
        <w:t xml:space="preserve">Przedmiotem zamówienia jest usługa w zakresie opieki medycznej – zabezpieczenie świadczenia usług medycznych przez lekarza specjalistę neurochirurga </w:t>
      </w:r>
      <w:r>
        <w:rPr>
          <w:rFonts w:ascii="Calibri" w:hAnsi="Calibri"/>
          <w:b/>
          <w:bCs/>
        </w:rPr>
        <w:t>w zakresie neurochirurgii</w:t>
      </w:r>
      <w:r>
        <w:rPr>
          <w:rFonts w:ascii="Calibri" w:hAnsi="Calibri"/>
        </w:rPr>
        <w:t xml:space="preserve"> w liczbie godzin i cenie:</w:t>
      </w:r>
    </w:p>
    <w:p>
      <w:pPr>
        <w:pStyle w:val="Normal"/>
        <w:shd w:fill="FFFFFF"/>
        <w:spacing w:lineRule="auto" w:line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16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39"/>
        <w:gridCol w:w="3409"/>
        <w:gridCol w:w="1511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 okres 24 miesięcy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</w:rPr>
              <w:t xml:space="preserve">Lekarz specjalista neurochirurg – chirurgia </w:t>
              <w:br/>
              <w:t>w obrębie kręgosłupa.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</w:t>
            </w:r>
            <w:r>
              <w:rPr>
                <w:rFonts w:eastAsia="Times New Roman" w:cs="Calibri" w:ascii="Calibri" w:hAnsi="Calibri"/>
                <w:b/>
                <w:bCs/>
                <w:color w:val="000000"/>
              </w:rPr>
              <w:t>3840</w:t>
            </w:r>
            <w:r>
              <w:rPr>
                <w:rFonts w:eastAsia="Times New Roman" w:cs="Calibri" w:ascii="Calibri" w:hAnsi="Calibri"/>
                <w:b/>
                <w:bCs/>
                <w:color w:val="C9211E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robocze od godz. 7.25 do 15.00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</w:rPr>
              <w:t>1728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</w:t>
              <w:br/>
              <w:t>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</w:rPr>
              <w:t>3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</w:t>
            </w:r>
            <w:r>
              <w:rPr>
                <w:rFonts w:ascii="Calibri" w:hAnsi="Calibri"/>
                <w:b/>
                <w:bCs/>
              </w:rPr>
              <w:t>2880</w:t>
            </w:r>
            <w:r>
              <w:rPr>
                <w:rFonts w:ascii="Calibri" w:hAnsi="Calibri"/>
              </w:rPr>
              <w:t xml:space="preserve"> godzin pozostawania </w:t>
              <w:br/>
              <w:t>w gotowości do świadczenia usług w postaci dyżurów lekarskich w dni robocze od godz. 15.00 do 7.25 dnia następnego oraz w dni wolne od pracy od godz. 7:25 do 7:25 dnia następnego (24h)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jc w:val="both"/>
        <w:rPr>
          <w:color w:val="000000"/>
        </w:rPr>
      </w:pPr>
      <w:r>
        <w:rPr>
          <w:rFonts w:eastAsia="SimSun" w:cs="Calibri" w:ascii="Calibri" w:hAnsi="Calibri"/>
          <w:b w:val="false"/>
          <w:bCs w:val="false"/>
          <w:lang w:eastAsia="zh-CN" w:bidi="hi-IN"/>
        </w:rPr>
        <w:t>Realizacja w terminie: od dn. 01.06.2023 r. do dn. 31.05.2025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</w:rPr>
        <w:t>Wymagania:</w:t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</w:rPr>
        <w:t>Wymagane doświadczenie w leczeniu urazów kręgosłupa, kwalifikacji do danego sposobu leczenia pacjentów z izolowanymi urazami kręgosłupa jak i w przypadkach urazów wielomiejscowych i wielonarządowych, wykonywaniu zabiegów operacyjnych polegających na repozycji i stabilizacji złamań i zwichnięć kręgów, zarówno w części szyjnej, piersiowej</w:t>
        <w:br/>
        <w:t>i lędźwiowo krzyżowej, z różnych dostępów operacyjnych z wykorzystaniem nowoczesnych technik operacyjnych, w tym dostępów i metod przezskórnych. Zakres umiejętności  obejmuje również doświadczenie w wykonaniu rewizji kanału i rdzenia kręgowego, odbarczaniu struktur nerwowych, w tym rdzenia kręgowego we wszystkich odcinkach kręgosłupa</w:t>
      </w:r>
      <w:r>
        <w:rPr>
          <w:rFonts w:ascii="Calibri" w:hAnsi="Calibri"/>
          <w:shd w:fill="FFFFFF" w:val="clear"/>
        </w:rPr>
        <w:t>.</w:t>
      </w:r>
      <w:r>
        <w:rPr>
          <w:rFonts w:ascii="Calibri" w:hAnsi="Calibri"/>
          <w:color w:val="323232"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Nowotwory układu nerwowego (rdzenia kręgowego i kanału kręgowego oraz nerwów obwodowych) po urazach czaszkowo- mózgowych (krwiaki śródczaszkowe, płynotoki nosowe, wodogłowie pourazowe, plastyka kości czaszki), urazy kręgosłupa.</w:t>
      </w:r>
      <w:r>
        <w:rPr>
          <w:rFonts w:ascii="Calibri" w:hAnsi="Calibri"/>
        </w:rPr>
        <w:t xml:space="preserve"> Umiejętność wykonania przezskórnej wertebroplastyki i kyfoplastyki w przypadku złamań osteoporotycznych.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  <w:u w:val="single"/>
        </w:rPr>
        <w:t>Zakres obowiązków lekarza specjalisty obejmuje m. in. :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1.</w:t>
        <w:tab/>
        <w:t xml:space="preserve">Współpraca z lekarzem kierującym oddziałem w zakresie prawidłowego toku pracy pod </w:t>
        <w:tab/>
        <w:t>względem medycznym, administracyjnym i organizacyjnym.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2.</w:t>
        <w:tab/>
        <w:t>Zapewnienie pacjentom kompleksowej i ciągłej opieki medycznej.</w:t>
      </w:r>
    </w:p>
    <w:p>
      <w:pPr>
        <w:pStyle w:val="Normal"/>
        <w:numPr>
          <w:ilvl w:val="0"/>
          <w:numId w:val="0"/>
        </w:numPr>
        <w:spacing w:lineRule="auto" w:line="276"/>
        <w:ind w:left="340" w:right="0" w:hanging="340"/>
        <w:rPr>
          <w:color w:val="000000"/>
        </w:rPr>
      </w:pPr>
      <w:r>
        <w:rPr>
          <w:rFonts w:ascii="Calibri" w:hAnsi="Calibri"/>
        </w:rPr>
        <w:t>3.</w:t>
        <w:tab/>
        <w:t xml:space="preserve">Stałe podnoszenie swoich kwalifikacji poprzez udział w szkoleniach wewnętrznych jak </w:t>
        <w:br/>
        <w:t xml:space="preserve">i zewnętrznych. </w:t>
      </w:r>
    </w:p>
    <w:p>
      <w:pPr>
        <w:pStyle w:val="Normal"/>
        <w:numPr>
          <w:ilvl w:val="0"/>
          <w:numId w:val="0"/>
        </w:numPr>
        <w:spacing w:lineRule="auto" w:line="276"/>
        <w:ind w:left="340" w:right="0" w:hanging="340"/>
        <w:rPr>
          <w:color w:val="000000"/>
        </w:rPr>
      </w:pPr>
      <w:r>
        <w:rPr>
          <w:rFonts w:ascii="Calibri" w:hAnsi="Calibri"/>
        </w:rPr>
        <w:t>4.</w:t>
        <w:tab/>
        <w:t xml:space="preserve">Bieżące informowanie lekarza kierującego oddziałem o stanie zdrowia pacjentów oraz procesie leczenia przebywających w oddziale oraz innych istotnych sprawach związanych </w:t>
        <w:br/>
        <w:t>z działalnością oddziału.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5.</w:t>
        <w:tab/>
        <w:t xml:space="preserve">Składanie ustnych raportów lekarzowi kierującemu oddziałem lub jego zastępcy o stanie </w:t>
        <w:tab/>
        <w:t>zdrowia pacjentów.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3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ascii="Calibri" w:hAnsi="Calibri"/>
        </w:rPr>
        <w:t>6.</w:t>
        <w:tab/>
        <w:t>Wprowadzanie nowych rozwiązań na rzecz usprawnienia i poprawy jakości pracy</w:t>
        <w:br/>
        <w:t>w oddziale za zgodą lekarza kierującego oddziałem lub jego zastępcy.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3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ascii="Calibri" w:hAnsi="Calibri"/>
        </w:rPr>
        <w:t>7.</w:t>
        <w:tab/>
        <w:t>Informowanie pacjentów o stanie ich zdrowia.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3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ascii="Calibri" w:hAnsi="Calibri"/>
        </w:rPr>
        <w:t xml:space="preserve">8. </w:t>
        <w:tab/>
        <w:tab/>
        <w:t>Uzupełnianie bieżące historii choroby pacjentów oraz innej wymaganej dokumentacji.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9.</w:t>
        <w:tab/>
        <w:t>Udział w odprawach i obchodach lekarskich.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10.</w:t>
        <w:tab/>
        <w:t>Udział w prowadzeniu gospodarki krwi na oddziale oraz leków.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11.</w:t>
        <w:tab/>
        <w:t>Współpraca z innym oddziałami, komórkami, działami.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 xml:space="preserve">12. Przestrzeganie zasad i realizacja zadań wynikających z umów z Narodowym Funduszem </w:t>
        <w:tab/>
        <w:t>Zdrowia.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13.</w:t>
        <w:tab/>
        <w:t>Uczestnictwo w programach jakości realizowanych na rzecz pacjenta.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14.</w:t>
        <w:tab/>
        <w:t xml:space="preserve">Wprowadzenie nowych metod leczenia poprawiających jakość wykonywanych usług </w:t>
        <w:tab/>
        <w:t>medycznych.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0" w:right="0" w:hanging="0"/>
        <w:rPr>
          <w:color w:val="000000"/>
        </w:rPr>
      </w:pPr>
      <w:r>
        <w:rPr>
          <w:rFonts w:ascii="Calibri" w:hAnsi="Calibri"/>
        </w:rPr>
        <w:t>15.</w:t>
        <w:tab/>
        <w:t xml:space="preserve">Wykonywanie innych poleceń nie objętych w zakresie, wydanych przez lekarza </w:t>
        <w:tab/>
        <w:t>kierującego oddziałem w ramach zajmowanego stanowiska.</w:t>
      </w:r>
    </w:p>
    <w:p>
      <w:pPr>
        <w:pStyle w:val="Normal"/>
        <w:spacing w:lineRule="auto" w:line="276"/>
        <w:ind w:left="108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rPr>
          <w:color w:val="000000"/>
        </w:rPr>
      </w:pPr>
      <w:r>
        <w:rPr>
          <w:rFonts w:ascii="Calibri" w:hAnsi="Calibri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Times New Roman" w:ascii="Calibri" w:hAnsi="Calibri"/>
          <w:sz w:val="24"/>
          <w:szCs w:val="24"/>
        </w:rPr>
        <w:t xml:space="preserve">Oddział IV Urazowo – Ortopedyczny, Zespół Sal Operacyjnych, Poradnie Specjalistyczne, </w:t>
        <w:br/>
        <w:t xml:space="preserve">Izba Przyjęć Samodzielnego Publicznego Wojewódzkiego Szpitala Chirurgii Urazowej </w:t>
        <w:br/>
        <w:t>im. dr. Janusza Daaba w Piekarach Śląskich, ul. Bytomska 62, 41-940 Piekary Śląskie</w:t>
      </w:r>
    </w:p>
    <w:p>
      <w:pPr>
        <w:pStyle w:val="Tekstwstpniesformatowany"/>
        <w:spacing w:lineRule="auto" w:line="276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Times New Roman" w:ascii="Calibri" w:hAnsi="Calibri"/>
          <w:sz w:val="24"/>
          <w:szCs w:val="24"/>
        </w:rPr>
        <w:t xml:space="preserve">Ilość osób: </w:t>
        <w:br/>
        <w:t xml:space="preserve">Zamawiający udzieli zamówienia 1 lekarzowi specjaliście z neurochirurgii zgodnie </w:t>
        <w:br/>
        <w:t xml:space="preserve">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 w:asciiTheme="minorHAnsi" w:hAnsiTheme="minorHAnsi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Za</w:t>
      </w:r>
      <w:r>
        <w:rPr>
          <w:rFonts w:eastAsia="Arial" w:cs="Calibri" w:ascii="Calibri" w:hAnsi="Calibri"/>
          <w:i w:val="false"/>
          <w:iCs w:val="false"/>
        </w:rPr>
        <w:t>łącznik nr 2</w:t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color w:val="000000"/>
        </w:rPr>
        <w:t>Znak sprawy: KJ.272/K/11/2023</w:t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dla Samodzielnego Publicznego Wojewódzkiego Szpitala Chirurgii Urazowej </w:t>
      </w:r>
      <w:r>
        <w:rPr/>
        <w:br/>
      </w:r>
      <w:r>
        <w:rPr>
          <w:rFonts w:eastAsia="Arial" w:cs="Calibri" w:ascii="Calibri" w:hAnsi="Calibri"/>
        </w:rPr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i/>
          <w:i/>
        </w:rPr>
      </w:pPr>
      <w:r>
        <w:rPr>
          <w:rFonts w:eastAsia="Arial" w:cs="Calibri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rPr/>
      </w:pPr>
      <w:r>
        <w:rPr>
          <w:rFonts w:eastAsia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rPr/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II. </w:t>
        <w:tab/>
        <w:t>TERMIN REALIZACJI:</w:t>
      </w:r>
    </w:p>
    <w:p>
      <w:pPr>
        <w:pStyle w:val="Normal"/>
        <w:shd w:fill="FFFFFF"/>
        <w:spacing w:lineRule="auto" w:line="276"/>
        <w:jc w:val="both"/>
        <w:rPr>
          <w:color w:val="000000"/>
        </w:rPr>
      </w:pPr>
      <w:r>
        <w:rPr>
          <w:rFonts w:eastAsia="SimSun" w:cs="Calibri" w:ascii="Calibri" w:hAnsi="Calibri"/>
          <w:b w:val="false"/>
          <w:bCs w:val="false"/>
          <w:color w:val="000000"/>
          <w:sz w:val="24"/>
          <w:szCs w:val="24"/>
          <w:lang w:eastAsia="zh-CN" w:bidi="hi-IN"/>
        </w:rPr>
        <w:t>Od dn. 01.06.2023 r. do dn. 31.05.2025 r.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eastAsia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IV.</w:t>
        <w:tab/>
      </w:r>
      <w:r>
        <w:rPr>
          <w:rFonts w:eastAsia="Arial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tbl>
      <w:tblPr>
        <w:tblW w:w="6693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61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tLeast" w:line="10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tabs>
          <w:tab w:val="clear" w:pos="709"/>
          <w:tab w:val="left" w:pos="395" w:leader="none"/>
        </w:tabs>
        <w:spacing w:lineRule="auto" w:line="276"/>
        <w:ind w:left="0" w:right="0" w:hanging="0"/>
        <w:rPr>
          <w:rFonts w:eastAsia="Arial"/>
          <w:b/>
          <w:b/>
          <w:bCs/>
        </w:rPr>
      </w:pPr>
      <w:r>
        <w:rPr>
          <w:rFonts w:eastAsia="Arial"/>
          <w:b/>
          <w:bCs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V. </w:t>
        <w:tab/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Cs/>
          <w:sz w:val="24"/>
          <w:szCs w:val="24"/>
        </w:rPr>
        <w:t xml:space="preserve">W nawiązaniu do ogłoszenia o konkursie oferuję wykonanie przedmiotu zamówienia </w:t>
      </w:r>
      <w:r>
        <w:rPr/>
        <w:br/>
      </w:r>
      <w:r>
        <w:rPr>
          <w:rFonts w:eastAsia="Arial"/>
          <w:bCs/>
          <w:sz w:val="24"/>
          <w:szCs w:val="24"/>
        </w:rPr>
        <w:t xml:space="preserve">na warunkach określonych w </w:t>
      </w:r>
      <w:r>
        <w:rPr>
          <w:rFonts w:eastAsia="Arial"/>
          <w:bCs/>
          <w:color w:val="000000"/>
          <w:sz w:val="24"/>
          <w:szCs w:val="24"/>
        </w:rPr>
        <w:t xml:space="preserve">Szczegółowych Warunkach Konkursu </w:t>
      </w:r>
      <w:r>
        <w:rPr>
          <w:rFonts w:eastAsia="Calibri" w:cs="Calibri"/>
          <w:b/>
          <w:bCs/>
          <w:color w:val="000000"/>
          <w:sz w:val="24"/>
          <w:szCs w:val="24"/>
        </w:rPr>
        <w:t>KJ.272/K/11/2023</w:t>
      </w:r>
      <w:r>
        <w:rPr>
          <w:b/>
          <w:bCs/>
        </w:rPr>
        <w:br/>
      </w:r>
      <w:r>
        <w:rPr>
          <w:rFonts w:eastAsia="Arial"/>
          <w:b/>
          <w:bCs/>
          <w:color w:val="000000"/>
          <w:sz w:val="24"/>
          <w:szCs w:val="24"/>
        </w:rPr>
        <w:t xml:space="preserve">w zakresie </w:t>
      </w:r>
      <w:r>
        <w:rPr>
          <w:rFonts w:eastAsia="Calibri"/>
          <w:b/>
          <w:bCs/>
          <w:sz w:val="24"/>
          <w:szCs w:val="24"/>
          <w:lang w:eastAsia="hi-IN"/>
        </w:rPr>
        <w:t>zabezpieczenia świadczenia usług medycznych przez lekarza specjalistę</w:t>
      </w:r>
      <w:r>
        <w:rPr>
          <w:rFonts w:cs="Arial"/>
          <w:b/>
          <w:bCs/>
          <w:color w:val="000000"/>
          <w:sz w:val="24"/>
          <w:szCs w:val="24"/>
        </w:rPr>
        <w:br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neurochirurga w zakresie neurochirurgii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Arial"/>
          <w:bCs/>
          <w:color w:val="000000"/>
          <w:sz w:val="24"/>
          <w:szCs w:val="24"/>
        </w:rPr>
        <w:t>za cenę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łączną</w:t>
      </w:r>
      <w:r>
        <w:rPr>
          <w:rFonts w:eastAsia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eastAsia="Arial"/>
          <w:sz w:val="24"/>
          <w:szCs w:val="24"/>
        </w:rPr>
        <w:t>…</w:t>
      </w:r>
      <w:r>
        <w:rPr>
          <w:rFonts w:eastAsia="Arial"/>
          <w:sz w:val="24"/>
          <w:szCs w:val="24"/>
        </w:rPr>
        <w:t>........................................… (słownie)</w:t>
        <w:tab/>
        <w:t>….</w:t>
      </w:r>
      <w:r>
        <w:rPr/>
        <w:br/>
      </w:r>
      <w:r>
        <w:rPr>
          <w:rFonts w:eastAsia="Arial"/>
          <w:sz w:val="24"/>
          <w:szCs w:val="24"/>
        </w:rPr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eastAsia="Arial"/>
          <w:color w:val="000000"/>
          <w:sz w:val="24"/>
          <w:szCs w:val="24"/>
        </w:rPr>
        <w:t>Zamawiający</w:t>
      </w:r>
      <w:r>
        <w:rPr>
          <w:rFonts w:eastAsia="Arial"/>
          <w:color w:val="FF000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VI. </w:t>
        <w:tab/>
        <w:t>JAKOŚĆ: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12"/>
          <w:szCs w:val="12"/>
        </w:rPr>
      </w:pPr>
      <w:r>
        <w:rPr>
          <w:rFonts w:eastAsia="Arial"/>
          <w:b/>
          <w:sz w:val="12"/>
          <w:szCs w:val="12"/>
        </w:rPr>
      </w:r>
    </w:p>
    <w:tbl>
      <w:tblPr>
        <w:tblW w:w="6122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1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Doświadczenie zawodowe: liczba lat pracy lekarza neurochirurga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w oddziale 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neurochirurgicznym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zakresie objętym przedmiotem zamówienia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5 lat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Tekstpodstawowywcity31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min. 5 lat jako lekarz specjalista neurochirurg  w oddziale neurochirurgicznym – 100 pkt.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Doświadczenie 4 lata lub mniej jako lekarz specjalista neurochirurg  w oddziale neurochirurgicznym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VII. </w:t>
        <w:tab/>
        <w:t>KOMPLEKSOWOŚĆ:</w:t>
      </w:r>
    </w:p>
    <w:p>
      <w:pPr>
        <w:pStyle w:val="Tekstpodstawowywcity31"/>
        <w:tabs>
          <w:tab w:val="clear" w:pos="709"/>
          <w:tab w:val="left" w:pos="395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color w:val="000000"/>
          <w:sz w:val="12"/>
          <w:szCs w:val="12"/>
        </w:rPr>
      </w:pPr>
      <w:r>
        <w:rPr>
          <w:rFonts w:eastAsia="Arial"/>
          <w:color w:val="000000"/>
          <w:sz w:val="12"/>
          <w:szCs w:val="12"/>
        </w:rPr>
      </w:r>
    </w:p>
    <w:tbl>
      <w:tblPr>
        <w:tblW w:w="8276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91"/>
        <w:gridCol w:w="2384"/>
      </w:tblGrid>
      <w:tr>
        <w:trPr/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</w:rPr>
              <w:t>Doświadczenie w mikrochirurgii rdzenia kręgowego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Brak doświadczenia w mikrochirurgii rdzenia kręgowego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Akapitzlist"/>
        <w:widowControl w:val="false"/>
        <w:tabs>
          <w:tab w:val="clear" w:pos="709"/>
          <w:tab w:val="left" w:pos="0" w:leader="none"/>
        </w:tabs>
        <w:spacing w:lineRule="auto" w:line="276"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w mikrochirurgii rdzenia kręgowego – 100 pkt.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Arial"/>
          <w:b w:val="false"/>
          <w:bCs w:val="false"/>
          <w:color w:val="000000"/>
          <w:sz w:val="24"/>
          <w:szCs w:val="24"/>
          <w:shd w:fill="auto" w:val="clear"/>
        </w:rPr>
        <w:t>Brak  doświadczenia w mikrochirurgii rdzenia kręgowego 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sz w:val="12"/>
          <w:szCs w:val="12"/>
        </w:rPr>
      </w:pPr>
      <w:r>
        <w:rPr>
          <w:rFonts w:eastAsia="Arial"/>
          <w:bCs/>
          <w:sz w:val="12"/>
          <w:szCs w:val="12"/>
        </w:rPr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color w:val="000000"/>
          <w:sz w:val="24"/>
          <w:szCs w:val="24"/>
        </w:rPr>
        <w:t>Siedziba Wykonawcy do 30 km od siedziby Zamawiającego: Piekary Śląskie,</w:t>
      </w:r>
      <w:r>
        <w:rPr/>
        <w:br/>
      </w:r>
      <w:r>
        <w:rPr>
          <w:color w:val="000000"/>
          <w:sz w:val="24"/>
          <w:szCs w:val="24"/>
        </w:rPr>
        <w:t>ul. Bytomska 62 – 100 pkt.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rFonts w:eastAsia="Arial"/>
          <w:bCs/>
          <w:color w:val="000000"/>
          <w:sz w:val="24"/>
          <w:szCs w:val="24"/>
        </w:rPr>
        <w:t xml:space="preserve">Siedziba Wykonawcy powyżej 31 km od siedziby Zamawiającego: Piekary Śląskie, </w:t>
      </w:r>
      <w:r>
        <w:rPr/>
        <w:br/>
      </w:r>
      <w:r>
        <w:rPr>
          <w:rFonts w:eastAsia="Arial"/>
          <w:bCs/>
          <w:color w:val="000000"/>
          <w:sz w:val="24"/>
          <w:szCs w:val="24"/>
        </w:rPr>
        <w:t>ul. Bytomska 62 – 0 pkt.</w:t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sz w:val="12"/>
          <w:szCs w:val="12"/>
        </w:rPr>
      </w:pPr>
      <w:r>
        <w:rPr>
          <w:rFonts w:eastAsia="Arial"/>
          <w:bCs/>
          <w:sz w:val="12"/>
          <w:szCs w:val="12"/>
        </w:rPr>
      </w:r>
    </w:p>
    <w:tbl>
      <w:tblPr>
        <w:tblW w:w="6463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890"/>
      </w:tblGrid>
      <w:tr>
        <w:trPr/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4"/>
                <w:szCs w:val="24"/>
              </w:rPr>
              <w:t>Znajomość systemu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  <w:tab w:val="left" w:pos="396" w:leader="none"/>
        </w:tabs>
        <w:spacing w:lineRule="auto" w:line="276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341" w:leader="none"/>
        </w:tabs>
        <w:spacing w:lineRule="auto" w:line="276" w:before="0" w:after="0"/>
        <w:jc w:val="both"/>
        <w:rPr/>
      </w:pPr>
      <w:r>
        <w:rPr>
          <w:rFonts w:eastAsia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b/>
          <w:bCs/>
          <w:sz w:val="24"/>
          <w:szCs w:val="24"/>
        </w:rPr>
        <w:t xml:space="preserve">X. </w:t>
        <w:tab/>
      </w:r>
      <w:r>
        <w:rPr>
          <w:rFonts w:eastAsia="Arial"/>
          <w:sz w:val="24"/>
          <w:szCs w:val="24"/>
        </w:rPr>
        <w:t>Minimalna liczba osób udzielających świadczenie zdrowotne:</w:t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sz w:val="24"/>
          <w:szCs w:val="24"/>
        </w:rPr>
        <w:tab/>
        <w:tab/>
      </w:r>
      <w:r>
        <w:rPr>
          <w:rFonts w:eastAsia="Arial"/>
          <w:b/>
          <w:bCs/>
          <w:sz w:val="24"/>
          <w:szCs w:val="24"/>
        </w:rPr>
        <w:t>Jedna osoba.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XI.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09"/>
          <w:tab w:val="left" w:pos="8504" w:leader="dot"/>
        </w:tabs>
        <w:spacing w:lineRule="auto" w:line="276"/>
        <w:rPr/>
      </w:pPr>
      <w:r>
        <w:rPr>
          <w:rFonts w:eastAsia="Arial" w:cs="Calibri" w:ascii="Calibri" w:hAnsi="Calibri"/>
          <w:bCs/>
        </w:rPr>
        <w:t>- Dni i godziny udzielania świadczeń zdrowotnych:</w:t>
      </w:r>
    </w:p>
    <w:p>
      <w:pPr>
        <w:pStyle w:val="Normal"/>
        <w:tabs>
          <w:tab w:val="clear" w:pos="709"/>
          <w:tab w:val="left" w:pos="168" w:leader="none"/>
        </w:tabs>
        <w:spacing w:lineRule="auto" w:line="276" w:before="227" w:after="0"/>
        <w:ind w:left="0" w:right="0" w:hanging="0"/>
        <w:rPr/>
      </w:pPr>
      <w:r>
        <w:rPr>
          <w:rFonts w:eastAsia="Arial" w:cs="Calibri" w:ascii="Calibri" w:hAnsi="Calibri"/>
        </w:rPr>
        <w:tab/>
        <w:t>Do dyspozycji:  ………………………………………, 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eastAsia="Arial" w:cs="Calibri" w:ascii="Calibri" w:hAnsi="Calibr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eastAsia="Arial" w:cs="Calibri" w:ascii="Calibri" w:hAnsi="Calibr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eastAsia="Arial" w:cs="Calibri" w:ascii="Calibri" w:hAnsi="Calibri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" w:cs="Calibri" w:ascii="Calibri" w:hAnsi="Calibri"/>
        </w:rPr>
        <w:t>..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9">
    <w:name w:val="WW8Num19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LibreOffice/7.4.3.2$Windows_X86_64 LibreOffice_project/1048a8393ae2eeec98dff31b5c133c5f1d08b890</Application>
  <AppVersion>15.0000</AppVersion>
  <Pages>7</Pages>
  <Words>1005</Words>
  <Characters>6803</Characters>
  <CharactersWithSpaces>7759</CharactersWithSpaces>
  <Paragraphs>112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2023-05-08T14:14:34Z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