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 xml:space="preserve">Załącznik nr 2 </w:t>
      </w:r>
      <w:r>
        <w:rPr>
          <w:rFonts w:cs="Arial" w:ascii="Calibri" w:hAnsi="Calibri" w:asciiTheme="minorHAnsi" w:hAnsiTheme="minorHAnsi"/>
          <w:i w:val="false"/>
          <w:iCs w:val="false"/>
        </w:rPr>
        <w:t>ZM</w:t>
      </w:r>
    </w:p>
    <w:p>
      <w:pPr>
        <w:pStyle w:val="Normal"/>
        <w:spacing w:lineRule="auto" w:line="276"/>
        <w:jc w:val="right"/>
        <w:rPr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  <w:i w:val="false"/>
          <w:iCs w:val="false"/>
        </w:rPr>
        <w:t>PAKIET 1, 2, 3, 4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KJ.272/K/10/2023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KJ.272/K/10/2023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abezpieczenia świadczenia usług medycznych przez lekarzy specjalistów </w:t>
        <w:br/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ortopedii i traumatologii narządu ruchu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połączone z pełnieniem funkcji kierowniczych 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obrębie Zespołu Sal Operacyjnych, Poradni Specjalistycznych,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u w:val="none"/>
          <w:lang w:val="pl-PL" w:eastAsia="pl-PL" w:bidi="hi-IN"/>
        </w:rPr>
        <w:t xml:space="preserve">Odcinka I B </w:t>
        <w:br/>
        <w:t xml:space="preserve">i I C funkcjonujących w ramach oddziału I Urazowo-Ortopedycznego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 xml:space="preserve">w zakresie pakietu </w:t>
        <w:br/>
        <w:t xml:space="preserve">nr …...*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  <w:i/>
          <w:i/>
          <w:iCs/>
        </w:rPr>
      </w:pPr>
      <w:r>
        <w:rPr>
          <w:rFonts w:cs="Arial" w:ascii="Calibri" w:hAnsi="Calibri"/>
          <w:bCs/>
          <w:i/>
          <w:iCs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Wcicietrecitekstu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eastAsia="Arial Unicode MS" w:cs="Calibri"/>
          <w:b/>
          <w:b/>
          <w:bCs/>
          <w:color w:val="000000"/>
          <w:kern w:val="2"/>
          <w:lang w:val="pl-PL" w:eastAsia="ar-SA" w:bidi="ar-SA"/>
        </w:rPr>
      </w:pPr>
      <w:r>
        <w:rPr>
          <w:rFonts w:eastAsia="Arial Unicode MS" w:cs="Calibri" w:ascii="Calibri" w:hAnsi="Calibri"/>
          <w:b/>
          <w:bCs/>
          <w:color w:val="000000"/>
          <w:kern w:val="2"/>
          <w:lang w:val="pl-PL" w:eastAsia="ar-SA" w:bidi="ar-SA"/>
        </w:rPr>
      </w:r>
    </w:p>
    <w:p>
      <w:pPr>
        <w:pStyle w:val="Wcicietrecitekstu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highlight w:val="none"/>
          <w:shd w:fill="auto" w:val="clear"/>
        </w:rPr>
      </w:pPr>
      <w:r>
        <w:rPr>
          <w:rFonts w:eastAsia="Arial Unicode MS" w:cs="Calibri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Oferent winien posiadać co najmniej 5 lat specjalizacji z ortopedii i traumatologii narządu ruchu.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color w:val="000000"/>
          <w:sz w:val="8"/>
          <w:szCs w:val="8"/>
          <w:highlight w:val="none"/>
          <w:shd w:fill="auto" w:val="clear"/>
        </w:rPr>
      </w:pPr>
      <w:r>
        <w:rPr>
          <w:rFonts w:cs="Arial"/>
          <w:b/>
          <w:color w:val="000000"/>
          <w:sz w:val="8"/>
          <w:szCs w:val="8"/>
          <w:shd w:fill="auto" w:val="clear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highlight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shd w:fill="auto" w:val="clear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10 lat i więcej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od 5 do 9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color w:val="000000"/>
          <w:sz w:val="8"/>
          <w:szCs w:val="8"/>
          <w:highlight w:val="none"/>
          <w:shd w:fill="auto" w:val="clear"/>
        </w:rPr>
      </w:pPr>
      <w:r>
        <w:rPr>
          <w:rFonts w:cs="Arial"/>
          <w:b/>
          <w:color w:val="000000"/>
          <w:sz w:val="8"/>
          <w:szCs w:val="8"/>
          <w:shd w:fill="auto" w:val="clear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color w:val="000000"/>
        </w:rPr>
      </w:pPr>
      <w:r>
        <w:rPr>
          <w:rFonts w:cs="Calibri"/>
          <w:color w:val="000000"/>
          <w:sz w:val="24"/>
          <w:szCs w:val="24"/>
        </w:rPr>
        <w:t>Doświadczenie 10 lat i więcej jako lekarz specjalista z ortopedii i traumatologii narządu ruchu – 100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od 5 do 9 lat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Standard"/>
        <w:spacing w:lineRule="auto" w:line="276" w:before="0" w:after="240"/>
        <w:jc w:val="both"/>
        <w:rPr>
          <w:color w:val="000000"/>
        </w:rPr>
      </w:pPr>
      <w:r>
        <w:rPr>
          <w:rFonts w:ascii="Calibri" w:hAnsi="Calibri"/>
          <w:i/>
          <w:color w:val="000000"/>
          <w:sz w:val="24"/>
          <w:szCs w:val="24"/>
          <w:lang w:val="pl-PL"/>
        </w:rPr>
        <w:t>** Pkt. III – XI należy wypełnić</w:t>
      </w:r>
      <w:r>
        <w:rPr>
          <w:rFonts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LibreOffice/7.4.3.2$Windows_X86_64 LibreOffice_project/1048a8393ae2eeec98dff31b5c133c5f1d08b890</Application>
  <AppVersion>15.0000</AppVersion>
  <Pages>4</Pages>
  <Words>557</Words>
  <Characters>3638</Characters>
  <CharactersWithSpaces>4167</CharactersWithSpaces>
  <Paragraphs>70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2023-05-08T10:20:50Z</cp:lastPrinted>
  <dcterms:modified xsi:type="dcterms:W3CDTF">2023-05-08T10:20:44Z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