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2 ZM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KJ.272/K/8/2023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dn. 01.06.2023 r. do dn. 31.05.2025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KJ.272/K/8/2023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zabezpieczenia świadczenia usług medycznych przez lekarza specjalistę z ortopedii i traumatologii narządu ruchu </w:t>
      </w:r>
      <w:r>
        <w:rPr>
          <w:rFonts w:eastAsia="SimSun;宋体" w:cs="Calibri"/>
          <w:b/>
          <w:bCs/>
          <w:color w:val="auto"/>
          <w:kern w:val="2"/>
          <w:sz w:val="24"/>
          <w:szCs w:val="24"/>
          <w:lang w:val="pl-PL" w:eastAsia="zh-CN" w:bidi="hi-IN"/>
        </w:rPr>
        <w:t>w zakresie chirurgii w obrębie kręgosłupa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ascii="Calibri" w:hAnsi="Calibri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eastAsia="Arial Unicode MS" w:cs="Calibri"/>
        </w:rPr>
      </w:pPr>
      <w:r>
        <w:rPr>
          <w:rFonts w:eastAsia="Arial Unicode MS" w:cs="Calibri"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10 lat i więcej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od 5 do 9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 lata lub mniej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20" w:right="0" w:hanging="360"/>
        <w:rPr/>
      </w:pPr>
      <w:r>
        <w:rPr>
          <w:rFonts w:cs="Calibri"/>
          <w:color w:val="000000"/>
          <w:sz w:val="24"/>
          <w:szCs w:val="24"/>
        </w:rPr>
        <w:t>Doświadczenie 10 lat i więcej jako lekarz specjalista z ortopedii i traumatologii narządu ruchu – 100 pkt.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od 5 do 9 lat  jako lekarz specjalista z ortopedii i traumatologii narządu ruchu – 50 pkt.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Doświadczenie 4 lata lub mniej jako lekarz specjalista z ortopedii i traumatologii narządu ruchu – 0 pkt.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/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/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sz w:val="24"/>
          <w:szCs w:val="24"/>
        </w:rPr>
        <w:t>Posiadanie tytułu naukowego co najmniej dr. n. med.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Siedziba Wykonawcy do 30 km od siedziby Zamawiającego: Piekary Śląskie,</w:t>
        <w:br/>
        <w:t>ul. Bytomska 62 –100 pkt.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31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both"/>
        <w:rPr/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……………………………………………..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ab/>
        <w:t xml:space="preserve">Do dyspozycji:  …………………………………………………………………………………………………………..., </w:t>
        <w:tab/>
        <w:t>jednakże zgodnie z harmonogramem w oddziale.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>
    <w:name w:val="WW8Num19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Application>LibreOffice/7.4.3.2$Windows_X86_64 LibreOffice_project/1048a8393ae2eeec98dff31b5c133c5f1d08b890</Application>
  <AppVersion>15.0000</AppVersion>
  <Pages>4</Pages>
  <Words>506</Words>
  <Characters>3316</Characters>
  <CharactersWithSpaces>3792</CharactersWithSpaces>
  <Paragraphs>68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2023-04-25T15:44:28Z</cp:lastPrinted>
  <dcterms:modified xsi:type="dcterms:W3CDTF">2023-05-08T09:53:45Z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