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 w:before="36" w:after="0"/>
        <w:rPr/>
      </w:pPr>
      <w:r>
        <w:rPr>
          <w:b/>
          <w:bCs/>
        </w:rPr>
        <w:tab/>
        <w:tab/>
      </w: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  <w:bCs/>
        </w:rPr>
        <w:t>załącznik nr 4</w:t>
        <w:tab/>
        <w:tab/>
        <w:tab/>
        <w:tab/>
        <w:tab/>
        <w:tab/>
        <w:tab/>
      </w:r>
    </w:p>
    <w:p>
      <w:pPr>
        <w:pStyle w:val="Style14"/>
        <w:spacing w:lineRule="auto" w:line="240" w:before="36" w:after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Projektowane  postanowienia umowy  </w:t>
      </w:r>
    </w:p>
    <w:p>
      <w:pPr>
        <w:pStyle w:val="Style14"/>
        <w:spacing w:lineRule="auto" w:line="240" w:before="36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zawarta w dniu ………………………………….r. w Piekarach Śląskich pomiędzy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 xml:space="preserve">Samodzielnym Publicznym Wojewódzkim Szpitalem Chirurgii Urazowej  </w:t>
        <w:br/>
        <w:t>im. dr. Janusza Daaba w Piekarach Śląskich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>41-940 Piekary Śląskie ul. Bytomska 62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 xml:space="preserve">wpisanym do Krajowego Rejestru Sądowego prowadzonego przez Sąd Rejonowy </w:t>
        <w:br/>
        <w:t>w Gliwicach, Wydział X Gospodarczy Krajowego Rejestru Sądowego pod numerem KRS:0000046125.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>Regon: 000868307</w:t>
      </w:r>
    </w:p>
    <w:p>
      <w:pPr>
        <w:pStyle w:val="Standard"/>
        <w:spacing w:lineRule="auto" w:line="240"/>
        <w:rPr/>
      </w:pPr>
      <w:r>
        <w:rPr>
          <w:rStyle w:val="Domylnaczcionkaakapitu"/>
          <w:rFonts w:cs="Arial" w:ascii="Calibri" w:hAnsi="Calibri"/>
          <w:color w:val="000000"/>
          <w:lang w:val="pl-PL"/>
        </w:rPr>
        <w:t>NIP: 498-01-07-015</w:t>
      </w:r>
      <w:r>
        <w:rPr>
          <w:rStyle w:val="Domylnaczcionkaakapitu"/>
          <w:rFonts w:ascii="Calibri" w:hAnsi="Calibri"/>
          <w:color w:val="000000"/>
          <w:lang w:val="pl-PL"/>
        </w:rPr>
        <w:t xml:space="preserve"> </w:t>
        <w:br/>
        <w:t>zwanym dalej „Zamawiającym”,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reprezentowanym przez:……………………………………………………………………………………….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a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………………………………………………………</w:t>
      </w:r>
      <w:r>
        <w:rPr>
          <w:rFonts w:ascii="Calibri" w:hAnsi="Calibri"/>
          <w:color w:val="000000"/>
          <w:lang w:val="pl-PL"/>
        </w:rPr>
        <w:t>....</w:t>
      </w:r>
    </w:p>
    <w:p>
      <w:pPr>
        <w:pStyle w:val="Standard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zwanym w treści umowy „Wykonawcą”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reprezentowanym przez: 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</w:r>
    </w:p>
    <w:p>
      <w:pPr>
        <w:pStyle w:val="Standard"/>
        <w:spacing w:lineRule="auto" w:line="240"/>
        <w:rPr/>
      </w:pPr>
      <w:r>
        <w:rPr>
          <w:rStyle w:val="Domylnaczcionkaakapitu"/>
          <w:rFonts w:cs="Calibri" w:ascii="Calibri" w:hAnsi="Calibri"/>
          <w:iCs/>
          <w:color w:val="000000"/>
          <w:lang w:val="pl-PL"/>
        </w:rPr>
        <w:t>Niniejszą umowę (zwaną dalej „Umową”) zawarto z wyłączeniem obowiązku stosowania przepisów ustawy Prawo zamówień publicznych (Dz.U. z 2021 r. poz. 1129 z późn. zm.)</w:t>
      </w:r>
    </w:p>
    <w:p>
      <w:pPr>
        <w:pStyle w:val="Standard"/>
        <w:spacing w:lineRule="auto" w:line="240"/>
        <w:rPr>
          <w:rFonts w:ascii="Calibri" w:hAnsi="Calibri" w:cs="Calibri"/>
          <w:iCs/>
          <w:color w:val="000000"/>
          <w:lang w:val="pl-PL"/>
        </w:rPr>
      </w:pPr>
      <w:r>
        <w:rPr>
          <w:rFonts w:cs="Calibri" w:ascii="Calibri" w:hAnsi="Calibri"/>
          <w:iCs/>
          <w:color w:val="000000"/>
          <w:lang w:val="pl-PL"/>
        </w:rPr>
        <w:t>na zasadach określonych w Regulaminie udzielania zamówień przez komórki organizacyjne Samodzielnego Publicznego Wojewódzkiego Szpitala Chirurgii Urazowej im. dr. Janusza Daaba</w:t>
      </w:r>
    </w:p>
    <w:p>
      <w:pPr>
        <w:pStyle w:val="Standard"/>
        <w:spacing w:lineRule="auto" w:line="240" w:before="36" w:after="0"/>
        <w:rPr>
          <w:rFonts w:ascii="Calibri" w:hAnsi="Calibri" w:cs="Calibri"/>
          <w:iCs/>
          <w:color w:val="000000"/>
          <w:lang w:val="pl-PL"/>
        </w:rPr>
      </w:pPr>
      <w:r>
        <w:rPr>
          <w:rStyle w:val="CharacterStyle1"/>
          <w:rFonts w:cs="Calibri" w:ascii="Calibri" w:hAnsi="Calibri"/>
          <w:b/>
          <w:bCs/>
          <w:iCs/>
          <w:color w:val="000000"/>
          <w:spacing w:val="6"/>
          <w:sz w:val="24"/>
          <w:szCs w:val="24"/>
          <w:lang w:val="pl-PL"/>
        </w:rPr>
        <w:t>w Piekarach Śląskich, których wartość netto jest mniejsza niż kwota 130 000 tys. zł.</w:t>
      </w:r>
    </w:p>
    <w:p>
      <w:pPr>
        <w:pStyle w:val="Style14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14"/>
        <w:spacing w:lineRule="atLeast" w:line="20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§ 1</w:t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Przedmiotem zamówienia jest</w:t>
      </w:r>
      <w:r>
        <w:rPr>
          <w:rFonts w:cs="Times New Roman"/>
          <w:szCs w:val="24"/>
        </w:rPr>
        <w:t xml:space="preserve"> świadczenie usług pocztowych w obrocie krajowym                          i zagranicznym na rzecz </w:t>
      </w:r>
      <w:r>
        <w:rPr>
          <w:rFonts w:cs="Times New Roman"/>
          <w:bCs/>
          <w:szCs w:val="24"/>
        </w:rPr>
        <w:t>Samodzielnego Publicznego Wojewódzkiego Szpitala Chirurgii Urazowej im. dr. Janusza Daaba w Piekarach Śląskich na zasadach określonych w powszechnie obowiązujących przepisach prawa, w szczególności w ustawie z dnia 23 listopada 2012 r. Prawo pocztowe (t.j. Dz. U. z 2020 r., poz. 1041).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 xml:space="preserve">Zakres usługi obejmuje: 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przyjmowanie, sortowanie, przemieszczanie i doręczanie przesyłek pocztowych (tj. przesyłek listowych i paczek pocztowych),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doręczanie Zamawiającemu zwrotnych potwierdzeń odbioru po skutecznym doręczeniu przesyłek, 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zwrot do Zamawiającego przesyłek niedoręczonych odbiorcy po wyczerpaniu wszystkich możliwości ich doręczenia lub wydania odbiorcy,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usługę przewozu przesyłek pocztowych przeznaczonych do nadania i dokumentów nadawczych z siedziby Zamawiającego do placówki nadawczej Wykonawcy. 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  <w:u w:val="single"/>
        </w:rPr>
        <w:t>przesyłki listowe</w:t>
      </w:r>
      <w:r>
        <w:rPr>
          <w:rFonts w:cs="Times New Roman"/>
          <w:szCs w:val="24"/>
        </w:rPr>
        <w:t>, będące przedmiotem zamówienia rozumie się przesyłki o wadze do 2000g: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przesyłki nierejestrowane (zwykłe) krajowe i zagraniczne :</w:t>
      </w:r>
    </w:p>
    <w:p>
      <w:pPr>
        <w:pStyle w:val="Akapitzlist1"/>
        <w:numPr>
          <w:ilvl w:val="0"/>
          <w:numId w:val="4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4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(priorytetowe);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przesyłki rejestrowane (polecone) krajowe i zagraniczne, przyjęte za potwierdzeniem do nadania:</w:t>
      </w:r>
    </w:p>
    <w:p>
      <w:pPr>
        <w:pStyle w:val="Akapitzlist1"/>
        <w:numPr>
          <w:ilvl w:val="0"/>
          <w:numId w:val="5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5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(priorytetowe);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przesyłki rejestrowane (polecone) krajowe i zagraniczne za zwrotnym poświadczeniem odbioru (ZPO), przyjęte za potwierdzeniem do nadania i doręczane za pokwitowaniem odbioru: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(priorytetowe).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u w:val="single"/>
          <w:lang w:eastAsia="pl-PL"/>
        </w:rPr>
      </w:pPr>
      <w:r>
        <w:rPr>
          <w:rFonts w:eastAsia="Times New Roman" w:ascii="Calibri" w:hAnsi="Calibri"/>
          <w:kern w:val="0"/>
          <w:u w:val="single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b/>
          <w:kern w:val="0"/>
          <w:u w:val="single"/>
          <w:lang w:eastAsia="pl-PL"/>
        </w:rPr>
        <w:t>Dla przesyłek  listowych w obrocie krajowym: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S do 500 g- to przesyłka o wymiarach: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mm,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żaden z wymiarów nie może przekroczyć: wysokość 20 mm, długość 230 mm, szerokość 160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M do 1000 g– to przesyłka o wymiarach: 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mm.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żaden z wymiarów nie może przekroczyć: wysokość 20 mm, długość 325 mm, szerokość 230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L do 2000 g – to przesyłka o wymiarach: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mm.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suma długości, szerokości i wysokości nie może być większa niż 900 mm, przy czym największy z tych wymiarów (długość) nie może przekroczyć 600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b/>
          <w:kern w:val="0"/>
          <w:u w:val="single"/>
          <w:lang w:eastAsia="pl-PL"/>
        </w:rPr>
        <w:t>Dla przesyłek listowych w obrocie zagranicznym:</w:t>
      </w:r>
    </w:p>
    <w:p>
      <w:pPr>
        <w:pStyle w:val="Akapitzlist1"/>
        <w:spacing w:lineRule="atLeast" w:line="100" w:before="0" w:after="0"/>
        <w:ind w:left="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Wymiary przesyłek listowych wynoszą: MAKSIMUM: suma długości, szerokości i wysokości -900 mm, przy czym największy z tych wymiarów (długość) nie może przekroczyć 600 mm MINIMUM: wymiary strony adresowej nie mogą być mniejsze niż 90 x 140 mm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ind w:left="357" w:hanging="357"/>
        <w:rPr>
          <w:rFonts w:ascii="Calibri" w:hAnsi="Calibri"/>
        </w:rPr>
      </w:pPr>
      <w:r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  <w:u w:val="single"/>
        </w:rPr>
        <w:t>paczki pocztowe</w:t>
      </w:r>
      <w:r>
        <w:rPr>
          <w:rFonts w:cs="Times New Roman"/>
          <w:szCs w:val="24"/>
        </w:rPr>
        <w:t xml:space="preserve">, będące </w:t>
      </w:r>
      <w:r>
        <w:rPr>
          <w:rFonts w:cs="Times New Roman"/>
          <w:color w:val="000000"/>
          <w:szCs w:val="24"/>
        </w:rPr>
        <w:t>przedmiotem zamówienia rozumie się paczki pocztowe o wadze do 10.000 g (gabaryt A):</w:t>
      </w:r>
    </w:p>
    <w:p>
      <w:pPr>
        <w:pStyle w:val="Domylnie"/>
        <w:numPr>
          <w:ilvl w:val="0"/>
          <w:numId w:val="38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paczki rejestrowane nie będące paczkami najszybszej kategorii,</w:t>
      </w:r>
    </w:p>
    <w:p>
      <w:pPr>
        <w:pStyle w:val="Domylnie"/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Gabaryt A – to przesyłka o wymiarach:</w:t>
      </w:r>
    </w:p>
    <w:p>
      <w:pPr>
        <w:pStyle w:val="Domylnie"/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Minimum – wymiary strony adresowej nie mogą być mniejsze niż 90 x 140 mm,</w:t>
      </w:r>
    </w:p>
    <w:p>
      <w:pPr>
        <w:pStyle w:val="Domylnie"/>
        <w:spacing w:lineRule="atLeast" w:line="100" w:before="0" w:after="0"/>
        <w:ind w:left="360" w:hanging="36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Maksimum – żaden z wymiarów nie może przekroczyć długości 600 mm, szerokość 500 mm, wysokość 300 mm.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ind w:left="357" w:hanging="357"/>
        <w:rPr>
          <w:rFonts w:ascii="Calibri" w:hAnsi="Calibri"/>
        </w:rPr>
      </w:pPr>
      <w:r>
        <w:rPr>
          <w:rFonts w:cs="Times New Roman"/>
          <w:bCs/>
          <w:szCs w:val="24"/>
        </w:rPr>
        <w:t xml:space="preserve">Zamawiający w ramach realizacji przedmiotu zamówienia przewiduje nadawanie przesyłek pocztowych rejestrowanych wymagających zastosowania </w:t>
      </w:r>
      <w:r>
        <w:rPr>
          <w:rFonts w:cs="Times New Roman"/>
          <w:b/>
          <w:bCs/>
          <w:szCs w:val="24"/>
        </w:rPr>
        <w:t>przepisu art. 57 § 5 pkt. 2 Kodeksu postępowania administracyjnego, art. 12 § 6 pkt. 2 Ordynacji podatkowej, art. 165 § 2 Kodeksu postępowania cywilnego</w:t>
      </w:r>
      <w:r>
        <w:rPr>
          <w:rFonts w:cs="Times New Roman"/>
          <w:bCs/>
          <w:szCs w:val="24"/>
        </w:rPr>
        <w:t xml:space="preserve"> dla których potwierdzenie nadania wydane przez placówkę pocztową operatora wyznaczonego będzie miało moc dokumentu urzędowego. </w:t>
      </w:r>
    </w:p>
    <w:p>
      <w:pPr>
        <w:pStyle w:val="Domylnie"/>
        <w:spacing w:lineRule="atLeast" w:line="100" w:before="0" w:after="0"/>
        <w:ind w:left="357" w:hanging="0"/>
        <w:rPr>
          <w:rFonts w:ascii="Calibri" w:hAnsi="Calibri"/>
          <w:szCs w:val="24"/>
        </w:rPr>
      </w:pPr>
      <w:r>
        <w:rPr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Style14"/>
        <w:spacing w:lineRule="atLeast" w:line="20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§ 2</w:t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omylnie"/>
        <w:numPr>
          <w:ilvl w:val="0"/>
          <w:numId w:val="7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ramach świadczenia usług Wykonawca zobowiązuje się m.in. do wykonania następujących czynności: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dostarczania i odbierania przesyłek pocztowych jeden raz dziennie w dni robocze                  do i z siedziby Zamawiającego od poniedziałku do piątku w godzinach od 12,00 do 12,30 oraz potwierdzania ich odbioru przez upoważnionego przedstawiciela Wykonawcy. Zamawiający zastrzega sobie możliwość nadania przesyłek dodatkowo w tym samym dniu, w którym Zamawiający zgłosi Wykonawcy taką konieczność. </w:t>
      </w:r>
      <w:r>
        <w:rPr>
          <w:rFonts w:cs="Times New Roman"/>
          <w:color w:val="000000"/>
          <w:szCs w:val="24"/>
        </w:rPr>
        <w:t xml:space="preserve">Przesyłki pocztowe będą nadawane przez Wykonawcę w dniu ich odbioru z siedziby Zamawiającego. W przypadku zastrzeżeń dotyczących odebranych przesyłek, Wykonawca wyjaśnia je z Zamawiającym telefonicznie. Przy braku możliwości ich wyjaśnienia z Zamawiającym w dniu ich odbioru, nadanie odebranych przesyłek nastąpi w następnym dniu roboczym. </w:t>
      </w:r>
    </w:p>
    <w:p>
      <w:pPr>
        <w:pStyle w:val="Domylnie"/>
        <w:tabs>
          <w:tab w:val="clear" w:pos="708"/>
          <w:tab w:val="left" w:pos="1440" w:leader="none"/>
        </w:tabs>
        <w:spacing w:lineRule="atLeast" w:line="100" w:before="0" w:after="0"/>
        <w:ind w:left="720" w:hanging="0"/>
        <w:rPr>
          <w:rFonts w:ascii="Calibri" w:hAnsi="Calibri"/>
        </w:rPr>
      </w:pPr>
      <w:r>
        <w:rPr>
          <w:rFonts w:cs="Times New Roman"/>
          <w:szCs w:val="24"/>
        </w:rPr>
        <w:t>Ponadto w przypadku nadawania przesyłek opisanych w § 1 ust. 5 Wykonawca jest zobowiązany do  nadawania przesyłek w dniu ich odbioru w placówce pocztowej operatora wyznaczonego tj. na dzień sporządzenia zapytania Poczta Polska S.A. Wykonawca zobowiązany jest do uzyskania potwierdzenia nadania przesyłek, a otrzymane potwierdzenie niezwłocznie tzn. w tym samym lub w następnym dniu dostarczyć Zamawiającemu;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before="0" w:after="0"/>
        <w:contextualSpacing/>
        <w:rPr>
          <w:rFonts w:ascii="Calibri" w:hAnsi="Calibri"/>
        </w:rPr>
      </w:pPr>
      <w:r>
        <w:rPr>
          <w:rFonts w:eastAsia="Calibri" w:ascii="Calibri" w:hAnsi="Calibri"/>
          <w:bCs/>
          <w:iCs/>
          <w:color w:val="000000"/>
          <w:lang w:eastAsia="en-US"/>
        </w:rPr>
        <w:t>niezwłocznego doręczenia zwrotnego potwierdzenia odbioru doręczonych przesyłek i zwrotów niedoręczonych przesyłek pocztowych do siedziby Zamawiającego, w dni robocze od poniedziałku do piątku od 12,00 do 12,30. Potwierdzenie odbioru przekazywane jest przez Wykonawcę niezwłocznie po dokonaniu doręczenia przesyłki. W przypadku nieobecności Adresata, przedstawiciel Wykonawcy pozostawia zawiadomienie o próbie doręczenia przesyłki ze wskazaniem, gdzie i kiedy adresat może odebrać przesyłkę. Termin odbioru takiej przesyłki wynosi 14 dni liczonych od dnia następnego po dniu pozostawienia pierwszego zawiadomienia. W tym czasie zawiadomienie o nadejściu przesyłki pozostawiane jest dwukrotnie. Po upływie terminu odbioru przesyłka zwracana jest Zamawiającemu wraz z podaniem przyczyny nieodebrania jej przez adresata.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zwrotu zestawienia nadanych przesyłek pocztowych nierejestrowanych oraz książki nadawczej przesyłek pocztowych rejestrowanych w dniu następnym. Wykonawca zobowiązany jest do samodzielnego oznaczania w dokumentach nadawczych wagi, wartości nadawanych przesyłek pocztowych oraz oznaczania numerami nadawczymi przesyłek rejestrowanych (poleconych);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uszkodzenia przesyłki Wykonawca ma obowiązek ją zabezpieczyć oraz nanieść adnotację z informacją o osobie dokonującej zabezpieczenia;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/>
        <w:rPr>
          <w:rFonts w:ascii="Calibri" w:hAnsi="Calibri"/>
        </w:rPr>
      </w:pPr>
      <w:r>
        <w:rPr>
          <w:rFonts w:ascii="Calibri" w:hAnsi="Calibri"/>
        </w:rPr>
        <w:t>dostarczania bezpłatnie Zamawiającemu druków zwrotnego potwierdzenia odbioru dla przesyłek krajowych i zagranicznych będących własnością oraz nakładzie Wykonawcy.</w:t>
      </w:r>
    </w:p>
    <w:p>
      <w:pPr>
        <w:pStyle w:val="Akapitzlist1"/>
        <w:spacing w:lineRule="atLeast" w:line="200" w:before="0" w:after="0"/>
        <w:ind w:left="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3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numPr>
          <w:ilvl w:val="0"/>
          <w:numId w:val="9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Zamawiający zobowiązuje się do:</w:t>
      </w:r>
    </w:p>
    <w:p>
      <w:pPr>
        <w:pStyle w:val="Domylnie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przygotowania przesyłek pocztowych do nadania w formie odpowiadającej wymogom dla danego rodzaju przesyłek pocztowych;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200"/>
        <w:ind w:left="714" w:hanging="357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umieszczenia na stronie adresowej przesyłki pocztowej nazwy odbiorcy wraz z jego adresem, nadruku (pieczątki) określającej pełną nazwę i adres Zamawiającego, oznaczenia r</w:t>
      </w:r>
      <w:r>
        <w:rPr>
          <w:rFonts w:ascii="Calibri" w:hAnsi="Calibri"/>
          <w:sz w:val="24"/>
          <w:szCs w:val="24"/>
          <w:lang w:val="pl-PL" w:eastAsia="zh-CN" w:bidi="ar-SA"/>
        </w:rPr>
        <w:t>odzaju przesyłki (polecony, priorytet, czy zwrotne potwierdzenie odbioru-PO);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200"/>
        <w:ind w:left="714" w:hanging="357"/>
        <w:rPr>
          <w:lang w:val="pl-PL" w:eastAsia="zh-CN" w:bidi="ar-SA"/>
        </w:rPr>
      </w:pPr>
      <w:r>
        <w:rPr>
          <w:rFonts w:ascii="Calibri" w:hAnsi="Calibri"/>
          <w:sz w:val="24"/>
          <w:szCs w:val="24"/>
          <w:lang w:val="pl-PL" w:eastAsia="zh-CN" w:bidi="ar-SA"/>
        </w:rPr>
        <w:t xml:space="preserve"> </w:t>
      </w:r>
      <w:r>
        <w:rPr>
          <w:rFonts w:ascii="Calibri" w:hAnsi="Calibri"/>
          <w:spacing w:val="5"/>
          <w:sz w:val="24"/>
          <w:szCs w:val="24"/>
          <w:lang w:val="pl-PL" w:eastAsia="zh-CN" w:bidi="ar-SA"/>
        </w:rPr>
        <w:t xml:space="preserve">umieszczenia oznaczenia potwierdzającego wniesienie opłaty za usługę w postaci napisu, nadruku lub odcisku pieczęci </w:t>
      </w:r>
      <w:r>
        <w:rPr>
          <w:rFonts w:ascii="Calibri" w:hAnsi="Calibri"/>
          <w:sz w:val="24"/>
          <w:szCs w:val="24"/>
          <w:lang w:val="pl-PL" w:eastAsia="zh-CN" w:bidi="ar-SA"/>
        </w:rPr>
        <w:t>o treści ustalonej z Wykonawcą</w:t>
      </w:r>
      <w:r>
        <w:rPr>
          <w:rFonts w:ascii="Calibri" w:hAnsi="Calibri"/>
          <w:spacing w:val="-2"/>
          <w:sz w:val="24"/>
          <w:szCs w:val="24"/>
          <w:lang w:val="pl-PL" w:eastAsia="zh-CN" w:bidi="ar-SA"/>
        </w:rPr>
        <w:t xml:space="preserve"> przed zawarciem umowy:</w:t>
      </w:r>
    </w:p>
    <w:p>
      <w:pPr>
        <w:pStyle w:val="Style14"/>
        <w:spacing w:lineRule="atLeast" w:line="200"/>
        <w:ind w:firstLine="708"/>
        <w:rPr>
          <w:lang w:val="pl-PL" w:eastAsia="zh-CN" w:bidi="ar-SA"/>
        </w:rPr>
      </w:pPr>
      <w:r>
        <w:rPr>
          <w:rFonts w:ascii="Calibri" w:hAnsi="Calibri"/>
          <w:spacing w:val="-2"/>
          <w:sz w:val="24"/>
          <w:szCs w:val="24"/>
          <w:lang w:val="pl-PL" w:eastAsia="zh-CN" w:bidi="ar-SA"/>
        </w:rPr>
        <w:t>- .............................................................………………...</w:t>
      </w:r>
    </w:p>
    <w:p>
      <w:pPr>
        <w:pStyle w:val="Style14"/>
        <w:spacing w:lineRule="atLeast" w:line="200"/>
        <w:ind w:left="720" w:hanging="0"/>
        <w:rPr>
          <w:lang w:val="pl-PL" w:eastAsia="zh-CN" w:bidi="ar-SA"/>
        </w:rPr>
      </w:pPr>
      <w:r>
        <w:rPr>
          <w:rFonts w:ascii="Calibri" w:hAnsi="Calibri"/>
          <w:spacing w:val="-2"/>
          <w:sz w:val="24"/>
          <w:szCs w:val="24"/>
          <w:lang w:val="pl-PL" w:eastAsia="zh-CN" w:bidi="ar-SA"/>
        </w:rPr>
        <w:t>- w miejscu przeznaczonym na znak opłaty pocztowej, na stronie adresowej przesyłek    pocztowych;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76"/>
        <w:rPr>
          <w:lang w:val="pl-PL" w:eastAsia="zh-CN" w:bidi="ar-SA"/>
        </w:rPr>
      </w:pPr>
      <w:r>
        <w:rPr>
          <w:rFonts w:ascii="Calibri" w:hAnsi="Calibri"/>
          <w:sz w:val="24"/>
          <w:szCs w:val="24"/>
          <w:lang w:val="pl-PL" w:eastAsia="zh-CN" w:bidi="ar-SA"/>
        </w:rPr>
        <w:t>nadawania przesyłek w stanie uporz</w:t>
      </w:r>
      <w:r>
        <w:rPr>
          <w:rFonts w:eastAsia="TimesNewRoman" w:ascii="Calibri" w:hAnsi="Calibri"/>
          <w:sz w:val="24"/>
          <w:szCs w:val="24"/>
          <w:lang w:val="pl-PL" w:eastAsia="zh-CN" w:bidi="ar-SA"/>
        </w:rPr>
        <w:t>ą</w:t>
      </w:r>
      <w:r>
        <w:rPr>
          <w:rFonts w:ascii="Calibri" w:hAnsi="Calibri"/>
          <w:sz w:val="24"/>
          <w:szCs w:val="24"/>
          <w:lang w:val="pl-PL" w:eastAsia="zh-CN" w:bidi="ar-SA"/>
        </w:rPr>
        <w:t>dkowanym, przez co nale</w:t>
      </w:r>
      <w:r>
        <w:rPr>
          <w:rFonts w:eastAsia="TimesNewRoman" w:ascii="Calibri" w:hAnsi="Calibri"/>
          <w:sz w:val="24"/>
          <w:szCs w:val="24"/>
          <w:lang w:val="pl-PL" w:eastAsia="zh-CN" w:bidi="ar-SA"/>
        </w:rPr>
        <w:t>ż</w:t>
      </w:r>
      <w:r>
        <w:rPr>
          <w:rFonts w:ascii="Calibri" w:hAnsi="Calibri"/>
          <w:sz w:val="24"/>
          <w:szCs w:val="24"/>
          <w:lang w:val="pl-PL" w:eastAsia="zh-CN" w:bidi="ar-SA"/>
        </w:rPr>
        <w:t>y rozumie</w:t>
      </w:r>
      <w:r>
        <w:rPr>
          <w:rFonts w:eastAsia="TimesNewRoman" w:ascii="Calibri" w:hAnsi="Calibri"/>
          <w:sz w:val="24"/>
          <w:szCs w:val="24"/>
          <w:lang w:val="pl-PL" w:eastAsia="zh-CN" w:bidi="ar-SA"/>
        </w:rPr>
        <w:t>ć</w:t>
      </w:r>
      <w:r>
        <w:rPr>
          <w:rFonts w:ascii="Calibri" w:hAnsi="Calibri"/>
          <w:sz w:val="24"/>
          <w:szCs w:val="24"/>
          <w:lang w:val="pl-PL" w:eastAsia="zh-CN" w:bidi="ar-SA"/>
        </w:rPr>
        <w:t>:</w:t>
      </w:r>
    </w:p>
    <w:p>
      <w:pPr>
        <w:pStyle w:val="Akapitzlist1"/>
        <w:numPr>
          <w:ilvl w:val="0"/>
          <w:numId w:val="11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14" w:hanging="357"/>
        <w:contextualSpacing/>
        <w:rPr>
          <w:rFonts w:ascii="Calibri" w:hAnsi="Calibri"/>
        </w:rPr>
      </w:pPr>
      <w:r>
        <w:rPr>
          <w:rFonts w:cs="Times New Roman"/>
          <w:szCs w:val="24"/>
        </w:rPr>
        <w:t>dla przesyłek rejestrowanych – wpisanie ka</w:t>
      </w:r>
      <w:r>
        <w:rPr>
          <w:rFonts w:eastAsia="TimesNewRoman" w:cs="Times New Roman"/>
          <w:szCs w:val="24"/>
        </w:rPr>
        <w:t>ż</w:t>
      </w:r>
      <w:r>
        <w:rPr>
          <w:rFonts w:cs="Times New Roman"/>
          <w:szCs w:val="24"/>
        </w:rPr>
        <w:t>dej przesyłki w oddzielnej pozycji określając jednocześnie rodzaj przesyłki ( priorytet, czy zwrotne potwierdzenie odbioru-PO) oraz pełną nazwę i adres odbiorcy i Zamawiającego do pocztowej ksi</w:t>
      </w:r>
      <w:r>
        <w:rPr>
          <w:rFonts w:eastAsia="TimesNewRoman" w:cs="Times New Roman"/>
          <w:szCs w:val="24"/>
        </w:rPr>
        <w:t>ąż</w:t>
      </w:r>
      <w:r>
        <w:rPr>
          <w:rFonts w:cs="Times New Roman"/>
          <w:szCs w:val="24"/>
        </w:rPr>
        <w:t>ki nadawczej w dwóch egzemplarzach, z których oryginał 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przeznaczony dla Wykonawcy w celach rozliczeniowych, a kopia stanowi</w:t>
      </w:r>
      <w:r>
        <w:rPr>
          <w:rFonts w:eastAsia="TimesNewRoman" w:cs="Times New Roman"/>
          <w:szCs w:val="24"/>
        </w:rPr>
        <w:t xml:space="preserve">ć </w:t>
      </w:r>
      <w:r>
        <w:rPr>
          <w:rFonts w:cs="Times New Roman"/>
          <w:szCs w:val="24"/>
        </w:rPr>
        <w:t>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dla Zamawiaj</w:t>
      </w:r>
      <w:r>
        <w:rPr>
          <w:rFonts w:eastAsia="TimesNewRoman" w:cs="Times New Roman"/>
          <w:szCs w:val="24"/>
        </w:rPr>
        <w:t>ą</w:t>
      </w:r>
      <w:r>
        <w:rPr>
          <w:rFonts w:cs="Times New Roman"/>
          <w:szCs w:val="24"/>
        </w:rPr>
        <w:t>cego potwierdzenie nadania danej partii przesyłek ( wzór książki nadawczej przesyłek rejestrowanych stanowi załącznik nr 5 );</w:t>
      </w:r>
    </w:p>
    <w:p>
      <w:pPr>
        <w:pStyle w:val="Akapitzlist1"/>
        <w:numPr>
          <w:ilvl w:val="0"/>
          <w:numId w:val="11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14" w:hanging="357"/>
        <w:contextualSpacing/>
        <w:rPr>
          <w:rFonts w:ascii="Calibri" w:hAnsi="Calibri"/>
        </w:rPr>
      </w:pPr>
      <w:r>
        <w:rPr>
          <w:rFonts w:cs="Times New Roman"/>
          <w:szCs w:val="24"/>
        </w:rPr>
        <w:t>dla przesyłek nierejestrowanych – wpisanie ogólnej ilości przesyłek do zestawienia ilo</w:t>
      </w:r>
      <w:r>
        <w:rPr>
          <w:rFonts w:eastAsia="TimesNewRoman" w:cs="Times New Roman"/>
          <w:szCs w:val="24"/>
        </w:rPr>
        <w:t>ś</w:t>
      </w:r>
      <w:r>
        <w:rPr>
          <w:rFonts w:cs="Times New Roman"/>
          <w:szCs w:val="24"/>
        </w:rPr>
        <w:t>ciowo-wartościowego w dwóch egzemplarzach, z których oryginał 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przeznaczony dla Wykonawcy w celach rozliczeniowych, a kopia stanowi</w:t>
      </w:r>
      <w:r>
        <w:rPr>
          <w:rFonts w:eastAsia="TimesNewRoman" w:cs="Times New Roman"/>
          <w:szCs w:val="24"/>
        </w:rPr>
        <w:t xml:space="preserve">ć </w:t>
      </w:r>
      <w:r>
        <w:rPr>
          <w:rFonts w:cs="Times New Roman"/>
          <w:szCs w:val="24"/>
        </w:rPr>
        <w:t>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dla Zamawiaj</w:t>
      </w:r>
      <w:r>
        <w:rPr>
          <w:rFonts w:eastAsia="TimesNewRoman" w:cs="Times New Roman"/>
          <w:szCs w:val="24"/>
        </w:rPr>
        <w:t>ą</w:t>
      </w:r>
      <w:r>
        <w:rPr>
          <w:rFonts w:cs="Times New Roman"/>
          <w:szCs w:val="24"/>
        </w:rPr>
        <w:t>cego potwierdzenie nadania danej partii przesyłek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(wzór zestawienia ilościowo-wartościowego  przesyłek nierejestrowanych stanowi załącznik nr 6 );</w:t>
      </w:r>
    </w:p>
    <w:p>
      <w:pPr>
        <w:pStyle w:val="Akapitzlist1"/>
        <w:numPr>
          <w:ilvl w:val="0"/>
          <w:numId w:val="37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82" w:hanging="357"/>
        <w:rPr>
          <w:rFonts w:ascii="Calibri" w:hAnsi="Calibri"/>
        </w:rPr>
      </w:pPr>
      <w:r>
        <w:rPr>
          <w:rFonts w:cs="Times New Roman"/>
          <w:szCs w:val="24"/>
        </w:rPr>
        <w:t xml:space="preserve">nadawania przesyłek w stanie umożliwiającym Wykonawcy doręczenie bez ubytku                i uszkodzenia do miejsca zgodnie z adresem przeznaczenia. </w:t>
      </w:r>
    </w:p>
    <w:p>
      <w:pPr>
        <w:pStyle w:val="Domylnie"/>
        <w:spacing w:lineRule="atLeast" w:line="200" w:before="0" w:after="0"/>
        <w:ind w:left="36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4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Zamawiający wymaga, aby Wykonawca dysponował placówką pocztową/oddziałem oddaloną do 1 km  od siedziby Zamawiającego (wykaz operacyjny – załącznik nr 3)</w:t>
      </w:r>
      <w:r>
        <w:rPr>
          <w:rFonts w:cs="Times New Roman"/>
          <w:szCs w:val="24"/>
        </w:rPr>
        <w:t>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Przesyłki nadawane przez Zamawiającego dostarczane będą przez Wykonawcę do każdego miejsca  w kraju i za granicą na podany adres bądź wskazany adres skrytki pocztowej.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Doręczanie przesyłek powinno następować zgodnie z ustawą z dnia 14 czerwca 1960 Kodeksu postępowania administracyjnego (t.j. Dz. U. z 2020 r., poz. 256); oraz ustawą z dnia z dnia     23 listopada 2012 r. - Prawo pocztowe (t.j. Dz. U. z 2020 r. poz. 1041). 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nieobecności adresata lub innych osób uprawnionych do odbioru przesyłki                 w obrocie krajowym dostarczenie przesyłki będzie odbywać się z uwzględnieniem warunków      i terminów do odbioru przesyłki określonych w powszechnie obowiązujących przepisach prawa     w tym zakresie. W przypadku przesyłek w obrocie zagranicznym obowiązują zasady określone     w przepisach międzynarodowych.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  <w:lang w:eastAsia="pl-PL"/>
        </w:rPr>
        <w:t>Zamawiający wymaga, aby punkty odbioru niedoręczonych pod adres przesyłek (awizowanych) znajdowały się na terenie każdej gminy w kraju. Każda placówka pocztowa Wykonawcy,           o której mowa musi spełniać niżej wymienione warunki:</w:t>
      </w:r>
    </w:p>
    <w:p>
      <w:pPr>
        <w:pStyle w:val="Akapitzlist1"/>
        <w:numPr>
          <w:ilvl w:val="0"/>
          <w:numId w:val="13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być czynna co najmniej we wszystkie dni robocze, z wyjątkiem dni ustawowo wolnych od pracy,</w:t>
      </w:r>
    </w:p>
    <w:p>
      <w:pPr>
        <w:pStyle w:val="Akapitzlist1"/>
        <w:numPr>
          <w:ilvl w:val="0"/>
          <w:numId w:val="13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  <w:lang w:eastAsia="pl-PL"/>
        </w:rPr>
        <w:t>być oznakowana w sposób widoczny „szyldem” z nazwą bądź logo Wykonawcy, jednoznacznie wskazującym na jednostkę Wykonawcy.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iCs/>
          <w:color w:val="000000"/>
          <w:szCs w:val="24"/>
        </w:rPr>
        <w:t xml:space="preserve">Wykonawca </w:t>
      </w:r>
      <w:r>
        <w:rPr>
          <w:rFonts w:cs="Times New Roman"/>
          <w:color w:val="000000"/>
          <w:szCs w:val="24"/>
        </w:rPr>
        <w:t>zobowiązany jest do posiadania aktualnego wpisu do rejestru operatorów pocztowych, prowadzonego przez Prezesa Urzędu Komunikacji Elektronicznej w zakresie uprawniającym do wykonania zamówienia, przez cały okres obowiązywania umowy.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W przypadku upływu terminu ważności wpisu, o którym mowa w ust. 6 w trakcie obowiązywania niniejszej umowy, Wykonawca zobowiązany jest do przedstawienia nowego wpisu najpóźniej  w ostatnim dniu obowiązywania dotychczasowego. 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Wykonawca przez cały okres realizacji umowy, zobowiązany będzie do posiadania opłaconej polisy lub innego dokumentu ubezpieczenia od odpowiedzialności cywilnej w zakresie prowadzonej działalności związanej z przedmiotem  zamówienia.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upływu terminu ważności polisy lub innego dokumentu ubezpieczenia o których mowa w ust. 8 w trakcie obowiązywania niniejszej umowy, Wykonawca zobowiązany jest  do zawarcia nowego ubezpieczenia i przedstawienia nowej polisy lub innego dokumentu ubezpieczenia w terminie 7 dni od daty zawarcia nowego ubezpieczenia.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/>
      </w:pPr>
      <w:r>
        <w:rPr>
          <w:rFonts w:cs="Times New Roman"/>
          <w:color w:val="000000"/>
          <w:szCs w:val="24"/>
        </w:rPr>
        <w:t>Wykonawca dla wypełnienia swoich zobowiązań powinien zapewnić doświadczone i wykwalifikowane osoby zdolne do prowadzenia wszelkich powierzonych zadań, zgodnie z obowiązującymi przepisami prawa i w zgodzie z postanowieniami odpowiednich decyzji, uzgodnieniami i opiniami warunkującymi prawidłową realizację zamówienia.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/>
      </w:pPr>
      <w:r>
        <w:rPr>
          <w:rFonts w:cs="Calibri" w:cstheme="minorHAnsi"/>
          <w:iCs/>
          <w:color w:val="000000"/>
        </w:rPr>
        <w:t>Podczas wykonywania czynności określonych w przedmiocie umowy Wykonawca  zobowiązuje się do stosowania zasad i dobrych praktyk wynikających z zapisów ustawy z dnia 19 lipca 2019 r. o zapewnianiu dostępności osobom ze szczególnymi potrzebami.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Akapitzlist1"/>
        <w:spacing w:lineRule="atLeast" w:line="200" w:before="0" w:after="0"/>
        <w:ind w:left="36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5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numPr>
          <w:ilvl w:val="0"/>
          <w:numId w:val="15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Maksymalna wartość niniejszej umowy wynosi .............złotych netto, powiększona o podatek VAT, łącznie …….zł brutto (słownie) i nie stanowi zobowiązania dla Zamawiającego               do realizacji umowy do tej wartości, ani podstawy dochodzenia roszczeń odszkodowawczych przez Wykonawcę z tytułu zmian rodzajowych i liczbowych w trakcie realizacji niniejszej umowy. Określone rodzaje i liczba przesyłek w ramach świadczonych usług są szacunkowe  i mogą ulec zmianie w zależności od potrzeb Zamawiającego, na co Wykonawca wyraża zgodę.</w:t>
      </w:r>
      <w:r>
        <w:rPr>
          <w:rFonts w:cs="Times New Roman"/>
          <w:szCs w:val="24"/>
        </w:rPr>
        <w:t xml:space="preserve"> </w:t>
      </w:r>
    </w:p>
    <w:p>
      <w:pPr>
        <w:pStyle w:val="Normal"/>
        <w:spacing w:lineRule="atLeast" w:line="200"/>
        <w:ind w:left="36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6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numPr>
          <w:ilvl w:val="0"/>
          <w:numId w:val="16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Strony ustalają następujące zasady rozliczania i regulowania należności: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Rozliczenia finansowe z tytułu realizacji przedmiotu umowy dokonywane będą z dołu            tj. w terminie późniejszym niż dzień nadania przesyłek, z zastrzeżeniem iż obliczenia dokonuje się w ostatnim dniu okresu rozliczeniowego.  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Za okres rozliczeniowy przyjmuje się miesiąc kalendarzowy.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Za wykonane usługi Zamawiający zapłaci Wykonawcy wynagrodzenie stanowiące:</w:t>
      </w:r>
    </w:p>
    <w:p>
      <w:pPr>
        <w:pStyle w:val="Domylnie"/>
        <w:numPr>
          <w:ilvl w:val="0"/>
          <w:numId w:val="31"/>
        </w:numPr>
        <w:spacing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iloczyn ilości usług zrealizowanych w zakończonym okresie rozliczeniowym (ilość nadanych   </w:t>
        <w:br/>
        <w:t xml:space="preserve">  i zwróconych przesyłek stwierdzonych na podstawie dokumentów nadawczych) i cen zawartych w formularzu kalkulacji cenowej;</w:t>
      </w:r>
    </w:p>
    <w:p>
      <w:pPr>
        <w:pStyle w:val="Domylnie"/>
        <w:numPr>
          <w:ilvl w:val="0"/>
          <w:numId w:val="31"/>
        </w:numPr>
        <w:spacing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oraz ewentualną opłatę za wykonanie usługi przewozu przesyłek pocztowych przeznaczonych do nadania i dokumentów nadawczych z siedziby Zamawiającego do placówki nadawczej Wykonawcy zawartą w formularzu kalkulacji cenowej.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color w:val="000000"/>
          <w:szCs w:val="24"/>
          <w:lang w:eastAsia="en-US"/>
        </w:rPr>
        <w:t>W przypadku nadawania przez Zamawiającego przesyłek nie ujętych w formularzu cenowym, podstawą rozliczeń będą ceny z aktualnego cennika usług pocztowych Wykonawcy na dzień nadania przesyłki.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Zamawiający zastrzega, że podane dane w formularzu kalkulacji cenowej dotyczące ilości nadawanych przesyłek są szacunkowe, a rozliczenie z Wykonawcą będzie się odbywało                na podstawie rzeczywistych ilości wykonania usługi.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Faktury VAT  z tytułu należności wynikających z realizacji niniejszej umowy, wystawiane będą w terminie do 7 dni od zakończenia okresu rozliczeniowego. </w:t>
      </w:r>
      <w:r>
        <w:rPr>
          <w:rFonts w:cs="Times New Roman"/>
          <w:b/>
          <w:bCs/>
          <w:szCs w:val="24"/>
        </w:rPr>
        <w:t xml:space="preserve"> </w:t>
      </w:r>
    </w:p>
    <w:p>
      <w:pPr>
        <w:pStyle w:val="Normal"/>
        <w:numPr>
          <w:ilvl w:val="0"/>
          <w:numId w:val="35"/>
        </w:numPr>
        <w:spacing w:lineRule="atLeast" w:line="100" w:before="0" w:after="0"/>
        <w:ind w:left="360" w:right="-180" w:hanging="360"/>
        <w:contextualSpacing/>
        <w:rPr>
          <w:rFonts w:ascii="Calibri" w:hAnsi="Calibri"/>
        </w:rPr>
      </w:pPr>
      <w:r>
        <w:rPr>
          <w:rFonts w:eastAsia="Calibri" w:ascii="Calibri" w:hAnsi="Calibri"/>
          <w:bCs/>
          <w:iCs/>
          <w:color w:val="000000"/>
          <w:lang w:eastAsia="en-US"/>
        </w:rPr>
        <w:t>Wynagrodzenie Wykonawcy będzie uiszczane przez Zamawiającego z dołu, przelewem na rachunek bankowy Wykonawcy w terminie 21 dni kalendarzowych licząc od dnia wystawienia faktury VAT, pod warunkiem, że doręczenie przesyłki z fakturą do siedziby Zamawiającego nastąpi w ciągu 4 dni roboczych od dnia jej wystawienia. W przeciwnym wypadku termin płatności faktury VAT wynosi 14 dni kalendarzowych licząc od dnia doręczenia Zamawiającemu przesyłki z fakturą.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Za dzień zapłaty przyjmuje się dzień uznania rachunku bankowego Wykonawcy.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Strony umowy ustalają, że faktury VAT będą wystawiane i przesyłane na adres Zamawiającego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wskazany w preambule umowy.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>Wykonawca do faktur dołączy specyfikację wykonanych usług pocztowych za dany okres rozliczeniowy.</w:t>
      </w:r>
    </w:p>
    <w:p>
      <w:pPr>
        <w:pStyle w:val="Akapitzlist1"/>
        <w:spacing w:lineRule="atLeast" w:line="200" w:before="0" w:after="0"/>
        <w:ind w:left="644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widowControl w:val="false"/>
        <w:spacing w:lineRule="atLeast" w:line="200"/>
        <w:rPr>
          <w:rFonts w:ascii="Calibri" w:hAnsi="Calibri"/>
        </w:rPr>
      </w:pPr>
      <w:r>
        <w:rPr>
          <w:rFonts w:cs="Times New Roman"/>
          <w:szCs w:val="24"/>
        </w:rPr>
        <w:t>§ 7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niewykonania lub nie należytego wykonania usługi pocztowej, Zamawiający zastrzega sobie prawo reklamacji. Reklamacja będzie się odbywać zgodnie z obowiązującymi      w tym zakresie przepisami wskazanymi w § 1 ust. 1 umowy a w szczególności przepisami rozporządzenia Ministra Administracji i Cyfryzacji z dnia 26 listopada 2013 r. w sprawie reklamacji usługi pocztowej (t.j. Dz. U. z 2019 r. poz. 474 z póź. zm.).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Usługę pocztową w zakresie przesyłki rejestrowanej uważa się za niewykonaną jeżeli doręczenie przesyłki rejestrowej lub zawiadomienie o próbie jej doręczenia nie nastąpiło  w terminie 14 dni    od dnia nadania przesyłki.  Do biegu terminu nie wlicza się dni ustawowo wolnych od pracy.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iCs/>
          <w:color w:val="000000"/>
          <w:szCs w:val="24"/>
          <w:lang w:eastAsia="en-US"/>
        </w:rPr>
        <w:t>Pisemną reklamację z tytułu niewykonania lub nienależytego wykonania usługi Zamawiający może zgłosić do Wykonawcy po upływie 14 dni od nadania przesyłki rejestrowanej, nie później niż 12 miesięcy w obrocie krajowym i 6 miesięcy w obrocie zagranicznym od ich nadania. Termin udzielenia odpowiedzi na reklamację nie może przekroczyć 30 dni od dnia otrzymania reklamacji.</w:t>
      </w:r>
    </w:p>
    <w:p>
      <w:pPr>
        <w:pStyle w:val="Domylnie"/>
        <w:widowControl w:val="false"/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§ 8</w:t>
      </w:r>
    </w:p>
    <w:p>
      <w:pPr>
        <w:pStyle w:val="Domylnie"/>
        <w:numPr>
          <w:ilvl w:val="0"/>
          <w:numId w:val="18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bCs/>
          <w:color w:val="000000"/>
          <w:szCs w:val="24"/>
        </w:rPr>
        <w:t xml:space="preserve">W przypadku utraty, ubytku, uszkodzenia przesyłki bądź niewykonania lub nienależytego wykonania przedmiotu zamówienia Wykonawca zapłaci Zamawiającemu należne odszkodowanie i inne roszczenia, zgodnie z przepisami rozdziału 8 ustawy z dnia 23 listopada 2012 r. - Prawo pocztowe ( t.j. Dz. U. z 2020 r. poz. 1041 ) i przepisami wykonawczymi,            a w sprawach nie uregulowanych tymi przepisami stosuje się odpowiednio przepisy ustawy       z dnia 23 kwietnia  1964   r. Kodeks cywilny (t.j. Dz. U. z 2020 r. poz. 1740 z póź. zm.).   </w:t>
      </w:r>
    </w:p>
    <w:p>
      <w:pPr>
        <w:pStyle w:val="Tekst"/>
        <w:numPr>
          <w:ilvl w:val="0"/>
          <w:numId w:val="19"/>
        </w:numPr>
        <w:spacing w:lineRule="atLeast" w:line="100" w:before="0" w:after="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naliczy karę umowną z tytułu nie zgłoszenia się Wykonawcy po odbiór przesyłek w oznaczonym dniu w wysokości 200% opłaty za jeden odbiór przesyłek. 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Zamawiający zastrzega sobie, a Wykonawca wyraża zgodę, na potrącenie należności wynikających z kar umownych z przysługującego Wykonawcy wynagrodzenia za wykonanie przedmiotu umowy </w:t>
      </w:r>
      <w:r>
        <w:rPr>
          <w:rFonts w:cs="Times New Roman"/>
          <w:bCs/>
          <w:color w:val="000000"/>
          <w:szCs w:val="24"/>
        </w:rPr>
        <w:t>po przeprowadzeniu z Wykonawcą postępowania potwierdzającego zasadność i wysokość naliczonej kary umownej.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Jeżeli zastrzeżona kara nie pokryje poniesionej szkody, Zamawiający może dochodzić odszkodowania uzupełniającego na zasadach ogólnych.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Zapłata kar umownych nie zwalnia Wykonawcy od obowiązku wykonania umowy.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nieterminowej zapłaty należności z tytułu wykonania przedmiotu umowy, Wykonawca ma prawo naliczać i żądać zapłaty przez Zamawiającego odsetek ustawowych.</w:t>
      </w:r>
    </w:p>
    <w:p>
      <w:pPr>
        <w:pStyle w:val="Domylnie"/>
        <w:spacing w:lineRule="atLeast" w:line="200"/>
        <w:rPr>
          <w:rFonts w:ascii="Calibri" w:hAnsi="Calibri" w:cs="Times New Roman"/>
          <w:b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</w:r>
    </w:p>
    <w:p>
      <w:pPr>
        <w:pStyle w:val="Domylnie"/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§ 9</w:t>
      </w:r>
    </w:p>
    <w:p>
      <w:pPr>
        <w:pStyle w:val="Domylnie"/>
        <w:numPr>
          <w:ilvl w:val="0"/>
          <w:numId w:val="21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Zakazuje się istotnych zmian postanowień zawartej umowy, za wyjątkiem sytuacji, o których mowa  w ust. 2.</w:t>
      </w:r>
    </w:p>
    <w:p>
      <w:pPr>
        <w:pStyle w:val="Domylnie"/>
        <w:numPr>
          <w:ilvl w:val="0"/>
          <w:numId w:val="21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Strony umowy dopuszczają możliwość:</w:t>
      </w:r>
    </w:p>
    <w:p>
      <w:pPr>
        <w:pStyle w:val="Normal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zmiany "cen jednostkowych brutto" w poszczególnych pozycjach wpisanych przez Wykonawcę w ofercie (formularzu kalkulacji cenowej) w sytuacji spowodowanej zmianami cen tych pozycji zgodnie z przedłożonym przez Wykonawcę dokumentem zatwierdzającym te zmiany przez Prezesa Urzędu Komunikacji Elektronicznej lub w sposób dopuszczony przez Prawo pocztowe.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strony umowy w przypadku następstwa prawnego wynikającego z odrębnych przepisów,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wynagrodzenia Wykonawcy brutto w przypadku zmiany przepisów obowiązujących dotyczących podatku od towarów i usług VAT,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sposobu wykonywania przedmiotu umowy: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spowodowanych siłą wyższą, uniemożliwiającą wykonanie przedmiotu umowy zgodnie z jej postanowieniami,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wyniknięcia rozbieżności lub niejasności w rozumieniu pojęć użytych w umowie, których nie można usunąć w inny sposób, a zmiana będzie umożliwiać usunięcie rozbieżności    i doprecyzowanie umowy w celu jednoznacznej interpretacji jej zapisów przez Strony umowy,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wystąpienia zmian powszechnie obowiązujących przepisów prawa, w tym prawa miejscowego w zakresie mającym wpływ na realizację przedmiotu umowy,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wprowadzenie zmian w stosunku do sposobu wykonywania przedmiotu zamówienia w zakresie wykonywania prac nie wykraczających poza zakres przedmiot zamówienia, w sytuacji konieczności usprawnienia realizacji przedmiotu umowy.</w:t>
      </w:r>
    </w:p>
    <w:p>
      <w:pPr>
        <w:pStyle w:val="Akapitzlist1"/>
        <w:numPr>
          <w:ilvl w:val="0"/>
          <w:numId w:val="24"/>
        </w:numPr>
        <w:spacing w:lineRule="atLeast" w:line="200" w:before="0" w:after="200"/>
        <w:contextualSpacing/>
        <w:rPr>
          <w:rFonts w:ascii="Calibri" w:hAnsi="Calibri"/>
        </w:rPr>
      </w:pPr>
      <w:r>
        <w:rPr>
          <w:rFonts w:cs="Times New Roman"/>
          <w:szCs w:val="24"/>
        </w:rPr>
        <w:t>Dokonanie zmiany umowy w zakresie, o którym mowa w ust. 1, wymaga uprzedniego złożenia drugiej ze Stron, odpowiednio; przez Wykonawcę lub Zamawiającego, pisemnego wniosku, wykazującego zasadność wprowadzania zmiany. Przyjęcie propozycji zmiany, wyrażone na piśmie i doręczone drugiej Stronie, jest równoznaczne z akceptacją zmiany treści umowy.</w:t>
      </w:r>
    </w:p>
    <w:p>
      <w:pPr>
        <w:pStyle w:val="Akapitzlist1"/>
        <w:numPr>
          <w:ilvl w:val="0"/>
          <w:numId w:val="24"/>
        </w:numPr>
        <w:spacing w:lineRule="atLeast" w:line="200" w:before="0" w:after="200"/>
        <w:contextualSpacing/>
        <w:rPr>
          <w:rFonts w:ascii="Calibri" w:hAnsi="Calibri"/>
        </w:rPr>
      </w:pPr>
      <w:r>
        <w:rPr>
          <w:rFonts w:cs="Times New Roman"/>
          <w:szCs w:val="24"/>
        </w:rPr>
        <w:t>Jakiekolwiek zmiany umowy wymagają, pod rygorem nieważności, zachowania formy pisemnej w postaci aneksu.</w:t>
      </w:r>
    </w:p>
    <w:p>
      <w:pPr>
        <w:pStyle w:val="Domylnie"/>
        <w:spacing w:lineRule="atLeast" w:line="200"/>
        <w:rPr>
          <w:rFonts w:ascii="Calibri" w:hAnsi="Calibri"/>
        </w:rPr>
      </w:pPr>
      <w:r>
        <w:rPr>
          <w:rFonts w:cs="Times New Roman"/>
          <w:szCs w:val="24"/>
        </w:rPr>
        <w:t>§ 10</w:t>
      </w:r>
    </w:p>
    <w:p>
      <w:pPr>
        <w:pStyle w:val="Domylnie"/>
        <w:spacing w:lineRule="atLeast" w:line="100" w:before="0" w:after="0"/>
        <w:ind w:left="360" w:hanging="0"/>
        <w:rPr>
          <w:rFonts w:ascii="Calibri" w:hAnsi="Calibri"/>
        </w:rPr>
      </w:pPr>
      <w:r>
        <w:rPr>
          <w:rFonts w:cs="Times New Roman"/>
          <w:color w:val="auto"/>
          <w:szCs w:val="24"/>
        </w:rPr>
        <w:t xml:space="preserve">Umowę zawiera się na okres od dnia …………….. r. do dnia …………….. r. lub do dnia wykorzystania maksymalnej wartości o której mowa w § 5 ust. 1 niniejszej umowy, jednak nie dłużej niż do dnia ……………………. r. </w:t>
      </w:r>
    </w:p>
    <w:p>
      <w:pPr>
        <w:pStyle w:val="Normal"/>
        <w:rPr>
          <w:rFonts w:ascii="Calibri" w:hAnsi="Calibri" w:cs="Calibri Light"/>
          <w:b/>
          <w:b/>
          <w:bCs/>
          <w:color w:val="000000"/>
        </w:rPr>
      </w:pPr>
      <w:r>
        <w:rPr>
          <w:rFonts w:cs="Calibri Light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>§ 11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Zamawiającemu przysługuje prawo natychmiastowego odstąpienia od umowy :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bez uzasadnionych przyczyn, mimo pisemnego wezwania Zamawiającego, nie rozpoczął realizacji przedmiotu umowy;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 przerwał, bez uzgodnienia z Zamawiającym, realizację przedmiotu umowy</w:t>
        <w:br/>
        <w:t>i przerwa ta trwa nieprzerwanie dłużej niż 2 dni;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mimo zgłoszenia mu na piśmie przez Zamawiającego, wezwania do realizacji umowy zgodnie z warunkami umowy, realizuje ją wbrew uzgodnieniom umownym lub zaniedbując zobowiązania umowne;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mimo pisemnego wezwania Zamawiającego i wyznaczenia mu dodatkowego terminu, opóźnia się z wykonaniem przedmiotu umowy powyżej 24 godzin, licząc od terminów o których mowa w § 2 ust. 1 pkt od 1) do 3) Umowy;</w:t>
        <w:tab/>
        <w:tab/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utraty przez Wykonawcę możliwości prowadzenia działalności objętej przedmiotem umowy;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zostanie ogłoszona upadłość lub likwidacja Wykonawcy z wyłączeniem sytuacji, gdy celem likwidacji jest przekształcenie przedsiębiorstwa lub połączenie z innym przedsiębiorstwem;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zostanie wydany nakaz zajęcia majątku Wykonawcy lub gdy zostanie wszczęte postępowanie egzekucyjne w stopniu uniemożliwiającym realizacje umowy.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razie zaistnienia istotnej zmiany okoliczności powodującej, że wykonanie umowy nie leży</w:t>
        <w:br/>
        <w:t xml:space="preserve">w interesie publicznym, czego nie można było przewidzieć w chwili zawarcia umowy, lub dalsze wykonywanie umowy może zagrozić </w:t>
      </w:r>
      <w:r>
        <w:rPr>
          <w:rFonts w:ascii="Calibri" w:hAnsi="Calibri"/>
          <w:b w:val="false"/>
          <w:bCs w:val="false"/>
          <w:color w:val="000000"/>
          <w:shd w:fill="FFFFFF" w:val="clear"/>
        </w:rPr>
        <w:t>podstawowemu</w:t>
      </w:r>
      <w:r>
        <w:rPr>
          <w:rFonts w:ascii="Calibri" w:hAnsi="Calibri"/>
          <w:color w:val="000000"/>
        </w:rPr>
        <w:t xml:space="preserve"> interesowi bezpieczeństwa państwa lub bezpieczeństwu publicznemu, Zamawiający może odstąpić od umowy w terminie 30 dni licząc od dnia powzięcia wiadomości o tych okolicznościach.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odstąpienia od umowy, Wykonawca może żądać wyłącznie wynagrodzenia należnego z tytułu wykonania części umowy.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Odstąpienie od umowy winno nastąpić na piśmie i zawierać uzasadnienie.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odstąpienia od umowy, Wykonawca zobowiązany jest przerwać realizację umowy.</w:t>
      </w:r>
    </w:p>
    <w:p>
      <w:pPr>
        <w:pStyle w:val="Legenda1"/>
        <w:spacing w:lineRule="auto" w:line="240"/>
        <w:rPr>
          <w:rFonts w:ascii="Calibri" w:hAnsi="Calibri"/>
        </w:rPr>
      </w:pPr>
      <w:r>
        <w:rPr>
          <w:rFonts w:cs="Times New Roman"/>
          <w:i w:val="false"/>
        </w:rPr>
        <w:t>§ 12</w:t>
      </w:r>
    </w:p>
    <w:p>
      <w:pPr>
        <w:pStyle w:val="Style14"/>
        <w:numPr>
          <w:ilvl w:val="0"/>
          <w:numId w:val="25"/>
        </w:numPr>
        <w:spacing w:lineRule="auto" w:line="240"/>
        <w:ind w:left="360" w:right="432" w:hanging="360"/>
        <w:rPr>
          <w:rFonts w:ascii="Calibri" w:hAnsi="Calibri"/>
        </w:rPr>
      </w:pPr>
      <w:r>
        <w:rPr>
          <w:rFonts w:ascii="Calibri" w:hAnsi="Calibri"/>
          <w:spacing w:val="-1"/>
          <w:sz w:val="24"/>
          <w:szCs w:val="24"/>
          <w:lang w:val="pl-PL"/>
        </w:rPr>
        <w:t xml:space="preserve">Umowa może być rozwiązana przez każdą ze Stron w formie pisemnej, z obowiązkiem dokonania płatności za czynności będące w </w:t>
      </w:r>
      <w:r>
        <w:rPr>
          <w:rFonts w:ascii="Calibri" w:hAnsi="Calibri"/>
          <w:sz w:val="24"/>
          <w:szCs w:val="24"/>
          <w:lang w:val="pl-PL"/>
        </w:rPr>
        <w:t>toku wynikające z wykonania umowy:</w:t>
      </w:r>
    </w:p>
    <w:p>
      <w:pPr>
        <w:pStyle w:val="Style14"/>
        <w:numPr>
          <w:ilvl w:val="0"/>
          <w:numId w:val="26"/>
        </w:numPr>
        <w:spacing w:lineRule="auto" w:line="240"/>
        <w:ind w:left="357" w:hanging="36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w terminie natychmiastowym, w przypadku niedotrzymania warunków niniejszej umowy, lub    w przypadku zmiany w trakcie obowiązywania umowy przepisów podatkowych i przepisów prawnych regulujących działalność pocztową, jeżeli wejście w życie tych przepisów uniemożliwi realizację umowy,</w:t>
      </w:r>
    </w:p>
    <w:p>
      <w:pPr>
        <w:pStyle w:val="Style14"/>
        <w:numPr>
          <w:ilvl w:val="0"/>
          <w:numId w:val="26"/>
        </w:numPr>
        <w:spacing w:lineRule="atLeast" w:line="200"/>
        <w:ind w:left="357" w:hanging="360"/>
        <w:rPr>
          <w:rFonts w:ascii="Calibri" w:hAnsi="Calibri"/>
        </w:rPr>
      </w:pPr>
      <w:r>
        <w:rPr>
          <w:rFonts w:ascii="Calibri" w:hAnsi="Calibri"/>
          <w:spacing w:val="4"/>
          <w:sz w:val="24"/>
          <w:szCs w:val="24"/>
          <w:lang w:val="pl-PL"/>
        </w:rPr>
        <w:t xml:space="preserve">z zachowaniem 1 miesięcznego okresu wypowiedzenia, ze skutkiem na ostatni dzień miesiąca kalendarzowego, bez podania </w:t>
      </w:r>
      <w:r>
        <w:rPr>
          <w:rFonts w:ascii="Calibri" w:hAnsi="Calibri"/>
          <w:sz w:val="24"/>
          <w:szCs w:val="24"/>
          <w:lang w:val="pl-PL"/>
        </w:rPr>
        <w:t>powodów.</w:t>
      </w:r>
    </w:p>
    <w:p>
      <w:pPr>
        <w:pStyle w:val="Style14"/>
        <w:numPr>
          <w:ilvl w:val="0"/>
          <w:numId w:val="36"/>
        </w:numPr>
        <w:spacing w:lineRule="atLeast" w:line="200"/>
        <w:rPr>
          <w:lang w:val="pl-PL" w:eastAsia="zh-CN" w:bidi="ar-SA"/>
        </w:rPr>
      </w:pPr>
      <w:r>
        <w:rPr>
          <w:rFonts w:ascii="Calibri" w:hAnsi="Calibri"/>
          <w:sz w:val="24"/>
          <w:szCs w:val="24"/>
          <w:lang w:val="pl-PL" w:eastAsia="zh-CN" w:bidi="ar-SA"/>
        </w:rPr>
        <w:t>W przypadku wygaśnięcia umowy lub jej rozwiązania, Strony zobowiązują się do dokonania, w terminie 2 miesięcy od zakończenia obowiązywania umowy, rozliczenia liczby nadanych/zwróconych przesyłek, oraz zastosowanych opłat, a w razie potrzeby również           do zwrotu kwot nienależnych wynikających z takiego rozliczenia na podstawie wystawionych przez Wykonawcę faktur korygujących VAT.</w:t>
      </w:r>
    </w:p>
    <w:p>
      <w:pPr>
        <w:pStyle w:val="Normal"/>
        <w:rPr>
          <w:rFonts w:ascii="Calibri" w:hAnsi="Calibri"/>
          <w:bCs/>
          <w:color w:val="000000"/>
          <w:lang w:val="pl-PL" w:eastAsia="zh-CN" w:bidi="ar-SA"/>
        </w:rPr>
      </w:pPr>
      <w:r>
        <w:rPr>
          <w:rFonts w:ascii="Calibri" w:hAnsi="Calibri"/>
          <w:bCs/>
          <w:color w:val="000000"/>
          <w:lang w:val="pl-PL" w:eastAsia="zh-CN" w:bidi="ar-SA"/>
        </w:rPr>
      </w:r>
    </w:p>
    <w:p>
      <w:pPr>
        <w:pStyle w:val="Normal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  <w:bCs/>
          <w:color w:val="000000"/>
        </w:rPr>
        <w:t>§ 13</w:t>
      </w:r>
    </w:p>
    <w:p>
      <w:pPr>
        <w:pStyle w:val="Normal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3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Wykonawca zobowiązuje się w czasie trwania umowy oraz po jej rozwiązaniu lub wygaśnięciu,</w:t>
        <w:br/>
        <w:t>do przestrzegania poufności, co do informacji pozyskanych w związku z realizacją umowy,</w:t>
        <w:br/>
        <w:t>w szczególności do przestrzegania przepisów dotyczących ochrony danych osobowych. Wykonawca nie może wykorzystywać pozyskanych danych w żaden inny sposób lub w innym celu niż dla wykonania umowy, w szczególności zakazuje się wykorzystania danych w celach reklamowych lub marketingowych. Wykonawca oświadcza, iż zna przepisy prawa dotyczące tajemnic chronionych prawem i w związku z  wykonywaniem umowy zobowiązuje się przepisów tych przestrzegać.</w:t>
      </w:r>
    </w:p>
    <w:p>
      <w:pPr>
        <w:pStyle w:val="Normal"/>
        <w:numPr>
          <w:ilvl w:val="0"/>
          <w:numId w:val="3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Wszelką odpowiedzialność, tak wobec osób trzecich, jak i wobec Zamawiającego, za szkody wynikające z nieprawidłowego wykorzystania danych osobowych ponosi Wykonawca.</w:t>
      </w:r>
    </w:p>
    <w:p>
      <w:pPr>
        <w:pStyle w:val="Standard"/>
        <w:numPr>
          <w:ilvl w:val="0"/>
          <w:numId w:val="32"/>
        </w:numPr>
        <w:spacing w:lineRule="auto" w:line="240" w:before="0" w:after="0"/>
        <w:contextualSpacing/>
        <w:rPr/>
      </w:pPr>
      <w:r>
        <w:rPr>
          <w:rStyle w:val="Domylnaczcionkaakapitu"/>
          <w:rFonts w:cs="Arial" w:ascii="Calibri" w:hAnsi="Calibri"/>
          <w:color w:val="000000"/>
          <w:lang w:val="pl-PL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danych przez Samodzielny Publiczny Wojewódzki Szpital Chirurgii Urazowej im. dr. Janusza Daaba w Piekarach Śląskich oraz prawach z tym związanych dostępne są na stronie internetowej </w:t>
      </w:r>
      <w:hyperlink r:id="rId2" w:tgtFrame="_top">
        <w:r>
          <w:rPr>
            <w:rStyle w:val="Czeinternetowe"/>
            <w:rFonts w:ascii="Calibri" w:hAnsi="Calibri"/>
            <w:color w:val="000000"/>
          </w:rPr>
          <w:t>www.urazowka.piekary.pl</w:t>
        </w:r>
      </w:hyperlink>
      <w:r>
        <w:rPr>
          <w:rStyle w:val="Domylnaczcionkaakapitu"/>
          <w:rFonts w:cs="Arial" w:ascii="Calibri" w:hAnsi="Calibri"/>
          <w:color w:val="000000"/>
          <w:lang w:val="pl-PL"/>
        </w:rPr>
        <w:t>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360" w:hanging="0"/>
        <w:contextualSpacing/>
        <w:rPr>
          <w:rFonts w:eastAsia="Times New Roman" w:cs="Calibri" w:cstheme="minorHAnsi"/>
          <w:lang w:val="pl-PL"/>
        </w:rPr>
      </w:pPr>
      <w:r>
        <w:rPr>
          <w:rFonts w:eastAsia="Times New Roman" w:cs="Calibri" w:cstheme="minorHAnsi"/>
          <w:lang w:val="pl-PL"/>
        </w:rPr>
      </w:r>
    </w:p>
    <w:p>
      <w:pPr>
        <w:pStyle w:val="Normal"/>
        <w:spacing w:lineRule="auto" w:line="240" w:before="0" w:after="0"/>
        <w:ind w:left="360" w:hanging="0"/>
        <w:contextualSpacing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14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Wszelakie zgłoszenia, zawiadomienia, zapytania lub informacje odnoszące się do lub wynikające z realizacji przedmiotu umowy, wymagają formy pisemnej lub elektronicznej.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 prowadzonej korespondencji Strony winny powoływać się na tytuł umowy oraz jej numer. Za datę otrzymania dokumentów, o których mowa w ust. 1, Strony uznają odpowiednio: dzień ich wpływu do adresata lub dzień przekazania pocztą elektroniczną, chyba że postanowienia umowy stanowią inaczej.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Korespondencję należy kierować na adres:</w:t>
      </w:r>
    </w:p>
    <w:p>
      <w:pPr>
        <w:pStyle w:val="Akapitzlist1"/>
        <w:numPr>
          <w:ilvl w:val="0"/>
          <w:numId w:val="28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Zamawiającego: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Samodzielny Publiczny Wojewódzki Szpital Chirurgii Urazowej im. dr. Janusza Daaba w Piekarach Śląskich, ul. Bytomska 62  41-940 Piekary Śląskie </w:t>
      </w:r>
    </w:p>
    <w:p>
      <w:pPr>
        <w:pStyle w:val="Akapitzlist1"/>
        <w:spacing w:lineRule="auto" w:line="240" w:before="0" w:after="0"/>
        <w:ind w:left="1080" w:hanging="0"/>
        <w:contextualSpacing/>
        <w:rPr/>
      </w:pPr>
      <w:r>
        <w:rPr>
          <w:rFonts w:cs="Times New Roman"/>
          <w:szCs w:val="24"/>
        </w:rPr>
        <w:t xml:space="preserve">e- mail: </w:t>
      </w:r>
      <w:hyperlink r:id="rId3">
        <w:r>
          <w:rPr>
            <w:rStyle w:val="Czeinternetowe"/>
            <w:rFonts w:cs="Times New Roman"/>
            <w:szCs w:val="24"/>
          </w:rPr>
          <w:t>gospodarczy@urazowka.piekary.pl</w:t>
        </w:r>
      </w:hyperlink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Wykonawcy: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.............................................................................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e – mail: ..............................................................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  <w:szCs w:val="24"/>
        </w:rPr>
      </w:pPr>
      <w:r>
        <w:rPr>
          <w:szCs w:val="24"/>
        </w:rPr>
      </w:r>
    </w:p>
    <w:p>
      <w:pPr>
        <w:pStyle w:val="Akapitzlist1"/>
        <w:spacing w:lineRule="auto" w:line="240" w:before="0" w:after="0"/>
        <w:ind w:left="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4.    Osobami uprawnionymi do kontaktów w sprawach związanych z realizacją niniejszej umowy są:</w:t>
      </w:r>
    </w:p>
    <w:p>
      <w:pPr>
        <w:pStyle w:val="Akapitzlist1"/>
        <w:numPr>
          <w:ilvl w:val="0"/>
          <w:numId w:val="29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po stronie Zamawiającego: Justyna Strenczek, Jerzy Bartoszewski</w:t>
      </w:r>
    </w:p>
    <w:p>
      <w:pPr>
        <w:pStyle w:val="Akapitzlist1"/>
        <w:spacing w:lineRule="auto" w:line="240" w:before="0" w:after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 xml:space="preserve">      </w:t>
      </w:r>
      <w:r>
        <w:rPr>
          <w:rFonts w:cs="Times New Roman"/>
          <w:szCs w:val="24"/>
        </w:rPr>
        <w:t>tel.: 32/3934227</w:t>
      </w:r>
    </w:p>
    <w:p>
      <w:pPr>
        <w:pStyle w:val="Akapitzlist1"/>
        <w:spacing w:lineRule="auto" w:line="240" w:before="0" w:after="0"/>
        <w:contextualSpacing/>
        <w:rPr/>
      </w:pPr>
      <w:r>
        <w:rPr>
          <w:rFonts w:eastAsia="Times New Roman" w:cs="Times New Roman"/>
          <w:szCs w:val="24"/>
          <w:lang w:val="en-US"/>
        </w:rPr>
        <w:t xml:space="preserve">      </w:t>
      </w:r>
      <w:r>
        <w:rPr>
          <w:rFonts w:cs="Times New Roman"/>
          <w:szCs w:val="24"/>
          <w:lang w:val="en-US"/>
        </w:rPr>
        <w:t xml:space="preserve">e – mail: </w:t>
      </w:r>
      <w:hyperlink r:id="rId4">
        <w:r>
          <w:rPr>
            <w:rStyle w:val="Czeinternetowe"/>
            <w:rFonts w:cs="Times New Roman"/>
            <w:szCs w:val="24"/>
            <w:lang w:val="de-AT"/>
          </w:rPr>
          <w:t>gospodarczy@urazowka.piekary.pl</w:t>
        </w:r>
      </w:hyperlink>
    </w:p>
    <w:p>
      <w:pPr>
        <w:pStyle w:val="Akapitzlist1"/>
        <w:numPr>
          <w:ilvl w:val="0"/>
          <w:numId w:val="29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po stronie Wykonawcy:......................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>t</w:t>
      </w:r>
      <w:r>
        <w:rPr>
          <w:rFonts w:cs="Times New Roman"/>
          <w:szCs w:val="24"/>
        </w:rPr>
        <w:t>el: ...........</w:t>
      </w:r>
    </w:p>
    <w:p>
      <w:pPr>
        <w:pStyle w:val="Akapitzlist1"/>
        <w:spacing w:lineRule="auto" w:line="240" w:before="0" w:after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 xml:space="preserve">      </w:t>
      </w:r>
      <w:r>
        <w:rPr>
          <w:rFonts w:cs="Times New Roman"/>
          <w:szCs w:val="24"/>
        </w:rPr>
        <w:t>e – mail: ......................................................</w:t>
      </w:r>
    </w:p>
    <w:p>
      <w:pPr>
        <w:pStyle w:val="Domylnie"/>
        <w:spacing w:lineRule="auto" w:line="240" w:before="0" w:after="0"/>
        <w:ind w:left="357" w:hanging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15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 sprawach nieuregulowanych niniejszą umową zastosowanie mają przepisy Kodeksu cywilnego oraz przepisy aktów prawnych wymienionych w § 1 ust. 1 niniejszej umowy.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16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Wszelkie zmiany do niniejszej umowy wymagają formy pisemnej w postaci aneksu pod rygorem nieważności.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17</w:t>
      </w:r>
    </w:p>
    <w:p>
      <w:pPr>
        <w:pStyle w:val="Nagwek1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>W przypadku pojawienia się sporu w związku z realizacją postanowień niniejszej umowy, Strony zobowiązują się podjąć stosowne kroki w celu jego polubownego rozstrzygnięcia.</w:t>
      </w:r>
    </w:p>
    <w:p>
      <w:pPr>
        <w:pStyle w:val="Nagwek1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>Wszelkie sprawy sporne wynikające z realizacji postanowień niniejszej umowy, które nie zostaną rozwiązane przez Strony w sposób, o którym mowa w ust. 1, rozstrzygać będzie Sąd właściwy dla siedziby Zamawiającego.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18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Umowę sporządzono w dwóch jednobrzmiących egzemplarzach, po jednym dla każdej ze Stron.</w:t>
      </w:r>
    </w:p>
    <w:p>
      <w:pPr>
        <w:pStyle w:val="Domylnie"/>
        <w:spacing w:lineRule="auto" w:line="240" w:before="0" w:after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eastAsia="Arial" w:cs="Times New Roman"/>
          <w:szCs w:val="24"/>
        </w:rPr>
        <w:t>…</w:t>
      </w:r>
      <w:r>
        <w:rPr>
          <w:rFonts w:eastAsia="Arial" w:cs="Times New Roman"/>
          <w:szCs w:val="24"/>
        </w:rPr>
        <w:t>.............................................</w:t>
        <w:tab/>
        <w:t xml:space="preserve">                                          …............................................. </w:t>
        <w:tab/>
        <w:t xml:space="preserve">    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eastAsia="Arial" w:cs="Times New Roman"/>
          <w:b/>
          <w:szCs w:val="24"/>
        </w:rPr>
        <w:tab/>
      </w:r>
      <w:r>
        <w:rPr>
          <w:rFonts w:eastAsia="Arial" w:cs="Times New Roman"/>
          <w:szCs w:val="24"/>
        </w:rPr>
        <w:t>ZAMAWIAJĄCY</w:t>
        <w:tab/>
        <w:tab/>
        <w:tab/>
        <w:t xml:space="preserve">  </w:t>
        <w:tab/>
        <w:t xml:space="preserve"> </w:t>
        <w:tab/>
        <w:t xml:space="preserve">             WYKONAWCA </w:t>
      </w:r>
    </w:p>
    <w:p>
      <w:pPr>
        <w:pStyle w:val="Domylnie"/>
        <w:spacing w:lineRule="auto" w:line="240" w:before="0" w:after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suppressAutoHyphens w:val="false"/>
        <w:spacing w:lineRule="auto" w:line="240" w:before="0" w:after="0"/>
        <w:contextualSpacing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contextualSpacing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pacing w:val="-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6"/>
      <w:numFmt w:val="decimal"/>
      <w:lvlText w:val="%4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/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/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/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/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/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7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3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180"/>
      </w:pPr>
      <w:rPr/>
    </w:lvl>
  </w:abstractNum>
  <w:abstractNum w:abstractNumId="2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">
    <w:lvl w:ilvl="0">
      <w:start w:val="5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7c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8c37c7"/>
    <w:rPr>
      <w:rFonts w:ascii="Tahoma" w:hAnsi="Tahoma" w:cs="Tahoma"/>
      <w:sz w:val="16"/>
    </w:rPr>
  </w:style>
  <w:style w:type="character" w:styleId="Czeinternetowe" w:customStyle="1">
    <w:name w:val="Hyperlink"/>
    <w:rsid w:val="008c37c7"/>
    <w:rPr>
      <w:color w:val="0000FF"/>
      <w:u w:val="single"/>
    </w:rPr>
  </w:style>
  <w:style w:type="character" w:styleId="DeltaViewInsertion" w:customStyle="1">
    <w:name w:val="DeltaView Insertion"/>
    <w:qFormat/>
    <w:rsid w:val="008c37c7"/>
    <w:rPr>
      <w:b/>
      <w:i/>
      <w:spacing w:val="0"/>
    </w:rPr>
  </w:style>
  <w:style w:type="character" w:styleId="WWZnakiprzypiswdolnych" w:customStyle="1">
    <w:name w:val="WW-Znaki przypisów dolnych"/>
    <w:qFormat/>
    <w:rsid w:val="008c37c7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b1c15"/>
    <w:pPr>
      <w:spacing w:lineRule="auto" w:line="276" w:before="0" w:after="140"/>
    </w:pPr>
    <w:rPr/>
  </w:style>
  <w:style w:type="paragraph" w:styleId="Lista">
    <w:name w:val="List"/>
    <w:basedOn w:val="Tretekstu"/>
    <w:rsid w:val="009b1c15"/>
    <w:pPr/>
    <w:rPr>
      <w:rFonts w:cs="Arial"/>
    </w:rPr>
  </w:style>
  <w:style w:type="paragraph" w:styleId="Podpis" w:customStyle="1">
    <w:name w:val="Caption"/>
    <w:basedOn w:val="Normal"/>
    <w:qFormat/>
    <w:rsid w:val="009b1c15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b1c1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9b1c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omylnie" w:customStyle="1">
    <w:name w:val="Domyślnie"/>
    <w:qFormat/>
    <w:rsid w:val="008c37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4"/>
      <w:szCs w:val="22"/>
      <w:lang w:val="pl-PL" w:eastAsia="zh-CN" w:bidi="ar-SA"/>
    </w:rPr>
  </w:style>
  <w:style w:type="paragraph" w:styleId="Style14" w:customStyle="1">
    <w:name w:val="Style 1"/>
    <w:qFormat/>
    <w:rsid w:val="008c37c7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en-US" w:eastAsia="zh-CN" w:bidi="ar-SA"/>
    </w:rPr>
  </w:style>
  <w:style w:type="paragraph" w:styleId="Style21" w:customStyle="1">
    <w:name w:val="Style 2"/>
    <w:qFormat/>
    <w:rsid w:val="008c37c7"/>
    <w:pPr>
      <w:widowControl w:val="false"/>
      <w:suppressAutoHyphens w:val="true"/>
      <w:bidi w:val="0"/>
      <w:spacing w:lineRule="atLeast" w:line="100" w:before="0" w:after="0"/>
      <w:ind w:left="360" w:hanging="0"/>
      <w:jc w:val="left"/>
    </w:pPr>
    <w:rPr>
      <w:rFonts w:ascii="Tahoma" w:hAnsi="Tahoma" w:eastAsia="Times New Roman" w:cs="Tahoma"/>
      <w:color w:val="00000A"/>
      <w:kern w:val="2"/>
      <w:sz w:val="16"/>
      <w:szCs w:val="16"/>
      <w:lang w:val="en-US" w:eastAsia="zh-CN" w:bidi="ar-SA"/>
    </w:rPr>
  </w:style>
  <w:style w:type="paragraph" w:styleId="Akapitzlist1" w:customStyle="1">
    <w:name w:val="Akapit z listą1"/>
    <w:basedOn w:val="Domylnie"/>
    <w:qFormat/>
    <w:rsid w:val="008c37c7"/>
    <w:pPr>
      <w:ind w:left="720" w:hanging="0"/>
    </w:pPr>
    <w:rPr/>
  </w:style>
  <w:style w:type="paragraph" w:styleId="Tekst" w:customStyle="1">
    <w:name w:val="Tekst"/>
    <w:qFormat/>
    <w:rsid w:val="008c37c7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paragraph" w:styleId="Legenda1" w:customStyle="1">
    <w:name w:val="Legenda1"/>
    <w:basedOn w:val="Domylnie"/>
    <w:qFormat/>
    <w:rsid w:val="008c37c7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" w:customStyle="1">
    <w:name w:val="Nagłówek1"/>
    <w:basedOn w:val="Domylnie"/>
    <w:qFormat/>
    <w:rsid w:val="008c37c7"/>
    <w:pPr>
      <w:spacing w:lineRule="atLeast" w:line="100" w:before="0" w:after="0"/>
      <w:jc w:val="center"/>
    </w:pPr>
    <w:rPr>
      <w:rFonts w:ascii="Times New Roman" w:hAnsi="Times New Roman" w:eastAsia="Times New Roman" w:cs="Times New Roman"/>
      <w:szCs w:val="20"/>
    </w:rPr>
  </w:style>
  <w:style w:type="paragraph" w:styleId="Standard" w:customStyle="1">
    <w:name w:val="Standard"/>
    <w:qFormat/>
    <w:rsid w:val="009b1c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ahoma" w:cs="Tahoma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razowka.piekary.pl/" TargetMode="External"/><Relationship Id="rId3" Type="http://schemas.openxmlformats.org/officeDocument/2006/relationships/hyperlink" Target="mailto:gospodarczy@urazowka.piekary.pl" TargetMode="External"/><Relationship Id="rId4" Type="http://schemas.openxmlformats.org/officeDocument/2006/relationships/hyperlink" Target="mailto:gospodarczy@urazowka.piekary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32DE-DFA6-4BE5-B78A-BFFE71E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LibreOffice/7.4.3.2$Windows_X86_64 LibreOffice_project/1048a8393ae2eeec98dff31b5c133c5f1d08b890</Application>
  <AppVersion>15.0000</AppVersion>
  <Pages>9</Pages>
  <Words>3493</Words>
  <Characters>22752</Characters>
  <CharactersWithSpaces>26342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2020-02-02T22:12:00Z</dcterms:created>
  <dc:creator>faust</dc:creator>
  <dc:description/>
  <dc:language>pl-PL</dc:language>
  <cp:lastModifiedBy/>
  <cp:lastPrinted>2021-02-04T08:49:00Z</cp:lastPrinted>
  <dcterms:modified xsi:type="dcterms:W3CDTF">2023-02-10T14:42:06Z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