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KJ.272/K/15/2022</w:t>
      </w:r>
    </w:p>
    <w:p>
      <w:pPr>
        <w:pStyle w:val="Normal"/>
        <w:spacing w:lineRule="auto" w:line="276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</w:t>
      </w:r>
      <w:r>
        <w:rPr>
          <w:rFonts w:cs="Calibri" w:ascii="Calibri" w:hAnsi="Calibri"/>
          <w:color w:val="000000"/>
          <w:sz w:val="24"/>
          <w:szCs w:val="24"/>
        </w:rPr>
        <w:t xml:space="preserve">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 xml:space="preserve">Przedmiotem zamówienia jest usługa w zakresie 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lekarzy asystentów Oddziału Rehabilitacyjnego w Kochcicach </w:t>
      </w:r>
      <w:r>
        <w:rPr>
          <w:rFonts w:cs="Calibri" w:ascii="Calibri" w:hAnsi="Calibri"/>
        </w:rPr>
        <w:t>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2717"/>
        <w:gridCol w:w="1425"/>
        <w:gridCol w:w="1755"/>
        <w:gridCol w:w="1471"/>
        <w:gridCol w:w="142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Szacunkowa liczba godzin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Miejsce wykonywania świadczeń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 w:val="24"/>
                <w:szCs w:val="24"/>
                <w:lang w:eastAsia="pl-PL"/>
              </w:rPr>
              <w:t xml:space="preserve">Świadczenie usług </w:t>
              <w:br/>
              <w:t xml:space="preserve">asystenta przez lekarza specjalistę: rehabilitacji lub balneologii </w:t>
              <w:br/>
              <w:t xml:space="preserve">i medycyny fizykalnej lub reumatologii lub </w:t>
              <w:br/>
              <w:t xml:space="preserve">ortopedii i traumatologii narządu ruchu lub </w:t>
              <w:br/>
              <w:t>chorób wewnętrznych lub chirurgii ogólnej</w:t>
              <w:br/>
              <w:t xml:space="preserve">w dni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4"/>
                <w:szCs w:val="24"/>
                <w:lang w:val="pl-PL" w:eastAsia="pl-PL" w:bidi="ar-SA"/>
              </w:rPr>
              <w:t>robocze</w:t>
            </w:r>
            <w:r>
              <w:rPr>
                <w:rFonts w:cs="Calibri" w:ascii="Calibri" w:hAnsi="Calibri"/>
                <w:color w:val="000000"/>
                <w:kern w:val="0"/>
                <w:sz w:val="24"/>
                <w:szCs w:val="24"/>
                <w:lang w:eastAsia="pl-PL"/>
              </w:rPr>
              <w:t xml:space="preserve"> w godz. </w:t>
              <w:br/>
              <w:t>od 7.25 do 15.00.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</w:t>
            </w:r>
            <w:r>
              <w:rPr>
                <w:rFonts w:cs="Calibri" w:ascii="Calibri" w:hAnsi="Calibri"/>
              </w:rPr>
              <w:t>. h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</w:rPr>
              <w:t>z max.</w:t>
            </w:r>
            <w:r>
              <w:rPr>
                <w:rFonts w:cs="Calibri" w:ascii="Calibri" w:hAnsi="Calibri"/>
              </w:rPr>
              <w:br/>
            </w:r>
            <w:r>
              <w:rPr>
                <w:rFonts w:cs="Calibri" w:ascii="Calibri" w:hAnsi="Calibri"/>
                <w:b/>
                <w:bCs/>
              </w:rPr>
              <w:t>4300 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 xml:space="preserve">Oddział Rehabilitacyjny, Kochanowice Kochcice, </w:t>
              <w:br/>
              <w:t>ul. Zamkowa 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 w:val="24"/>
                <w:szCs w:val="24"/>
                <w:lang w:eastAsia="pl-PL"/>
              </w:rPr>
              <w:t xml:space="preserve">Świadczenie usług </w:t>
              <w:br/>
              <w:t xml:space="preserve">asystenta przez lekarza specjalistę: rehabilitacji lub balneologii </w:t>
              <w:br/>
              <w:t xml:space="preserve">i medycyny fizykalnej lub reumatologii lub </w:t>
              <w:br/>
              <w:t xml:space="preserve">ortopedii i traumatologii narządu ruchu lub </w:t>
              <w:br/>
              <w:t>chorób wewnętrznych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 w:val="24"/>
                <w:szCs w:val="24"/>
                <w:lang w:eastAsia="pl-PL"/>
              </w:rPr>
              <w:t>lub chirurgii ogólnej</w:t>
              <w:br/>
              <w:t xml:space="preserve">w ramach dyżurów: </w:t>
              <w:br/>
              <w:t xml:space="preserve">w dni robocze w godz. 15.00 do 7.25 dnia </w:t>
              <w:br/>
              <w:t xml:space="preserve">następnego oraz soboty, niedziele i święta </w:t>
              <w:br/>
              <w:t>w godz. 7.25 do 7.25 dnia następnego.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</w:t>
            </w:r>
            <w:r>
              <w:rPr>
                <w:rFonts w:cs="Calibri" w:ascii="Calibri" w:hAnsi="Calibri"/>
              </w:rPr>
              <w:t>. h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</w:rPr>
              <w:t>z max.</w:t>
            </w:r>
            <w:r>
              <w:rPr>
                <w:rFonts w:cs="Calibri" w:ascii="Calibri" w:hAnsi="Calibri"/>
              </w:rPr>
              <w:br/>
            </w:r>
            <w:r>
              <w:rPr>
                <w:rFonts w:cs="Calibri" w:ascii="Calibri" w:hAnsi="Calibri"/>
                <w:b/>
                <w:bCs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5500</w:t>
            </w:r>
            <w:r>
              <w:rPr>
                <w:rFonts w:cs="Calibri" w:ascii="Calibri" w:hAnsi="Calibri"/>
                <w:b/>
                <w:bCs/>
              </w:rPr>
              <w:t xml:space="preserve"> h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 xml:space="preserve">Oddział Rehabilitacyjny, Kochanowice Kochcice, </w:t>
              <w:br/>
              <w:t>ul. Zamkowa 1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Realizacja w okresie ……...… miesięcy (od 21 do 24 miesięcy), tj. od …………….……….. r.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do …………….……….. r.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Godziny pracy:</w:t>
        <w:tab/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– </w:t>
      </w:r>
      <w:r>
        <w:rPr>
          <w:rFonts w:cs="Calibri" w:ascii="Calibri" w:hAnsi="Calibri"/>
          <w:sz w:val="24"/>
          <w:szCs w:val="24"/>
        </w:rPr>
        <w:t xml:space="preserve">w dni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robocze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od godz. 7.25 do godz. 15.00,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–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dyżury w dni powszednie od 15.00 do 7.25 dnia następnego,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–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dyżury w soboty, niedziele i święta od godz. 7.25 do godz. 7.25.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Wymagania: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1. </w:t>
        <w:tab/>
        <w:t>Posiadanie przez Oferenta jednej z wymienionych niżej specjalizacji tj.: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rehabilitacji,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balneologii i medycyny fizykalnej,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reumatologii,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ortopedii i traumatologii narządu ruchu,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chor</w:t>
      </w:r>
      <w:r>
        <w:rPr>
          <w:rFonts w:eastAsia="Times New Roman" w:cs="Calibri" w:ascii="Calibri" w:hAnsi="Calibri"/>
          <w:color w:val="000000"/>
          <w:kern w:val="0"/>
          <w:sz w:val="24"/>
          <w:szCs w:val="24"/>
          <w:lang w:val="pl-PL" w:eastAsia="pl-PL" w:bidi="ar-SA"/>
        </w:rPr>
        <w:t>ób</w:t>
      </w:r>
      <w:r>
        <w:rPr>
          <w:rFonts w:cs="Calibri" w:ascii="Calibri" w:hAnsi="Calibri"/>
          <w:color w:val="000000"/>
          <w:kern w:val="0"/>
          <w:lang w:eastAsia="pl-PL"/>
        </w:rPr>
        <w:t xml:space="preserve"> wewnętrznych,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  <w:color w:val="000000"/>
          <w:kern w:val="0"/>
          <w:lang w:eastAsia="pl-PL"/>
        </w:rPr>
        <w:tab/>
        <w:t>- chirurgii ogólnej.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2. </w:t>
        <w:tab/>
        <w:t xml:space="preserve">Odległość pomiędzy siedzibą Oferenta i miejscem świadczenia usług medycznych nie </w:t>
        <w:tab/>
        <w:t>może być większa niż 30 km.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Do obowiązków asystenta w szczególności należy: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</w:t>
        <w:tab/>
        <w:t xml:space="preserve">Współpraca z Lekarzem Kierującym Oddziałem w zakresie prawidłowego toku pracy pod </w:t>
        <w:tab/>
        <w:t>względem medycznym.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2. </w:t>
        <w:tab/>
        <w:t>Przyjmowanie i badanie przyjętych na Oddział pacjentów, ustalanie leczenia i rehabilitacji.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3. </w:t>
        <w:tab/>
        <w:t>Zapewnienie pacjentom ciągłej i kompleksowej opieki rehabilitacyjnej i medycznej.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4. </w:t>
        <w:tab/>
        <w:t xml:space="preserve">Wydawanie personelowi pielęgniarskiemu poleceń dotyczących realizacji świadczeń </w:t>
        <w:tab/>
        <w:t>diagnostycznych, terapeutycznych i rehabilitacyjnych.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5. </w:t>
        <w:tab/>
        <w:t>Udzielenie kwalifikowanej pomocy medycznej w nagłych wypadkach i zachorowaniach.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6. </w:t>
        <w:tab/>
        <w:t xml:space="preserve">Przejrzyste, czytelne, bardzo skrupulatne wypełnianie wszelkiej dokumentacji medycznej, </w:t>
        <w:tab/>
        <w:t>zgodnie z wymogami NFZ oraz obowiązującymi standardami.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7. </w:t>
        <w:tab/>
        <w:t>Kierowanie pacjentów na inne badania specjalistyczne, jeżeli zachodzi taka konieczność.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8. </w:t>
        <w:tab/>
        <w:t xml:space="preserve">Wypisywanie zaświadczeń dotyczących leczenia pacjenta na oddziale na wniosek </w:t>
        <w:tab/>
        <w:t>pacjenta lub organów ubezpieczeniowych, sądowych, Policji.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9. </w:t>
        <w:tab/>
        <w:t>Udzielenie informacji o stanie pacjenta pacjentowi lub wskazanej przez pacjenta osobie.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10. Wprowadzanie nowelizacji w zakresie świadczeń medycznych, po wcześniejszym </w:t>
        <w:tab/>
        <w:t>uzgodnieniu z Lekarzem Kierującym Oddziałem.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11. Udział w szkoleniach wewnętrznych i zewnętrznych w celu podnoszenia swoich </w:t>
        <w:tab/>
        <w:t>kwalifikacji zawodowych.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12. Zawiadamianie </w:t>
      </w:r>
      <w:r>
        <w:rPr>
          <w:rFonts w:cs="Calibri" w:ascii="Calibri" w:hAnsi="Calibri"/>
        </w:rPr>
        <w:t>L</w:t>
      </w:r>
      <w:r>
        <w:rPr>
          <w:rFonts w:cs="Calibri" w:ascii="Calibri" w:hAnsi="Calibri"/>
        </w:rPr>
        <w:t xml:space="preserve">ekarza </w:t>
      </w:r>
      <w:r>
        <w:rPr>
          <w:rFonts w:cs="Calibri" w:ascii="Calibri" w:hAnsi="Calibri"/>
        </w:rPr>
        <w:t>K</w:t>
      </w:r>
      <w:r>
        <w:rPr>
          <w:rFonts w:cs="Calibri" w:ascii="Calibri" w:hAnsi="Calibri"/>
        </w:rPr>
        <w:t xml:space="preserve">ierującego </w:t>
      </w:r>
      <w:r>
        <w:rPr>
          <w:rFonts w:cs="Calibri" w:ascii="Calibri" w:hAnsi="Calibri"/>
        </w:rPr>
        <w:t>O</w:t>
      </w:r>
      <w:r>
        <w:rPr>
          <w:rFonts w:cs="Calibri" w:ascii="Calibri" w:hAnsi="Calibri"/>
        </w:rPr>
        <w:t xml:space="preserve">ddziałem o wszelkich ważniejszych wydarzeniach </w:t>
        <w:br/>
        <w:tab/>
        <w:t xml:space="preserve">w Oddziale oraz wykroczeniach popełnionych zarówno przez personel jak i chorych, </w:t>
        <w:br/>
        <w:tab/>
        <w:t>a także o podejmowanych ustaleniach.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>13. Czuwanie nad przestrzeganiem przez Pacjentów Regulaminu.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>14.</w:t>
        <w:tab/>
        <w:t>Znajomość procedur i standardów obowiązujących w Oddziale.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>15. Udzielanie ambulatoryjnych świadczeń w Poradni Rehabilitacyjnej.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 xml:space="preserve">16. Wykonywanie innych czynności zleconych przez Przełożonego, a nie ujętych w zakresie </w:t>
        <w:tab/>
        <w:t>czynności w ramach zajmowanego stanowiska.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/>
      </w:pPr>
      <w:r>
        <w:rPr>
          <w:rFonts w:cs="Calibri" w:ascii="Calibri" w:hAnsi="Calibri"/>
        </w:rPr>
        <w:t>17. Przestrzeganie przepisów, zasad bezpieczeństwa i higieny pracy.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eastAsia="Times New Roman" w:cs="Calibri" w:ascii="Calibri" w:hAnsi="Calibri"/>
          <w:sz w:val="24"/>
          <w:szCs w:val="24"/>
        </w:rPr>
        <w:t>Minimalna ilość osób – 3 osoby.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KJ.272/K/15/2022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eastAsia="Calibri"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na okres </w:t>
      </w:r>
      <w:r>
        <w:rPr>
          <w:rFonts w:eastAsia="Calibri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……...… miesięcy (od 21 do 24 miesięcy), tj. od …………….……….. r. </w:t>
      </w:r>
      <w:r>
        <w:rPr>
          <w:rFonts w:eastAsia="Calibri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br/>
      </w:r>
      <w:r>
        <w:rPr>
          <w:rFonts w:eastAsia="Calibri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do …………….………..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KJ.272/K/15/2022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zabezpieczenia świadczenia usług medycznych przez lekarzy asystentów Oddziału Rehabilitacyjnego w Kochcicach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lat pracy lekarza specjalisty w ośrodku / oddziale / przychodni rehabilitacji </w:t>
              <w:br/>
              <w:t>lub balneologii</w:t>
              <w:br/>
              <w:t>w zakresie objętym przedmiotem zamówienia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do 5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5 lat i więcej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Doświadczenie min. 5 lat w ośrodku / oddziale / przychodni rehabilitacji lub balneologii </w:t>
        <w:br/>
        <w:tab/>
        <w:t>– 100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poniżej 5 lat w ośrodku / oddziale / przychodni rehabilitacji lub balneologii     </w:t>
        <w:tab/>
        <w:t>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39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 xml:space="preserve"> rehabilitacji.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balneologii i medycyny fizykalnej.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Specjalizacja z zakresu reumatologii.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ortopedii i traumatologii narządu ruchu.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chorób wewnętrznych.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Specjalizacja z zakresu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chirurgii ogólnej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Specjalizacja z rehabilitacji lub balneologii i medycyny fizykalnej lub</w:t>
      </w:r>
      <w:r>
        <w:rPr>
          <w:color w:val="000000"/>
          <w:sz w:val="24"/>
          <w:szCs w:val="24"/>
        </w:rPr>
        <w:t xml:space="preserve"> reumatologii</w:t>
        <w:br/>
        <w:tab/>
        <w:t>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>Brak specjalizacji z rehabilitacji lub balneologii i medycyny fizykalnej lub reumatologii</w:t>
        <w:br/>
        <w:tab/>
        <w:t>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dległość siedziby Wykonawcy od Zamawiającego (w km) wynosi ……………………… 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 Wykonawcy do 30 km od Ośrodka Zamawiającego Kochanowice Kochcice,</w:t>
        <w:br/>
        <w:tab/>
        <w:t>ul. Zamkowa 1 –100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 31 km od Ośrodka Zamawiającego Kochanowice Kochcice, </w:t>
        <w:tab/>
        <w:t>ul. Zamkowa 1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systemu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 –100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</w:t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/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/>
      </w:pPr>
      <w:r>
        <w:rPr>
          <w:rFonts w:cs="Arial" w:ascii="Calibri" w:hAnsi="Calibri" w:asciiTheme="minorHAnsi" w:hAnsiTheme="minorHAnsi"/>
        </w:rPr>
        <w:tab/>
        <w:t>Do dyspozycji:  ………………………………………, 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/>
          <w:b/>
          <w:b/>
          <w:bCs/>
          <w:i/>
          <w:i/>
          <w:color w:val="000000"/>
          <w:sz w:val="24"/>
          <w:szCs w:val="24"/>
          <w:lang w:val="pl-PL"/>
        </w:rPr>
      </w:pPr>
      <w:r>
        <w:rPr>
          <w:rFonts w:cs="Arial" w:ascii="Calibri" w:hAnsi="Calibri"/>
          <w:b/>
          <w:bCs/>
          <w:i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276" w:before="0" w:after="0"/>
        <w:jc w:val="both"/>
        <w:rPr>
          <w:rFonts w:ascii="Calibri" w:hAnsi="Calibri" w:cs="Arial"/>
          <w:i/>
          <w:i/>
          <w:color w:val="000000"/>
          <w:sz w:val="24"/>
          <w:szCs w:val="24"/>
          <w:lang w:val="pl-PL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276" w:before="0" w:after="0"/>
        <w:jc w:val="both"/>
        <w:rPr>
          <w:rFonts w:ascii="Calibri" w:hAnsi="Calibri" w:cs="Arial"/>
          <w:i/>
          <w:i/>
          <w:color w:val="000000"/>
          <w:sz w:val="24"/>
          <w:szCs w:val="24"/>
          <w:lang w:val="pl-PL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LibreOffice/7.0.0.3$Windows_X86_64 LibreOffice_project/8061b3e9204bef6b321a21033174034a5e2ea88e</Application>
  <Pages>7</Pages>
  <Words>995</Words>
  <Characters>6707</Characters>
  <CharactersWithSpaces>7675</CharactersWithSpaces>
  <Paragraphs>127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2022-12-05T12:32:15Z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