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Pakiet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color w:val="000000"/>
        </w:rPr>
        <w:t xml:space="preserve">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1</w:t>
      </w:r>
    </w:p>
    <w:p>
      <w:pPr>
        <w:pStyle w:val="Normal"/>
        <w:spacing w:lineRule="auto" w:line="276"/>
        <w:rPr/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kardiologicznej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specjalizacji kardiologicznej.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Pakiet nr 2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>
          <w:rFonts w:ascii="Calibri" w:hAnsi="Calibri"/>
          <w:b/>
          <w:b/>
          <w:bCs/>
          <w:color w:val="000000"/>
        </w:rPr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b w:val="false"/>
          <w:bCs w:val="false"/>
          <w:color w:val="000000"/>
        </w:rPr>
        <w:t xml:space="preserve">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2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neurologicznej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specjalizacji neurologicznej.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720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Pakiet nr 3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>
          <w:rFonts w:ascii="Calibri" w:hAnsi="Calibri" w:cs="Calibri"/>
          <w:color w:val="000000"/>
        </w:rPr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b w:val="false"/>
          <w:bCs w:val="false"/>
          <w:color w:val="000000"/>
        </w:rPr>
        <w:t xml:space="preserve">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3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okulistycznej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specjalizacji </w:t>
            </w:r>
            <w:r>
              <w:rPr>
                <w:rFonts w:eastAsia="Times New Roman" w:cs="Times New Roman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>okulisty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cznej.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hd w:val="clear" w:fill="FFFFFF"/>
        <w:spacing w:lineRule="auto" w:line="27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fill="FFFFFF"/>
        <w:spacing w:lineRule="auto" w:line="27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fill="FFFFFF"/>
        <w:spacing w:lineRule="auto" w:line="27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fill="FFFFFF"/>
        <w:spacing w:lineRule="auto" w:line="27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Pakiet nr 4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>
          <w:rFonts w:ascii="Calibri" w:hAnsi="Calibri" w:cs="Calibri"/>
          <w:color w:val="000000"/>
        </w:rPr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b w:val="false"/>
          <w:bCs w:val="false"/>
          <w:color w:val="000000"/>
        </w:rPr>
        <w:t xml:space="preserve">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4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otolaryngologicznej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specjalizacji </w:t>
            </w:r>
            <w:r>
              <w:rPr>
                <w:rFonts w:eastAsia="SimSun;宋体" w:cs="Arial"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zh-CN" w:bidi="hi-IN"/>
              </w:rPr>
              <w:t>otolaryngologicznej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Pakiet nr 5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>
          <w:rFonts w:ascii="Calibri" w:hAnsi="Calibri" w:cs="Calibri"/>
          <w:color w:val="000000"/>
        </w:rPr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b w:val="false"/>
          <w:bCs w:val="false"/>
          <w:color w:val="000000"/>
        </w:rPr>
        <w:t xml:space="preserve">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5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pediatrycznej wraz z kardiologią dziecięcą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specjalizacji </w:t>
            </w:r>
            <w:r>
              <w:rPr>
                <w:rFonts w:eastAsia="SimSun;宋体" w:cs="Arial"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zh-CN" w:bidi="hi-IN"/>
              </w:rPr>
              <w:t xml:space="preserve">pediatrycznej wraz </w:t>
              <w:br/>
              <w:t>z kardiologią dziecięcą.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cs="Calibri"/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6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b w:val="false"/>
          <w:bCs w:val="false"/>
          <w:color w:val="000000"/>
        </w:rPr>
        <w:t xml:space="preserve">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6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psychiatrycznej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specjalizacji </w:t>
            </w:r>
            <w:r>
              <w:rPr>
                <w:rFonts w:eastAsia="SimSun;宋体" w:cs="Arial"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zh-CN" w:bidi="hi-IN"/>
              </w:rPr>
              <w:t>psychiatrycznej.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7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0000"/>
          <w:sz w:val="24"/>
          <w:szCs w:val="24"/>
        </w:rPr>
        <w:br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świadczenia usług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cs="Calibri" w:ascii="Calibri" w:hAnsi="Calibri"/>
          <w:b w:val="false"/>
          <w:bCs w:val="false"/>
          <w:color w:val="000000"/>
        </w:rPr>
        <w:t xml:space="preserve">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</w:t>
        <w:br/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Pakiet nr 7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konsultacji i badań specjalistycznych </w:t>
      </w:r>
      <w:r>
        <w:rPr>
          <w:rFonts w:eastAsia="SimSun;宋体" w:cs="Arial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w ramach specjalizacji urologicznej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przez 24 miesiące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od zawarcia umowy.</w:t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 xml:space="preserve">Konsultacje i badania </w:t>
              <w:br/>
              <w:t xml:space="preserve">specjalistyczne w ramach </w:t>
              <w:br/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specjalizacji </w:t>
            </w:r>
            <w:r>
              <w:rPr>
                <w:rFonts w:eastAsia="SimSun;宋体" w:cs="Arial"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zh-CN" w:bidi="hi-IN"/>
              </w:rPr>
              <w:t>urologicznej.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KJ.272/K/9/2022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KJ.272/K/9/2022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zabezpieczenie świadczenia usług medycznych 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i badań specjalistycznych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>w zakresie pakietu nr …...*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min. 5 lat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specjalizacji zgodnej</w:t>
        <w:br/>
        <w:t xml:space="preserve">z pakietem, do którego Oferent złożył ofertę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– 100 pkt.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4 lata lub mniej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specjalizacji zgodnej</w:t>
        <w:br/>
        <w:t>z pakietem, do którego Oferent złożył ofertę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Specjalizacja z więcej niż jednej dziedziny medycyny – 100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z jednej dziedziny medycyny – 0 pkt.</w:t>
      </w:r>
      <w:r>
        <w:br w:type="page"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tbl>
      <w:tblPr>
        <w:tblW w:w="572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Miejce wykonywania świadczenia: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siedziba Zamawiającego / siedziba </w:t>
      </w:r>
      <w:r>
        <w:rPr>
          <w:rFonts w:eastAsia="Times New Roman" w:cs="Arial" w:ascii="Calibri" w:hAnsi="Calibri"/>
          <w:b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>*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* zaznaczyć właściwe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przypadku świadczenia usługi medycznej u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/>
          <w:bCs/>
          <w:color w:val="000000"/>
          <w:sz w:val="24"/>
          <w:szCs w:val="24"/>
        </w:rPr>
        <w:t xml:space="preserve"> oświadczamy, że konsultacje / badania będą wykonywane w …………………………………………… (proszę podać adres) tj. odległość miejsca wykonywania badań od siedziby Zamawiającego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Wykonanie świadczenia w siedzibie Zamawiającego lub, w przypadku wykonywania świadczenia w siedzibie Wykonawcy, odległość miejsca wykonywania świadczenia </w:t>
        <w:br/>
        <w:t>do 10 km od siedziby Zamawiającego: Piekary Śląskie, ul. Bytomska 62 – 100 pkt.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  <w:t>Odległość miejsca wykonywania świadczenia powyżej 11 km od siedziby Zamawiającego: Piekary Śląskie, ul. Bytomska 62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X.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konsultację /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rFonts w:cs="Arial" w:ascii="Calibri" w:hAnsi="Calibri"/>
          <w:b/>
          <w:bCs/>
          <w:color w:val="000000"/>
        </w:rPr>
        <w:t xml:space="preserve">XI. </w:t>
        <w:tab/>
        <w:t xml:space="preserve">OŚWIADCZENIE: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Oświadczam, że wypełniłem obowiązki informacyjne przewidziane w art. 13 lub art. 14 RODO* wobec osób fizycznych, od których dane osobowe bezpośrednio lub pośrednio pozyskałem w celu rozpatrzenia mojej oferty oraz zawarcia ewentualnej umowy, w związku </w:t>
        <w:br/>
        <w:t>z niniejszym postępowaniem.**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  <w:br/>
        <w:tab/>
        <w:t xml:space="preserve">i w sprawie swobodnego przepływu takich danych oraz uchylenia dyrektywy 95/46/WE, </w:t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jc w:val="left"/>
        <w:rPr>
          <w:color w:val="000000"/>
          <w:sz w:val="20"/>
          <w:szCs w:val="20"/>
        </w:rPr>
      </w:pPr>
      <w:r>
        <w:rPr>
          <w:rFonts w:cs="Calibri" w:ascii="Calibri" w:hAnsi="Calibri"/>
          <w:color w:val="000000"/>
        </w:rPr>
        <w:t xml:space="preserve">** w przypadku gdy Wykonawca 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contextualSpacing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 xml:space="preserve">XII. </w:t>
        <w:tab/>
        <w:t xml:space="preserve">OŚWIADCZENIE: </w:t>
      </w:r>
    </w:p>
    <w:p>
      <w:pPr>
        <w:pStyle w:val="Normal"/>
        <w:spacing w:lineRule="auto" w:line="276" w:before="0" w:after="0"/>
        <w:contextualSpacing/>
        <w:textAlignment w:val="baseline"/>
        <w:rPr>
          <w:color w:val="000000"/>
          <w:sz w:val="20"/>
          <w:szCs w:val="20"/>
        </w:rPr>
      </w:pPr>
      <w:r>
        <w:rPr>
          <w:rFonts w:eastAsia="Calibri" w:cs="Times New Roman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Oświadczam</w:t>
      </w:r>
      <w:r>
        <w:rPr>
          <w:rFonts w:eastAsia="Calibri" w:ascii="Calibri" w:hAnsi="Calibri"/>
          <w:b w:val="false"/>
          <w:bCs w:val="false"/>
          <w:color w:val="000000"/>
        </w:rPr>
        <w:t>,</w:t>
      </w:r>
      <w:r>
        <w:rPr>
          <w:rFonts w:eastAsia="Calibri" w:ascii="Calibri" w:hAnsi="Calibri"/>
          <w:bCs/>
          <w:color w:val="000000"/>
        </w:rPr>
        <w:t xml:space="preserve"> że zgodnie z ustawą z dnia 6 marca 2018 r. Prawo przedsiębiorców stanowię</w:t>
      </w:r>
      <w:r>
        <w:rPr>
          <w:rFonts w:eastAsia="Calibri" w:ascii="Calibri" w:hAnsi="Calibri"/>
          <w:color w:val="000000"/>
        </w:rPr>
        <w:t>*</w:t>
      </w:r>
      <w:r>
        <w:rPr>
          <w:rFonts w:eastAsia="Calibri" w:ascii="Calibri" w:hAnsi="Calibri"/>
          <w:bCs/>
          <w:color w:val="000000"/>
        </w:rPr>
        <w:t>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  <w:color w:val="000000"/>
        </w:rPr>
      </w:pPr>
      <w:r>
        <w:rPr>
          <w:rFonts w:eastAsia="Calibri" w:ascii="Calibri" w:hAnsi="Calibri"/>
          <w:bCs/>
          <w:color w:val="000000"/>
        </w:rPr>
        <w:t>mikroprzedsiębiorstwo,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  <w:color w:val="000000"/>
        </w:rPr>
      </w:pPr>
      <w:r>
        <w:rPr>
          <w:rFonts w:eastAsia="Calibri" w:ascii="Calibri" w:hAnsi="Calibri"/>
          <w:bCs/>
          <w:color w:val="000000"/>
        </w:rPr>
        <w:t>przedsiębiorstwo małe,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  <w:color w:val="000000"/>
        </w:rPr>
      </w:pPr>
      <w:r>
        <w:rPr>
          <w:rFonts w:eastAsia="Calibri" w:ascii="Calibri" w:hAnsi="Calibri"/>
          <w:bCs/>
          <w:color w:val="000000"/>
        </w:rPr>
        <w:t>przedsiębiorstwo średnie,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  <w:color w:val="000000"/>
        </w:rPr>
      </w:pPr>
      <w:r>
        <w:rPr>
          <w:rFonts w:eastAsia="Calibri" w:ascii="Calibri" w:hAnsi="Calibri"/>
          <w:bCs/>
          <w:color w:val="000000"/>
        </w:rPr>
        <w:t>przedsiębiorstwo duże.</w:t>
      </w:r>
    </w:p>
    <w:p>
      <w:pPr>
        <w:pStyle w:val="Przypisdolny"/>
        <w:spacing w:lineRule="auto" w:line="276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cs="Arial" w:ascii="Calibri" w:hAnsi="Calibri"/>
          <w:b w:val="false"/>
          <w:i w:val="false"/>
          <w:color w:val="000000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Powyższe oświadczenie wynika z Zalecenia Komisji z dnia 6 maja 2003 r. dotyczącego definicji mikro, małych i średnich przedsiębiorstw. </w:t>
        <w:br/>
      </w:r>
      <w:r>
        <w:rPr>
          <w:rStyle w:val="DeltaViewInsertion"/>
          <w:rFonts w:eastAsia="Calibri" w:cs="Arial" w:ascii="Calibri" w:hAnsi="Calibri"/>
          <w:b w:val="false"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/>
          <w:color w:val="000000"/>
          <w:sz w:val="24"/>
          <w:szCs w:val="24"/>
        </w:rPr>
        <w:t xml:space="preserve"> które </w:t>
      </w:r>
      <w:r>
        <w:rPr>
          <w:rFonts w:cs="Arial" w:ascii="Calibri" w:hAnsi="Calibr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  <w:r>
        <w:br w:type="page"/>
      </w:r>
    </w:p>
    <w:p>
      <w:pPr>
        <w:pStyle w:val="Standard"/>
        <w:spacing w:lineRule="auto" w:line="276" w:before="0" w:after="24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t>** Pkt. III – XII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LibreOffice/7.0.0.3$Windows_X86_64 LibreOffice_project/8061b3e9204bef6b321a21033174034a5e2ea88e</Application>
  <Pages>12</Pages>
  <Words>1644</Words>
  <Characters>10919</Characters>
  <CharactersWithSpaces>12442</CharactersWithSpaces>
  <Paragraphs>238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2022-09-27T10:45:13Z</cp:lastPrinted>
  <dcterms:modified xsi:type="dcterms:W3CDTF">2022-09-27T10:53:33Z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