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7EB79BA9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347B03">
        <w:rPr>
          <w:bCs/>
          <w:szCs w:val="24"/>
        </w:rPr>
        <w:t>24</w:t>
      </w:r>
      <w:r w:rsidR="00C94870">
        <w:rPr>
          <w:bCs/>
          <w:szCs w:val="24"/>
        </w:rPr>
        <w:t xml:space="preserve"> </w:t>
      </w:r>
      <w:r w:rsidR="00082376">
        <w:rPr>
          <w:bCs/>
          <w:szCs w:val="24"/>
        </w:rPr>
        <w:t>kwietnia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13217B73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347B03">
        <w:rPr>
          <w:szCs w:val="24"/>
        </w:rPr>
        <w:t>30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52AFE350" w14:textId="5A3528A3" w:rsidR="00347B03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347B03">
        <w:rPr>
          <w:szCs w:val="24"/>
        </w:rPr>
        <w:t>24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082376">
        <w:rPr>
          <w:szCs w:val="24"/>
        </w:rPr>
        <w:t>4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347B03">
        <w:rPr>
          <w:szCs w:val="24"/>
        </w:rPr>
        <w:t>30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347B03">
        <w:rPr>
          <w:rFonts w:eastAsia="Calibri"/>
          <w:szCs w:val="24"/>
        </w:rPr>
        <w:t xml:space="preserve"> </w:t>
      </w:r>
      <w:r w:rsidR="00347B03" w:rsidRPr="00CE3C2C">
        <w:rPr>
          <w:szCs w:val="24"/>
        </w:rPr>
        <w:t>budynku inwentarskiego - obory o obsadzie do 120 DJP wraz z budową podrusztowego zbiornika na gnojowicę oraz budową zbiornika na ścieki socjalne</w:t>
      </w:r>
      <w:r w:rsidR="00347B03" w:rsidRPr="00CE3C2C">
        <w:rPr>
          <w:szCs w:val="24"/>
          <w:vertAlign w:val="superscript"/>
        </w:rPr>
        <w:t xml:space="preserve"> </w:t>
      </w:r>
      <w:r w:rsidR="00347B03" w:rsidRPr="00CE3C2C">
        <w:rPr>
          <w:spacing w:val="-3"/>
          <w:szCs w:val="24"/>
        </w:rPr>
        <w:t xml:space="preserve">(po realizacji inwestycji </w:t>
      </w:r>
      <w:r w:rsidR="00347B03" w:rsidRPr="00CE3C2C">
        <w:rPr>
          <w:szCs w:val="24"/>
        </w:rPr>
        <w:t>docelowa obsada w gospodarstwie wyniesie max. 188,0 DJP) w zabudowie zagrodowej w gospodarstwie rolnym na działce o numerze 206/2 oraz na części działki o numerze 205/1 położonej w obrębie ewidencyjnym Cieciorki, gmina Zambrów</w:t>
      </w:r>
      <w:r w:rsidR="00347B03">
        <w:rPr>
          <w:szCs w:val="24"/>
        </w:rPr>
        <w:t>.</w:t>
      </w:r>
    </w:p>
    <w:p w14:paraId="2894DF94" w14:textId="7798C19F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>:</w:t>
      </w:r>
      <w:r w:rsidR="00C94870" w:rsidRPr="00531E4C">
        <w:rPr>
          <w:szCs w:val="24"/>
        </w:rPr>
        <w:t xml:space="preserve"> </w:t>
      </w:r>
      <w:r w:rsidR="00347B03" w:rsidRPr="00CE3C2C">
        <w:rPr>
          <w:szCs w:val="24"/>
        </w:rPr>
        <w:t>Pana Andrzeja Saniewskiego</w:t>
      </w:r>
      <w:r w:rsidR="00531E4C">
        <w:rPr>
          <w:szCs w:val="24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027E1"/>
    <w:rsid w:val="00216E0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47B03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A5942"/>
    <w:rsid w:val="004D5287"/>
    <w:rsid w:val="004E357C"/>
    <w:rsid w:val="004E647C"/>
    <w:rsid w:val="00513359"/>
    <w:rsid w:val="0051487A"/>
    <w:rsid w:val="00516CD4"/>
    <w:rsid w:val="00531E4C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31D45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8B7D24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2</cp:revision>
  <cp:lastPrinted>2023-04-26T08:08:00Z</cp:lastPrinted>
  <dcterms:created xsi:type="dcterms:W3CDTF">2023-04-26T08:12:00Z</dcterms:created>
  <dcterms:modified xsi:type="dcterms:W3CDTF">2023-04-26T08:12:00Z</dcterms:modified>
</cp:coreProperties>
</file>