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152/IX/19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wysokości stawek podatku od nieruchomości.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147/XXII/16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wysokości stawek podatku od nieruchomości (Dz. 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4514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2274)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</w:t>
      </w:r>
    </w:p>
    <w:p w:rsidR="00A77B3E">
      <w:pPr>
        <w:keepNext w:val="0"/>
        <w:keepLines w:val="0"/>
        <w:spacing w:before="240" w:after="240" w:line="240" w:lineRule="auto"/>
        <w:ind w:left="907" w:right="0" w:hanging="31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budowli 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ich wartości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3-7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2C626EFC-278B-4000-BC18-F97407F3B067.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152/IX/19 z dnia 28 listopada 2019 r.</dc:title>
  <dc:subject>zmieniająca uchwałę w^sprawie określenia wysokości stawek podatku od nieruchomości.</dc:subject>
  <dc:creator>BogdanPac</dc:creator>
  <cp:lastModifiedBy>BogdanPac</cp:lastModifiedBy>
  <cp:revision>1</cp:revision>
  <dcterms:created xsi:type="dcterms:W3CDTF">2019-11-29T08:00:07Z</dcterms:created>
  <dcterms:modified xsi:type="dcterms:W3CDTF">2019-11-29T08:00:07Z</dcterms:modified>
  <cp:category>Akt prawny</cp:category>
</cp:coreProperties>
</file>