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8/VIII/18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wywoławczej nieruchomości w trzecim przetargu.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trzecim przetargu cenę wywoławczą nieruchomości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gminnego zasobu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97"/>
        <w:gridCol w:w="961"/>
        <w:gridCol w:w="1562"/>
        <w:gridCol w:w="2523"/>
        <w:gridCol w:w="2027"/>
        <w:gridCol w:w="1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Obręb geodezyjny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KW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Cena nieruchomości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67/19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powierzchnia 0,9188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Działki nr 67/19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67/23 będą sprzedawane łącznie. 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137.820,00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LM1Z/00032760/9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53.040,00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53.025,00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53.025,00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53.025,00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1,3941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209.115,00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CFAB2482-63F7-4869-BB3E-60E8D13F87A2.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8/VIII/18 z dnia 21 grudnia 2018 r.</dc:title>
  <dc:subject>w sprawie ustalenia ceny wywoławczej nieruchomości w^trzecim przetargu.</dc:subject>
  <dc:creator>BogdanPac</dc:creator>
  <cp:lastModifiedBy>BogdanPac</cp:lastModifiedBy>
  <cp:revision>1</cp:revision>
  <dcterms:created xsi:type="dcterms:W3CDTF">2018-12-24T09:44:01Z</dcterms:created>
  <dcterms:modified xsi:type="dcterms:W3CDTF">2018-12-24T09:44:01Z</dcterms:modified>
  <cp:category>Akt prawny</cp:category>
</cp:coreProperties>
</file>