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0F7C">
      <w:pPr>
        <w:jc w:val="center"/>
        <w:rPr>
          <w:b/>
          <w:caps/>
        </w:rPr>
      </w:pPr>
      <w:r>
        <w:rPr>
          <w:b/>
          <w:caps/>
        </w:rPr>
        <w:t>Uchwała Nr 60/II/18</w:t>
      </w:r>
      <w:r>
        <w:rPr>
          <w:b/>
          <w:caps/>
        </w:rPr>
        <w:br/>
        <w:t>Rady Gminy Zambrów</w:t>
      </w:r>
    </w:p>
    <w:p w:rsidR="00A77B3E" w:rsidRDefault="00A70F7C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70F7C">
      <w:pPr>
        <w:keepNext/>
        <w:spacing w:after="480"/>
        <w:jc w:val="center"/>
      </w:pPr>
      <w:r>
        <w:rPr>
          <w:b/>
        </w:rPr>
        <w:t>w sprawie nadania Statutu Sołectwu Stary Laskowiec.</w:t>
      </w:r>
    </w:p>
    <w:p w:rsidR="00A77B3E" w:rsidRDefault="00A70F7C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Stary Laskowiec, Rada Gminy Zambrów uchwala, co następuje: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Stary Laskowiec, w brzmieniu ustalonym</w:t>
      </w:r>
      <w:r>
        <w:t xml:space="preserve"> w załączniku do niniejszej uchwały.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98478A" w:rsidRDefault="0098478A">
      <w:pPr>
        <w:keepLines/>
        <w:spacing w:before="120" w:after="120"/>
        <w:ind w:firstLine="340"/>
        <w:rPr>
          <w:color w:val="000000"/>
          <w:u w:color="000000"/>
        </w:rPr>
        <w:sectPr w:rsidR="0098478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70F7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60/II/18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70F7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Stary Laskowiec</w:t>
      </w:r>
    </w:p>
    <w:p w:rsidR="00A77B3E" w:rsidRDefault="00A70F7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Stary Laskowiec stanowi sołectwo, którego nazwa brzmi: Sołectwo Stary Laskowiec.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 Stare Stary Laskowiec obejmuje obręb geodezyjny miejscowości  Stary Laskowiec.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Stary Laskowiec jest jednostką pomocniczą Gminy Zambrów. Mieszkańcy Sołectwa wspólnie z mieszkańcami inny</w:t>
      </w:r>
      <w:r>
        <w:rPr>
          <w:color w:val="000000"/>
          <w:u w:color="000000"/>
        </w:rPr>
        <w:t xml:space="preserve">ch sołectw tworzą wspólnotę samorządową Gminy Zambrów.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70F7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A70F7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A70F7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70F7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70F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A70F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A70F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70F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7C" w:rsidRDefault="00A70F7C">
      <w:r>
        <w:separator/>
      </w:r>
    </w:p>
  </w:endnote>
  <w:endnote w:type="continuationSeparator" w:id="0">
    <w:p w:rsidR="00A70F7C" w:rsidRDefault="00A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473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731" w:rsidRDefault="00A70F7C">
          <w:pPr>
            <w:jc w:val="left"/>
            <w:rPr>
              <w:sz w:val="18"/>
            </w:rPr>
          </w:pPr>
          <w:r>
            <w:rPr>
              <w:sz w:val="18"/>
            </w:rPr>
            <w:t>Id: 4414C236-2D22-4D20-BE2F-F03FC5CC522A.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731" w:rsidRDefault="00A70F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478A">
            <w:rPr>
              <w:sz w:val="18"/>
            </w:rPr>
            <w:fldChar w:fldCharType="separate"/>
          </w:r>
          <w:r w:rsidR="009847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4731" w:rsidRDefault="00F7473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473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731" w:rsidRDefault="00A70F7C">
          <w:pPr>
            <w:jc w:val="left"/>
            <w:rPr>
              <w:sz w:val="18"/>
            </w:rPr>
          </w:pPr>
          <w:r>
            <w:rPr>
              <w:sz w:val="18"/>
            </w:rPr>
            <w:t>Id: 4414C236-2D22-4D20-BE2F-F03FC5CC522A.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731" w:rsidRDefault="00A70F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478A">
            <w:rPr>
              <w:sz w:val="18"/>
            </w:rPr>
            <w:fldChar w:fldCharType="separate"/>
          </w:r>
          <w:r w:rsidR="009847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4731" w:rsidRDefault="00F747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7C" w:rsidRDefault="00A70F7C">
      <w:r>
        <w:separator/>
      </w:r>
    </w:p>
  </w:footnote>
  <w:footnote w:type="continuationSeparator" w:id="0">
    <w:p w:rsidR="00A70F7C" w:rsidRDefault="00A7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4731"/>
    <w:rsid w:val="0098478A"/>
    <w:rsid w:val="00A70F7C"/>
    <w:rsid w:val="00F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84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3383</Words>
  <Characters>20302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60/II/18 z dnia 4 grudnia 2018 r.</vt:lpstr>
      <vt:lpstr/>
    </vt:vector>
  </TitlesOfParts>
  <Company>Rada Gminy Zambrów</Company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60/II/18 z dnia 4 grudnia 2018 r.</dc:title>
  <dc:subject>w sprawie nadania Statutu Sołectwu Stary Laskowiec.</dc:subject>
  <dc:creator>BogdanPac</dc:creator>
  <cp:lastModifiedBy>Bogdan Pac</cp:lastModifiedBy>
  <cp:revision>3</cp:revision>
  <cp:lastPrinted>2018-12-06T12:03:00Z</cp:lastPrinted>
  <dcterms:created xsi:type="dcterms:W3CDTF">2018-12-06T13:03:00Z</dcterms:created>
  <dcterms:modified xsi:type="dcterms:W3CDTF">2018-12-06T12:03:00Z</dcterms:modified>
  <cp:category>Akt prawny</cp:category>
</cp:coreProperties>
</file>