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9/II/18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przyznawania i wysokości diet radnych Rady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Radnym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wykonywania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pracą 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Komisji Rady przysługuje zryczałtowana miesięczna dieta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miesięczny ryczałt dla: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Wiceprzewodniczących 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Przewodniczących Komisji 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rozpoczęcia kadencji 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miesiąca, nowo wybranym radnym Przewodniczącemu, Wiceprzewodniczącym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Komisji Rady przysługuje dieta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proporcjonalnej za dany miesiąc. Zasada ma zastosowanie także do zakończenia kadencji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komisji Rady winno być potwierdzone na liście  obecności.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potrącenia: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30% przysługującej miesięcznej diety za nieobecność na każdej sesji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20% przysługującej miesięcznej diety za każdą nieobecność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na posiedzeniu Komisji Rady, której radny jest członkiem.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suma potrąceń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przekroczy 50%, diety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pełnienia przez radnego kilku funkcji, radnemu przysługuje dieta przewidziana dla funkcji, dla której ustalono najwyższą dietę.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Okresem rozliczeniowym do ustalania wysokości należnej diety jest miesiąc kalendarzowy.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Zryczałtowaną dietę wypłaca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następnego miesiąca na wskazane przez radnego konto.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86/XV/08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diet radnych Rady Gminy Zambrów, zmieniona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97/XIII/12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DF9239A7-2424-4EB4-99C6-0BC879E8310D.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9/II/18 z dnia 4 grudnia 2018 r.</dc:title>
  <dc:subject>w sprawie zasad przyznawania i^wysokości diet radnych Rady Gminy Zambrów.</dc:subject>
  <dc:creator>BogdanPac</dc:creator>
  <cp:lastModifiedBy>BogdanPac</cp:lastModifiedBy>
  <cp:revision>1</cp:revision>
  <dcterms:created xsi:type="dcterms:W3CDTF">2018-12-05T09:08:25Z</dcterms:created>
  <dcterms:modified xsi:type="dcterms:W3CDTF">2018-12-05T09:08:25Z</dcterms:modified>
  <cp:category>Akt prawny</cp:category>
</cp:coreProperties>
</file>