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307/XLI/18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miejscowego planu zagospodarowania przestrzennego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Gminy Zambrów części obrębu geodezyjnego Czerwony Bór.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1945) oraz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234/XXXIII/17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przystąpienia do sporządzenia miejscowego planu zagospodarowania przestrzennego Gminy Zambrów części obrębu geodezyjnego Czerwony Bór, Rada Gminy Zambrów uchwala, co następuje: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Ustalenia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Stwierdza się, że niniejszy miejscowy plan zagospodarowania przestrzennego Gminy Zambrów części obrębu geodezyjnego Czerwony Bór,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narusza ustaleń „Zmiany studium uwarunkowań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kierunków zagospodarowania przestrzennego Gminy Zambrów” przyjętej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144/XXII/16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Miejscowy plan zagospodarowania przestrzennego Gminy Zambrów części obrębu geodezyjnego Czerwony Bór, zwany dalej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obejmuje obszar przedstawiony na rysunku planu,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234/XXXIII/17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przystąpienia do sporządzenia miejscowego planu zagospodarowania przestrzennego Gminy Zambrów części obrębu geodezyjnego Czerwony Bór.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do uchwały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rysunek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skali 1:1000, będący integralną częścią uchwały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uwag do projektu miejscowego planu zagospodarowania przestrzennego, stanowiące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realizacji, zapisanych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planie zagospodarowania przestrzennego, inwestycji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technicznej, które należą do zadań własnych gminy oraz zasadach ich finansowania,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stanowiące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niniejszej uchwały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ustawie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elewacji eksponowanej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zewnętrzną powierzchnię ściany budynku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wszystkimi znajdującymi się na niej elementami, zwróconą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kierunku drogi publicznej;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infrastrukturze technicznej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urządzenia infrastruktury technicznej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liczbie kondygnacji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maksymalną liczbę kondygnacji nadziemnych budynku;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obiekcie małej architektury sakralnej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obiekt małej architektury związany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kultem religijnym;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nieprzekraczalnej linii zabudowy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linię wyznaczoną na rysunku planu, określającą najbliższe możliwe położenie ściany budynku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granicy działki, dopuszcza się przekroczenie tej linii przez takie elementy jak: balkony, tarasy, wykusze, schody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ganki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spowoduje to zbliżenia tych elementów do krawędzi jezdni drogi krajowej na odległość mniejszą niż 25m;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przepisach odrębnych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przepisy ustaw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aktami wykonawczymi, rozporządzenia Wojewody oraz uchwały Sejmiku Województwa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Gminy Zambrów;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przeznaczeniu podstawowym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przeznaczenie terenu, które dominuje na danym terenie;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strefie technicznej od linii elektroenergetycznych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obszar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bezpośrednim sąsiedztwie linii elektroenergetycznej oznaczony na rysunku planu, dla którego obowiązują ograniczenia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terenu,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strefie ochronnej terenu zamkniętego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strefę ochronną terenu zamkniętego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decyzją nr 386/MON Ministra Obrony Narodowej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resorcie obrony narodowej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planowania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zagospodarowania przestrzennego;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terenie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obszar, wyznaczony liniami rozgraniczającymi oraz określony symbolem;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usługach nieuciążliwych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usługi,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zaliczają się do przedsięwzięć mogących zawsze znacząco oddziaływać na środowisko,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odrębnych;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usługach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działalność, prowadzoną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obiektach lub lokalach użytkowych, której celem jest zaspokojenie potrzeb ludności,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wytwarzanie bezpośrednio metodami przemysłowymi dóbr materialnych;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zieleni izolacyjnej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pas zwartej zieleni wielopiętrowej,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przestrzeni zaplanowanej jako wjazdy lub wejścia na teren, tworzący barierę wizualną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akustyczną.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 oznaczenia graficzne na rysunku planu są obowiązującymi ustaleniami planu: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 obszaru objętego planem;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linie rozgraniczające tereny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różnym przeznaczeniu lub różnych zasadach zagospodarowania;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nieprzekraczalne linie zabudowy;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wybranych miejscach wymiary (w metrach); odległości usytuowania linii zabudowy od linii rozgraniczającej tereny, szerokości terenów dróg;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obiekty wpisane do gminnej ewidencji zabytków;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strefa techniczna od linii elektroenergetycznych;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strefa ochronna terenu zamkniętego;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obiekty małej architektury sakralnej;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przeznaczenia terenów.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 oznaczenie graficzne przedstawione na rysunku planu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odrębnych: granica zasięgu Głównego Zbiornika Wód Podziemnych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Subniecka Warszawska.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oznaczenia graficzne przedstawione na rysunku planu są informacyjnymi oznaczeniami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przeznaczenia terenów: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zabudowy mieszkaniowej niskiej intensywności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usługami, oznaczony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tereny zabudowy produkcyjnej, składów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magazynów oraz usług, oznaczone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teren drogi publicznej klasy głównej, oznaczony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teren drogi publicznej klasy dojazdowej, oznaczony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terenów, dla których określono więcej niż jedno przeznaczenie terenu dopuszcza się realizację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dowolnych proporcjach, tj. samodzielnie lub łącznie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terenu,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jednej działki, jednego obiektu budowlanego.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ochrony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kształtowania ładu przestrzennego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kształtowania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ustalonymi na rysunku planu liniami zabudowy;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obszarze objętym planem, dopuszcza się lokalizację budynków gospodarczych, magazynowych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garażowych na granicy działki,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zapisów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urządzeń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budowli infrastruktury technicznej, możliwość lokalizowania ich na wszystkich terenach,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poza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liniami zabudowy –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narusza to przepisów odrębnych;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skablowanie napowietrznych linii elektroenergetycznych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telekomunikacyjnych.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ochrony środowiska, przyrody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krajobrazu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stosowania rozwiązań mających na celu minimalizację uciążliwości spowodowanych prowadzeniem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ochrony powietrza atmosferycznego, gleb, wód gruntowych oraz klimatu akustycznego;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oznaczonego symbolem 1MU, ustala się standardy akustyczne jak dla terenów mieszkaniowo-usługowych,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zakładów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zwiększonym lub dużym ryzyku wystąpienia poważnych awarii;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składowania odpadów,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złomu, za wyjątkiem magazynowania tymczasowego,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 oraz gminnymi przepisami porządkowymi;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ograniczenia uciążliwości powodowanych działalnością do granic działki budowlanej;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obszaru objętego planem, położonego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Głównego Zbiornika Wód Podziemnych nr 215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Subniecka Warszawska obowiązuje zakaz: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wysypywania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wylewania nieczystości do wód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gruntu,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inwestycji mogących pogorszyć stan środowiska wodnego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inwestycji, dla których zastosowane zostaną skuteczne rozwiązania zabezpieczające przed taką możliwością,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kształtowania krajobrazu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 realizację oświetlenia,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małej architektury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poszczególnych ulic formy, gabaryty, kolorystykę.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ochrony dziedzictwa kulturowego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zabytków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krajobrazów kulturowych oraz dóbr kultury współczesnej: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ochronę obiektów ujętych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ewidencji zabytków: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budynek kolejowy, ob. budynek mieszkalny, Czerwony Bór nr 1.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budynek kolejowy, ob. budynek mieszkalny, Czerwony Bór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ochrony dotyczy ukształtowania bryły (gabarytów, rozczłonkowania bryły, geometrii dachu), opracowania elewacji (w tym podziałów pionowych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poziomych, formy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układu otworów, detali architektonicznych), wykończenia ścian zewnętrznych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pokrycia dachu;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obiektów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wskazanych na rysunku planu, ustala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zachowania gabarytów budynku,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zachowania kształtu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rodzaju pokrycia dachu,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lit. 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budynku,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 dopuszcza się stosowanie blachy dachówkowej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kolorze ceglastym,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budynku,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stosowanie blachy gładkiej tytanowo cynkowej łączonej na rąbek stojący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naturalnym kolorze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blach powlekanych gładkich na rąbek stojący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kolorze szarym lub grafitowym,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zachowania kompozycji elewacji,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podziałów pionowych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poziomych, typu detali, rytmu, układu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otworów, formy stolarki okiennej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drzwiowej,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lit. f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budynku,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b, nakaz zachowania okien dwuskrzydłowych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kolorze białym,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budynku,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zachowania okien dwuskrzydłowych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nadślemieniem,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budynku,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a, nakaz zachowania ceglanej elewacji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kamiennym cokołem.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nakaz zachowania obiektów małej architektury sakralnej, przy jednoczesnej możliwości zmiany ich lokalizacji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dalej niż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od obecnego usytuowania.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wymagań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potrzeb kształtowania przestrzeni publicznych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tereny oznaczone symbolem 1KDD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1KDG wyznacza się jako tereny pod lokalizację inwestycji celu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obowiązek uwzględnienia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budowy lub przebudowy układu drogowego rozwiązań przystosowanych do korzystania przez osoby niepełnosprawne.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sposobów zagospodarowania terenów lub obiektów podlegających ochronie, ustalonych na podstawie przepisów odrębnych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dla obszaru położonego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zasięgu Głównego Zbiornika Wód Podziemnych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Subniecka Warszawska obowiązują przepisy odrębne oraz zapisy 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szczegółowych zasad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scalania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podziału nieruchomości,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powierzchnię nowo wydzielonych działek oraz ich szerokość frontu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mniejszą niż: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1200m²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frontu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dla zabudowy mieszkaniowej,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1500 m²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frontu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dla zabudowy mieszkaniowo - usługowej,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2000 m²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frontu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dla zabudowy produkcyjnej, składów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magazynów oraz usług,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 m szerokość frontu dla działek zlokalizowanych przy placu do zawracania;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podziale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ustala się zasadę podziału, prostopadle oraz równolegle do ulicy, od której znajduje się front działki,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odstępstwa: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10°,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lokalizacji frontu działki przy placu do zawracania,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d,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warunki terenowe lub istniejący podział uniemożliwiają prowadzenie podziałów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przyjętą zasadą;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 podziałów 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procedurę inną niż scalanie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 wydzieleń pod drogi,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obiekty infrastruktury technicznej;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planie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obszarów objętych procedurą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szczególnych warunków zagospodarowania terenów lub ograniczenia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użytkowaniu,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 zakazu zabudowy,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strefy techniczne od linii elektroenergetycznych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szerokości po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od osi linii elektroenergetycznej wysokiego napięcia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szerokości po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od osi linii elektroenergetycznej średniego napięcia;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stref technicznych od linii elektroenergetycznych: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zabudowy kubaturowej,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sadzenia roślinności wysokiej,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wycinki lub podcinki istniejącej roślinności wysokiej –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strefę ochronną terenu zamkniętego zlokalizowaną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niż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od granicy terenu zamkniętego,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na 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strefy ochronnej terenu zamkniętego: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mogących zagrażać bezpieczeństwu ruchu kolejowego,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budynków,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sadzenia roślinności wysokiej.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 ochronnych terenów pod budowę urządzeń, wytwarzających energię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odnawialnych źródeł energii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mocy przekraczającej 100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dla elektrowni fotowoltaicznych dopuszczonych na terenach PU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strefę ochronną od elektrowni fotowoltaicznych, która zawiera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terenów oznaczonych symbolem PU;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obszarze strefy,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zakaz lokalizacji mieszkań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mieszkalnych.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modernizacji, rozbudowy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systemów komunikacji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infrastruktury technicznej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sieci infrastruktury technicznej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liniach rozgraniczających dróg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odstępstwa od tej zasady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warunki techniczne uniemożliwiają takie prowadzenie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przyłączy;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energię elektroenergetyczną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budowę, przebudowę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rozbudowę sieci elektroenergetycznych,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lokalizację stacji transformatorowych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zapewnionym dostępem do drogi publicznej na terenach oznaczonych symbolem PU;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usług telekomunikacyjnych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sieć teletechniczną: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istniejącej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projektowanych sieci telekomunikacyjnej,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przebudowę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rozbudowę istniejących linii napowietrznych oraz ich wymianę na sieć kablową,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obszarze objętym planem dopuszcza się lokalizację inwestycji celu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łączności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odrębnych;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budowę, przebudowę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rozbudowę sieci gazowej,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lokalizowanie zbiorników na gaz do celów grzewczych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technologicznych,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niż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litrów;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ciepło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ciepło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cieplnej,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ciepło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kolektorów słonecznych oraz innych alternatywnych źródeł ciepła lub indywidualnych kotłowni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sprawności energetycznej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 75%;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budowę, przebudowę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rozbudowę sieci wodociągowej,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indywidualnych ujęć wody wyłącznie do czasu rozbudowy gminnej sieci wodociągowej,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niezależnie od zasilania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wodociągowej należy przewidzieć na wypadek awarii, zapewnienie ciągłości dostaw wody pitnej ze źródeł zastępczych dla ludności cywilnej oraz wody do celów przeciwpożarowych,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realizację hydrantów przeciwpożarowych na wszystkich terenach;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odprowadzania ścieków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odprowadzanie ścieków do oczyszczalni ścieków poprzez zbiorczą rozdzielczą sieć kanalizacji sanitarnej,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budowę, przebudowę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rozbudowę rozdzielczej sieci kanalizacji sanitarnej,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odprowadzenie ścieków do przydomowych lub przyzakładowych oczyszczalni ścieków,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odprowadzanie ścieków do szczelnych szamb,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ścieków, które mogą wpływać negatywnie na stan sieci kanalizacyjnej należy je podczyścić przed odprowadzeniem do zbiorczej sieci kanalizacyjnej,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przepisów odrębnych;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odprowadzania wód opadowych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budowę, przebudowę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rozbudowę sieci kanalizacji deszczowej,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odprowadzania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 do sieci kanalizacji deszczowej,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lit. 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kanalizacji deszczowej, dopuszcza się odprowadzanie niezanieczyszczonych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 do gruntu na własnej działce,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gromadzenie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zbiornikach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 ich do celów gospodarczych,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odprowadzania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 do sieci kanalizacji sanitarnej;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gospodarowania odpadami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usuwanie ich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przyjętymi na terenie gminy,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gospodarkę odpadami innymi niż komunalne,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 odpadami przemysłowymi, niebezpiecznymi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niż niebezpieczne, nakazuje się prowadzić staraniem wytwórcy odpadów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przepisów odrębnych.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systemu komunikacji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 układ drogowy stanowią drogi publiczne oznaczone symbolem 1KDD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1KDG, powiązana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drogami zlokalizowanymi poza granicami obszaru objętego planem;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zapewnienia miejsc postojowych dla samochodów, na własnej działce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terenu, na którym lokalizowana jest nowa inwestycja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mniejszej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postojowe na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 usług zlokalizowanych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zabudowie mieszkaniowo – usługowej lub usługowej,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mniejszej niż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postojowe na budynek mieszkalny jednorodzinny lub mieszkanie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zabudowie mieszkaniowo – usługowej,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mniejszej niż średnio 1,5 miejsca postojowego na mieszkanie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zabudowie mieszkaniowej wielorodzinnej,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mniejszej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postojowe na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zabudowie produkcyjnej, składów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magazynów oraz usług,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mniejszej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postojowe na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 usług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łączenia funkcji,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miejsca postojowe sumują się;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obowiązek realizacji, co najmniej jednego miejsca postojowego dla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 na każde rozpoczęte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 postojowych dla terenów,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a, c, d, 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obowiązek zapewnienia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terenach dróg, miejsc postojowych przeznaczonych na parkowanie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terminu tymczasowego zagospodarowania, urządzania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użytkowania terenów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 do czasu docelowego zagospodarowania terenów,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planie, dopuszczenie utrzymania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remontów istniejącego zagospodarowania zrealizowanego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wydane pozwolenia.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planie obowiązują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procentowe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na podstawie których ustala się opłatę,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1% dla terenu: KDG, KDD;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30% dla terenów: MU, PU.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szczegółowe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terenu oznaczonego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1MU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przeznaczenie: teren zabudowy mieszkaniowej niskiej intensywności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ustala się przeznaczenia podstawowe: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mieszkaniowa wielorodzinna niskiej intensywności – do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mieszkalnych;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mieszkaniowa jednorodzinna;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usługowa nieuciążliwa.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łącznie lub samodzielnie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jednej działki budowlanej.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dopuszcza się realizację: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garaży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zabudowy gospodarczej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 postojowych, parkingów;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 zabaw;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zieleni urządzonej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rekreacyjną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małą architekturą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niż 3,5 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dojazdów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minimalnej szerokości 5m;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ciągów pieszych, rowerowych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utwardzonych placów.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zasad kształtowania zabudowy oraz wskaźników zagospodarowania terenu,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większą niż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kondygnacji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większą niż 3,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poddaszem użytkowym;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powierzchnię zabudowy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większą niż 30% powierzchni działki budowlanej;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wskaźniki intensywności zabudowy: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minimalny - 0,01,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maksymalny – 0,9;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powierzchnię biologicznie czynną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mniejszą niż 50% powierzchni działki budowlanej;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dachy dwu lub wielospadowe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nachyleniu połaci od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45º;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odcieniach czerwieni lub szarości kryte dachówką lub materiałem dachówkopodobnym;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kształtowania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ustalonymi liniami zabudowy.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obiektów wpisanych do gminnej ewidencji zabytków obowiązują jako nadrzędne odpowiednie ustalenia §9.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obowiązek obsługi komunikacyjnej terenu,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1KDD bezpośrednio lub pośrednio poprzez dojazdy.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terenów oznaczonych na rysunku planu symbolami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1PU – 3PU,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przeznaczenie: tereny zabudowy produkcyjnej, składów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magazynów oraz usług.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ustala się przeznaczenia podstawowe: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produkcyjna, składowa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magazynowa;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handlu hurtowego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detalicznego;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usługowa.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łącznie lub samodzielnie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jednej działki budowlanej.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dopuszcza się realizację: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garaży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zabudowy gospodarczej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 postojowych, parkingów;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dojazdów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minimalnej szerokości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bocznicy kolejowej;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zieleni izolacyjnej;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elektrowni fotowoltaicznych.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zasad kształtowania zabudowy oraz wskaźników zagospodarowania terenów,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większą niż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budowli technologicznych,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większą niż 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kondygnacji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większą niż 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powierzchnię zabudowy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większą niż 60% powierzchni działki budowlanej;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wskaźniki intensywności zabudowy: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minimalny - 0,01,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maksymalny – 1,8; powierzchnię biologicznie czynną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mniejszą niż 20% powierzchni działki budowlanej;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dachy płaskie, jedno, dwu lub wielospadowe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kącie nachylenia połaci do 45° oraz dachy łukowe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kopulaste;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kształtowania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ustalonymi liniami zabudowy.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ustala się obowiązek obsługi komunikacyjnej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1KDD.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nakaz wprowadzenia zieleni izolacyjnej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szerokości min.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od sąsiadującego terenu oznaczonego symbolem 1MU.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terenu oznaczonego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1KDG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 przeznaczenie podstawowe: teren drogi publicznej klasy głównej.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ustala się lokalizację drogi publicznej klasy głównej,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liniach rozgraniczających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rysunkiem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linii rozgraniczających drogę, dopuszcza się lokalizację jezdni, chodników, ścieżki rowerowej, zieleni przydrożnej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oznakowań służących regulacji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zapewnieniu bezpieczeństwa ruchu drogowego.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dopuszcza się realizację infrastruktury technicznej, której lokalizacja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wpłynie na ograniczenie widoczności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na drodze.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terenu oznaczonego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1KDD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 przeznaczenie podstawowe: teren drogi publicznej klasy dojazdowej.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ustala się lokalizację drogi publicznej klasy dojazdowej,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szerokościach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liniach rozgraniczających, od 11m do 38,8 m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rysunkiem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linii rozgraniczających drogę, dopuszcza się lokalizację jezdni, chodników, ścieżki rowerowej, zieleni przydrożnej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oznakowań służących regulacji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zapewnieniu bezpieczeństwa ruchu drogowego.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dopuszcza się realizację infrastruktury technicznej, której lokalizacja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wpłynie na ograniczenie widoczności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na drodze.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307/XLI/18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Rysunek planu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9467850" cy="3314700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673289" name=""/>
                    <pic:cNvPicPr/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307/XLI/18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rozpatrzenia uwag do projektu miejscowego planu zagospodarowania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przestrzennego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Rada Gminy Zambrów rozstrzyga,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projekt miejscowego planu zagospodarowania przestrzennego Gminy Zambrów części obrębu geodezyjnego Czerwony Bór do sporządzenia, którego przystąpiono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234/XXXIII/17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wyłożony został do publicznego wglądu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dniach od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do 11września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terminem określonym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termin składania uwag upłynął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 do projektu miejscowego planu zagospodarowania przestrzennego Gminy Zambrów części obrębu geodezyjnego Czerwony Bór,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wniesiono uwag.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307/XLI/18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realizacji, zapisanych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planie zagospodarowania przestrzennego, inwestycji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technicznej, które należą do zadań własnych gminy oraz zasadach ich finansowania, 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Rada Gminy Zambrów rozstrzyga,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obszarze objętym miejscowym planem zagospodarowania przestrzennego Gminy Zambrów części obrębu geodezyjnego Czerwony Bór przewiduje się następujące inwestycje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technicznej, komunikacji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inżynierii, które należą do zadań własnych gminy: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modernizacja, przebudowa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dróg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budowa, modernizacja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sieci wodociągowej, kanalizacji sanitarnej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deszczowej oraz oświetlenia.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inwestycji,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wieloletniego planu inwestycji.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 inwestycje mogą być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 własnych gminy lub przy wykorzystaniu dotacji, mających na celu finansowe wsparcie realizacji inwestycji.</w:t>
      </w:r>
    </w:p>
    <w:sectPr>
      <w:footerReference w:type="default" r:id="rId9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44DCE6F3-1ECE-46D9-A1F8-6C71E39F2813.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44DCE6F3-1ECE-46D9-A1F8-6C71E39F2813. Podpisany</w:t>
          </w:r>
        </w:p>
      </w:tc>
      <w:tc>
        <w:tcPr>
          <w:tcW w:w="50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44DCE6F3-1ECE-46D9-A1F8-6C71E39F2813.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44DCE6F3-1ECE-46D9-A1F8-6C71E39F2813.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3EE6C373-CD2F-48E3-9FA6-279FBF970844.png" TargetMode="Externa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307/XLI/18 z dnia 12 października 2018 r.</dc:title>
  <dc:subject>w sprawie uchwalenia miejscowego planu zagospodarowania przestrzennego
Gminy Zambrów części obrębu geodezyjnego Czerwony Bór.</dc:subject>
  <dc:creator>BogdanPac</dc:creator>
  <cp:lastModifiedBy>BogdanPac</cp:lastModifiedBy>
  <cp:revision>1</cp:revision>
  <dcterms:created xsi:type="dcterms:W3CDTF">2018-10-16T11:56:37Z</dcterms:created>
  <dcterms:modified xsi:type="dcterms:W3CDTF">2018-10-16T11:56:37Z</dcterms:modified>
  <cp:category>Akt prawny</cp:category>
</cp:coreProperties>
</file>