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5110"/>
        <w:gridCol w:w="4100"/>
      </w:tblGrid>
      <w:tr w:rsidR="00BC4F80" w:rsidRPr="00C40C61" w:rsidTr="00491D70">
        <w:tc>
          <w:tcPr>
            <w:tcW w:w="5110" w:type="dxa"/>
          </w:tcPr>
          <w:p w:rsidR="00BC4F80" w:rsidRDefault="00BC4F80" w:rsidP="00491D70">
            <w:pPr>
              <w:jc w:val="center"/>
              <w:rPr>
                <w:sz w:val="22"/>
                <w:szCs w:val="22"/>
              </w:rPr>
            </w:pPr>
            <w:r>
              <w:rPr>
                <w:b/>
                <w:noProof/>
                <w:sz w:val="22"/>
                <w:szCs w:val="22"/>
              </w:rPr>
              <w:drawing>
                <wp:inline distT="0" distB="0" distL="0" distR="0">
                  <wp:extent cx="390525" cy="4286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p>
        </w:tc>
        <w:tc>
          <w:tcPr>
            <w:tcW w:w="4100" w:type="dxa"/>
          </w:tcPr>
          <w:p w:rsidR="00BC4F80" w:rsidRPr="00C40C61" w:rsidRDefault="00BC4F80" w:rsidP="00491D70">
            <w:pPr>
              <w:rPr>
                <w:b/>
                <w:sz w:val="22"/>
                <w:szCs w:val="22"/>
              </w:rPr>
            </w:pPr>
            <w:r>
              <w:rPr>
                <w:sz w:val="22"/>
                <w:szCs w:val="22"/>
              </w:rPr>
              <w:t xml:space="preserve">           Warszawa, dnia  </w:t>
            </w:r>
            <w:r w:rsidR="00B364C1">
              <w:rPr>
                <w:sz w:val="22"/>
                <w:szCs w:val="22"/>
              </w:rPr>
              <w:t>17</w:t>
            </w:r>
            <w:bookmarkStart w:id="0" w:name="_GoBack"/>
            <w:bookmarkEnd w:id="0"/>
            <w:r>
              <w:rPr>
                <w:sz w:val="22"/>
                <w:szCs w:val="22"/>
              </w:rPr>
              <w:t xml:space="preserve">  marca 2015</w:t>
            </w:r>
            <w:r w:rsidRPr="00764061">
              <w:rPr>
                <w:sz w:val="22"/>
                <w:szCs w:val="22"/>
              </w:rPr>
              <w:t xml:space="preserve"> r</w:t>
            </w:r>
            <w:r w:rsidRPr="00C40C61">
              <w:rPr>
                <w:b/>
                <w:sz w:val="22"/>
                <w:szCs w:val="22"/>
              </w:rPr>
              <w:t>.</w:t>
            </w:r>
          </w:p>
        </w:tc>
      </w:tr>
      <w:tr w:rsidR="00BC4F80" w:rsidTr="00491D70">
        <w:tc>
          <w:tcPr>
            <w:tcW w:w="5110" w:type="dxa"/>
          </w:tcPr>
          <w:p w:rsidR="00BC4F80" w:rsidRPr="00C40C61" w:rsidRDefault="00BC4F80" w:rsidP="00491D70">
            <w:pPr>
              <w:spacing w:line="360" w:lineRule="auto"/>
              <w:jc w:val="center"/>
              <w:rPr>
                <w:b/>
                <w:sz w:val="28"/>
                <w:szCs w:val="28"/>
              </w:rPr>
            </w:pPr>
            <w:r w:rsidRPr="00C40C61">
              <w:rPr>
                <w:b/>
                <w:sz w:val="28"/>
                <w:szCs w:val="28"/>
              </w:rPr>
              <w:t>Dyrektor Generalny</w:t>
            </w:r>
          </w:p>
          <w:p w:rsidR="00BC4F80" w:rsidRPr="00C40C61" w:rsidRDefault="00BC4F80" w:rsidP="00491D70">
            <w:pPr>
              <w:spacing w:line="360" w:lineRule="auto"/>
              <w:jc w:val="center"/>
              <w:rPr>
                <w:b/>
                <w:sz w:val="28"/>
                <w:szCs w:val="28"/>
              </w:rPr>
            </w:pPr>
            <w:r w:rsidRPr="00C40C61">
              <w:rPr>
                <w:b/>
                <w:sz w:val="28"/>
                <w:szCs w:val="28"/>
              </w:rPr>
              <w:t>Urzędu do Spraw Cudzoziemców</w:t>
            </w:r>
          </w:p>
          <w:p w:rsidR="00BC4F80" w:rsidRPr="00C40C61" w:rsidRDefault="00BC4F80" w:rsidP="00491D70">
            <w:pPr>
              <w:spacing w:line="360" w:lineRule="auto"/>
              <w:jc w:val="center"/>
              <w:rPr>
                <w:b/>
                <w:i/>
                <w:sz w:val="28"/>
                <w:szCs w:val="28"/>
              </w:rPr>
            </w:pPr>
            <w:r w:rsidRPr="00C40C61">
              <w:rPr>
                <w:b/>
                <w:i/>
                <w:sz w:val="28"/>
                <w:szCs w:val="28"/>
              </w:rPr>
              <w:t>Arkadiusz Szymański</w:t>
            </w:r>
          </w:p>
          <w:p w:rsidR="00BC4F80" w:rsidRPr="00C40C61" w:rsidRDefault="00B364C1" w:rsidP="00491D70">
            <w:pPr>
              <w:spacing w:line="360" w:lineRule="auto"/>
              <w:jc w:val="center"/>
              <w:rPr>
                <w:sz w:val="22"/>
                <w:szCs w:val="22"/>
              </w:rPr>
            </w:pPr>
            <w:r>
              <w:rPr>
                <w:sz w:val="22"/>
                <w:szCs w:val="22"/>
              </w:rPr>
              <w:t>BLiPZ -260-1293</w:t>
            </w:r>
            <w:r w:rsidR="00BC4F80">
              <w:rPr>
                <w:sz w:val="22"/>
                <w:szCs w:val="22"/>
              </w:rPr>
              <w:t>/2015/AL</w:t>
            </w:r>
          </w:p>
        </w:tc>
        <w:tc>
          <w:tcPr>
            <w:tcW w:w="4100" w:type="dxa"/>
          </w:tcPr>
          <w:p w:rsidR="00BC4F80" w:rsidRDefault="00BC4F80" w:rsidP="00491D70"/>
        </w:tc>
      </w:tr>
    </w:tbl>
    <w:p w:rsidR="00BC4F80" w:rsidRDefault="00BC4F80" w:rsidP="00BC4F80">
      <w:pPr>
        <w:pStyle w:val="Tekstpodstawowy"/>
        <w:tabs>
          <w:tab w:val="left" w:pos="5655"/>
        </w:tabs>
        <w:spacing w:after="0" w:line="360" w:lineRule="auto"/>
        <w:ind w:left="4820" w:firstLine="136"/>
      </w:pPr>
      <w:r>
        <w:t xml:space="preserve">      </w:t>
      </w:r>
    </w:p>
    <w:p w:rsidR="00BC4F80" w:rsidRDefault="00BC4F80" w:rsidP="00BC4F80">
      <w:pPr>
        <w:pStyle w:val="Tekstpodstawowy"/>
        <w:tabs>
          <w:tab w:val="left" w:pos="5655"/>
        </w:tabs>
        <w:spacing w:after="0" w:line="360" w:lineRule="auto"/>
        <w:ind w:left="4820" w:firstLine="136"/>
        <w:rPr>
          <w:b/>
        </w:rPr>
      </w:pPr>
      <w:r>
        <w:rPr>
          <w:b/>
        </w:rPr>
        <w:t>…………………………….</w:t>
      </w:r>
    </w:p>
    <w:p w:rsidR="00BC4F80" w:rsidRDefault="00BC4F80" w:rsidP="00BC4F80">
      <w:pPr>
        <w:pStyle w:val="Tekstpodstawowy"/>
        <w:tabs>
          <w:tab w:val="left" w:pos="5655"/>
        </w:tabs>
        <w:spacing w:after="0" w:line="360" w:lineRule="auto"/>
        <w:ind w:left="4820" w:firstLine="136"/>
        <w:rPr>
          <w:b/>
        </w:rPr>
      </w:pPr>
      <w:r>
        <w:rPr>
          <w:b/>
        </w:rPr>
        <w:t>…………………………….</w:t>
      </w:r>
    </w:p>
    <w:p w:rsidR="00BC4F80" w:rsidRDefault="00BC4F80" w:rsidP="00BC4F80">
      <w:pPr>
        <w:pStyle w:val="Tekstpodstawowy"/>
        <w:tabs>
          <w:tab w:val="left" w:pos="5655"/>
        </w:tabs>
        <w:spacing w:after="0" w:line="360" w:lineRule="auto"/>
        <w:ind w:left="4820" w:firstLine="136"/>
      </w:pPr>
      <w:r>
        <w:rPr>
          <w:b/>
        </w:rPr>
        <w:t>…………………………….</w:t>
      </w:r>
      <w:r>
        <w:t xml:space="preserve"> </w:t>
      </w:r>
    </w:p>
    <w:p w:rsidR="00BC4F80" w:rsidRDefault="00BC4F80" w:rsidP="00BC4F80">
      <w:pPr>
        <w:pStyle w:val="Tekstpodstawowy"/>
        <w:tabs>
          <w:tab w:val="left" w:pos="5655"/>
        </w:tabs>
        <w:spacing w:after="0" w:line="360" w:lineRule="auto"/>
        <w:ind w:left="4820" w:firstLine="136"/>
      </w:pPr>
      <w:r>
        <w:t>…………………………….</w:t>
      </w:r>
    </w:p>
    <w:p w:rsidR="00BC4F80" w:rsidRPr="000E4BCE" w:rsidRDefault="00BC4F80" w:rsidP="00BC4F80">
      <w:pPr>
        <w:pStyle w:val="Tekstpodstawowy"/>
        <w:tabs>
          <w:tab w:val="left" w:pos="5655"/>
        </w:tabs>
      </w:pPr>
      <w:r>
        <w:tab/>
      </w:r>
      <w:r>
        <w:tab/>
      </w:r>
      <w:r>
        <w:tab/>
      </w:r>
      <w:r>
        <w:tab/>
      </w:r>
    </w:p>
    <w:p w:rsidR="00BC4F80" w:rsidRPr="006140BD" w:rsidRDefault="00BC4F80" w:rsidP="00BC4F80">
      <w:pPr>
        <w:pStyle w:val="Tekstpodstawowy"/>
        <w:rPr>
          <w:sz w:val="22"/>
          <w:szCs w:val="22"/>
        </w:rPr>
      </w:pPr>
      <w:r w:rsidRPr="006140BD">
        <w:rPr>
          <w:sz w:val="22"/>
          <w:szCs w:val="22"/>
        </w:rPr>
        <w:t xml:space="preserve">Dot. postępowania:  </w:t>
      </w:r>
      <w:r>
        <w:t>8/BL/WYJAZDY STUDYJNE /PN/15</w:t>
      </w:r>
      <w:r w:rsidRPr="007C5FCD">
        <w:rPr>
          <w:szCs w:val="20"/>
        </w:rPr>
        <w:t xml:space="preserve">   </w:t>
      </w:r>
    </w:p>
    <w:p w:rsidR="00BC4F80" w:rsidRDefault="00BC4F80" w:rsidP="00BC4F80">
      <w:pPr>
        <w:spacing w:line="276" w:lineRule="auto"/>
        <w:rPr>
          <w:b/>
        </w:rPr>
      </w:pPr>
    </w:p>
    <w:p w:rsidR="00BC4F80" w:rsidRPr="007B07BF" w:rsidRDefault="00BC4F80" w:rsidP="002627E6">
      <w:pPr>
        <w:pStyle w:val="Tekstpodstawowywcity"/>
        <w:spacing w:line="240" w:lineRule="auto"/>
        <w:rPr>
          <w:rFonts w:ascii="Times New Roman" w:hAnsi="Times New Roman" w:cs="Times New Roman"/>
        </w:rPr>
      </w:pPr>
      <w:r w:rsidRPr="007B07BF">
        <w:rPr>
          <w:rFonts w:ascii="Times New Roman" w:hAnsi="Times New Roman" w:cs="Times New Roman"/>
        </w:rPr>
        <w:t>W związku</w:t>
      </w:r>
      <w:r>
        <w:rPr>
          <w:rFonts w:ascii="Times New Roman" w:hAnsi="Times New Roman" w:cs="Times New Roman"/>
        </w:rPr>
        <w:t xml:space="preserve"> z prowadzonym postępowaniem na</w:t>
      </w:r>
      <w:r w:rsidRPr="00BC4F80">
        <w:rPr>
          <w:rFonts w:ascii="Times New Roman" w:hAnsi="Times New Roman" w:cs="Times New Roman"/>
        </w:rPr>
        <w:t xml:space="preserve"> organizację 4 wyjazdów studyjnych dla pracownik</w:t>
      </w:r>
      <w:r>
        <w:rPr>
          <w:rFonts w:ascii="Times New Roman" w:hAnsi="Times New Roman" w:cs="Times New Roman"/>
        </w:rPr>
        <w:t xml:space="preserve">ów Urzędu do Spraw Cudzoziemców </w:t>
      </w:r>
      <w:r w:rsidRPr="00BC4F80">
        <w:rPr>
          <w:rFonts w:ascii="Times New Roman" w:hAnsi="Times New Roman" w:cs="Times New Roman"/>
        </w:rPr>
        <w:t>w związku z realizacją projektu nr 3/14/EFU „Wizyty Studyjne III” finansowanego ze środków EFU, Program Roczny 2013 oraz budżetu państwa.</w:t>
      </w:r>
      <w:r w:rsidRPr="00FC532B">
        <w:rPr>
          <w:rFonts w:ascii="Times New Roman" w:hAnsi="Times New Roman" w:cs="Times New Roman"/>
          <w:b/>
          <w:bCs/>
        </w:rPr>
        <w:t xml:space="preserve"> </w:t>
      </w:r>
      <w:r w:rsidRPr="007B07BF">
        <w:rPr>
          <w:rFonts w:ascii="Times New Roman" w:hAnsi="Times New Roman" w:cs="Times New Roman"/>
          <w:bCs/>
        </w:rPr>
        <w:t xml:space="preserve">uprzejmie informuję, iż w </w:t>
      </w:r>
      <w:r>
        <w:rPr>
          <w:rFonts w:ascii="Times New Roman" w:hAnsi="Times New Roman" w:cs="Times New Roman"/>
          <w:bCs/>
        </w:rPr>
        <w:t xml:space="preserve">dniu 13.03.2015 r. </w:t>
      </w:r>
      <w:r w:rsidRPr="007B07BF">
        <w:rPr>
          <w:rFonts w:ascii="Times New Roman" w:hAnsi="Times New Roman" w:cs="Times New Roman"/>
          <w:bCs/>
        </w:rPr>
        <w:t>wpłynęł</w:t>
      </w:r>
      <w:r>
        <w:rPr>
          <w:rFonts w:ascii="Times New Roman" w:hAnsi="Times New Roman" w:cs="Times New Roman"/>
          <w:bCs/>
        </w:rPr>
        <w:t>o</w:t>
      </w:r>
      <w:r w:rsidRPr="007B07BF">
        <w:rPr>
          <w:rFonts w:ascii="Times New Roman" w:hAnsi="Times New Roman" w:cs="Times New Roman"/>
          <w:bCs/>
        </w:rPr>
        <w:t xml:space="preserve"> zapytani</w:t>
      </w:r>
      <w:r>
        <w:rPr>
          <w:rFonts w:ascii="Times New Roman" w:hAnsi="Times New Roman" w:cs="Times New Roman"/>
          <w:bCs/>
        </w:rPr>
        <w:t>e</w:t>
      </w:r>
      <w:r w:rsidRPr="007B07BF">
        <w:rPr>
          <w:rFonts w:ascii="Times New Roman" w:hAnsi="Times New Roman" w:cs="Times New Roman"/>
          <w:bCs/>
        </w:rPr>
        <w:t xml:space="preserve"> do S</w:t>
      </w:r>
      <w:r>
        <w:rPr>
          <w:rFonts w:ascii="Times New Roman" w:hAnsi="Times New Roman" w:cs="Times New Roman"/>
          <w:bCs/>
        </w:rPr>
        <w:t xml:space="preserve">pecyfikacji </w:t>
      </w:r>
      <w:r w:rsidRPr="007B07BF">
        <w:rPr>
          <w:rFonts w:ascii="Times New Roman" w:hAnsi="Times New Roman" w:cs="Times New Roman"/>
          <w:bCs/>
        </w:rPr>
        <w:t>I</w:t>
      </w:r>
      <w:r>
        <w:rPr>
          <w:rFonts w:ascii="Times New Roman" w:hAnsi="Times New Roman" w:cs="Times New Roman"/>
          <w:bCs/>
        </w:rPr>
        <w:t xml:space="preserve">stotnych </w:t>
      </w:r>
      <w:r w:rsidRPr="007B07BF">
        <w:rPr>
          <w:rFonts w:ascii="Times New Roman" w:hAnsi="Times New Roman" w:cs="Times New Roman"/>
          <w:bCs/>
        </w:rPr>
        <w:t>W</w:t>
      </w:r>
      <w:r>
        <w:rPr>
          <w:rFonts w:ascii="Times New Roman" w:hAnsi="Times New Roman" w:cs="Times New Roman"/>
          <w:bCs/>
        </w:rPr>
        <w:t xml:space="preserve">arunków </w:t>
      </w:r>
      <w:r w:rsidRPr="007B07BF">
        <w:rPr>
          <w:rFonts w:ascii="Times New Roman" w:hAnsi="Times New Roman" w:cs="Times New Roman"/>
          <w:bCs/>
        </w:rPr>
        <w:t>Z</w:t>
      </w:r>
      <w:r>
        <w:rPr>
          <w:rFonts w:ascii="Times New Roman" w:hAnsi="Times New Roman" w:cs="Times New Roman"/>
          <w:bCs/>
        </w:rPr>
        <w:t>amówienia</w:t>
      </w:r>
      <w:r w:rsidRPr="007B07BF">
        <w:rPr>
          <w:rFonts w:ascii="Times New Roman" w:hAnsi="Times New Roman" w:cs="Times New Roman"/>
          <w:bCs/>
        </w:rPr>
        <w:t>.</w:t>
      </w:r>
    </w:p>
    <w:p w:rsidR="00BC4F80" w:rsidRPr="00863E10" w:rsidRDefault="00BC4F80" w:rsidP="00863E10">
      <w:pPr>
        <w:ind w:firstLine="708"/>
        <w:jc w:val="both"/>
      </w:pPr>
      <w:r>
        <w:rPr>
          <w:iCs/>
        </w:rPr>
        <w:t>Zgodnie z art. 38 ust. 2</w:t>
      </w:r>
      <w:r w:rsidRPr="00602AA8">
        <w:rPr>
          <w:iCs/>
        </w:rPr>
        <w:t xml:space="preserve"> </w:t>
      </w:r>
      <w:r w:rsidRPr="00602AA8">
        <w:t>ustawy z dnia 29 stycznia 2004 roku Prawo zamówień publicznych</w:t>
      </w:r>
      <w:r>
        <w:t xml:space="preserve"> (Dz. U. z 2013 r. poz. 907 z późn. zm.)</w:t>
      </w:r>
      <w:r w:rsidRPr="00602AA8">
        <w:t xml:space="preserve">, </w:t>
      </w:r>
      <w:r>
        <w:t xml:space="preserve">zwanej dalej „ustawą Pzp”, Zamawiający </w:t>
      </w:r>
      <w:r w:rsidRPr="009134FE">
        <w:t>przedstawia</w:t>
      </w:r>
      <w:r>
        <w:t xml:space="preserve"> wyjaśnienia w ww. sprawie</w:t>
      </w:r>
      <w:r w:rsidRPr="00602AA8">
        <w:t>:</w:t>
      </w:r>
    </w:p>
    <w:p w:rsidR="00863E10" w:rsidRDefault="00863E10" w:rsidP="00BC4F80">
      <w:pPr>
        <w:suppressAutoHyphens/>
        <w:spacing w:after="120" w:line="276" w:lineRule="auto"/>
        <w:jc w:val="both"/>
        <w:rPr>
          <w:b/>
          <w:u w:val="single"/>
        </w:rPr>
      </w:pPr>
    </w:p>
    <w:p w:rsidR="00BC4F80" w:rsidRPr="00602AA8" w:rsidRDefault="00BC4F80" w:rsidP="00BC4F80">
      <w:pPr>
        <w:suppressAutoHyphens/>
        <w:spacing w:after="120" w:line="276" w:lineRule="auto"/>
        <w:jc w:val="both"/>
        <w:rPr>
          <w:b/>
          <w:u w:val="single"/>
        </w:rPr>
      </w:pPr>
      <w:r>
        <w:rPr>
          <w:b/>
          <w:u w:val="single"/>
        </w:rPr>
        <w:t>Pytanie</w:t>
      </w:r>
      <w:r w:rsidRPr="00602AA8">
        <w:rPr>
          <w:b/>
          <w:u w:val="single"/>
        </w:rPr>
        <w:t>:</w:t>
      </w:r>
    </w:p>
    <w:p w:rsidR="002627E6" w:rsidRPr="002627E6" w:rsidRDefault="002627E6" w:rsidP="002627E6">
      <w:pPr>
        <w:jc w:val="both"/>
      </w:pPr>
      <w:r w:rsidRPr="002627E6">
        <w:t xml:space="preserve">W SIWZ figuruje zapis: “Rozliczenie należności za ilość faktycznie przejechanych kilometrów nastąpi na podstawie zestawienia sporządzonego przez przedstawiciela Wykonawcy </w:t>
      </w:r>
      <w:r w:rsidRPr="002627E6">
        <w:br/>
        <w:t>i zaakceptowanego przez przedstawiciela Zamawiającego. Powyższe zestawienie będzie stanowiło załącznik do faktury końcowej za zamówienie.”</w:t>
      </w:r>
    </w:p>
    <w:p w:rsidR="002627E6" w:rsidRPr="002627E6" w:rsidRDefault="002627E6" w:rsidP="002627E6">
      <w:pPr>
        <w:jc w:val="both"/>
      </w:pPr>
      <w:r w:rsidRPr="002627E6">
        <w:t>W przypadku usług transportowych na niewielkich odległościach, oraz przez krótki okres czasu zamiast stawek kilometrowych obowiązują stawki ryczałtowe, które zależne są od okresu trwania usługi, nie zaś od odległości pokonywanej podczas jednego dnia transportu. Rozliczanie ryczałtu bez wcześniejszego podania dokładnych adresów wizyt i dokładnej ilości przejechanych kilometrów może narazić na straty Wykonawcę w sytuacji, kiedy liczba przejechanych kilometrów okaże się znacząco mniejsza, niż zaplanowana. Proszę o informację, czy Zamawiający dopuszcza rozliczenie usługi transportowej w formie ryczałtu za dzień, zamiast przeliczenia na kilometr?</w:t>
      </w:r>
    </w:p>
    <w:p w:rsidR="002627E6" w:rsidRDefault="002627E6" w:rsidP="002627E6">
      <w:pPr>
        <w:jc w:val="both"/>
        <w:rPr>
          <w:rFonts w:ascii="Arial" w:hAnsi="Arial" w:cs="Arial"/>
          <w:color w:val="000000"/>
          <w:sz w:val="20"/>
          <w:szCs w:val="20"/>
        </w:rPr>
      </w:pPr>
      <w:r>
        <w:rPr>
          <w:rFonts w:ascii="Arial" w:hAnsi="Arial" w:cs="Arial"/>
          <w:color w:val="000000"/>
          <w:sz w:val="20"/>
          <w:szCs w:val="20"/>
        </w:rPr>
        <w:t> </w:t>
      </w:r>
    </w:p>
    <w:p w:rsidR="00BC4F80" w:rsidRPr="00E22D4C" w:rsidRDefault="00BC4F80" w:rsidP="00BC4F80">
      <w:pPr>
        <w:spacing w:line="276" w:lineRule="auto"/>
        <w:jc w:val="both"/>
        <w:rPr>
          <w:i/>
          <w:color w:val="000000"/>
        </w:rPr>
      </w:pPr>
    </w:p>
    <w:p w:rsidR="00BC4F80" w:rsidRDefault="00BC4F80" w:rsidP="00BC4F80">
      <w:pPr>
        <w:spacing w:line="276" w:lineRule="auto"/>
        <w:jc w:val="both"/>
        <w:rPr>
          <w:b/>
          <w:color w:val="000000"/>
          <w:u w:val="single"/>
        </w:rPr>
      </w:pPr>
      <w:r w:rsidRPr="00347468">
        <w:rPr>
          <w:b/>
          <w:color w:val="000000"/>
          <w:u w:val="single"/>
        </w:rPr>
        <w:t>Odpowiedź Zamawiającego:</w:t>
      </w:r>
    </w:p>
    <w:p w:rsidR="001D7786" w:rsidRPr="007D6E2C" w:rsidRDefault="001D7786" w:rsidP="00BC4F80">
      <w:pPr>
        <w:spacing w:line="276" w:lineRule="auto"/>
        <w:jc w:val="both"/>
        <w:rPr>
          <w:b/>
          <w:color w:val="000000"/>
          <w:u w:val="single"/>
        </w:rPr>
      </w:pPr>
    </w:p>
    <w:p w:rsidR="0093506C" w:rsidRDefault="00863E10" w:rsidP="00BC4F80">
      <w:pPr>
        <w:autoSpaceDE w:val="0"/>
        <w:autoSpaceDN w:val="0"/>
        <w:adjustRightInd w:val="0"/>
        <w:spacing w:after="60"/>
        <w:jc w:val="both"/>
      </w:pPr>
      <w:r>
        <w:t xml:space="preserve">Zamawiający podtrzymuje dotychczasowe zapisy SIWZ w podanym zakresie. </w:t>
      </w:r>
    </w:p>
    <w:p w:rsidR="00CF788A" w:rsidRDefault="00CF788A" w:rsidP="00BC4F80">
      <w:pPr>
        <w:autoSpaceDE w:val="0"/>
        <w:autoSpaceDN w:val="0"/>
        <w:adjustRightInd w:val="0"/>
        <w:spacing w:after="60"/>
        <w:jc w:val="both"/>
      </w:pPr>
    </w:p>
    <w:p w:rsidR="0093506C" w:rsidRDefault="0093506C" w:rsidP="00BC4F80">
      <w:pPr>
        <w:autoSpaceDE w:val="0"/>
        <w:autoSpaceDN w:val="0"/>
        <w:adjustRightInd w:val="0"/>
        <w:spacing w:after="60"/>
        <w:jc w:val="both"/>
      </w:pPr>
      <w:r>
        <w:lastRenderedPageBreak/>
        <w:t xml:space="preserve">Jednocześnie Zamawiający informuje </w:t>
      </w:r>
      <w:r w:rsidR="00AD211D">
        <w:t>o następujących zmianach w SIWZ:</w:t>
      </w:r>
    </w:p>
    <w:p w:rsidR="00AD211D" w:rsidRPr="00EB6A9C" w:rsidRDefault="00AD211D" w:rsidP="00BC4F80">
      <w:pPr>
        <w:autoSpaceDE w:val="0"/>
        <w:autoSpaceDN w:val="0"/>
        <w:adjustRightInd w:val="0"/>
        <w:spacing w:after="60"/>
        <w:jc w:val="both"/>
        <w:rPr>
          <w:u w:val="single"/>
        </w:rPr>
      </w:pPr>
      <w:r w:rsidRPr="00EB6A9C">
        <w:rPr>
          <w:u w:val="single"/>
        </w:rPr>
        <w:t>W załączniku nr 1 do SIWZ – Szczegółowy Opis Przedmiotu Zamówienia w pkt 3 a)</w:t>
      </w:r>
    </w:p>
    <w:p w:rsidR="00AD211D" w:rsidRPr="00086F76" w:rsidRDefault="00AD211D" w:rsidP="00AD211D">
      <w:pPr>
        <w:spacing w:line="360" w:lineRule="atLeast"/>
        <w:ind w:firstLine="539"/>
      </w:pPr>
      <w:r w:rsidRPr="00086F76">
        <w:t>Dotychczasowy zapis:</w:t>
      </w:r>
    </w:p>
    <w:p w:rsidR="00BC4F80" w:rsidRPr="00DD4C46" w:rsidRDefault="00BC4F80" w:rsidP="00BC4F80">
      <w:pPr>
        <w:spacing w:line="276" w:lineRule="auto"/>
        <w:jc w:val="both"/>
        <w:rPr>
          <w:sz w:val="20"/>
          <w:szCs w:val="20"/>
        </w:rPr>
      </w:pPr>
    </w:p>
    <w:tbl>
      <w:tblPr>
        <w:tblW w:w="9322" w:type="dxa"/>
        <w:tblLayout w:type="fixed"/>
        <w:tblCellMar>
          <w:left w:w="0" w:type="dxa"/>
          <w:right w:w="0" w:type="dxa"/>
        </w:tblCellMar>
        <w:tblLook w:val="04A0" w:firstRow="1" w:lastRow="0" w:firstColumn="1" w:lastColumn="0" w:noHBand="0" w:noVBand="1"/>
      </w:tblPr>
      <w:tblGrid>
        <w:gridCol w:w="1668"/>
        <w:gridCol w:w="1275"/>
        <w:gridCol w:w="1560"/>
        <w:gridCol w:w="1701"/>
        <w:gridCol w:w="3118"/>
      </w:tblGrid>
      <w:tr w:rsidR="00AD211D" w:rsidTr="00491D70">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rPr>
                <w:b/>
                <w:bCs/>
                <w:color w:val="333333"/>
              </w:rPr>
              <w:t>Miejscowość</w:t>
            </w:r>
            <w:r>
              <w:rPr>
                <w:b/>
                <w:bCs/>
                <w:color w:val="333333"/>
              </w:rPr>
              <w:br/>
              <w:t>(1)</w:t>
            </w:r>
          </w:p>
        </w:tc>
        <w:tc>
          <w:tcPr>
            <w:tcW w:w="1275"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rPr>
                <w:b/>
                <w:bCs/>
                <w:color w:val="333333"/>
              </w:rPr>
              <w:t>Liczba noclegów</w:t>
            </w:r>
            <w:r>
              <w:rPr>
                <w:b/>
                <w:bCs/>
                <w:color w:val="333333"/>
              </w:rPr>
              <w:br/>
              <w:t>(2)</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rPr>
                <w:b/>
                <w:bCs/>
                <w:color w:val="333333"/>
              </w:rPr>
              <w:t>Ilość osób</w:t>
            </w:r>
            <w:r>
              <w:rPr>
                <w:b/>
                <w:bCs/>
                <w:color w:val="333333"/>
              </w:rPr>
              <w:br/>
              <w:t>(3)</w:t>
            </w:r>
          </w:p>
        </w:tc>
        <w:tc>
          <w:tcPr>
            <w:tcW w:w="1701" w:type="dxa"/>
            <w:tcBorders>
              <w:top w:val="single" w:sz="8" w:space="0" w:color="000000"/>
              <w:left w:val="nil"/>
              <w:bottom w:val="single" w:sz="8" w:space="0" w:color="000000"/>
              <w:right w:val="single" w:sz="8" w:space="0" w:color="000000"/>
            </w:tcBorders>
            <w:vAlign w:val="center"/>
          </w:tcPr>
          <w:p w:rsidR="00AD211D" w:rsidRDefault="00AD211D" w:rsidP="00491D70">
            <w:pPr>
              <w:jc w:val="center"/>
              <w:rPr>
                <w:b/>
                <w:bCs/>
                <w:color w:val="333333"/>
              </w:rPr>
            </w:pPr>
            <w:r>
              <w:rPr>
                <w:b/>
                <w:bCs/>
                <w:color w:val="333333"/>
              </w:rPr>
              <w:t>Maksymalna cena za 1 nocleg</w:t>
            </w:r>
            <w:r>
              <w:rPr>
                <w:b/>
                <w:bCs/>
                <w:color w:val="333333"/>
              </w:rPr>
              <w:br/>
              <w:t>(4)</w:t>
            </w:r>
          </w:p>
        </w:tc>
        <w:tc>
          <w:tcPr>
            <w:tcW w:w="3118" w:type="dxa"/>
            <w:tcBorders>
              <w:top w:val="single" w:sz="8" w:space="0" w:color="000000"/>
              <w:left w:val="nil"/>
              <w:bottom w:val="single" w:sz="8" w:space="0" w:color="000000"/>
              <w:right w:val="single" w:sz="8" w:space="0" w:color="000000"/>
            </w:tcBorders>
            <w:vAlign w:val="center"/>
          </w:tcPr>
          <w:p w:rsidR="00AD211D" w:rsidRDefault="00AD211D" w:rsidP="00491D70">
            <w:pPr>
              <w:jc w:val="center"/>
              <w:rPr>
                <w:b/>
                <w:bCs/>
                <w:color w:val="333333"/>
              </w:rPr>
            </w:pPr>
            <w:r>
              <w:rPr>
                <w:b/>
                <w:bCs/>
                <w:color w:val="333333"/>
              </w:rPr>
              <w:t>Lokalizacja noclegu</w:t>
            </w:r>
            <w:r>
              <w:rPr>
                <w:b/>
                <w:bCs/>
                <w:color w:val="333333"/>
              </w:rPr>
              <w:br/>
              <w:t>(5)</w:t>
            </w:r>
          </w:p>
        </w:tc>
      </w:tr>
      <w:tr w:rsidR="00AD211D" w:rsidTr="00491D70">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t>Helsinki</w:t>
            </w:r>
          </w:p>
          <w:p w:rsidR="00AD211D" w:rsidRDefault="00AD211D" w:rsidP="00491D70">
            <w:pPr>
              <w:jc w:val="center"/>
            </w:pPr>
            <w:r>
              <w:t xml:space="preserve">(Finlandia) </w:t>
            </w:r>
          </w:p>
        </w:tc>
        <w:tc>
          <w:tcPr>
            <w:tcW w:w="1275"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rPr>
                <w:b/>
                <w:bCs/>
                <w:color w:val="333333"/>
              </w:rPr>
              <w:t>4</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t>7</w:t>
            </w:r>
          </w:p>
        </w:tc>
        <w:tc>
          <w:tcPr>
            <w:tcW w:w="1701" w:type="dxa"/>
            <w:tcBorders>
              <w:top w:val="nil"/>
              <w:left w:val="nil"/>
              <w:bottom w:val="single" w:sz="8" w:space="0" w:color="000000"/>
              <w:right w:val="single" w:sz="8" w:space="0" w:color="000000"/>
            </w:tcBorders>
            <w:vAlign w:val="center"/>
          </w:tcPr>
          <w:p w:rsidR="00AD211D" w:rsidRDefault="00AD211D" w:rsidP="00491D70">
            <w:pPr>
              <w:jc w:val="center"/>
            </w:pPr>
            <w:r>
              <w:t xml:space="preserve"> 160 €</w:t>
            </w:r>
          </w:p>
        </w:tc>
        <w:tc>
          <w:tcPr>
            <w:tcW w:w="3118" w:type="dxa"/>
            <w:tcBorders>
              <w:top w:val="nil"/>
              <w:left w:val="nil"/>
              <w:bottom w:val="single" w:sz="8" w:space="0" w:color="000000"/>
              <w:right w:val="single" w:sz="8" w:space="0" w:color="000000"/>
            </w:tcBorders>
          </w:tcPr>
          <w:p w:rsidR="00AD211D" w:rsidRDefault="00AD211D" w:rsidP="00491D70">
            <w:r>
              <w:t>Hotel zlokalizowany w odległości maksymalnie do 2 km od Głównego Dworca Kolejowego w Helsinkach (Kaivokatu 1, 00100 Helsinki).</w:t>
            </w:r>
          </w:p>
        </w:tc>
      </w:tr>
      <w:tr w:rsidR="00AD211D" w:rsidTr="00491D70">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t>Croydon</w:t>
            </w:r>
          </w:p>
          <w:p w:rsidR="00AD211D" w:rsidRDefault="00AD211D" w:rsidP="00491D70">
            <w:pPr>
              <w:jc w:val="center"/>
            </w:pPr>
            <w:r>
              <w:t xml:space="preserve">(Wielka Brytania) </w:t>
            </w:r>
          </w:p>
        </w:tc>
        <w:tc>
          <w:tcPr>
            <w:tcW w:w="1275"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rPr>
                <w:b/>
                <w:bCs/>
                <w:color w:val="333333"/>
              </w:rPr>
              <w:t>4</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t>7</w:t>
            </w:r>
          </w:p>
        </w:tc>
        <w:tc>
          <w:tcPr>
            <w:tcW w:w="1701" w:type="dxa"/>
            <w:tcBorders>
              <w:top w:val="nil"/>
              <w:left w:val="nil"/>
              <w:bottom w:val="single" w:sz="8" w:space="0" w:color="000000"/>
              <w:right w:val="single" w:sz="8" w:space="0" w:color="000000"/>
            </w:tcBorders>
            <w:vAlign w:val="center"/>
          </w:tcPr>
          <w:p w:rsidR="00AD211D" w:rsidRDefault="00AD211D" w:rsidP="00491D70">
            <w:pPr>
              <w:jc w:val="center"/>
            </w:pPr>
            <w:r>
              <w:t>200 GBP</w:t>
            </w:r>
          </w:p>
        </w:tc>
        <w:tc>
          <w:tcPr>
            <w:tcW w:w="3118" w:type="dxa"/>
            <w:tcBorders>
              <w:top w:val="nil"/>
              <w:left w:val="nil"/>
              <w:bottom w:val="single" w:sz="8" w:space="0" w:color="000000"/>
              <w:right w:val="single" w:sz="8" w:space="0" w:color="000000"/>
            </w:tcBorders>
          </w:tcPr>
          <w:p w:rsidR="00AD211D" w:rsidRDefault="00AD211D" w:rsidP="00491D70">
            <w:r>
              <w:t>Hotel zlokalizowany w odległości maksymalnej do 2 km od stacji kolejowej o nazwie West Croydon Tramlink Stop</w:t>
            </w:r>
          </w:p>
        </w:tc>
      </w:tr>
      <w:tr w:rsidR="00AD211D" w:rsidTr="00491D70">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211D" w:rsidRPr="006220B9" w:rsidRDefault="00AD211D" w:rsidP="00491D70">
            <w:pPr>
              <w:jc w:val="center"/>
            </w:pPr>
            <w:r w:rsidRPr="006220B9">
              <w:t>Wiedeń</w:t>
            </w:r>
          </w:p>
          <w:p w:rsidR="00AD211D" w:rsidRPr="006220B9" w:rsidRDefault="00AD211D" w:rsidP="00491D70">
            <w:pPr>
              <w:jc w:val="center"/>
            </w:pPr>
            <w:r w:rsidRPr="006220B9">
              <w:t xml:space="preserve">(Austria) </w:t>
            </w:r>
          </w:p>
        </w:tc>
        <w:tc>
          <w:tcPr>
            <w:tcW w:w="1275"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AD211D" w:rsidRPr="006220B9" w:rsidRDefault="00AD211D" w:rsidP="00491D70">
            <w:pPr>
              <w:jc w:val="center"/>
            </w:pPr>
            <w:r w:rsidRPr="006220B9">
              <w:rPr>
                <w:b/>
                <w:bCs/>
                <w:color w:val="333333"/>
              </w:rPr>
              <w:t>4</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t>7</w:t>
            </w:r>
          </w:p>
        </w:tc>
        <w:tc>
          <w:tcPr>
            <w:tcW w:w="1701" w:type="dxa"/>
            <w:tcBorders>
              <w:top w:val="nil"/>
              <w:left w:val="nil"/>
              <w:bottom w:val="single" w:sz="8" w:space="0" w:color="000000"/>
              <w:right w:val="single" w:sz="8" w:space="0" w:color="000000"/>
            </w:tcBorders>
            <w:vAlign w:val="center"/>
          </w:tcPr>
          <w:p w:rsidR="00AD211D" w:rsidRDefault="00AD211D" w:rsidP="00491D70">
            <w:pPr>
              <w:jc w:val="center"/>
            </w:pPr>
            <w:r>
              <w:t xml:space="preserve"> 130 €</w:t>
            </w:r>
          </w:p>
        </w:tc>
        <w:tc>
          <w:tcPr>
            <w:tcW w:w="3118" w:type="dxa"/>
            <w:tcBorders>
              <w:top w:val="nil"/>
              <w:left w:val="nil"/>
              <w:bottom w:val="single" w:sz="8" w:space="0" w:color="000000"/>
              <w:right w:val="single" w:sz="8" w:space="0" w:color="000000"/>
            </w:tcBorders>
          </w:tcPr>
          <w:p w:rsidR="00AD211D" w:rsidRDefault="00AD211D" w:rsidP="00491D70">
            <w:r>
              <w:t>Hotel zlokalizowany w odległości maksymalnie do 2 km od BM.I: Federal Ministry of the Interior, Minoritenplatz 9,1014 Wien</w:t>
            </w:r>
          </w:p>
        </w:tc>
      </w:tr>
      <w:tr w:rsidR="00AD211D" w:rsidTr="00491D70">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t>Dublin</w:t>
            </w:r>
          </w:p>
          <w:p w:rsidR="00AD211D" w:rsidRDefault="00AD211D" w:rsidP="00491D70">
            <w:pPr>
              <w:jc w:val="center"/>
            </w:pPr>
            <w:r>
              <w:t>(Irlandia)</w:t>
            </w:r>
          </w:p>
        </w:tc>
        <w:tc>
          <w:tcPr>
            <w:tcW w:w="1275"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rPr>
                <w:b/>
                <w:bCs/>
                <w:color w:val="333333"/>
              </w:rPr>
              <w:t>4</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t>10</w:t>
            </w:r>
          </w:p>
        </w:tc>
        <w:tc>
          <w:tcPr>
            <w:tcW w:w="1701" w:type="dxa"/>
            <w:tcBorders>
              <w:top w:val="nil"/>
              <w:left w:val="nil"/>
              <w:bottom w:val="single" w:sz="8" w:space="0" w:color="000000"/>
              <w:right w:val="single" w:sz="8" w:space="0" w:color="000000"/>
            </w:tcBorders>
            <w:vAlign w:val="center"/>
          </w:tcPr>
          <w:p w:rsidR="00AD211D" w:rsidRDefault="00AD211D" w:rsidP="00491D70">
            <w:pPr>
              <w:jc w:val="center"/>
            </w:pPr>
            <w:r>
              <w:t>160 €</w:t>
            </w:r>
          </w:p>
        </w:tc>
        <w:tc>
          <w:tcPr>
            <w:tcW w:w="3118" w:type="dxa"/>
            <w:tcBorders>
              <w:top w:val="nil"/>
              <w:left w:val="nil"/>
              <w:bottom w:val="single" w:sz="8" w:space="0" w:color="000000"/>
              <w:right w:val="single" w:sz="8" w:space="0" w:color="000000"/>
            </w:tcBorders>
          </w:tcPr>
          <w:p w:rsidR="00AD211D" w:rsidRPr="009A7CD2" w:rsidRDefault="00AD211D" w:rsidP="00491D70">
            <w:r w:rsidRPr="009A7CD2">
              <w:t xml:space="preserve">Hotel zlokalizowany w odległości maksymalnie do 2 km od Reception &amp; Integration Agency </w:t>
            </w:r>
            <w:r w:rsidRPr="009A7CD2">
              <w:br/>
              <w:t xml:space="preserve">Bishop's Square </w:t>
            </w:r>
            <w:r w:rsidRPr="009A7CD2">
              <w:br/>
              <w:t xml:space="preserve">Redmond's Hill/Kevin Street </w:t>
            </w:r>
            <w:r w:rsidRPr="009A7CD2">
              <w:br/>
              <w:t xml:space="preserve">Dublin 2 </w:t>
            </w:r>
            <w:r w:rsidRPr="009A7CD2">
              <w:br/>
            </w:r>
          </w:p>
        </w:tc>
      </w:tr>
    </w:tbl>
    <w:p w:rsidR="006D48A8" w:rsidRDefault="006D48A8"/>
    <w:p w:rsidR="00AD211D" w:rsidRPr="00086F76" w:rsidRDefault="00AD211D" w:rsidP="00AD211D">
      <w:pPr>
        <w:spacing w:line="360" w:lineRule="atLeast"/>
        <w:ind w:firstLine="539"/>
      </w:pPr>
      <w:r>
        <w:t>Otrzymuje następujące brzmienie:</w:t>
      </w:r>
    </w:p>
    <w:tbl>
      <w:tblPr>
        <w:tblW w:w="9322" w:type="dxa"/>
        <w:tblLayout w:type="fixed"/>
        <w:tblCellMar>
          <w:left w:w="0" w:type="dxa"/>
          <w:right w:w="0" w:type="dxa"/>
        </w:tblCellMar>
        <w:tblLook w:val="04A0" w:firstRow="1" w:lastRow="0" w:firstColumn="1" w:lastColumn="0" w:noHBand="0" w:noVBand="1"/>
      </w:tblPr>
      <w:tblGrid>
        <w:gridCol w:w="1668"/>
        <w:gridCol w:w="1275"/>
        <w:gridCol w:w="1560"/>
        <w:gridCol w:w="1701"/>
        <w:gridCol w:w="3118"/>
      </w:tblGrid>
      <w:tr w:rsidR="00AD211D" w:rsidTr="00491D70">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rPr>
                <w:b/>
                <w:bCs/>
                <w:color w:val="333333"/>
              </w:rPr>
              <w:t>Miejscowość</w:t>
            </w:r>
            <w:r>
              <w:rPr>
                <w:b/>
                <w:bCs/>
                <w:color w:val="333333"/>
              </w:rPr>
              <w:br/>
              <w:t>(1)</w:t>
            </w:r>
          </w:p>
        </w:tc>
        <w:tc>
          <w:tcPr>
            <w:tcW w:w="1275"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rPr>
                <w:b/>
                <w:bCs/>
                <w:color w:val="333333"/>
              </w:rPr>
              <w:t>Liczba noclegów</w:t>
            </w:r>
            <w:r>
              <w:rPr>
                <w:b/>
                <w:bCs/>
                <w:color w:val="333333"/>
              </w:rPr>
              <w:br/>
              <w:t>(2)</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rPr>
                <w:b/>
                <w:bCs/>
                <w:color w:val="333333"/>
              </w:rPr>
              <w:t>Ilość osób</w:t>
            </w:r>
            <w:r>
              <w:rPr>
                <w:b/>
                <w:bCs/>
                <w:color w:val="333333"/>
              </w:rPr>
              <w:br/>
              <w:t>(3)</w:t>
            </w:r>
          </w:p>
        </w:tc>
        <w:tc>
          <w:tcPr>
            <w:tcW w:w="1701" w:type="dxa"/>
            <w:tcBorders>
              <w:top w:val="single" w:sz="8" w:space="0" w:color="000000"/>
              <w:left w:val="nil"/>
              <w:bottom w:val="single" w:sz="8" w:space="0" w:color="000000"/>
              <w:right w:val="single" w:sz="8" w:space="0" w:color="000000"/>
            </w:tcBorders>
            <w:vAlign w:val="center"/>
          </w:tcPr>
          <w:p w:rsidR="00AD211D" w:rsidRDefault="00AD211D" w:rsidP="00491D70">
            <w:pPr>
              <w:jc w:val="center"/>
              <w:rPr>
                <w:b/>
                <w:bCs/>
                <w:color w:val="333333"/>
              </w:rPr>
            </w:pPr>
            <w:r>
              <w:rPr>
                <w:b/>
                <w:bCs/>
                <w:color w:val="333333"/>
              </w:rPr>
              <w:t>Maksymalna cena za 1 nocleg</w:t>
            </w:r>
            <w:r>
              <w:rPr>
                <w:b/>
                <w:bCs/>
                <w:color w:val="333333"/>
              </w:rPr>
              <w:br/>
              <w:t>(4)</w:t>
            </w:r>
          </w:p>
        </w:tc>
        <w:tc>
          <w:tcPr>
            <w:tcW w:w="3118" w:type="dxa"/>
            <w:tcBorders>
              <w:top w:val="single" w:sz="8" w:space="0" w:color="000000"/>
              <w:left w:val="nil"/>
              <w:bottom w:val="single" w:sz="8" w:space="0" w:color="000000"/>
              <w:right w:val="single" w:sz="8" w:space="0" w:color="000000"/>
            </w:tcBorders>
            <w:vAlign w:val="center"/>
          </w:tcPr>
          <w:p w:rsidR="00AD211D" w:rsidRDefault="00AD211D" w:rsidP="00491D70">
            <w:pPr>
              <w:jc w:val="center"/>
              <w:rPr>
                <w:b/>
                <w:bCs/>
                <w:color w:val="333333"/>
              </w:rPr>
            </w:pPr>
            <w:r>
              <w:rPr>
                <w:b/>
                <w:bCs/>
                <w:color w:val="333333"/>
              </w:rPr>
              <w:t>Lokalizacja noclegu</w:t>
            </w:r>
            <w:r>
              <w:rPr>
                <w:b/>
                <w:bCs/>
                <w:color w:val="333333"/>
              </w:rPr>
              <w:br/>
              <w:t>(5)</w:t>
            </w:r>
          </w:p>
        </w:tc>
      </w:tr>
      <w:tr w:rsidR="00AD211D" w:rsidTr="00491D70">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t>Helsinki</w:t>
            </w:r>
          </w:p>
          <w:p w:rsidR="00AD211D" w:rsidRDefault="00AD211D" w:rsidP="00491D70">
            <w:pPr>
              <w:jc w:val="center"/>
            </w:pPr>
            <w:r>
              <w:t xml:space="preserve">(Finlandia) </w:t>
            </w:r>
          </w:p>
        </w:tc>
        <w:tc>
          <w:tcPr>
            <w:tcW w:w="1275"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rPr>
                <w:b/>
                <w:bCs/>
                <w:color w:val="333333"/>
              </w:rPr>
              <w:t>4</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t>7</w:t>
            </w:r>
          </w:p>
        </w:tc>
        <w:tc>
          <w:tcPr>
            <w:tcW w:w="1701" w:type="dxa"/>
            <w:tcBorders>
              <w:top w:val="nil"/>
              <w:left w:val="nil"/>
              <w:bottom w:val="single" w:sz="8" w:space="0" w:color="000000"/>
              <w:right w:val="single" w:sz="8" w:space="0" w:color="000000"/>
            </w:tcBorders>
            <w:vAlign w:val="center"/>
          </w:tcPr>
          <w:p w:rsidR="00AD211D" w:rsidRDefault="00AD211D" w:rsidP="00491D70">
            <w:pPr>
              <w:jc w:val="center"/>
            </w:pPr>
            <w:r>
              <w:t xml:space="preserve"> 160 €</w:t>
            </w:r>
          </w:p>
        </w:tc>
        <w:tc>
          <w:tcPr>
            <w:tcW w:w="3118" w:type="dxa"/>
            <w:tcBorders>
              <w:top w:val="nil"/>
              <w:left w:val="nil"/>
              <w:bottom w:val="single" w:sz="8" w:space="0" w:color="000000"/>
              <w:right w:val="single" w:sz="8" w:space="0" w:color="000000"/>
            </w:tcBorders>
          </w:tcPr>
          <w:p w:rsidR="00AD211D" w:rsidRDefault="00AD211D" w:rsidP="00491D70">
            <w:r>
              <w:t>Hotel zlokalizowany w odległości maksymalnie do 2 km od Głównego Dworca Kolejowego w Helsinkach (Kaivokatu 1, 00100 Helsinki).</w:t>
            </w:r>
          </w:p>
        </w:tc>
      </w:tr>
      <w:tr w:rsidR="00AD211D" w:rsidTr="00491D70">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t>Croydon</w:t>
            </w:r>
          </w:p>
          <w:p w:rsidR="00AD211D" w:rsidRDefault="00AD211D" w:rsidP="00491D70">
            <w:pPr>
              <w:jc w:val="center"/>
            </w:pPr>
            <w:r>
              <w:t xml:space="preserve">(Wielka Brytania) </w:t>
            </w:r>
          </w:p>
        </w:tc>
        <w:tc>
          <w:tcPr>
            <w:tcW w:w="1275"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rPr>
                <w:b/>
                <w:bCs/>
                <w:color w:val="333333"/>
              </w:rPr>
              <w:t>4</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t>7</w:t>
            </w:r>
          </w:p>
        </w:tc>
        <w:tc>
          <w:tcPr>
            <w:tcW w:w="1701" w:type="dxa"/>
            <w:tcBorders>
              <w:top w:val="nil"/>
              <w:left w:val="nil"/>
              <w:bottom w:val="single" w:sz="8" w:space="0" w:color="000000"/>
              <w:right w:val="single" w:sz="8" w:space="0" w:color="000000"/>
            </w:tcBorders>
            <w:vAlign w:val="center"/>
          </w:tcPr>
          <w:p w:rsidR="00AD211D" w:rsidRDefault="00AD211D" w:rsidP="00491D70">
            <w:pPr>
              <w:jc w:val="center"/>
            </w:pPr>
            <w:r>
              <w:t>200 GBP</w:t>
            </w:r>
          </w:p>
        </w:tc>
        <w:tc>
          <w:tcPr>
            <w:tcW w:w="3118" w:type="dxa"/>
            <w:tcBorders>
              <w:top w:val="nil"/>
              <w:left w:val="nil"/>
              <w:bottom w:val="single" w:sz="8" w:space="0" w:color="000000"/>
              <w:right w:val="single" w:sz="8" w:space="0" w:color="000000"/>
            </w:tcBorders>
          </w:tcPr>
          <w:p w:rsidR="00AD211D" w:rsidRDefault="00AD211D" w:rsidP="00491D70">
            <w:r>
              <w:t>Hotel zlokalizowany w odległości maksymalnej do 2 km od stacji kolejowej o nazwie West Croydon Tramlink Stop</w:t>
            </w:r>
          </w:p>
        </w:tc>
      </w:tr>
      <w:tr w:rsidR="00AD211D" w:rsidTr="00491D70">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211D" w:rsidRPr="006220B9" w:rsidRDefault="00AD211D" w:rsidP="00491D70">
            <w:pPr>
              <w:jc w:val="center"/>
            </w:pPr>
            <w:r w:rsidRPr="006220B9">
              <w:t>Wiedeń</w:t>
            </w:r>
          </w:p>
          <w:p w:rsidR="00AD211D" w:rsidRPr="006220B9" w:rsidRDefault="00AD211D" w:rsidP="00491D70">
            <w:pPr>
              <w:jc w:val="center"/>
            </w:pPr>
            <w:r w:rsidRPr="006220B9">
              <w:t xml:space="preserve">(Austria) </w:t>
            </w:r>
          </w:p>
        </w:tc>
        <w:tc>
          <w:tcPr>
            <w:tcW w:w="1275"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AD211D" w:rsidRPr="006220B9" w:rsidRDefault="00AD211D" w:rsidP="00491D70">
            <w:pPr>
              <w:jc w:val="center"/>
            </w:pPr>
            <w:r w:rsidRPr="006220B9">
              <w:rPr>
                <w:b/>
                <w:bCs/>
                <w:color w:val="333333"/>
              </w:rPr>
              <w:t>3</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t>7</w:t>
            </w:r>
          </w:p>
        </w:tc>
        <w:tc>
          <w:tcPr>
            <w:tcW w:w="1701" w:type="dxa"/>
            <w:tcBorders>
              <w:top w:val="nil"/>
              <w:left w:val="nil"/>
              <w:bottom w:val="single" w:sz="8" w:space="0" w:color="000000"/>
              <w:right w:val="single" w:sz="8" w:space="0" w:color="000000"/>
            </w:tcBorders>
            <w:vAlign w:val="center"/>
          </w:tcPr>
          <w:p w:rsidR="00AD211D" w:rsidRDefault="00AD211D" w:rsidP="00491D70">
            <w:pPr>
              <w:jc w:val="center"/>
            </w:pPr>
            <w:r>
              <w:t xml:space="preserve"> 130 €</w:t>
            </w:r>
          </w:p>
        </w:tc>
        <w:tc>
          <w:tcPr>
            <w:tcW w:w="3118" w:type="dxa"/>
            <w:tcBorders>
              <w:top w:val="nil"/>
              <w:left w:val="nil"/>
              <w:bottom w:val="single" w:sz="8" w:space="0" w:color="000000"/>
              <w:right w:val="single" w:sz="8" w:space="0" w:color="000000"/>
            </w:tcBorders>
          </w:tcPr>
          <w:p w:rsidR="00AD211D" w:rsidRDefault="00AD211D" w:rsidP="00491D70">
            <w:r>
              <w:t xml:space="preserve">Hotel zlokalizowany w odległości maksymalnie do 2 km od BM.I: Federal Ministry </w:t>
            </w:r>
            <w:r>
              <w:lastRenderedPageBreak/>
              <w:t>of the Interior, Minoritenplatz 9,1014 Wien</w:t>
            </w:r>
          </w:p>
        </w:tc>
      </w:tr>
      <w:tr w:rsidR="00AD211D" w:rsidTr="00491D70">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lastRenderedPageBreak/>
              <w:t>Dublin</w:t>
            </w:r>
          </w:p>
          <w:p w:rsidR="00AD211D" w:rsidRDefault="00AD211D" w:rsidP="00491D70">
            <w:pPr>
              <w:jc w:val="center"/>
            </w:pPr>
            <w:r>
              <w:t>(Irlandia)</w:t>
            </w:r>
          </w:p>
        </w:tc>
        <w:tc>
          <w:tcPr>
            <w:tcW w:w="1275"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rPr>
                <w:b/>
                <w:bCs/>
                <w:color w:val="333333"/>
              </w:rPr>
              <w:t>4</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211D" w:rsidRDefault="00AD211D" w:rsidP="00491D70">
            <w:pPr>
              <w:jc w:val="center"/>
            </w:pPr>
            <w:r>
              <w:t>10</w:t>
            </w:r>
          </w:p>
        </w:tc>
        <w:tc>
          <w:tcPr>
            <w:tcW w:w="1701" w:type="dxa"/>
            <w:tcBorders>
              <w:top w:val="nil"/>
              <w:left w:val="nil"/>
              <w:bottom w:val="single" w:sz="8" w:space="0" w:color="000000"/>
              <w:right w:val="single" w:sz="8" w:space="0" w:color="000000"/>
            </w:tcBorders>
            <w:vAlign w:val="center"/>
          </w:tcPr>
          <w:p w:rsidR="00AD211D" w:rsidRDefault="00AD211D" w:rsidP="00491D70">
            <w:pPr>
              <w:jc w:val="center"/>
            </w:pPr>
            <w:r>
              <w:t>160 €</w:t>
            </w:r>
          </w:p>
        </w:tc>
        <w:tc>
          <w:tcPr>
            <w:tcW w:w="3118" w:type="dxa"/>
            <w:tcBorders>
              <w:top w:val="nil"/>
              <w:left w:val="nil"/>
              <w:bottom w:val="single" w:sz="8" w:space="0" w:color="000000"/>
              <w:right w:val="single" w:sz="8" w:space="0" w:color="000000"/>
            </w:tcBorders>
          </w:tcPr>
          <w:p w:rsidR="00AD211D" w:rsidRPr="009A7CD2" w:rsidRDefault="00AD211D" w:rsidP="00491D70">
            <w:r w:rsidRPr="009A7CD2">
              <w:t xml:space="preserve">Hotel zlokalizowany w odległości maksymalnie do 2 km od Reception &amp; Integration Agency </w:t>
            </w:r>
            <w:r w:rsidRPr="009A7CD2">
              <w:br/>
              <w:t xml:space="preserve">Bishop's Square </w:t>
            </w:r>
            <w:r w:rsidRPr="009A7CD2">
              <w:br/>
              <w:t xml:space="preserve">Redmond's Hill/Kevin Street </w:t>
            </w:r>
            <w:r w:rsidRPr="009A7CD2">
              <w:br/>
              <w:t xml:space="preserve">Dublin 2 </w:t>
            </w:r>
            <w:r w:rsidRPr="009A7CD2">
              <w:br/>
            </w:r>
          </w:p>
        </w:tc>
      </w:tr>
    </w:tbl>
    <w:p w:rsidR="00AD211D" w:rsidRDefault="00AD211D"/>
    <w:p w:rsidR="00EB6A9C" w:rsidRDefault="00EB6A9C"/>
    <w:p w:rsidR="00A8668A" w:rsidRDefault="00A8668A" w:rsidP="00A8668A">
      <w:pPr>
        <w:rPr>
          <w:u w:val="single"/>
        </w:rPr>
      </w:pPr>
    </w:p>
    <w:p w:rsidR="00A8668A" w:rsidRDefault="00A8668A" w:rsidP="00A8668A">
      <w:pPr>
        <w:jc w:val="both"/>
      </w:pPr>
      <w:r>
        <w:t xml:space="preserve">Zmienione załączniki </w:t>
      </w:r>
      <w:r w:rsidR="002257F9">
        <w:t xml:space="preserve">nr 4 do SIWZ (formularz ofertowy) oraz załącznik nr 7 do SIWZ (projekt umowy) </w:t>
      </w:r>
      <w:r>
        <w:t>stanowią załącznik do niniejszej informacji</w:t>
      </w:r>
      <w:r w:rsidR="002257F9">
        <w:t>.</w:t>
      </w:r>
    </w:p>
    <w:p w:rsidR="00A8668A" w:rsidRDefault="00A8668A" w:rsidP="00A8668A">
      <w:pPr>
        <w:jc w:val="both"/>
      </w:pPr>
    </w:p>
    <w:p w:rsidR="00A8668A" w:rsidRDefault="00A8668A" w:rsidP="00A8668A">
      <w:pPr>
        <w:autoSpaceDE w:val="0"/>
        <w:autoSpaceDN w:val="0"/>
        <w:adjustRightInd w:val="0"/>
        <w:spacing w:after="60"/>
        <w:jc w:val="both"/>
      </w:pPr>
      <w:r>
        <w:t>Pozostałe zapisy S</w:t>
      </w:r>
      <w:r w:rsidRPr="0068534D">
        <w:t xml:space="preserve">pecyfikacji </w:t>
      </w:r>
      <w:r>
        <w:t>Istotnych W</w:t>
      </w:r>
      <w:r w:rsidRPr="0068534D">
        <w:t>arunk</w:t>
      </w:r>
      <w:r>
        <w:t>ów</w:t>
      </w:r>
      <w:r w:rsidRPr="0068534D">
        <w:t xml:space="preserve"> </w:t>
      </w:r>
      <w:r>
        <w:t>Zamó</w:t>
      </w:r>
      <w:r w:rsidRPr="0068534D">
        <w:t>wienia nie ulegają</w:t>
      </w:r>
      <w:r>
        <w:t xml:space="preserve"> </w:t>
      </w:r>
      <w:r w:rsidRPr="0068534D">
        <w:t>zmianie.</w:t>
      </w:r>
      <w:r>
        <w:t xml:space="preserve"> </w:t>
      </w:r>
    </w:p>
    <w:p w:rsidR="00A8668A" w:rsidRDefault="00A8668A" w:rsidP="00A8668A">
      <w:pPr>
        <w:jc w:val="both"/>
      </w:pPr>
    </w:p>
    <w:p w:rsidR="00A8668A" w:rsidRDefault="00A8668A" w:rsidP="00A8668A">
      <w:pPr>
        <w:jc w:val="both"/>
      </w:pPr>
      <w:r>
        <w:t>Zmiany SIWZ są wiążące dla wszystkich Wykonawców biorących udział w niniejszym postępowaniu.</w:t>
      </w:r>
    </w:p>
    <w:p w:rsidR="00A8668A" w:rsidRDefault="00A8668A" w:rsidP="00A8668A">
      <w:pPr>
        <w:autoSpaceDE w:val="0"/>
        <w:autoSpaceDN w:val="0"/>
        <w:adjustRightInd w:val="0"/>
        <w:spacing w:after="60"/>
        <w:jc w:val="both"/>
      </w:pPr>
    </w:p>
    <w:p w:rsidR="00A8668A" w:rsidRPr="0068534D" w:rsidRDefault="00A8668A" w:rsidP="00A8668A">
      <w:pPr>
        <w:autoSpaceDE w:val="0"/>
        <w:autoSpaceDN w:val="0"/>
        <w:adjustRightInd w:val="0"/>
        <w:spacing w:after="60"/>
        <w:jc w:val="both"/>
      </w:pPr>
      <w:r>
        <w:t>Biorąc powyższe pod uwagę,</w:t>
      </w:r>
      <w:r w:rsidRPr="0068534D">
        <w:t xml:space="preserve"> </w:t>
      </w:r>
      <w:r>
        <w:t>Zam</w:t>
      </w:r>
      <w:r w:rsidRPr="0068534D">
        <w:t xml:space="preserve">awiający </w:t>
      </w:r>
      <w:r>
        <w:t>informuj</w:t>
      </w:r>
      <w:r w:rsidRPr="0068534D">
        <w:t xml:space="preserve">e, </w:t>
      </w:r>
      <w:r>
        <w:t>że</w:t>
      </w:r>
      <w:r w:rsidRPr="0068534D">
        <w:t xml:space="preserve"> </w:t>
      </w:r>
      <w:r>
        <w:t>prz</w:t>
      </w:r>
      <w:r w:rsidRPr="0068534D">
        <w:t>edłuża termin składania</w:t>
      </w:r>
      <w:r>
        <w:t xml:space="preserve"> </w:t>
      </w:r>
      <w:r w:rsidRPr="0068534D">
        <w:t xml:space="preserve">ofert </w:t>
      </w:r>
      <w:r>
        <w:br/>
      </w:r>
      <w:r w:rsidRPr="0068534D">
        <w:t xml:space="preserve">do </w:t>
      </w:r>
      <w:r>
        <w:t xml:space="preserve">dnia </w:t>
      </w:r>
      <w:r w:rsidR="00863E10">
        <w:rPr>
          <w:b/>
          <w:u w:val="single"/>
        </w:rPr>
        <w:t>24</w:t>
      </w:r>
      <w:r w:rsidRPr="00DD4C46">
        <w:rPr>
          <w:b/>
          <w:u w:val="single"/>
        </w:rPr>
        <w:t>.</w:t>
      </w:r>
      <w:r w:rsidR="00863E10">
        <w:rPr>
          <w:b/>
          <w:u w:val="single"/>
        </w:rPr>
        <w:t>03.2014 r. do godz. 11</w:t>
      </w:r>
      <w:r w:rsidRPr="000E219A">
        <w:rPr>
          <w:b/>
          <w:u w:val="single"/>
        </w:rPr>
        <w:t>.00</w:t>
      </w:r>
      <w:r w:rsidRPr="0068534D">
        <w:t xml:space="preserve">. </w:t>
      </w:r>
      <w:r>
        <w:t>O</w:t>
      </w:r>
      <w:r w:rsidRPr="0068534D">
        <w:t>twarcie ofert nastąpi w tym samym dniu o</w:t>
      </w:r>
      <w:r>
        <w:t xml:space="preserve"> </w:t>
      </w:r>
      <w:r w:rsidRPr="000E219A">
        <w:rPr>
          <w:b/>
          <w:u w:val="single"/>
        </w:rPr>
        <w:t>god</w:t>
      </w:r>
      <w:r w:rsidR="00863E10">
        <w:rPr>
          <w:b/>
          <w:u w:val="single"/>
        </w:rPr>
        <w:t>z. 11</w:t>
      </w:r>
      <w:r w:rsidRPr="000E219A">
        <w:rPr>
          <w:b/>
          <w:u w:val="single"/>
        </w:rPr>
        <w:t>.15</w:t>
      </w:r>
      <w:r>
        <w:t>.</w:t>
      </w:r>
    </w:p>
    <w:p w:rsidR="00A8668A" w:rsidRDefault="00A8668A" w:rsidP="00A8668A">
      <w:pPr>
        <w:jc w:val="both"/>
      </w:pPr>
    </w:p>
    <w:p w:rsidR="00A8668A" w:rsidRDefault="00A8668A" w:rsidP="00A8668A">
      <w:pPr>
        <w:jc w:val="both"/>
      </w:pPr>
    </w:p>
    <w:p w:rsidR="00EB6A9C" w:rsidRPr="00A8668A" w:rsidRDefault="00EB6A9C" w:rsidP="00A8668A"/>
    <w:sectPr w:rsidR="00EB6A9C" w:rsidRPr="00A8668A" w:rsidSect="00936A6B">
      <w:pgSz w:w="11906" w:h="16838"/>
      <w:pgMar w:top="1276"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80"/>
    <w:rsid w:val="000512F3"/>
    <w:rsid w:val="000C7F47"/>
    <w:rsid w:val="001D7786"/>
    <w:rsid w:val="002257F9"/>
    <w:rsid w:val="002627E6"/>
    <w:rsid w:val="005352C4"/>
    <w:rsid w:val="005721BE"/>
    <w:rsid w:val="006220B9"/>
    <w:rsid w:val="006D48A8"/>
    <w:rsid w:val="00845334"/>
    <w:rsid w:val="00863E10"/>
    <w:rsid w:val="0093506C"/>
    <w:rsid w:val="00A8668A"/>
    <w:rsid w:val="00AD211D"/>
    <w:rsid w:val="00B364C1"/>
    <w:rsid w:val="00BC4F80"/>
    <w:rsid w:val="00CF788A"/>
    <w:rsid w:val="00EB6A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B5CE2-EF64-4652-8D88-E4639CB6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4F8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C4F80"/>
    <w:pPr>
      <w:spacing w:line="360" w:lineRule="auto"/>
      <w:ind w:right="-1" w:firstLine="708"/>
      <w:jc w:val="both"/>
    </w:pPr>
    <w:rPr>
      <w:rFonts w:ascii="Arial" w:hAnsi="Arial" w:cs="Arial"/>
    </w:rPr>
  </w:style>
  <w:style w:type="character" w:customStyle="1" w:styleId="TekstpodstawowywcityZnak">
    <w:name w:val="Tekst podstawowy wcięty Znak"/>
    <w:basedOn w:val="Domylnaczcionkaakapitu"/>
    <w:link w:val="Tekstpodstawowywcity"/>
    <w:rsid w:val="00BC4F80"/>
    <w:rPr>
      <w:rFonts w:ascii="Arial" w:eastAsia="Times New Roman" w:hAnsi="Arial" w:cs="Arial"/>
      <w:sz w:val="24"/>
      <w:szCs w:val="24"/>
      <w:lang w:eastAsia="pl-PL"/>
    </w:rPr>
  </w:style>
  <w:style w:type="paragraph" w:styleId="Tekstpodstawowy">
    <w:name w:val="Body Text"/>
    <w:basedOn w:val="Normalny"/>
    <w:link w:val="TekstpodstawowyZnak"/>
    <w:rsid w:val="00BC4F80"/>
    <w:pPr>
      <w:spacing w:after="120"/>
    </w:pPr>
  </w:style>
  <w:style w:type="character" w:customStyle="1" w:styleId="TekstpodstawowyZnak">
    <w:name w:val="Tekst podstawowy Znak"/>
    <w:basedOn w:val="Domylnaczcionkaakapitu"/>
    <w:link w:val="Tekstpodstawowy"/>
    <w:rsid w:val="00BC4F8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220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20B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8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587</Words>
  <Characters>3523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Leman Anna</dc:creator>
  <cp:keywords/>
  <dc:description/>
  <cp:lastModifiedBy>Leman Anna</cp:lastModifiedBy>
  <cp:revision>13</cp:revision>
  <cp:lastPrinted>2015-03-17T09:43:00Z</cp:lastPrinted>
  <dcterms:created xsi:type="dcterms:W3CDTF">2015-03-16T14:08:00Z</dcterms:created>
  <dcterms:modified xsi:type="dcterms:W3CDTF">2015-03-17T14:44:00Z</dcterms:modified>
</cp:coreProperties>
</file>