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6EE0" w14:textId="77777777" w:rsidR="00B9413A" w:rsidRPr="006A6682" w:rsidRDefault="00B9413A" w:rsidP="003B2EF8">
      <w:pPr>
        <w:spacing w:after="120"/>
        <w:jc w:val="right"/>
        <w:rPr>
          <w:b/>
          <w:sz w:val="22"/>
          <w:szCs w:val="20"/>
        </w:rPr>
      </w:pPr>
      <w:bookmarkStart w:id="0" w:name="_GoBack"/>
      <w:bookmarkEnd w:id="0"/>
      <w:r w:rsidRPr="006A6682">
        <w:rPr>
          <w:b/>
          <w:sz w:val="22"/>
        </w:rPr>
        <w:t>Załącznik nr 1 do SIWZ</w:t>
      </w:r>
    </w:p>
    <w:p w14:paraId="1DCB64BD" w14:textId="77777777" w:rsidR="00B9413A" w:rsidRPr="006A6682" w:rsidRDefault="00B9413A" w:rsidP="00B9413A">
      <w:pPr>
        <w:rPr>
          <w:sz w:val="28"/>
        </w:rPr>
      </w:pPr>
    </w:p>
    <w:p w14:paraId="1EE46694" w14:textId="77777777" w:rsidR="00B9413A" w:rsidRPr="006A6682" w:rsidRDefault="00B9413A" w:rsidP="00B9413A">
      <w:pPr>
        <w:rPr>
          <w:sz w:val="28"/>
        </w:rPr>
      </w:pPr>
    </w:p>
    <w:p w14:paraId="3B3FECEB" w14:textId="77777777" w:rsidR="00B9413A" w:rsidRPr="006A6682" w:rsidRDefault="00B9413A" w:rsidP="00B9413A">
      <w:pPr>
        <w:rPr>
          <w:sz w:val="28"/>
        </w:rPr>
      </w:pPr>
    </w:p>
    <w:p w14:paraId="1E70D335" w14:textId="77777777" w:rsidR="00B9413A" w:rsidRPr="006A6682" w:rsidRDefault="00B9413A" w:rsidP="00B9413A">
      <w:pPr>
        <w:jc w:val="center"/>
        <w:rPr>
          <w:b/>
          <w:szCs w:val="20"/>
        </w:rPr>
      </w:pPr>
      <w:r w:rsidRPr="006A6682">
        <w:rPr>
          <w:b/>
          <w:szCs w:val="20"/>
        </w:rPr>
        <w:t>OPIS PRZEDMIOTU ZAMÓWIENIA</w:t>
      </w:r>
    </w:p>
    <w:p w14:paraId="696357F1" w14:textId="77777777" w:rsidR="00B9413A" w:rsidRPr="00EA06C3" w:rsidRDefault="00B9413A" w:rsidP="00B9413A">
      <w:pPr>
        <w:jc w:val="center"/>
        <w:rPr>
          <w:rFonts w:ascii="Tahoma" w:hAnsi="Tahoma" w:cs="Tahoma"/>
          <w:b/>
          <w:sz w:val="20"/>
          <w:szCs w:val="20"/>
        </w:rPr>
      </w:pPr>
    </w:p>
    <w:p w14:paraId="2331A187" w14:textId="77777777" w:rsidR="00B9413A" w:rsidRPr="00C653B2" w:rsidRDefault="00B9413A" w:rsidP="00B9413A">
      <w:pPr>
        <w:pStyle w:val="Akapitzlist"/>
        <w:numPr>
          <w:ilvl w:val="0"/>
          <w:numId w:val="3"/>
        </w:numPr>
        <w:suppressAutoHyphens/>
        <w:ind w:left="426" w:hanging="426"/>
        <w:rPr>
          <w:b/>
          <w:sz w:val="28"/>
          <w:szCs w:val="28"/>
          <w:u w:val="single"/>
          <w:lang w:eastAsia="zh-CN"/>
        </w:rPr>
      </w:pPr>
      <w:bookmarkStart w:id="1" w:name="__RefHeading__2299_840069318"/>
      <w:bookmarkEnd w:id="1"/>
      <w:r w:rsidRPr="00C653B2">
        <w:rPr>
          <w:b/>
          <w:sz w:val="28"/>
          <w:szCs w:val="28"/>
          <w:u w:val="single"/>
          <w:lang w:eastAsia="zh-CN"/>
        </w:rPr>
        <w:t>Definicje:</w:t>
      </w:r>
    </w:p>
    <w:p w14:paraId="40FFDF4E" w14:textId="43509FA3" w:rsidR="00B9413A" w:rsidRPr="00C653B2" w:rsidRDefault="00B9413A" w:rsidP="006A6682">
      <w:pPr>
        <w:suppressAutoHyphens/>
        <w:jc w:val="both"/>
        <w:rPr>
          <w:b/>
          <w:kern w:val="1"/>
          <w:lang w:eastAsia="zh-CN"/>
        </w:rPr>
      </w:pPr>
    </w:p>
    <w:p w14:paraId="1FA67959" w14:textId="77777777" w:rsidR="006A6682" w:rsidRDefault="00B9413A" w:rsidP="006A6682">
      <w:pPr>
        <w:suppressAutoHyphens/>
        <w:ind w:left="2977" w:hanging="2268"/>
        <w:jc w:val="both"/>
        <w:rPr>
          <w:kern w:val="1"/>
          <w:lang w:eastAsia="zh-CN"/>
        </w:rPr>
      </w:pPr>
      <w:r w:rsidRPr="001538A7">
        <w:rPr>
          <w:b/>
          <w:kern w:val="1"/>
          <w:lang w:eastAsia="zh-CN"/>
        </w:rPr>
        <w:t>Awaria</w:t>
      </w:r>
      <w:r w:rsidRPr="001538A7">
        <w:rPr>
          <w:kern w:val="1"/>
          <w:lang w:eastAsia="zh-CN"/>
        </w:rPr>
        <w:t xml:space="preserve">  </w:t>
      </w:r>
      <w:r w:rsidR="006A6682">
        <w:rPr>
          <w:kern w:val="1"/>
          <w:lang w:eastAsia="zh-CN"/>
        </w:rPr>
        <w:t xml:space="preserve">             </w:t>
      </w:r>
      <w:r w:rsidRPr="001538A7">
        <w:rPr>
          <w:kern w:val="1"/>
          <w:lang w:eastAsia="zh-CN"/>
        </w:rPr>
        <w:tab/>
      </w:r>
    </w:p>
    <w:p w14:paraId="33268083" w14:textId="78C6B118" w:rsidR="00B9413A" w:rsidRDefault="00B9413A" w:rsidP="006A6682">
      <w:pPr>
        <w:suppressAutoHyphens/>
        <w:ind w:left="709"/>
        <w:jc w:val="both"/>
        <w:rPr>
          <w:kern w:val="1"/>
          <w:lang w:eastAsia="zh-CN"/>
        </w:rPr>
      </w:pPr>
      <w:r w:rsidRPr="001538A7">
        <w:rPr>
          <w:kern w:val="1"/>
          <w:lang w:eastAsia="zh-CN"/>
        </w:rPr>
        <w:t>Stan niesprawności obiektu uniemożliwiający jego fu</w:t>
      </w:r>
      <w:r w:rsidR="006A6682">
        <w:rPr>
          <w:kern w:val="1"/>
          <w:lang w:eastAsia="zh-CN"/>
        </w:rPr>
        <w:t xml:space="preserve">nkcjonowanie, występujący nagle </w:t>
      </w:r>
      <w:r w:rsidRPr="001538A7">
        <w:rPr>
          <w:kern w:val="1"/>
          <w:lang w:eastAsia="zh-CN"/>
        </w:rPr>
        <w:t>i powodujący</w:t>
      </w:r>
      <w:r w:rsidRPr="00532620">
        <w:rPr>
          <w:kern w:val="1"/>
          <w:lang w:eastAsia="zh-CN"/>
        </w:rPr>
        <w:t xml:space="preserve"> jego niewłaściwe działanie lub całkowite unieruchomienie. Moment wystąpienia awarii nie jest możliwy do określenia z góry, przeważnie nie sposób p</w:t>
      </w:r>
      <w:r w:rsidR="006A6682">
        <w:rPr>
          <w:kern w:val="1"/>
          <w:lang w:eastAsia="zh-CN"/>
        </w:rPr>
        <w:t>rzewidzieć również jej zasięgu;</w:t>
      </w:r>
    </w:p>
    <w:p w14:paraId="206065E7" w14:textId="77777777" w:rsidR="006A6682" w:rsidRPr="00532620" w:rsidRDefault="006A6682" w:rsidP="006A6682">
      <w:pPr>
        <w:suppressAutoHyphens/>
        <w:ind w:left="2410" w:hanging="1984"/>
        <w:jc w:val="both"/>
        <w:rPr>
          <w:kern w:val="1"/>
          <w:lang w:eastAsia="zh-CN"/>
        </w:rPr>
      </w:pPr>
    </w:p>
    <w:p w14:paraId="49D86916" w14:textId="77777777" w:rsidR="006A6682" w:rsidRDefault="00B9413A" w:rsidP="006A6682">
      <w:pPr>
        <w:suppressAutoHyphens/>
        <w:ind w:left="2977" w:hanging="2268"/>
        <w:jc w:val="both"/>
        <w:rPr>
          <w:kern w:val="1"/>
          <w:lang w:eastAsia="zh-CN"/>
        </w:rPr>
      </w:pPr>
      <w:r w:rsidRPr="00532620">
        <w:rPr>
          <w:b/>
          <w:kern w:val="1"/>
          <w:lang w:eastAsia="zh-CN"/>
        </w:rPr>
        <w:t xml:space="preserve">Błąd </w:t>
      </w:r>
      <w:r w:rsidRPr="00532620">
        <w:rPr>
          <w:kern w:val="1"/>
          <w:lang w:eastAsia="zh-CN"/>
        </w:rPr>
        <w:t xml:space="preserve"> </w:t>
      </w:r>
      <w:r w:rsidRPr="00532620">
        <w:rPr>
          <w:kern w:val="1"/>
          <w:lang w:eastAsia="zh-CN"/>
        </w:rPr>
        <w:tab/>
      </w:r>
    </w:p>
    <w:p w14:paraId="671CFEE0" w14:textId="00F81F60" w:rsidR="00B9413A" w:rsidRDefault="00B9413A" w:rsidP="006A6682">
      <w:pPr>
        <w:suppressAutoHyphens/>
        <w:ind w:left="2977" w:hanging="2268"/>
        <w:jc w:val="both"/>
        <w:rPr>
          <w:kern w:val="1"/>
          <w:lang w:eastAsia="zh-CN"/>
        </w:rPr>
      </w:pPr>
      <w:r w:rsidRPr="00532620">
        <w:rPr>
          <w:kern w:val="1"/>
          <w:lang w:eastAsia="zh-CN"/>
        </w:rPr>
        <w:t>Usterkę oprogramowania powodująca jego nieprawidłowe działanie;</w:t>
      </w:r>
    </w:p>
    <w:p w14:paraId="74AF160C" w14:textId="77777777" w:rsidR="006A6682" w:rsidRPr="00532620" w:rsidRDefault="006A6682" w:rsidP="006A6682">
      <w:pPr>
        <w:suppressAutoHyphens/>
        <w:ind w:left="2410" w:hanging="1984"/>
        <w:jc w:val="both"/>
        <w:rPr>
          <w:kern w:val="1"/>
          <w:lang w:eastAsia="zh-CN"/>
        </w:rPr>
      </w:pPr>
    </w:p>
    <w:p w14:paraId="162E6C03" w14:textId="77777777" w:rsidR="006A6682" w:rsidRDefault="00B9413A" w:rsidP="006A6682">
      <w:pPr>
        <w:suppressAutoHyphens/>
        <w:ind w:left="2977" w:hanging="2268"/>
        <w:jc w:val="both"/>
        <w:rPr>
          <w:kern w:val="1"/>
          <w:lang w:eastAsia="zh-CN"/>
        </w:rPr>
      </w:pPr>
      <w:r w:rsidRPr="00532620">
        <w:rPr>
          <w:b/>
          <w:kern w:val="1"/>
          <w:lang w:eastAsia="zh-CN"/>
        </w:rPr>
        <w:t>Uszkodzenie</w:t>
      </w:r>
    </w:p>
    <w:p w14:paraId="5E6AB6AF" w14:textId="60B4E126" w:rsidR="00B9413A" w:rsidRDefault="00B9413A" w:rsidP="006A6682">
      <w:pPr>
        <w:suppressAutoHyphens/>
        <w:ind w:left="709"/>
        <w:jc w:val="both"/>
        <w:rPr>
          <w:kern w:val="1"/>
          <w:lang w:eastAsia="zh-CN"/>
        </w:rPr>
      </w:pPr>
      <w:r w:rsidRPr="00532620">
        <w:rPr>
          <w:kern w:val="1"/>
          <w:lang w:eastAsia="zh-CN"/>
        </w:rPr>
        <w:t>Przypadek losowy, powodujący utracenie chwilowe lub stałe zdatności obiektu. Uszkodzenie następuje wtedy, gdy wartości parametrów danego obiektu eksploatacji nie są w normie i przekraczają jego graniczne wartości wytrzymałości;</w:t>
      </w:r>
      <w:r w:rsidRPr="00532620">
        <w:rPr>
          <w:kern w:val="1"/>
          <w:lang w:eastAsia="zh-CN"/>
        </w:rPr>
        <w:tab/>
      </w:r>
    </w:p>
    <w:p w14:paraId="6B5015C4" w14:textId="77777777" w:rsidR="006A6682" w:rsidRPr="00532620" w:rsidRDefault="006A6682" w:rsidP="006A6682">
      <w:pPr>
        <w:suppressAutoHyphens/>
        <w:ind w:left="2410" w:hanging="1984"/>
        <w:jc w:val="both"/>
        <w:rPr>
          <w:kern w:val="1"/>
          <w:lang w:eastAsia="zh-CN"/>
        </w:rPr>
      </w:pPr>
    </w:p>
    <w:p w14:paraId="34E4BC1A" w14:textId="77777777" w:rsidR="006A6682" w:rsidRDefault="00B9413A" w:rsidP="006A6682">
      <w:pPr>
        <w:suppressAutoHyphens/>
        <w:ind w:left="2977" w:hanging="2268"/>
        <w:jc w:val="both"/>
        <w:rPr>
          <w:kern w:val="1"/>
          <w:lang w:eastAsia="zh-CN"/>
        </w:rPr>
      </w:pPr>
      <w:r w:rsidRPr="006A6682">
        <w:rPr>
          <w:b/>
          <w:kern w:val="1"/>
          <w:lang w:eastAsia="zh-CN"/>
        </w:rPr>
        <w:t>Awaria/uszkodzenie</w:t>
      </w:r>
      <w:r w:rsidRPr="00532620">
        <w:rPr>
          <w:kern w:val="1"/>
          <w:lang w:eastAsia="zh-CN"/>
        </w:rPr>
        <w:t xml:space="preserve"> </w:t>
      </w:r>
      <w:r w:rsidR="006A6682">
        <w:rPr>
          <w:kern w:val="1"/>
          <w:lang w:eastAsia="zh-CN"/>
        </w:rPr>
        <w:t xml:space="preserve">        </w:t>
      </w:r>
    </w:p>
    <w:p w14:paraId="3EEF3336" w14:textId="52F6E750" w:rsidR="00B9413A" w:rsidRPr="00532620" w:rsidRDefault="006A6682" w:rsidP="006A6682">
      <w:pPr>
        <w:suppressAutoHyphens/>
        <w:ind w:left="709"/>
        <w:jc w:val="both"/>
        <w:rPr>
          <w:kern w:val="1"/>
          <w:lang w:eastAsia="zh-CN"/>
        </w:rPr>
      </w:pPr>
      <w:r>
        <w:rPr>
          <w:kern w:val="1"/>
          <w:lang w:eastAsia="zh-CN"/>
        </w:rPr>
        <w:t>M</w:t>
      </w:r>
      <w:r w:rsidR="00B9413A" w:rsidRPr="00532620">
        <w:rPr>
          <w:kern w:val="1"/>
          <w:lang w:eastAsia="zh-CN"/>
        </w:rPr>
        <w:t xml:space="preserve">oże dotyczyć obiektu tj. urządzenia teleinformatycznego, grupy urządzeń teleinformatycznych (maszyn), systemu teleinformatycznego </w:t>
      </w:r>
      <w:r w:rsidR="00B9413A" w:rsidRPr="00532620">
        <w:rPr>
          <w:kern w:val="1"/>
          <w:u w:val="single"/>
          <w:lang w:eastAsia="zh-CN"/>
        </w:rPr>
        <w:t xml:space="preserve">(zespół urządzeń i oprogramowania) </w:t>
      </w:r>
      <w:r w:rsidR="00B9413A" w:rsidRPr="00532620">
        <w:rPr>
          <w:kern w:val="1"/>
          <w:lang w:eastAsia="zh-CN"/>
        </w:rPr>
        <w:t>lub oprogramowania na te urządzenia;</w:t>
      </w:r>
    </w:p>
    <w:p w14:paraId="1DCD887B" w14:textId="1A9E3B2B" w:rsidR="00B9413A" w:rsidRPr="00532620" w:rsidRDefault="00B9413A" w:rsidP="006A6682">
      <w:pPr>
        <w:suppressAutoHyphens/>
        <w:jc w:val="both"/>
        <w:rPr>
          <w:kern w:val="1"/>
          <w:lang w:eastAsia="zh-CN"/>
        </w:rPr>
      </w:pPr>
    </w:p>
    <w:p w14:paraId="1E3BC159" w14:textId="77777777" w:rsidR="006A6682" w:rsidRDefault="00B9413A" w:rsidP="006A6682">
      <w:pPr>
        <w:suppressAutoHyphens/>
        <w:ind w:left="2410" w:hanging="1701"/>
        <w:jc w:val="both"/>
        <w:rPr>
          <w:kern w:val="1"/>
          <w:lang w:eastAsia="zh-CN"/>
        </w:rPr>
      </w:pPr>
      <w:r w:rsidRPr="00532620">
        <w:rPr>
          <w:b/>
          <w:kern w:val="1"/>
          <w:lang w:eastAsia="zh-CN"/>
        </w:rPr>
        <w:t xml:space="preserve">Wsparcie techniczne </w:t>
      </w:r>
      <w:r w:rsidRPr="00532620">
        <w:rPr>
          <w:kern w:val="1"/>
          <w:lang w:eastAsia="zh-CN"/>
        </w:rPr>
        <w:tab/>
      </w:r>
    </w:p>
    <w:p w14:paraId="70F9879C" w14:textId="3FBE6962" w:rsidR="00B9413A" w:rsidRPr="00532620" w:rsidRDefault="00B9413A" w:rsidP="006A6682">
      <w:pPr>
        <w:suppressAutoHyphens/>
        <w:ind w:left="709"/>
        <w:jc w:val="both"/>
        <w:rPr>
          <w:kern w:val="1"/>
          <w:lang w:eastAsia="zh-CN"/>
        </w:rPr>
      </w:pPr>
      <w:r w:rsidRPr="00532620">
        <w:rPr>
          <w:kern w:val="1"/>
          <w:lang w:eastAsia="zh-CN"/>
        </w:rPr>
        <w:t xml:space="preserve">Gwarantowana pomoc w eksploatacji </w:t>
      </w:r>
      <w:r w:rsidRPr="00532620">
        <w:rPr>
          <w:kern w:val="1"/>
          <w:u w:val="single"/>
          <w:lang w:eastAsia="zh-CN"/>
        </w:rPr>
        <w:t xml:space="preserve">urządzenia teleinformatycznego, grupy urządzeń teleinformatycznych (maszyn), systemu teleinformatycznego (zespół urządzeń i oprogramowania) </w:t>
      </w:r>
      <w:r w:rsidRPr="00532620">
        <w:rPr>
          <w:kern w:val="1"/>
          <w:lang w:eastAsia="zh-CN"/>
        </w:rPr>
        <w:t>lub oprogramowania na te urządzenia</w:t>
      </w:r>
      <w:r w:rsidRPr="00532620">
        <w:rPr>
          <w:kern w:val="1"/>
          <w:u w:val="single"/>
          <w:lang w:eastAsia="zh-CN"/>
        </w:rPr>
        <w:t xml:space="preserve"> </w:t>
      </w:r>
      <w:r w:rsidRPr="00532620">
        <w:rPr>
          <w:kern w:val="1"/>
          <w:lang w:eastAsia="zh-CN"/>
        </w:rPr>
        <w:t>udzielana Zamawiającemu przez producenta lub dystrybutora</w:t>
      </w:r>
      <w:r w:rsidR="006A6682">
        <w:rPr>
          <w:kern w:val="1"/>
          <w:lang w:eastAsia="zh-CN"/>
        </w:rPr>
        <w:t xml:space="preserve"> urządzenia.</w:t>
      </w:r>
    </w:p>
    <w:p w14:paraId="2FD45CF7" w14:textId="77777777" w:rsidR="00B9413A" w:rsidRDefault="00B9413A" w:rsidP="00B9413A">
      <w:pPr>
        <w:ind w:left="540"/>
        <w:rPr>
          <w:b/>
          <w:bCs/>
        </w:rPr>
      </w:pPr>
    </w:p>
    <w:p w14:paraId="00FF3BC9" w14:textId="77777777" w:rsidR="00B9413A" w:rsidRDefault="00B9413A" w:rsidP="00B9413A">
      <w:pPr>
        <w:ind w:left="540"/>
        <w:rPr>
          <w:b/>
          <w:bCs/>
        </w:rPr>
      </w:pPr>
    </w:p>
    <w:p w14:paraId="5AA54F81" w14:textId="77777777" w:rsidR="00B9413A" w:rsidRPr="001538A7" w:rsidRDefault="00B9413A" w:rsidP="00B9413A">
      <w:pPr>
        <w:keepNext/>
        <w:numPr>
          <w:ilvl w:val="0"/>
          <w:numId w:val="1"/>
        </w:numPr>
        <w:tabs>
          <w:tab w:val="clear" w:pos="720"/>
          <w:tab w:val="num" w:pos="8571"/>
        </w:tabs>
        <w:suppressAutoHyphens/>
        <w:ind w:left="426"/>
        <w:jc w:val="both"/>
        <w:outlineLvl w:val="0"/>
        <w:rPr>
          <w:rFonts w:cs="Cambria"/>
          <w:b/>
          <w:bCs/>
          <w:kern w:val="1"/>
          <w:sz w:val="28"/>
          <w:szCs w:val="28"/>
        </w:rPr>
      </w:pPr>
      <w:r w:rsidRPr="001538A7">
        <w:rPr>
          <w:rFonts w:cs="Cambria"/>
          <w:b/>
          <w:bCs/>
          <w:kern w:val="1"/>
          <w:sz w:val="28"/>
          <w:szCs w:val="28"/>
          <w:lang w:eastAsia="zh-CN"/>
        </w:rPr>
        <w:t xml:space="preserve">Przedmiot zamówienia. </w:t>
      </w:r>
    </w:p>
    <w:p w14:paraId="12E7FEA1" w14:textId="77777777" w:rsidR="00B9413A" w:rsidRPr="00532620" w:rsidRDefault="00B9413A" w:rsidP="00B9413A">
      <w:pPr>
        <w:suppressAutoHyphens/>
        <w:ind w:firstLine="709"/>
        <w:rPr>
          <w:kern w:val="1"/>
        </w:rPr>
      </w:pPr>
      <w:r w:rsidRPr="00532620">
        <w:rPr>
          <w:kern w:val="1"/>
        </w:rPr>
        <w:t>Przedmiotem zamówienia jest:</w:t>
      </w:r>
    </w:p>
    <w:p w14:paraId="6920219B" w14:textId="77777777" w:rsidR="00B9413A" w:rsidRPr="006A6682" w:rsidRDefault="00B9413A" w:rsidP="006A6682">
      <w:pPr>
        <w:pStyle w:val="Akapitzlist"/>
        <w:numPr>
          <w:ilvl w:val="0"/>
          <w:numId w:val="20"/>
        </w:numPr>
        <w:ind w:left="1134"/>
        <w:jc w:val="both"/>
      </w:pPr>
      <w:r w:rsidRPr="006A6682">
        <w:t>dostawa 2 urządzeń UTM wraz z niezbędnym oprogramowaniem oraz licencjami udzielonymi na okres co najmniej 36 miesięcy liczony od dnia podpisania protokołu odbioru urządzeń (zwane dalej: „urządzeniami”).</w:t>
      </w:r>
    </w:p>
    <w:p w14:paraId="10B61D37" w14:textId="6F167C38" w:rsidR="00B9413A" w:rsidRPr="006A6682" w:rsidRDefault="00B9413A" w:rsidP="006A6682">
      <w:pPr>
        <w:pStyle w:val="Akapitzlist"/>
        <w:numPr>
          <w:ilvl w:val="0"/>
          <w:numId w:val="20"/>
        </w:numPr>
        <w:ind w:left="1134"/>
        <w:jc w:val="both"/>
      </w:pPr>
      <w:r w:rsidRPr="006A6682">
        <w:t xml:space="preserve">Przeprowadzenie prac związanych z migracją </w:t>
      </w:r>
      <w:r w:rsidR="00D01E35">
        <w:t xml:space="preserve">z </w:t>
      </w:r>
      <w:r w:rsidRPr="006A6682">
        <w:t xml:space="preserve">posiadanych przez Zamawiającego urządzeń UTM </w:t>
      </w:r>
      <w:r w:rsidR="00D01E35">
        <w:t xml:space="preserve">(przeniesienie istniejących usług) </w:t>
      </w:r>
      <w:r w:rsidRPr="006A6682">
        <w:t>na nowe dostarczone urządzenia.</w:t>
      </w:r>
    </w:p>
    <w:p w14:paraId="358B7BA8" w14:textId="77777777" w:rsidR="00B9413A" w:rsidRPr="006A6682" w:rsidRDefault="00B9413A" w:rsidP="006A6682">
      <w:pPr>
        <w:pStyle w:val="Akapitzlist"/>
        <w:numPr>
          <w:ilvl w:val="0"/>
          <w:numId w:val="20"/>
        </w:numPr>
        <w:ind w:left="1134"/>
        <w:jc w:val="both"/>
      </w:pPr>
      <w:r w:rsidRPr="006A6682">
        <w:t>Wykonanie dokumentacji projektowej, powykonawczej, eksploatacyjnej a także scenariuszy testów akceptacyjnych</w:t>
      </w:r>
    </w:p>
    <w:p w14:paraId="4313AA1B" w14:textId="40802AF0" w:rsidR="00B9413A" w:rsidRPr="006A6682" w:rsidRDefault="00B9413A" w:rsidP="006A6682">
      <w:pPr>
        <w:pStyle w:val="Akapitzlist"/>
        <w:numPr>
          <w:ilvl w:val="0"/>
          <w:numId w:val="20"/>
        </w:numPr>
        <w:ind w:left="1134"/>
        <w:jc w:val="both"/>
      </w:pPr>
      <w:r w:rsidRPr="006A6682">
        <w:t>przeprowadzenie szkolenia z funkcjonowania i obsługi urządzeń.</w:t>
      </w:r>
    </w:p>
    <w:p w14:paraId="6471B1FC" w14:textId="6165CFB8" w:rsidR="00B9413A" w:rsidRDefault="00B9413A" w:rsidP="006A6682">
      <w:pPr>
        <w:pStyle w:val="Akapitzlist"/>
        <w:numPr>
          <w:ilvl w:val="0"/>
          <w:numId w:val="20"/>
        </w:numPr>
        <w:ind w:left="1134"/>
        <w:jc w:val="both"/>
      </w:pPr>
      <w:r w:rsidRPr="006A6682">
        <w:t xml:space="preserve">zapewnienie wsparcia technicznego  na okres co najmniej 36 miesięcy liczony od dnia podpisania protokołu odbioru urządzeń </w:t>
      </w:r>
    </w:p>
    <w:p w14:paraId="19DEB723" w14:textId="77777777" w:rsidR="006A6682" w:rsidRPr="006A6682" w:rsidRDefault="006A6682" w:rsidP="006A6682">
      <w:pPr>
        <w:pStyle w:val="Akapitzlist"/>
        <w:ind w:left="1134"/>
      </w:pPr>
    </w:p>
    <w:p w14:paraId="78C60B20" w14:textId="5311FEEB" w:rsidR="00B9413A" w:rsidRPr="00532620" w:rsidRDefault="00B9413A" w:rsidP="006A6682">
      <w:pPr>
        <w:suppressAutoHyphens/>
        <w:ind w:firstLine="709"/>
        <w:jc w:val="both"/>
        <w:rPr>
          <w:kern w:val="1"/>
          <w:lang w:eastAsia="zh-CN"/>
        </w:rPr>
      </w:pPr>
      <w:r w:rsidRPr="00532620">
        <w:rPr>
          <w:kern w:val="1"/>
          <w:lang w:eastAsia="zh-CN"/>
        </w:rPr>
        <w:t xml:space="preserve">Z uwagi na to, że art. 30 ust. 5 ustawy prawo zamówień publicznych wyraźnie wskazuje na Wykonawcę jako tego, kto jest zobowiązany wykazać, że oferowane Urządzenia spełniają </w:t>
      </w:r>
      <w:r w:rsidRPr="00532620">
        <w:rPr>
          <w:kern w:val="1"/>
          <w:lang w:eastAsia="zh-CN"/>
        </w:rPr>
        <w:lastRenderedPageBreak/>
        <w:t xml:space="preserve">wymagania postawione przez Zamawiającego, Zamawiający, w przypadku jakichkolwiek wątpliwości, zastrzega sobie prawo sprawdzenia pełnej zgodności zaoferowanych przez Wykonawcę produktów z wymogami specyfikacji Sprawdzenie to będzie polegać na wielokrotnym przeprowadzeniu testów w warunkach produkcyjnych na sprzęcie Oferenta, </w:t>
      </w:r>
      <w:r w:rsidR="008968D8">
        <w:rPr>
          <w:kern w:val="1"/>
          <w:lang w:eastAsia="zh-CN"/>
        </w:rPr>
        <w:br/>
      </w:r>
      <w:r w:rsidRPr="00532620">
        <w:rPr>
          <w:kern w:val="1"/>
          <w:lang w:eastAsia="zh-CN"/>
        </w:rPr>
        <w:t xml:space="preserve">z użyciem urządzeń peryferyjnych Zamawiającego. W tym celu Wykonawca na każde wezwanie Zamawiającego dostarczy do siedziby Zamawiającego, w terminie 5 dni od daty otrzymania wezwania, po jednym egzemplarzu wskazanego przedmiotu dostawy. </w:t>
      </w:r>
      <w:r w:rsidR="008968D8">
        <w:rPr>
          <w:kern w:val="1"/>
          <w:lang w:eastAsia="zh-CN"/>
        </w:rPr>
        <w:br/>
      </w:r>
      <w:r w:rsidRPr="00532620">
        <w:rPr>
          <w:kern w:val="1"/>
          <w:lang w:eastAsia="zh-CN"/>
        </w:rPr>
        <w:t xml:space="preserve">W odniesieniu do oprogramowania mogą zostać dostarczone licencje tymczasowe, w pełni zgodne z oferowanymi. Jednocześnie Zamawiający zastrzega sobie możliwość odwołania się do oficjalnych, publicznie dostępnych stron internetowych producenta weryfikowanego przedmiotu oferty. </w:t>
      </w:r>
      <w:r w:rsidRPr="00455193">
        <w:rPr>
          <w:kern w:val="1"/>
          <w:lang w:eastAsia="zh-CN"/>
        </w:rPr>
        <w:t>Negatywny wynik tego sprawdzenia skutkować będzie odrzuceniem oferty, na podstawie art. 89 ust. 1 pkt. 2 ustawy.</w:t>
      </w:r>
      <w:r w:rsidRPr="00532620">
        <w:rPr>
          <w:kern w:val="1"/>
          <w:lang w:eastAsia="zh-CN"/>
        </w:rPr>
        <w:t xml:space="preserve"> </w:t>
      </w:r>
    </w:p>
    <w:p w14:paraId="60A5D11F" w14:textId="77777777" w:rsidR="00B9413A" w:rsidRPr="00532620" w:rsidRDefault="00B9413A" w:rsidP="006A6682">
      <w:pPr>
        <w:suppressAutoHyphens/>
        <w:ind w:firstLine="709"/>
        <w:jc w:val="both"/>
        <w:rPr>
          <w:kern w:val="1"/>
          <w:lang w:eastAsia="zh-CN"/>
        </w:rPr>
      </w:pPr>
      <w:r w:rsidRPr="00532620">
        <w:rPr>
          <w:kern w:val="1"/>
          <w:lang w:eastAsia="zh-CN"/>
        </w:rPr>
        <w:t xml:space="preserve">Nieprzedłożenie oferowanych produktów do przetestowania w ww. terminie zostanie potraktowane, jako negatywny wynik sprawdzenia. </w:t>
      </w:r>
    </w:p>
    <w:p w14:paraId="54546DE6" w14:textId="77777777" w:rsidR="00B9413A" w:rsidRPr="00532620" w:rsidRDefault="00B9413A" w:rsidP="006A6682">
      <w:pPr>
        <w:suppressAutoHyphens/>
        <w:ind w:firstLine="709"/>
        <w:jc w:val="both"/>
        <w:rPr>
          <w:kern w:val="1"/>
          <w:lang w:eastAsia="zh-CN"/>
        </w:rPr>
      </w:pPr>
      <w:r w:rsidRPr="00532620">
        <w:rPr>
          <w:kern w:val="1"/>
          <w:lang w:eastAsia="zh-CN"/>
        </w:rPr>
        <w:t>Po wykonaniu testów, dostarczone do testów egzemplarze będą zwrócone oferentowi.</w:t>
      </w:r>
    </w:p>
    <w:p w14:paraId="4608F003" w14:textId="77777777" w:rsidR="00B9413A" w:rsidRDefault="00B9413A" w:rsidP="00B9413A">
      <w:pPr>
        <w:ind w:left="540"/>
        <w:rPr>
          <w:b/>
          <w:bCs/>
        </w:rPr>
      </w:pPr>
    </w:p>
    <w:p w14:paraId="5FEC8CAA" w14:textId="7FADBD07" w:rsidR="00B9413A" w:rsidRPr="00CC3E3E" w:rsidRDefault="00B9413A" w:rsidP="00B9413A">
      <w:pPr>
        <w:keepNext/>
        <w:numPr>
          <w:ilvl w:val="0"/>
          <w:numId w:val="1"/>
        </w:numPr>
        <w:tabs>
          <w:tab w:val="clear" w:pos="720"/>
          <w:tab w:val="num" w:pos="8571"/>
        </w:tabs>
        <w:suppressAutoHyphens/>
        <w:ind w:left="426"/>
        <w:jc w:val="both"/>
        <w:outlineLvl w:val="0"/>
        <w:rPr>
          <w:rFonts w:cs="Cambria"/>
          <w:b/>
          <w:bCs/>
          <w:kern w:val="1"/>
          <w:sz w:val="28"/>
          <w:szCs w:val="28"/>
        </w:rPr>
      </w:pPr>
      <w:r>
        <w:rPr>
          <w:rFonts w:cs="Cambria"/>
          <w:b/>
          <w:bCs/>
          <w:kern w:val="1"/>
          <w:sz w:val="28"/>
          <w:szCs w:val="28"/>
          <w:lang w:eastAsia="zh-CN"/>
        </w:rPr>
        <w:t>Dostawa 2 urządzeń UTM</w:t>
      </w:r>
    </w:p>
    <w:p w14:paraId="10DD2CFA" w14:textId="77777777" w:rsidR="00B9413A" w:rsidRDefault="00B9413A" w:rsidP="00B9413A">
      <w:pPr>
        <w:ind w:left="540"/>
        <w:rPr>
          <w:b/>
          <w:bCs/>
        </w:rPr>
      </w:pPr>
    </w:p>
    <w:p w14:paraId="101336C9" w14:textId="77777777" w:rsidR="00B9413A" w:rsidRPr="00DE2093" w:rsidRDefault="00B9413A" w:rsidP="00B9413A">
      <w:pPr>
        <w:ind w:left="540"/>
      </w:pPr>
      <w:r w:rsidRPr="00DE2093">
        <w:rPr>
          <w:b/>
          <w:bCs/>
        </w:rPr>
        <w:t>Wymagane minimalne parametry techniczne</w:t>
      </w:r>
      <w:r>
        <w:rPr>
          <w:b/>
          <w:bCs/>
        </w:rPr>
        <w:t>:</w:t>
      </w:r>
    </w:p>
    <w:p w14:paraId="4C2966D4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t xml:space="preserve">Urządzenie dostarczane jest jako dedykowane urządzenie sieciowe </w:t>
      </w:r>
      <w:r>
        <w:t>1</w:t>
      </w:r>
      <w:r w:rsidRPr="008419A4">
        <w:t xml:space="preserve"> U, przystosowane do montażu w szafie </w:t>
      </w:r>
      <w:proofErr w:type="spellStart"/>
      <w:r w:rsidRPr="008419A4">
        <w:t>rack</w:t>
      </w:r>
      <w:proofErr w:type="spellEnd"/>
      <w:r w:rsidRPr="008419A4">
        <w:t xml:space="preserve">. </w:t>
      </w:r>
    </w:p>
    <w:p w14:paraId="6B5ABA7D" w14:textId="77777777" w:rsidR="00B9413A" w:rsidRPr="00613BF4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t xml:space="preserve">W urządzeniu </w:t>
      </w:r>
      <w:r>
        <w:t>musi</w:t>
      </w:r>
      <w:r w:rsidRPr="008419A4">
        <w:t xml:space="preserve"> być zainstalowan</w:t>
      </w:r>
      <w:r>
        <w:t>y</w:t>
      </w:r>
      <w:r w:rsidRPr="008419A4">
        <w:t xml:space="preserve"> nadmiarow</w:t>
      </w:r>
      <w:r>
        <w:t>y</w:t>
      </w:r>
      <w:r w:rsidRPr="008419A4">
        <w:t xml:space="preserve"> zasilacz AC. </w:t>
      </w:r>
    </w:p>
    <w:p w14:paraId="12B147B2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FD3785">
        <w:t xml:space="preserve">Urządzenie musi być wyposażone w co najmniej 12 interfejsów Gigabit Ethernet 10/100/1000 TX, co najmniej 4 interfejsy </w:t>
      </w:r>
      <w:proofErr w:type="spellStart"/>
      <w:r w:rsidRPr="00FD3785">
        <w:t>GigabitEthernet</w:t>
      </w:r>
      <w:proofErr w:type="spellEnd"/>
      <w:r w:rsidRPr="00FD3785">
        <w:t xml:space="preserve"> definiowane przez moduły SFP, wraz z modułami w standardzie 1000 Base-SX </w:t>
      </w:r>
      <w:r w:rsidRPr="00455193">
        <w:t>(Zamawiający wymaga ich dostarczenia w ramach postępowania),</w:t>
      </w:r>
      <w:r w:rsidRPr="00FD3785">
        <w:t xml:space="preserve"> co najmniej 4 interfejsy 10 </w:t>
      </w:r>
      <w:proofErr w:type="spellStart"/>
      <w:r w:rsidRPr="00FD3785">
        <w:t>GigabitEthernet</w:t>
      </w:r>
      <w:proofErr w:type="spellEnd"/>
      <w:r w:rsidRPr="00FD3785">
        <w:t xml:space="preserve"> definiowane przez moduły SFP+, wraz z modułami w standardzie 10GBase-S</w:t>
      </w:r>
      <w:r>
        <w:t>R</w:t>
      </w:r>
      <w:r w:rsidRPr="00FD3785">
        <w:t xml:space="preserve"> (Zamawiający wymaga ich dostarczenia w ramach postępowania</w:t>
      </w:r>
      <w:r>
        <w:t>)</w:t>
      </w:r>
    </w:p>
    <w:p w14:paraId="36183BED" w14:textId="4CA86754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t xml:space="preserve">Wraz z urządzeniem </w:t>
      </w:r>
      <w:r>
        <w:t xml:space="preserve">musi być </w:t>
      </w:r>
      <w:r w:rsidRPr="008419A4">
        <w:t>dostarczony  kabel RS-232 do podłączenia konsoli.</w:t>
      </w:r>
    </w:p>
    <w:p w14:paraId="5ABFB8C8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5119">
        <w:t xml:space="preserve">Urządzenie musi obsługiwać protokoły dynamicznego </w:t>
      </w:r>
      <w:proofErr w:type="spellStart"/>
      <w:r w:rsidRPr="00375119">
        <w:t>rutin</w:t>
      </w:r>
      <w:r>
        <w:t>gu</w:t>
      </w:r>
      <w:proofErr w:type="spellEnd"/>
      <w:r>
        <w:t>: RIP, OSPF oraz BGP.</w:t>
      </w:r>
    </w:p>
    <w:p w14:paraId="0820A7A7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>
        <w:t>U</w:t>
      </w:r>
      <w:r w:rsidRPr="00375119">
        <w:t>rządzenie musi obsłużyć minimum 2 miliony prefiksów w RIB oraz 1 milion w FIB.</w:t>
      </w:r>
    </w:p>
    <w:p w14:paraId="67CC60B9" w14:textId="77777777" w:rsidR="00B9413A" w:rsidRPr="0037511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5119">
        <w:t>Urządzenie musi posiadać funkcję tworzenia wirtualnych ruterów w liczbie co na</w:t>
      </w:r>
      <w:r w:rsidR="00196A9F">
        <w:t>j</w:t>
      </w:r>
      <w:r w:rsidRPr="00375119">
        <w:t xml:space="preserve">mniej 512, oraz sieci VLAN z </w:t>
      </w:r>
      <w:proofErr w:type="spellStart"/>
      <w:r w:rsidRPr="00375119">
        <w:t>tagowaniem</w:t>
      </w:r>
      <w:proofErr w:type="spellEnd"/>
      <w:r w:rsidRPr="00375119">
        <w:t xml:space="preserve"> 802.1Q. Urządzenie musi umożliwiać obsługę co najmniej 3500 sieci VLAN oraz 64 000 adresów MAC.</w:t>
      </w:r>
    </w:p>
    <w:p w14:paraId="26A775BF" w14:textId="4D363616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5119">
        <w:t xml:space="preserve">Urządzenie musi posiadać mechanizmy </w:t>
      </w:r>
      <w:proofErr w:type="spellStart"/>
      <w:r w:rsidRPr="00375119">
        <w:t>priorytetyzowania</w:t>
      </w:r>
      <w:proofErr w:type="spellEnd"/>
      <w:r w:rsidRPr="00375119">
        <w:t xml:space="preserve"> i zarządzania ruchem sieciowym </w:t>
      </w:r>
      <w:proofErr w:type="spellStart"/>
      <w:r w:rsidRPr="00375119">
        <w:t>QoS</w:t>
      </w:r>
      <w:proofErr w:type="spellEnd"/>
      <w:r w:rsidRPr="00375119">
        <w:t xml:space="preserve"> – wygładzanie (</w:t>
      </w:r>
      <w:proofErr w:type="spellStart"/>
      <w:r w:rsidRPr="00375119">
        <w:t>shaping</w:t>
      </w:r>
      <w:proofErr w:type="spellEnd"/>
      <w:r w:rsidRPr="00375119">
        <w:t>) oraz przycinanie (</w:t>
      </w:r>
      <w:proofErr w:type="spellStart"/>
      <w:r w:rsidRPr="00375119">
        <w:t>policing</w:t>
      </w:r>
      <w:proofErr w:type="spellEnd"/>
      <w:r w:rsidRPr="00375119">
        <w:t xml:space="preserve">) ruchu. Mapowanie ruchu do kolejek wyjściowych musi odbywać się na podstawie DSCP, IP </w:t>
      </w:r>
      <w:proofErr w:type="spellStart"/>
      <w:r w:rsidRPr="00375119">
        <w:t>ToS</w:t>
      </w:r>
      <w:proofErr w:type="spellEnd"/>
      <w:r w:rsidRPr="00375119">
        <w:t xml:space="preserve">, 802.1p, oraz parametrów z nagłówków IP, TCP i UDP. Urządzenie musi posiadać </w:t>
      </w:r>
      <w:r w:rsidR="00196A9F">
        <w:t>funkcję</w:t>
      </w:r>
      <w:r w:rsidR="00D01E35">
        <w:t xml:space="preserve"> </w:t>
      </w:r>
      <w:r w:rsidRPr="00375119">
        <w:t xml:space="preserve">tworzenia osobnych kolejek dla różnych klas ruchu. Urządzenie musi posiadać zaimplementowany mechanizm WRED w celu przeciwdziałania występowaniu przeciążeń w kolejkach. </w:t>
      </w:r>
    </w:p>
    <w:p w14:paraId="015CE061" w14:textId="77777777" w:rsidR="00B9413A" w:rsidRPr="0037511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5119">
        <w:t xml:space="preserve">Mechanizmy </w:t>
      </w:r>
      <w:proofErr w:type="spellStart"/>
      <w:r w:rsidRPr="00375119">
        <w:t>QoS</w:t>
      </w:r>
      <w:proofErr w:type="spellEnd"/>
      <w:r w:rsidRPr="00375119">
        <w:t xml:space="preserve"> (</w:t>
      </w:r>
      <w:proofErr w:type="spellStart"/>
      <w:r w:rsidRPr="00375119">
        <w:t>policing</w:t>
      </w:r>
      <w:proofErr w:type="spellEnd"/>
      <w:r w:rsidRPr="00375119">
        <w:t xml:space="preserve">, kolejkowaniem, </w:t>
      </w:r>
      <w:proofErr w:type="spellStart"/>
      <w:r w:rsidRPr="00375119">
        <w:t>shaping</w:t>
      </w:r>
      <w:proofErr w:type="spellEnd"/>
      <w:r w:rsidRPr="00375119">
        <w:t xml:space="preserve">) oraz funkcje ochrony przed atakami </w:t>
      </w:r>
      <w:proofErr w:type="spellStart"/>
      <w:r w:rsidRPr="00375119">
        <w:t>DoS</w:t>
      </w:r>
      <w:proofErr w:type="spellEnd"/>
      <w:r w:rsidRPr="00375119">
        <w:t xml:space="preserve"> i </w:t>
      </w:r>
      <w:proofErr w:type="spellStart"/>
      <w:r w:rsidRPr="00375119">
        <w:t>DDoS</w:t>
      </w:r>
      <w:proofErr w:type="spellEnd"/>
      <w:r w:rsidRPr="00375119">
        <w:t xml:space="preserve"> muszą być realizowane sprzętowo</w:t>
      </w:r>
      <w:r w:rsidR="00196A9F">
        <w:t>.</w:t>
      </w:r>
    </w:p>
    <w:p w14:paraId="6318A15C" w14:textId="77777777" w:rsidR="00B9413A" w:rsidRPr="0037511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5119">
        <w:t xml:space="preserve">Urządzenie musi obsługiwać protokoły sygnalizacji RSVP oraz LDP, w tym funkcję Fast </w:t>
      </w:r>
      <w:proofErr w:type="spellStart"/>
      <w:r w:rsidRPr="00375119">
        <w:t>Reroute</w:t>
      </w:r>
      <w:proofErr w:type="spellEnd"/>
      <w:r w:rsidRPr="00375119">
        <w:t>.</w:t>
      </w:r>
    </w:p>
    <w:p w14:paraId="42F32223" w14:textId="77777777" w:rsidR="00B9413A" w:rsidRPr="0037511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5119">
        <w:t xml:space="preserve">Urządzenie musi obsługiwać aplikacje MPLS, co najmniej </w:t>
      </w:r>
      <w:proofErr w:type="spellStart"/>
      <w:r w:rsidRPr="00375119">
        <w:t>Circuit</w:t>
      </w:r>
      <w:proofErr w:type="spellEnd"/>
      <w:r w:rsidRPr="00375119">
        <w:t xml:space="preserve"> Cross-Connect (CCC), </w:t>
      </w:r>
      <w:proofErr w:type="spellStart"/>
      <w:r w:rsidRPr="00375119">
        <w:t>Translational</w:t>
      </w:r>
      <w:proofErr w:type="spellEnd"/>
      <w:r w:rsidRPr="00375119">
        <w:t xml:space="preserve"> Cross-Connect (TCC), L2 VPN/L2 </w:t>
      </w:r>
      <w:proofErr w:type="spellStart"/>
      <w:r w:rsidRPr="00375119">
        <w:t>Circuit</w:t>
      </w:r>
      <w:proofErr w:type="spellEnd"/>
      <w:r w:rsidRPr="00375119">
        <w:t xml:space="preserve">, VPLS oraz </w:t>
      </w:r>
      <w:proofErr w:type="spellStart"/>
      <w:r w:rsidRPr="00375119">
        <w:t>Next-Generation</w:t>
      </w:r>
      <w:proofErr w:type="spellEnd"/>
      <w:r w:rsidRPr="00375119">
        <w:t xml:space="preserve"> Multicast VPN (NG-MVPN).</w:t>
      </w:r>
    </w:p>
    <w:p w14:paraId="0471643F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5119">
        <w:t xml:space="preserve">Urządzenie musi być wyposażone w </w:t>
      </w:r>
      <w:r>
        <w:t>co najmniej</w:t>
      </w:r>
      <w:r w:rsidRPr="00375119">
        <w:t xml:space="preserve"> 16 GB pamięci RAM oraz w dysk SSD o pojemności co najmniej 120 GB.</w:t>
      </w:r>
    </w:p>
    <w:p w14:paraId="0D1F7BF6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lastRenderedPageBreak/>
        <w:t xml:space="preserve">Urządzenie </w:t>
      </w:r>
      <w:r>
        <w:t>musi</w:t>
      </w:r>
      <w:r w:rsidRPr="008419A4">
        <w:t xml:space="preserve"> posiadać osobne moduły kontroli oraz przetwarzania ruchu </w:t>
      </w:r>
      <w:r>
        <w:br/>
      </w:r>
      <w:r w:rsidRPr="008419A4">
        <w:t>w postaci</w:t>
      </w:r>
      <w:r>
        <w:t xml:space="preserve"> osobnych zasobów sprzętowych. </w:t>
      </w:r>
    </w:p>
    <w:p w14:paraId="0BE35341" w14:textId="77777777" w:rsidR="00B9413A" w:rsidRPr="009C5FBD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>
        <w:t xml:space="preserve">System operacyjny urządzenia </w:t>
      </w:r>
      <w:r w:rsidRPr="009C5FBD">
        <w:t xml:space="preserve">musi posiadać budowę modułową (moduły muszą działać w odseparowanych obszarach pamięci) i zapewniać całkowitą separację płaszczyzny kontrolnej od płaszczyzny przetwarzania ruchu użytkowników, m.in. moduł </w:t>
      </w:r>
      <w:proofErr w:type="spellStart"/>
      <w:r w:rsidRPr="009C5FBD">
        <w:t>rutingu</w:t>
      </w:r>
      <w:proofErr w:type="spellEnd"/>
      <w:r w:rsidRPr="009C5FBD">
        <w:t xml:space="preserve"> IP, odpowiedzialny za ustalenie tras </w:t>
      </w:r>
      <w:proofErr w:type="spellStart"/>
      <w:r w:rsidRPr="009C5FBD">
        <w:t>rutingu</w:t>
      </w:r>
      <w:proofErr w:type="spellEnd"/>
      <w:r w:rsidRPr="009C5FBD">
        <w:t xml:space="preserve"> i zarządzanie urządzenia musi być oddzielony od modułu przekazywania pakietów, odpowiedzialnego za przełączanie pakietów pomiędzy segmentami sieci obsługiwanymi przez urządzenie. Obsługa ruchu tranzytowego użytkowników musi być realizowana sprzętowo. System operacyjny </w:t>
      </w:r>
      <w:r>
        <w:t xml:space="preserve">urządzenia </w:t>
      </w:r>
      <w:r w:rsidRPr="009C5FBD">
        <w:t>musi śledzić stan sesji użytkowników (</w:t>
      </w:r>
      <w:proofErr w:type="spellStart"/>
      <w:r w:rsidRPr="009C5FBD">
        <w:t>stateful</w:t>
      </w:r>
      <w:proofErr w:type="spellEnd"/>
      <w:r w:rsidRPr="009C5FBD">
        <w:t xml:space="preserve"> </w:t>
      </w:r>
      <w:proofErr w:type="spellStart"/>
      <w:r w:rsidRPr="009C5FBD">
        <w:t>processing</w:t>
      </w:r>
      <w:proofErr w:type="spellEnd"/>
      <w:r w:rsidRPr="009C5FBD">
        <w:t>), tworzyć i zarządzać tablicą stanu sesji.</w:t>
      </w:r>
    </w:p>
    <w:p w14:paraId="2AFD91A6" w14:textId="66FA9852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9C5FBD">
        <w:t xml:space="preserve">System operacyjny </w:t>
      </w:r>
      <w:r>
        <w:t>urządzenia</w:t>
      </w:r>
      <w:r w:rsidRPr="009C5FBD">
        <w:t xml:space="preserve"> musi być instalowany i uruchamiany na module kontrolnym. Moduł kontrolny musi odpowiadać </w:t>
      </w:r>
      <w:r w:rsidR="00196A9F" w:rsidRPr="009C5FBD">
        <w:t>z</w:t>
      </w:r>
      <w:r w:rsidR="00196A9F">
        <w:t>a</w:t>
      </w:r>
      <w:r w:rsidR="00196A9F" w:rsidRPr="009C5FBD">
        <w:t xml:space="preserve"> </w:t>
      </w:r>
      <w:r w:rsidRPr="009C5FBD">
        <w:t xml:space="preserve">sterowanie i monitorowanie pracy komponentów </w:t>
      </w:r>
      <w:r>
        <w:t>urządzenia</w:t>
      </w:r>
      <w:r w:rsidRPr="009C5FBD">
        <w:t xml:space="preserve">. Ruch tranzytowy użytkowników przechodzący przez </w:t>
      </w:r>
      <w:r>
        <w:t>urządzenia</w:t>
      </w:r>
      <w:r w:rsidRPr="009C5FBD">
        <w:t xml:space="preserve"> nie może być przesyłany przez moduł kontrolny. Moduł kontrolny musi posiadać slot USB przeznaczony do podłączenia dodatkowego nośnika danych. Musi być dostępna opcja uruchomienia systemu operacyjnego </w:t>
      </w:r>
      <w:r>
        <w:t>urządzenia</w:t>
      </w:r>
      <w:r w:rsidRPr="009C5FBD">
        <w:t xml:space="preserve"> z nośnika danych podłączonego do slotu USB na module kontrolnym. Moduł kontrolny musi posiadać dedykowany interfejs Ethernet przeznaczony do zarządzania out-of-band.</w:t>
      </w:r>
    </w:p>
    <w:p w14:paraId="5CC94726" w14:textId="77777777" w:rsidR="00B9413A" w:rsidRPr="009C5FBD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35D1B">
        <w:t>Z punktu widzenia systemu operacyjnego urządzenia wszystkie usługi bezpieczeństwa muszą być zdefiniowane w tym samym pliku konfiguracyjnym zdefiniowanym na module kontrolnym.</w:t>
      </w:r>
    </w:p>
    <w:p w14:paraId="30BB5F56" w14:textId="77777777" w:rsidR="00B9413A" w:rsidRPr="00235D1B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35D1B">
        <w:t xml:space="preserve">Zarządzanie urządzeniem musi odbywać przy pomocy tekstowego interfejsu użytkownika (dostępnego przez port konsoli, telnet, </w:t>
      </w:r>
      <w:proofErr w:type="spellStart"/>
      <w:r w:rsidRPr="00235D1B">
        <w:t>ssh</w:t>
      </w:r>
      <w:proofErr w:type="spellEnd"/>
      <w:r w:rsidRPr="00235D1B">
        <w:t xml:space="preserve">) oraz przy pomocy graficznego interfejsu użytkownika. Urządzenie musi być kompatybilne i posiadać możliwość zarządzania przez centralny system zarządzający posiadany przez Zamawiającego tj. </w:t>
      </w:r>
      <w:proofErr w:type="spellStart"/>
      <w:r w:rsidRPr="00235D1B">
        <w:t>Juniper</w:t>
      </w:r>
      <w:proofErr w:type="spellEnd"/>
      <w:r w:rsidRPr="00235D1B">
        <w:t xml:space="preserve"> </w:t>
      </w:r>
      <w:proofErr w:type="spellStart"/>
      <w:r w:rsidRPr="00235D1B">
        <w:t>Junos</w:t>
      </w:r>
      <w:proofErr w:type="spellEnd"/>
      <w:r w:rsidRPr="00235D1B">
        <w:t xml:space="preserve"> Space.</w:t>
      </w:r>
    </w:p>
    <w:p w14:paraId="1F453A9D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9C5FBD">
        <w:t xml:space="preserve">Administratorzy muszą mieć do dyspozycji mechanizm szybkiego odtwarzania systemu i przywracania konfiguracji. W urządzeniu musi być </w:t>
      </w:r>
      <w:r>
        <w:t xml:space="preserve">możliwość </w:t>
      </w:r>
      <w:r w:rsidRPr="009C5FBD">
        <w:t>przechowywa</w:t>
      </w:r>
      <w:r>
        <w:t>nia</w:t>
      </w:r>
      <w:r w:rsidRPr="009C5FBD">
        <w:t xml:space="preserve"> </w:t>
      </w:r>
      <w:r>
        <w:t>co najmniej 5</w:t>
      </w:r>
      <w:r w:rsidRPr="009C5FBD">
        <w:t xml:space="preserve"> poprzednich, kompletnych konfiguracji. </w:t>
      </w:r>
    </w:p>
    <w:p w14:paraId="3DE660BE" w14:textId="77777777" w:rsidR="00B9413A" w:rsidRPr="00324747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24747">
        <w:t>Urządzenie musi posiadać możliwość pracy w konfiguracji odpornej na awarie dla urządzeń zabezpieczeń. Urządzenia zabezpieczeń w klastrze muszą funkcjonować w trybie Active-Active oraz Active-</w:t>
      </w:r>
      <w:proofErr w:type="spellStart"/>
      <w:r w:rsidRPr="00324747">
        <w:t>Passive</w:t>
      </w:r>
      <w:proofErr w:type="spellEnd"/>
      <w:r w:rsidRPr="00324747">
        <w:t xml:space="preserve"> z synchronizacją konfiguracji i tablicy stanu sesji. Przełączenie pomiędzy urządzeniami w klastrze HA musi się odbywać przezroczyście dla sesji ruchu użytkowników. Mechanizm ochrony przed awariami musi monitorować i wykrywać uszkodzenia elementów sprzętowych i programowych systemu zabezpieczeń oraz łączy sieciowych. </w:t>
      </w:r>
    </w:p>
    <w:p w14:paraId="4A1A2C58" w14:textId="77777777" w:rsidR="00B9413A" w:rsidRPr="00235D1B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>
        <w:t xml:space="preserve">Urządzenie </w:t>
      </w:r>
      <w:r w:rsidRPr="00235D1B">
        <w:t xml:space="preserve">musi realizować zadania </w:t>
      </w:r>
      <w:proofErr w:type="spellStart"/>
      <w:r w:rsidRPr="00235D1B">
        <w:t>Stateful</w:t>
      </w:r>
      <w:proofErr w:type="spellEnd"/>
      <w:r w:rsidRPr="00235D1B">
        <w:t xml:space="preserve"> Firewall z wydajnością nie mniejszą niż 5 </w:t>
      </w:r>
      <w:proofErr w:type="spellStart"/>
      <w:r w:rsidRPr="00235D1B">
        <w:t>Gb</w:t>
      </w:r>
      <w:proofErr w:type="spellEnd"/>
      <w:r w:rsidRPr="00235D1B">
        <w:t xml:space="preserve">/s liczoną dla ruchu IMIX. </w:t>
      </w:r>
      <w:r>
        <w:t>Urządzenie</w:t>
      </w:r>
      <w:r w:rsidRPr="00235D1B">
        <w:t xml:space="preserve"> musi obsłużyć nie mniej niż 2 miliony równoległych sesji oraz zestawić nie mniej niż 50 tysięcy nowych połączeń/sekundę.</w:t>
      </w:r>
    </w:p>
    <w:p w14:paraId="69240535" w14:textId="77777777" w:rsidR="00B9413A" w:rsidRPr="00235D1B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>
        <w:t>Urządzenie</w:t>
      </w:r>
      <w:r w:rsidRPr="00235D1B">
        <w:t xml:space="preserve"> musi zestawiać zabezpieczone kryptograficznie tunele VPN w oparciu </w:t>
      </w:r>
      <w:r w:rsidR="00196A9F">
        <w:br/>
      </w:r>
      <w:r w:rsidRPr="00235D1B">
        <w:t xml:space="preserve">o standardy </w:t>
      </w:r>
      <w:proofErr w:type="spellStart"/>
      <w:r w:rsidRPr="00235D1B">
        <w:t>IPSec</w:t>
      </w:r>
      <w:proofErr w:type="spellEnd"/>
      <w:r w:rsidRPr="00235D1B">
        <w:t xml:space="preserve"> i IKE w konfiguracji </w:t>
      </w:r>
      <w:proofErr w:type="spellStart"/>
      <w:r w:rsidRPr="00235D1B">
        <w:t>site</w:t>
      </w:r>
      <w:proofErr w:type="spellEnd"/>
      <w:r w:rsidRPr="00235D1B">
        <w:t>-to-</w:t>
      </w:r>
      <w:proofErr w:type="spellStart"/>
      <w:r w:rsidRPr="00235D1B">
        <w:t>site</w:t>
      </w:r>
      <w:proofErr w:type="spellEnd"/>
      <w:r w:rsidRPr="00235D1B">
        <w:t xml:space="preserve"> oraz </w:t>
      </w:r>
      <w:proofErr w:type="spellStart"/>
      <w:r w:rsidRPr="00235D1B">
        <w:t>client</w:t>
      </w:r>
      <w:proofErr w:type="spellEnd"/>
      <w:r w:rsidRPr="00235D1B">
        <w:t>-to-</w:t>
      </w:r>
      <w:proofErr w:type="spellStart"/>
      <w:r w:rsidRPr="00235D1B">
        <w:t>site</w:t>
      </w:r>
      <w:proofErr w:type="spellEnd"/>
      <w:r w:rsidRPr="00235D1B">
        <w:t xml:space="preserve">. </w:t>
      </w:r>
      <w:r>
        <w:t xml:space="preserve">Urządzenie </w:t>
      </w:r>
      <w:r w:rsidRPr="00235D1B">
        <w:t xml:space="preserve">musi </w:t>
      </w:r>
      <w:r>
        <w:t xml:space="preserve">obsłużyć </w:t>
      </w:r>
      <w:r w:rsidRPr="00235D1B">
        <w:t xml:space="preserve">ruch szyfrowany o przepustowości nie mniej niż 1,3 </w:t>
      </w:r>
      <w:proofErr w:type="spellStart"/>
      <w:r w:rsidRPr="00235D1B">
        <w:t>Gb</w:t>
      </w:r>
      <w:proofErr w:type="spellEnd"/>
      <w:r w:rsidRPr="00235D1B">
        <w:t>/s dla ruchu IMIX.</w:t>
      </w:r>
    </w:p>
    <w:p w14:paraId="25E8A8E8" w14:textId="77777777" w:rsidR="00B9413A" w:rsidRPr="00324747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35D1B">
        <w:t xml:space="preserve">Polityka bezpieczeństwa systemu zabezpieczeń musi uwzględniać strefy bezpieczeństwa, adresy IP klientów i serwerów, protokoły i usługi sieciowe, użytkowników aplikacji, reakcje zabezpieczeń oraz metody rejestrowania zdarzeń. </w:t>
      </w:r>
      <w:r>
        <w:t>Urządzenie</w:t>
      </w:r>
      <w:r w:rsidRPr="00235D1B">
        <w:t xml:space="preserve"> musi umożliwiać zdefiniowanie </w:t>
      </w:r>
      <w:r>
        <w:t xml:space="preserve">co najmniej </w:t>
      </w:r>
      <w:r w:rsidRPr="00235D1B">
        <w:t>16 000 reguł polityki bezpieczeństwa.</w:t>
      </w:r>
    </w:p>
    <w:p w14:paraId="69A4A046" w14:textId="77777777" w:rsidR="00B9413A" w:rsidRPr="008419A4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t xml:space="preserve">System zabezpieczeń </w:t>
      </w:r>
      <w:r>
        <w:t>musi</w:t>
      </w:r>
      <w:r w:rsidRPr="008419A4">
        <w:t xml:space="preserve"> realizować zadania firewall, wykonując kontrolę na </w:t>
      </w:r>
      <w:r w:rsidRPr="008419A4">
        <w:lastRenderedPageBreak/>
        <w:t xml:space="preserve">poziomie sieci oraz oferować możliwość kontroli na poziomie aplikacji w oparciu </w:t>
      </w:r>
      <w:r>
        <w:br/>
      </w:r>
      <w:r w:rsidRPr="008419A4">
        <w:t>o moduł prewencji włamań IPS</w:t>
      </w:r>
      <w:r w:rsidR="00196A9F">
        <w:t>.</w:t>
      </w:r>
    </w:p>
    <w:p w14:paraId="6BA58F05" w14:textId="77777777" w:rsidR="00B9413A" w:rsidRPr="002C38F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>
        <w:t>Urządzenie</w:t>
      </w:r>
      <w:r w:rsidRPr="008419A4">
        <w:t xml:space="preserve"> zabezpieczeń </w:t>
      </w:r>
      <w:r>
        <w:t>musi</w:t>
      </w:r>
      <w:r w:rsidRPr="008419A4">
        <w:t xml:space="preserve"> posiadać dedykowany układ sprzętowy </w:t>
      </w:r>
      <w:r w:rsidRPr="002C38F9">
        <w:t xml:space="preserve">przyspieszający działanie modułu IPS. </w:t>
      </w:r>
    </w:p>
    <w:p w14:paraId="496C9ABE" w14:textId="36B26F2F" w:rsidR="00B9413A" w:rsidRPr="002C38F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C38F9">
        <w:t xml:space="preserve">Moduł IPS </w:t>
      </w:r>
      <w:r>
        <w:t>musi</w:t>
      </w:r>
      <w:r w:rsidRPr="002C38F9">
        <w:t xml:space="preserve"> wykrywać ataki bazując co najmniej na wymienionych metodach: </w:t>
      </w:r>
      <w:r w:rsidR="00196A9F">
        <w:t>d</w:t>
      </w:r>
      <w:r w:rsidRPr="002C38F9">
        <w:t>etekcja anomalii protokołów, detekcja w oparciu o sygnatury pełno-stanowe, detekcja w oparciu o złożenie metod detekcji anomalii protokołów oraz sygnatur pełno-stanowych</w:t>
      </w:r>
      <w:r w:rsidR="00196A9F">
        <w:t>.</w:t>
      </w:r>
    </w:p>
    <w:p w14:paraId="66794276" w14:textId="77777777" w:rsidR="00B9413A" w:rsidRPr="002C38F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C38F9">
        <w:t xml:space="preserve">Sygnatury systemu IPS </w:t>
      </w:r>
      <w:r>
        <w:t>muszą</w:t>
      </w:r>
      <w:r w:rsidRPr="002C38F9">
        <w:t xml:space="preserve"> być aktualizowane nie rzadziej niż raz na dzień. </w:t>
      </w:r>
    </w:p>
    <w:p w14:paraId="54F7A818" w14:textId="77777777" w:rsidR="00B9413A" w:rsidRPr="008419A4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t xml:space="preserve">System IPS </w:t>
      </w:r>
      <w:r>
        <w:t>musi</w:t>
      </w:r>
      <w:r w:rsidRPr="008419A4">
        <w:t xml:space="preserve"> oferować różne możli</w:t>
      </w:r>
      <w:r>
        <w:t>wości reagowania na incydenty: b</w:t>
      </w:r>
      <w:r w:rsidRPr="008419A4">
        <w:t xml:space="preserve">rak akcji, oznaczanie pakietów wartościami DSCP, zaprzestanie dalszego skanowania ruchu </w:t>
      </w:r>
      <w:r w:rsidR="00196A9F">
        <w:br/>
      </w:r>
      <w:r w:rsidRPr="008419A4">
        <w:t xml:space="preserve">z wykrytym atakiem, zamykanie całego połączenia, zamykanie połączenia </w:t>
      </w:r>
      <w:r>
        <w:br/>
      </w:r>
      <w:r w:rsidRPr="008419A4">
        <w:t xml:space="preserve">z wysłaniem pakietu RST do klienta, zamykanie połączenia z wysłaniem pakietu RST do serwera, zamykanie połączenia z wysłaniem pakietów RST zarówno do klienta jak i do serwera oraz akcji rekomendowanej przez producenta platformy zabezpieczeń. Dodatkowo </w:t>
      </w:r>
      <w:r>
        <w:t>musi</w:t>
      </w:r>
      <w:r w:rsidRPr="008419A4">
        <w:t xml:space="preserve"> oferować akcje dotyczące wyszczególnionego ruchu pomiędzy danymi adresami IP: powiadamianie, ciche blokowanie pakietów należących do danej sesji, zamykanie nowych sesji dotyczących danych adresów IP poprzez wysłanie pakietów RST</w:t>
      </w:r>
    </w:p>
    <w:p w14:paraId="3BF88AE5" w14:textId="77777777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t xml:space="preserve">Powiadomienie systemu IPS </w:t>
      </w:r>
      <w:r>
        <w:t>musi</w:t>
      </w:r>
      <w:r w:rsidRPr="008419A4">
        <w:t xml:space="preserve"> przybierać różne formy:  Alarmowanie, wysyłanie maili, uruchomienie skryptów, ustawienie poziomów ważności zdarzeń.</w:t>
      </w:r>
    </w:p>
    <w:p w14:paraId="48F5356E" w14:textId="77777777" w:rsidR="00B9413A" w:rsidRPr="002C38F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C38F9">
        <w:t xml:space="preserve">Urządzenie </w:t>
      </w:r>
      <w:r>
        <w:t>musi</w:t>
      </w:r>
      <w:r w:rsidRPr="002C38F9">
        <w:t xml:space="preserve"> posiadać wbudowany moduł kontroli antywirusowej z możliwością skanowania całych plików, wielokrotnie spakowanych (co najmniej 4 poziomy) dla ruchu http, FTP, SMTP, POP3, IMAP. Baza wzorców wirusów nie powinna być mniejsza niż 400 000 wpisów. </w:t>
      </w:r>
    </w:p>
    <w:p w14:paraId="020F8652" w14:textId="77777777" w:rsidR="00B9413A" w:rsidRPr="002C38F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C38F9">
        <w:t xml:space="preserve">Urządzenie zabezpieczeń posiada wbudowany moduł filtrowania treści stron WWW wywoływanych przez użytkowników umożliwiający blokowanie adresów URL oraz adresów IP w oparciu o dostarczone przez producenta lub własne kategorie. Włączenie filtrowania treści stron WWW nie wymaga dodatkowego serwera. Istnieje możliwość samodzielnego tworzenia lokalnych białych i czarnych list adresów URL. Zewnętrzna baza adresów URL, z której korzysta system, nie powinna być mniejsza niż 26 milionów adresów z podziałem na kategorie. </w:t>
      </w:r>
    </w:p>
    <w:p w14:paraId="28A0A499" w14:textId="77777777" w:rsidR="00B9413A" w:rsidRPr="002C38F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C38F9">
        <w:t xml:space="preserve">Urządzenie zabezpieczeń posiada wbudowany moduł do filtrowania ruchu pozwalający określić niepożądany w sieci typ ruchu na podstawie następujących kryteriów: MIME, rozszerzenia plików, polecenia protokołów, oraz dla ruchu http blokowanie kontrolek ActiveX, apletów Java, obiektów Cookie, plików EXE oraz ZIP. </w:t>
      </w:r>
    </w:p>
    <w:p w14:paraId="35D74CE3" w14:textId="77777777" w:rsidR="00B9413A" w:rsidRPr="002C38F9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2C38F9">
        <w:t xml:space="preserve">Urządzenie zabezpieczeń posiada wbudowany moduł antyspamowy z możliwością blokowania oraz oznaczania wiadomości e-mail.  </w:t>
      </w:r>
    </w:p>
    <w:p w14:paraId="1FAD8000" w14:textId="77777777" w:rsidR="00B9413A" w:rsidRPr="008419A4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8419A4">
        <w:t xml:space="preserve">System zabezpieczeń </w:t>
      </w:r>
      <w:r>
        <w:t>musi</w:t>
      </w:r>
      <w:r w:rsidRPr="008419A4">
        <w:t xml:space="preserve"> wykrywać i blokować ataki intruzów (in-</w:t>
      </w:r>
      <w:proofErr w:type="spellStart"/>
      <w:r w:rsidRPr="008419A4">
        <w:t>line</w:t>
      </w:r>
      <w:proofErr w:type="spellEnd"/>
      <w:r w:rsidRPr="008419A4">
        <w:t xml:space="preserve"> IDS), posiadać mechanizmy zarządzania pasmem sieci (</w:t>
      </w:r>
      <w:proofErr w:type="spellStart"/>
      <w:r w:rsidRPr="008419A4">
        <w:t>QoS</w:t>
      </w:r>
      <w:proofErr w:type="spellEnd"/>
      <w:r w:rsidRPr="008419A4">
        <w:t xml:space="preserve">) oraz zestawiać zabezpieczone kryptograficznie tunele VPN w oparciu o standardy </w:t>
      </w:r>
      <w:proofErr w:type="spellStart"/>
      <w:r w:rsidRPr="008419A4">
        <w:t>IPSec</w:t>
      </w:r>
      <w:proofErr w:type="spellEnd"/>
      <w:r w:rsidRPr="008419A4">
        <w:t xml:space="preserve"> i IKE </w:t>
      </w:r>
      <w:r>
        <w:br/>
      </w:r>
      <w:r w:rsidRPr="008419A4">
        <w:t xml:space="preserve">w konfiguracji </w:t>
      </w:r>
      <w:proofErr w:type="spellStart"/>
      <w:r w:rsidRPr="008419A4">
        <w:t>site</w:t>
      </w:r>
      <w:proofErr w:type="spellEnd"/>
      <w:r w:rsidRPr="008419A4">
        <w:t>-to-</w:t>
      </w:r>
      <w:proofErr w:type="spellStart"/>
      <w:r w:rsidRPr="008419A4">
        <w:t>site</w:t>
      </w:r>
      <w:proofErr w:type="spellEnd"/>
      <w:r w:rsidRPr="008419A4">
        <w:t xml:space="preserve"> oraz </w:t>
      </w:r>
      <w:proofErr w:type="spellStart"/>
      <w:r w:rsidRPr="008419A4">
        <w:t>client</w:t>
      </w:r>
      <w:proofErr w:type="spellEnd"/>
      <w:r w:rsidRPr="008419A4">
        <w:t>-to-</w:t>
      </w:r>
      <w:proofErr w:type="spellStart"/>
      <w:r w:rsidRPr="008419A4">
        <w:t>site</w:t>
      </w:r>
      <w:proofErr w:type="spellEnd"/>
      <w:r w:rsidRPr="008419A4">
        <w:t>.</w:t>
      </w:r>
    </w:p>
    <w:p w14:paraId="5E144A2D" w14:textId="77777777" w:rsidR="00B9413A" w:rsidRPr="00372D6D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372D6D">
        <w:t>Urządzenie musi posiadać integrację z zewnętrznymi źródłami danych zawierającymi  znan</w:t>
      </w:r>
      <w:r>
        <w:t>e adresy C&amp;C (</w:t>
      </w:r>
      <w:proofErr w:type="spellStart"/>
      <w:r>
        <w:t>Command&amp;Control</w:t>
      </w:r>
      <w:proofErr w:type="spellEnd"/>
      <w:r>
        <w:t xml:space="preserve">) oraz </w:t>
      </w:r>
      <w:proofErr w:type="spellStart"/>
      <w:r>
        <w:t>geoIP</w:t>
      </w:r>
      <w:proofErr w:type="spellEnd"/>
      <w:r>
        <w:t>, s</w:t>
      </w:r>
      <w:r w:rsidR="00196A9F">
        <w:t>w</w:t>
      </w:r>
      <w:r>
        <w:t xml:space="preserve">oje własne adresy IP lub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sendbox</w:t>
      </w:r>
      <w:proofErr w:type="spellEnd"/>
      <w:r w:rsidR="00196A9F">
        <w:t>.</w:t>
      </w:r>
    </w:p>
    <w:p w14:paraId="4B6E99CE" w14:textId="053CE20B" w:rsidR="00B9413A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B314ED">
        <w:t xml:space="preserve">W przypadku gdy do działania wymienionych wcześniej funkcji konieczne są licencje, system musi zostać w nie wyposażony. Licencje muszą być aktywne przez okres co najmniej </w:t>
      </w:r>
      <w:r w:rsidRPr="00D00943">
        <w:t>36-miesięc</w:t>
      </w:r>
      <w:r w:rsidR="00776EF3">
        <w:t>y</w:t>
      </w:r>
      <w:r w:rsidRPr="00D00943">
        <w:t xml:space="preserve"> (3 lata) </w:t>
      </w:r>
      <w:r>
        <w:t>od daty podpisania protokołu</w:t>
      </w:r>
      <w:r w:rsidR="00FC0FF8">
        <w:t xml:space="preserve"> odbioru urządzeń.</w:t>
      </w:r>
    </w:p>
    <w:p w14:paraId="6D0F5E88" w14:textId="77F1CD13" w:rsidR="00B9413A" w:rsidRPr="00D00943" w:rsidRDefault="00B9413A" w:rsidP="00B9413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900"/>
        <w:jc w:val="both"/>
      </w:pPr>
      <w:r w:rsidRPr="00D00943">
        <w:lastRenderedPageBreak/>
        <w:t xml:space="preserve">Dostarczane urządzenie musi być objęte co najmniej 36-miesięcznym (3 lata) </w:t>
      </w:r>
      <w:r>
        <w:t xml:space="preserve">od daty </w:t>
      </w:r>
      <w:r w:rsidR="00FC0FF8">
        <w:t>podpisania protokołu odbioru urządzeń w</w:t>
      </w:r>
      <w:r w:rsidRPr="00D00943">
        <w:t>sparciem technicznym producenta urządzenia.</w:t>
      </w:r>
      <w:r>
        <w:t xml:space="preserve"> W</w:t>
      </w:r>
      <w:r w:rsidRPr="00D00943">
        <w:t>sparcie techniczne świadczone telefonicznie, pocztą ele</w:t>
      </w:r>
      <w:r>
        <w:t>ktroniczną przez producenta lub</w:t>
      </w:r>
      <w:r w:rsidRPr="00D00943">
        <w:t xml:space="preserve"> polskiego dystrybutora sprzętu</w:t>
      </w:r>
      <w:r>
        <w:t xml:space="preserve"> w języku Polskim.</w:t>
      </w:r>
      <w:r w:rsidRPr="00D00943">
        <w:t xml:space="preserve"> Zamawiający wymaga aby wsparcie było  świadczone na następującym poziomie:</w:t>
      </w:r>
    </w:p>
    <w:p w14:paraId="01AA7A6D" w14:textId="77777777" w:rsidR="00B9413A" w:rsidRPr="006A6682" w:rsidRDefault="00B9413A" w:rsidP="006A6682">
      <w:pPr>
        <w:pStyle w:val="Akapitzlist"/>
        <w:numPr>
          <w:ilvl w:val="0"/>
          <w:numId w:val="19"/>
        </w:numPr>
        <w:ind w:left="1418"/>
      </w:pPr>
      <w:r w:rsidRPr="006A6682">
        <w:t>zgłaszanie uszkodzenia, awarii, błędu w dni robocze w godzinach pracy Zamawiającego (8-16)</w:t>
      </w:r>
    </w:p>
    <w:p w14:paraId="0427542F" w14:textId="77777777" w:rsidR="00B9413A" w:rsidRPr="006A6682" w:rsidRDefault="00B9413A" w:rsidP="006A6682">
      <w:pPr>
        <w:pStyle w:val="Akapitzlist"/>
        <w:numPr>
          <w:ilvl w:val="0"/>
          <w:numId w:val="19"/>
        </w:numPr>
        <w:ind w:left="1418"/>
      </w:pPr>
      <w:r w:rsidRPr="006A6682">
        <w:t xml:space="preserve">wymiana urządzenia na następny dzień roboczy (NBD) po rozpoznaniu uszkodzenia, awarii, błędu w wyniku zgłoszenia przez Zamawiającego  </w:t>
      </w:r>
    </w:p>
    <w:p w14:paraId="73D54579" w14:textId="77777777" w:rsidR="00B9413A" w:rsidRPr="006A6682" w:rsidRDefault="00B9413A" w:rsidP="006A6682">
      <w:pPr>
        <w:pStyle w:val="Akapitzlist"/>
        <w:numPr>
          <w:ilvl w:val="0"/>
          <w:numId w:val="19"/>
        </w:numPr>
        <w:ind w:left="1418"/>
      </w:pPr>
      <w:r w:rsidRPr="006A6682">
        <w:t>nieograniczony dostęp (24 godziny na dobę, 7 dni w tygodniu) do dedykowanej przez producenta urządzenia strony pozwalający na uzyskanie pomocy technicznej, aktualizacje i uaktualnienia oprogramowania.</w:t>
      </w:r>
    </w:p>
    <w:p w14:paraId="72C724C0" w14:textId="77777777" w:rsidR="00B9413A" w:rsidRDefault="00B9413A" w:rsidP="00B9413A">
      <w:pPr>
        <w:widowControl w:val="0"/>
        <w:suppressAutoHyphens/>
      </w:pPr>
    </w:p>
    <w:p w14:paraId="5CD9C33F" w14:textId="77777777" w:rsidR="00B9413A" w:rsidRDefault="00B9413A" w:rsidP="00B9413A">
      <w:pPr>
        <w:keepNext/>
        <w:numPr>
          <w:ilvl w:val="0"/>
          <w:numId w:val="1"/>
        </w:numPr>
        <w:tabs>
          <w:tab w:val="clear" w:pos="720"/>
          <w:tab w:val="num" w:pos="8571"/>
        </w:tabs>
        <w:suppressAutoHyphens/>
        <w:ind w:left="426"/>
        <w:jc w:val="both"/>
        <w:outlineLvl w:val="0"/>
        <w:rPr>
          <w:rFonts w:cs="Cambria"/>
          <w:b/>
          <w:bCs/>
          <w:kern w:val="1"/>
          <w:sz w:val="28"/>
          <w:szCs w:val="28"/>
          <w:lang w:eastAsia="zh-CN"/>
        </w:rPr>
      </w:pPr>
      <w:r>
        <w:rPr>
          <w:rFonts w:cs="Cambria"/>
          <w:b/>
          <w:bCs/>
          <w:kern w:val="1"/>
          <w:sz w:val="28"/>
          <w:szCs w:val="28"/>
          <w:lang w:eastAsia="zh-CN"/>
        </w:rPr>
        <w:t>Migracja istniejącego rozwiązania na dostarczone Urządzenia</w:t>
      </w:r>
    </w:p>
    <w:p w14:paraId="29243E80" w14:textId="77777777" w:rsidR="00B9413A" w:rsidRDefault="00B9413A" w:rsidP="00B9413A">
      <w:pPr>
        <w:suppressAutoHyphens/>
        <w:ind w:firstLine="709"/>
        <w:rPr>
          <w:kern w:val="1"/>
          <w:lang w:eastAsia="zh-CN"/>
        </w:rPr>
      </w:pPr>
    </w:p>
    <w:p w14:paraId="6E7E7C94" w14:textId="77777777" w:rsidR="00B9413A" w:rsidRPr="00CB192B" w:rsidRDefault="00B9413A" w:rsidP="00CB192B">
      <w:pPr>
        <w:pStyle w:val="Akapitzlist"/>
        <w:numPr>
          <w:ilvl w:val="0"/>
          <w:numId w:val="17"/>
        </w:numPr>
        <w:suppressAutoHyphens/>
        <w:jc w:val="both"/>
        <w:rPr>
          <w:kern w:val="1"/>
          <w:lang w:eastAsia="zh-CN"/>
        </w:rPr>
      </w:pPr>
      <w:r w:rsidRPr="00CB192B">
        <w:rPr>
          <w:kern w:val="1"/>
          <w:lang w:eastAsia="zh-CN"/>
        </w:rPr>
        <w:t>Zamawiający posiada 2 lokalizacje w Warszawie:</w:t>
      </w:r>
    </w:p>
    <w:p w14:paraId="057E2FEE" w14:textId="12555B19" w:rsidR="00B9413A" w:rsidRDefault="00B9413A" w:rsidP="00CB192B">
      <w:pPr>
        <w:suppressAutoHyphens/>
        <w:ind w:left="709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Węzeł Komunikacyjny ul. Koszykowa 16 (WK) i węzeł komunikacyjny ul. Taborowa 33 (WT), oba ośrodki posiadają styk z  siecią Internet. WK jest węzłem podstawowym a WT działa jako węzeł zapasowy. Obie lokalizacje połączone są punkt-punkt za pomocą własnego światłowodu. WK świadczy usługi dla pracowników Zamawiającego m.in. poczta, </w:t>
      </w:r>
      <w:proofErr w:type="spellStart"/>
      <w:r>
        <w:rPr>
          <w:kern w:val="1"/>
          <w:lang w:eastAsia="zh-CN"/>
        </w:rPr>
        <w:t>vpn</w:t>
      </w:r>
      <w:proofErr w:type="spellEnd"/>
      <w:r>
        <w:rPr>
          <w:kern w:val="1"/>
          <w:lang w:eastAsia="zh-CN"/>
        </w:rPr>
        <w:t>.</w:t>
      </w:r>
      <w:r w:rsidR="00776EF3">
        <w:rPr>
          <w:kern w:val="1"/>
          <w:lang w:eastAsia="zh-CN"/>
        </w:rPr>
        <w:t>, a</w:t>
      </w:r>
      <w:r>
        <w:rPr>
          <w:kern w:val="1"/>
          <w:lang w:eastAsia="zh-CN"/>
        </w:rPr>
        <w:t xml:space="preserve"> także dostęp do sieci Internet dla pracowników. WT jest węzłem awaryjnym gdzie podczas normalnej pracy dostarcza dostęp do Internetu dla pracowników pracujących w lokalizacji Taborowa 33, w przypadku awarii łącza w WK, przejmuje rolę łącza podstawowego. </w:t>
      </w:r>
    </w:p>
    <w:p w14:paraId="5501822B" w14:textId="77777777" w:rsidR="00B9413A" w:rsidRDefault="00B9413A" w:rsidP="00CB192B">
      <w:pPr>
        <w:suppressAutoHyphens/>
        <w:ind w:left="709"/>
        <w:jc w:val="both"/>
      </w:pPr>
      <w:r>
        <w:rPr>
          <w:kern w:val="1"/>
          <w:lang w:eastAsia="zh-CN"/>
        </w:rPr>
        <w:t xml:space="preserve">Urządzenia obsługujące WK to 2 </w:t>
      </w:r>
      <w:proofErr w:type="spellStart"/>
      <w:r>
        <w:rPr>
          <w:kern w:val="1"/>
          <w:lang w:eastAsia="zh-CN"/>
        </w:rPr>
        <w:t>Juniper</w:t>
      </w:r>
      <w:proofErr w:type="spellEnd"/>
      <w:r>
        <w:rPr>
          <w:kern w:val="1"/>
          <w:lang w:eastAsia="zh-CN"/>
        </w:rPr>
        <w:t xml:space="preserve"> SRX 650 działające w klastrze </w:t>
      </w:r>
      <w:r w:rsidRPr="00324747">
        <w:t>Active-</w:t>
      </w:r>
      <w:proofErr w:type="spellStart"/>
      <w:r w:rsidRPr="00324747">
        <w:t>Passive</w:t>
      </w:r>
      <w:proofErr w:type="spellEnd"/>
      <w:r>
        <w:t xml:space="preserve">. </w:t>
      </w:r>
    </w:p>
    <w:p w14:paraId="35EB9B1E" w14:textId="77777777" w:rsidR="00B9413A" w:rsidRDefault="00B9413A" w:rsidP="00CB192B">
      <w:pPr>
        <w:suppressAutoHyphens/>
        <w:ind w:left="709"/>
        <w:jc w:val="both"/>
      </w:pPr>
      <w:r>
        <w:t xml:space="preserve">Urządzenia obsługujące WT to 2 </w:t>
      </w:r>
      <w:proofErr w:type="spellStart"/>
      <w:r>
        <w:t>Juniper</w:t>
      </w:r>
      <w:proofErr w:type="spellEnd"/>
      <w:r>
        <w:t xml:space="preserve"> SRX 110 działające w klastrze </w:t>
      </w:r>
      <w:r w:rsidRPr="00324747">
        <w:t>Active-</w:t>
      </w:r>
      <w:proofErr w:type="spellStart"/>
      <w:r w:rsidRPr="00324747">
        <w:t>Passive</w:t>
      </w:r>
      <w:proofErr w:type="spellEnd"/>
      <w:r>
        <w:t xml:space="preserve">. </w:t>
      </w:r>
    </w:p>
    <w:p w14:paraId="2AAA8C2A" w14:textId="6F949809" w:rsidR="00B9413A" w:rsidRDefault="00B9413A" w:rsidP="00CB192B">
      <w:pPr>
        <w:suppressAutoHyphens/>
        <w:ind w:left="709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Urządzenia te zarządzane są poprzez centralny system zarządzający </w:t>
      </w:r>
      <w:proofErr w:type="spellStart"/>
      <w:r>
        <w:rPr>
          <w:kern w:val="1"/>
          <w:lang w:eastAsia="zh-CN"/>
        </w:rPr>
        <w:t>Juniper</w:t>
      </w:r>
      <w:proofErr w:type="spellEnd"/>
      <w:r>
        <w:rPr>
          <w:kern w:val="1"/>
          <w:lang w:eastAsia="zh-CN"/>
        </w:rPr>
        <w:t xml:space="preserve"> </w:t>
      </w:r>
      <w:proofErr w:type="spellStart"/>
      <w:r>
        <w:rPr>
          <w:kern w:val="1"/>
          <w:lang w:eastAsia="zh-CN"/>
        </w:rPr>
        <w:t>Junos</w:t>
      </w:r>
      <w:proofErr w:type="spellEnd"/>
      <w:r>
        <w:rPr>
          <w:kern w:val="1"/>
          <w:lang w:eastAsia="zh-CN"/>
        </w:rPr>
        <w:t xml:space="preserve"> Space moduł Security </w:t>
      </w:r>
      <w:proofErr w:type="spellStart"/>
      <w:r>
        <w:rPr>
          <w:kern w:val="1"/>
          <w:lang w:eastAsia="zh-CN"/>
        </w:rPr>
        <w:t>Director</w:t>
      </w:r>
      <w:proofErr w:type="spellEnd"/>
      <w:r w:rsidR="00776EF3">
        <w:rPr>
          <w:kern w:val="1"/>
          <w:lang w:eastAsia="zh-CN"/>
        </w:rPr>
        <w:t>.</w:t>
      </w:r>
    </w:p>
    <w:p w14:paraId="6BCFFEEC" w14:textId="77777777" w:rsidR="00B9413A" w:rsidRDefault="00B9413A" w:rsidP="00776EF3">
      <w:pPr>
        <w:suppressAutoHyphens/>
        <w:ind w:firstLine="709"/>
        <w:jc w:val="both"/>
      </w:pPr>
    </w:p>
    <w:p w14:paraId="5DA1DFBF" w14:textId="0EE2AA81" w:rsidR="00B9413A" w:rsidRPr="00CB192B" w:rsidRDefault="00B9413A" w:rsidP="00CB192B">
      <w:pPr>
        <w:pStyle w:val="Akapitzlist"/>
        <w:numPr>
          <w:ilvl w:val="0"/>
          <w:numId w:val="17"/>
        </w:numPr>
        <w:suppressAutoHyphens/>
        <w:rPr>
          <w:kern w:val="1"/>
          <w:lang w:eastAsia="zh-CN"/>
        </w:rPr>
      </w:pPr>
      <w:r>
        <w:t>Wykaz prac:</w:t>
      </w:r>
    </w:p>
    <w:p w14:paraId="26119315" w14:textId="77777777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 xml:space="preserve">Wykonanie analizy istniejącego rozwiązania </w:t>
      </w:r>
    </w:p>
    <w:p w14:paraId="0B44474D" w14:textId="77777777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>Uruchomienie dostarczonych w ramach postępowania urządzeń w klastrze Active-Active, po jednym urządzeniu w węźle.</w:t>
      </w:r>
    </w:p>
    <w:p w14:paraId="55701110" w14:textId="77777777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 xml:space="preserve">Podłączenie dostarczonych w ramach postępowania urządzeń do centralnego systemu zarządzania </w:t>
      </w:r>
      <w:proofErr w:type="spellStart"/>
      <w:r w:rsidRPr="00CB192B">
        <w:t>Juniper</w:t>
      </w:r>
      <w:proofErr w:type="spellEnd"/>
      <w:r w:rsidRPr="00CB192B">
        <w:t xml:space="preserve"> </w:t>
      </w:r>
      <w:proofErr w:type="spellStart"/>
      <w:r w:rsidRPr="00CB192B">
        <w:t>Junos</w:t>
      </w:r>
      <w:proofErr w:type="spellEnd"/>
      <w:r w:rsidRPr="00CB192B">
        <w:t xml:space="preserve"> Space</w:t>
      </w:r>
    </w:p>
    <w:p w14:paraId="474B8694" w14:textId="77777777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>Przeniesienie istniejących usług na dostarczone w ramach postępowania urządzenia dla obu węzłów</w:t>
      </w:r>
    </w:p>
    <w:p w14:paraId="3776A798" w14:textId="28BA2E81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 xml:space="preserve">Uruchomienie mechanizmów ochrony przed awariami elementów sprzętowych </w:t>
      </w:r>
      <w:r w:rsidR="006A6682">
        <w:br/>
      </w:r>
      <w:r w:rsidRPr="00CB192B">
        <w:t xml:space="preserve">i programowych systemu zabezpieczeń oraz łączy sieciowych. </w:t>
      </w:r>
    </w:p>
    <w:p w14:paraId="5E08452A" w14:textId="77777777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 xml:space="preserve">Uruchomienie mechanizmów bezpieczeństwa – pełny UTM </w:t>
      </w:r>
    </w:p>
    <w:p w14:paraId="7E523904" w14:textId="77777777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>Wykonanie testów akceptacyjnych.</w:t>
      </w:r>
    </w:p>
    <w:p w14:paraId="336249B6" w14:textId="77777777" w:rsidR="00B9413A" w:rsidRPr="00CB192B" w:rsidRDefault="00B9413A" w:rsidP="006A6682">
      <w:pPr>
        <w:pStyle w:val="Akapitzlist"/>
        <w:numPr>
          <w:ilvl w:val="0"/>
          <w:numId w:val="18"/>
        </w:numPr>
        <w:ind w:left="1134"/>
        <w:jc w:val="both"/>
      </w:pPr>
      <w:r w:rsidRPr="00CB192B">
        <w:t>Wykonanie testów wydajnościowych urządzeń dostarczonych w ramach postępowania. Testy muszą potwierdzić parametry minimalne parametrów technicznych</w:t>
      </w:r>
    </w:p>
    <w:p w14:paraId="5CB29D50" w14:textId="77777777" w:rsidR="00B9413A" w:rsidRDefault="00B9413A" w:rsidP="00B9413A">
      <w:pPr>
        <w:spacing w:after="160" w:line="259" w:lineRule="auto"/>
        <w:rPr>
          <w:rFonts w:cs="Cambria"/>
          <w:b/>
          <w:bCs/>
          <w:kern w:val="1"/>
          <w:sz w:val="28"/>
          <w:szCs w:val="28"/>
          <w:lang w:eastAsia="zh-CN"/>
        </w:rPr>
      </w:pPr>
    </w:p>
    <w:p w14:paraId="4B49E9DE" w14:textId="77777777" w:rsidR="00776EF3" w:rsidRDefault="00B9413A" w:rsidP="00B9413A">
      <w:pPr>
        <w:keepNext/>
        <w:numPr>
          <w:ilvl w:val="0"/>
          <w:numId w:val="1"/>
        </w:numPr>
        <w:tabs>
          <w:tab w:val="clear" w:pos="720"/>
          <w:tab w:val="num" w:pos="8571"/>
        </w:tabs>
        <w:suppressAutoHyphens/>
        <w:ind w:left="426"/>
        <w:jc w:val="both"/>
        <w:outlineLvl w:val="0"/>
        <w:rPr>
          <w:rFonts w:cs="Cambria"/>
          <w:b/>
          <w:bCs/>
          <w:kern w:val="1"/>
          <w:sz w:val="28"/>
          <w:szCs w:val="28"/>
          <w:lang w:eastAsia="zh-CN"/>
        </w:rPr>
      </w:pPr>
      <w:r>
        <w:rPr>
          <w:rFonts w:cs="Cambria"/>
          <w:b/>
          <w:bCs/>
          <w:kern w:val="1"/>
          <w:sz w:val="28"/>
          <w:szCs w:val="28"/>
          <w:lang w:eastAsia="zh-CN"/>
        </w:rPr>
        <w:lastRenderedPageBreak/>
        <w:t>Dokumentacja</w:t>
      </w:r>
    </w:p>
    <w:p w14:paraId="6D9DC163" w14:textId="77777777" w:rsidR="00B9413A" w:rsidRDefault="00B9413A" w:rsidP="00776EF3">
      <w:pPr>
        <w:keepNext/>
        <w:suppressAutoHyphens/>
        <w:ind w:left="426"/>
        <w:jc w:val="both"/>
        <w:outlineLvl w:val="0"/>
        <w:rPr>
          <w:rFonts w:cs="Cambria"/>
          <w:b/>
          <w:bCs/>
          <w:kern w:val="1"/>
          <w:sz w:val="28"/>
          <w:szCs w:val="28"/>
          <w:lang w:eastAsia="zh-CN"/>
        </w:rPr>
      </w:pPr>
      <w:r>
        <w:rPr>
          <w:rFonts w:cs="Cambria"/>
          <w:b/>
          <w:bCs/>
          <w:kern w:val="1"/>
          <w:sz w:val="28"/>
          <w:szCs w:val="28"/>
          <w:lang w:eastAsia="zh-CN"/>
        </w:rPr>
        <w:t xml:space="preserve"> </w:t>
      </w:r>
    </w:p>
    <w:p w14:paraId="5810E7B4" w14:textId="77777777" w:rsidR="00B9413A" w:rsidRPr="006A031B" w:rsidRDefault="00B9413A" w:rsidP="008968D8">
      <w:pPr>
        <w:pStyle w:val="Nagwek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</w:t>
      </w:r>
    </w:p>
    <w:p w14:paraId="1B95BE3B" w14:textId="77777777" w:rsidR="00B9413A" w:rsidRPr="00EF0D5F" w:rsidRDefault="00B9413A" w:rsidP="008968D8">
      <w:pPr>
        <w:ind w:left="709"/>
        <w:jc w:val="both"/>
      </w:pPr>
      <w:r>
        <w:t xml:space="preserve">Wykonawca opracuje i przedstawi do zatwierdzenia przez Zamawiającego projekt techniczny planowanych do wykonania prac teleinformatycznych. </w:t>
      </w:r>
    </w:p>
    <w:p w14:paraId="5AAFAF1B" w14:textId="77777777" w:rsidR="00B9413A" w:rsidRDefault="00B9413A" w:rsidP="008968D8">
      <w:pPr>
        <w:pStyle w:val="Nagwek3"/>
        <w:spacing w:before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0DD7833" w14:textId="77777777" w:rsidR="00B9413A" w:rsidRPr="006A031B" w:rsidRDefault="00B9413A" w:rsidP="008968D8">
      <w:pPr>
        <w:pStyle w:val="Nagwek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Scenariusze testów akceptacyjnych</w:t>
      </w:r>
    </w:p>
    <w:p w14:paraId="6B590AC0" w14:textId="77777777" w:rsidR="00B9413A" w:rsidRPr="006A031B" w:rsidRDefault="00B9413A" w:rsidP="008968D8">
      <w:pPr>
        <w:ind w:left="709"/>
        <w:jc w:val="both"/>
      </w:pPr>
      <w:r w:rsidRPr="006A031B">
        <w:t>Wykonawca opracuje i przedstawi do zatwierdzenia przez Zamawiającego scenariusze testów. Scenariusze testów będą obejmować wszystkie elementy dostarczonej infrastruktury teleinformatycznej.</w:t>
      </w:r>
    </w:p>
    <w:p w14:paraId="51FE59DD" w14:textId="77777777" w:rsidR="00B9413A" w:rsidRDefault="00B9413A" w:rsidP="008968D8">
      <w:pPr>
        <w:ind w:left="709"/>
        <w:jc w:val="both"/>
      </w:pPr>
      <w:r w:rsidRPr="006A031B">
        <w:t xml:space="preserve">Scenariusze testów muszą obejmować również testy </w:t>
      </w:r>
      <w:r>
        <w:t xml:space="preserve">wydajnościowe urządzeń dostarczonych w ramach postępowania np. </w:t>
      </w:r>
      <w:r w:rsidRPr="00375119">
        <w:t>ochron</w:t>
      </w:r>
      <w:r>
        <w:t>a</w:t>
      </w:r>
      <w:r w:rsidRPr="00375119">
        <w:t xml:space="preserve"> przed atakami </w:t>
      </w:r>
      <w:proofErr w:type="spellStart"/>
      <w:r w:rsidRPr="00375119">
        <w:t>DoS</w:t>
      </w:r>
      <w:proofErr w:type="spellEnd"/>
      <w:r w:rsidRPr="00375119">
        <w:t xml:space="preserve"> i </w:t>
      </w:r>
      <w:proofErr w:type="spellStart"/>
      <w:r w:rsidRPr="00375119">
        <w:t>DDoS</w:t>
      </w:r>
      <w:proofErr w:type="spellEnd"/>
      <w:r>
        <w:t xml:space="preserve">, </w:t>
      </w:r>
      <w:proofErr w:type="spellStart"/>
      <w:r w:rsidRPr="00235D1B">
        <w:t>Stateful</w:t>
      </w:r>
      <w:proofErr w:type="spellEnd"/>
      <w:r w:rsidRPr="00235D1B">
        <w:t xml:space="preserve"> Firewall </w:t>
      </w:r>
      <w:r>
        <w:t>dla ruchu IMIX dla pełnego UTM</w:t>
      </w:r>
    </w:p>
    <w:p w14:paraId="25CA65B4" w14:textId="77777777" w:rsidR="00B9413A" w:rsidRPr="006A031B" w:rsidRDefault="00B9413A" w:rsidP="008968D8">
      <w:pPr>
        <w:jc w:val="both"/>
      </w:pPr>
    </w:p>
    <w:p w14:paraId="60AC6BE0" w14:textId="77777777" w:rsidR="00B9413A" w:rsidRPr="006A031B" w:rsidRDefault="00B9413A" w:rsidP="008968D8">
      <w:pPr>
        <w:pStyle w:val="Nagwek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Dokumentacja powykonawcza</w:t>
      </w:r>
    </w:p>
    <w:p w14:paraId="51B36723" w14:textId="77777777" w:rsidR="00B9413A" w:rsidRDefault="00B9413A" w:rsidP="008968D8">
      <w:pPr>
        <w:ind w:left="709"/>
        <w:jc w:val="both"/>
      </w:pPr>
      <w:r w:rsidRPr="006A031B">
        <w:t>Wykonawca przedstawi do zatwierdzenia Dokumentację Powykonawczą zawierającą zaktualizowaną Dokumentację Projektową oraz specyfikację elementów oprogramowania (np. skryptów, plików konfiguracyjnych itp.) wykonanych specjalnie dla potrzeb realizacji przedmiotu zamówienia.</w:t>
      </w:r>
    </w:p>
    <w:p w14:paraId="6A887FBB" w14:textId="77777777" w:rsidR="00B9413A" w:rsidRPr="006A031B" w:rsidRDefault="00B9413A" w:rsidP="008968D8">
      <w:pPr>
        <w:ind w:left="540"/>
        <w:jc w:val="both"/>
      </w:pPr>
    </w:p>
    <w:p w14:paraId="119916DB" w14:textId="77777777" w:rsidR="00B9413A" w:rsidRPr="006A031B" w:rsidRDefault="00B9413A" w:rsidP="008968D8">
      <w:pPr>
        <w:pStyle w:val="Nagwek3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Dokumentacja eksploatacyjna</w:t>
      </w:r>
    </w:p>
    <w:p w14:paraId="390E94F1" w14:textId="77777777" w:rsidR="00B9413A" w:rsidRPr="006A031B" w:rsidRDefault="00B9413A" w:rsidP="008968D8">
      <w:pPr>
        <w:ind w:left="709"/>
        <w:jc w:val="both"/>
      </w:pPr>
      <w:r w:rsidRPr="006A031B">
        <w:t>Wykonawca przedstawi do zatwierdzenia dokumentację dotyczącą Procedur Eksploatacyjnych, w tym, co najmniej:</w:t>
      </w:r>
    </w:p>
    <w:p w14:paraId="7F74C307" w14:textId="77777777" w:rsidR="00B9413A" w:rsidRPr="006A031B" w:rsidRDefault="00B9413A" w:rsidP="008968D8">
      <w:pPr>
        <w:pStyle w:val="Akapitzlist1"/>
        <w:numPr>
          <w:ilvl w:val="0"/>
          <w:numId w:val="6"/>
        </w:numPr>
        <w:spacing w:after="0" w:line="240" w:lineRule="auto"/>
        <w:ind w:left="1418" w:hanging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031B">
        <w:rPr>
          <w:rFonts w:ascii="Times New Roman" w:hAnsi="Times New Roman"/>
          <w:sz w:val="24"/>
          <w:szCs w:val="24"/>
        </w:rPr>
        <w:t>procedury monitorowania pracy urządzeń i oprogramowania systemowego oraz narzędziowego z uwzględnieniem alarmowania o bieżących problemach;</w:t>
      </w:r>
    </w:p>
    <w:p w14:paraId="3D6AEFCF" w14:textId="77777777" w:rsidR="00B9413A" w:rsidRPr="006A031B" w:rsidRDefault="00B9413A" w:rsidP="008968D8">
      <w:pPr>
        <w:pStyle w:val="Akapitzlist1"/>
        <w:numPr>
          <w:ilvl w:val="0"/>
          <w:numId w:val="6"/>
        </w:numPr>
        <w:spacing w:after="0" w:line="240" w:lineRule="auto"/>
        <w:ind w:left="1418" w:hanging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031B">
        <w:rPr>
          <w:rFonts w:ascii="Times New Roman" w:hAnsi="Times New Roman"/>
          <w:sz w:val="24"/>
          <w:szCs w:val="24"/>
        </w:rPr>
        <w:t>procedury okresowych czynności administracyjnych dotyczących sprzętu i oprogramowania systemowego oraz narzędziowego;</w:t>
      </w:r>
    </w:p>
    <w:p w14:paraId="4A7EB33D" w14:textId="77777777" w:rsidR="00B9413A" w:rsidRDefault="00B9413A" w:rsidP="008968D8">
      <w:pPr>
        <w:pStyle w:val="Akapitzlist1"/>
        <w:numPr>
          <w:ilvl w:val="0"/>
          <w:numId w:val="6"/>
        </w:numPr>
        <w:spacing w:after="0" w:line="240" w:lineRule="auto"/>
        <w:ind w:left="1418" w:hanging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031B">
        <w:rPr>
          <w:rFonts w:ascii="Times New Roman" w:hAnsi="Times New Roman"/>
          <w:sz w:val="24"/>
          <w:szCs w:val="24"/>
        </w:rPr>
        <w:t>procedury działania w razie awarii systemu.</w:t>
      </w:r>
    </w:p>
    <w:p w14:paraId="79AEF93B" w14:textId="77777777" w:rsidR="00B9413A" w:rsidRDefault="00B9413A" w:rsidP="008968D8">
      <w:pPr>
        <w:pStyle w:val="Akapitzlist1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489C56FA" w14:textId="77777777" w:rsidR="00B9413A" w:rsidRPr="0095391C" w:rsidRDefault="00B9413A" w:rsidP="008968D8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91C">
        <w:rPr>
          <w:rFonts w:ascii="Times New Roman" w:hAnsi="Times New Roman"/>
          <w:b/>
          <w:sz w:val="24"/>
          <w:szCs w:val="24"/>
        </w:rPr>
        <w:t>Wymagania ogólne do dokumentacji</w:t>
      </w:r>
    </w:p>
    <w:p w14:paraId="30C1891E" w14:textId="77777777" w:rsidR="00B9413A" w:rsidRPr="006A031B" w:rsidRDefault="00B9413A" w:rsidP="008968D8">
      <w:pPr>
        <w:ind w:left="709"/>
        <w:jc w:val="both"/>
      </w:pPr>
      <w:r>
        <w:t>Każda dokumentacja zostanie dostarczona na nośniku cyfrowym w wersji edytowalnej np. MS Word oraz w co najmniej 2 wersjach papierowych. Dodatkowo w oddzielnym dokumencie Wykonawca dostarczy zestawienie haseł i loginów.</w:t>
      </w:r>
    </w:p>
    <w:p w14:paraId="0BB604A4" w14:textId="77777777" w:rsidR="00B9413A" w:rsidRDefault="00B9413A" w:rsidP="00B9413A">
      <w:pPr>
        <w:keepNext/>
        <w:suppressAutoHyphens/>
        <w:outlineLvl w:val="0"/>
        <w:rPr>
          <w:rFonts w:cs="Cambria"/>
          <w:b/>
          <w:bCs/>
          <w:kern w:val="1"/>
          <w:sz w:val="28"/>
          <w:szCs w:val="28"/>
          <w:lang w:eastAsia="zh-CN"/>
        </w:rPr>
      </w:pPr>
    </w:p>
    <w:p w14:paraId="60DCB8A8" w14:textId="77777777" w:rsidR="00B9413A" w:rsidRDefault="00B9413A" w:rsidP="00B9413A">
      <w:pPr>
        <w:keepNext/>
        <w:numPr>
          <w:ilvl w:val="0"/>
          <w:numId w:val="1"/>
        </w:numPr>
        <w:tabs>
          <w:tab w:val="clear" w:pos="720"/>
          <w:tab w:val="num" w:pos="8571"/>
        </w:tabs>
        <w:suppressAutoHyphens/>
        <w:ind w:left="426"/>
        <w:jc w:val="both"/>
        <w:outlineLvl w:val="0"/>
        <w:rPr>
          <w:rFonts w:cs="Cambria"/>
          <w:b/>
          <w:bCs/>
          <w:kern w:val="1"/>
          <w:sz w:val="28"/>
          <w:szCs w:val="28"/>
          <w:lang w:eastAsia="zh-CN"/>
        </w:rPr>
      </w:pPr>
      <w:r w:rsidRPr="00082D19">
        <w:rPr>
          <w:rFonts w:cs="Cambria"/>
          <w:b/>
          <w:bCs/>
          <w:kern w:val="1"/>
          <w:sz w:val="28"/>
          <w:szCs w:val="28"/>
          <w:lang w:eastAsia="zh-CN"/>
        </w:rPr>
        <w:t>Szkoleni</w:t>
      </w:r>
      <w:r>
        <w:rPr>
          <w:rFonts w:cs="Cambria"/>
          <w:b/>
          <w:bCs/>
          <w:kern w:val="1"/>
          <w:sz w:val="28"/>
          <w:szCs w:val="28"/>
          <w:lang w:eastAsia="zh-CN"/>
        </w:rPr>
        <w:t>a</w:t>
      </w:r>
    </w:p>
    <w:p w14:paraId="0EA4DDE6" w14:textId="77777777" w:rsidR="00776EF3" w:rsidRPr="00082D19" w:rsidRDefault="00776EF3" w:rsidP="00776EF3">
      <w:pPr>
        <w:keepNext/>
        <w:suppressAutoHyphens/>
        <w:ind w:left="426"/>
        <w:jc w:val="both"/>
        <w:outlineLvl w:val="0"/>
        <w:rPr>
          <w:rFonts w:cs="Cambria"/>
          <w:b/>
          <w:bCs/>
          <w:kern w:val="1"/>
          <w:sz w:val="28"/>
          <w:szCs w:val="28"/>
          <w:lang w:eastAsia="zh-CN"/>
        </w:rPr>
      </w:pPr>
    </w:p>
    <w:p w14:paraId="65E1845D" w14:textId="77777777" w:rsidR="00B9413A" w:rsidRPr="005E0833" w:rsidRDefault="00B9413A" w:rsidP="001C5777">
      <w:pPr>
        <w:pStyle w:val="Akapitzlist"/>
        <w:numPr>
          <w:ilvl w:val="0"/>
          <w:numId w:val="14"/>
        </w:numPr>
        <w:suppressAutoHyphens/>
        <w:jc w:val="both"/>
      </w:pPr>
      <w:r w:rsidRPr="005E0833">
        <w:t>Zamawiający wymaga przeprowadzenia autoryzowanych przez producenta urządzeń szkoleń dla 3 osób. Szkolenia muszą się  składać się z bloków tematycznych zawierających następujący zakres:</w:t>
      </w:r>
    </w:p>
    <w:p w14:paraId="179FCC63" w14:textId="77777777" w:rsidR="00B9413A" w:rsidRPr="005E0833" w:rsidRDefault="00B9413A" w:rsidP="001C5777">
      <w:pPr>
        <w:pStyle w:val="Akapitzlist"/>
        <w:numPr>
          <w:ilvl w:val="0"/>
          <w:numId w:val="10"/>
        </w:numPr>
        <w:suppressAutoHyphens/>
        <w:ind w:left="1134"/>
        <w:contextualSpacing/>
        <w:jc w:val="both"/>
      </w:pPr>
      <w:r w:rsidRPr="005E0833">
        <w:t xml:space="preserve">Podstawy administrowania systemem </w:t>
      </w:r>
      <w:proofErr w:type="spellStart"/>
      <w:r w:rsidRPr="005E0833">
        <w:t>Junos</w:t>
      </w:r>
      <w:proofErr w:type="spellEnd"/>
      <w:r w:rsidRPr="005E0833">
        <w:t xml:space="preserve"> Space – szkolenie co najmniej 2 dni </w:t>
      </w:r>
    </w:p>
    <w:p w14:paraId="6870BB51" w14:textId="77777777" w:rsidR="00B9413A" w:rsidRPr="001C5777" w:rsidRDefault="00B9413A" w:rsidP="001C5777">
      <w:pPr>
        <w:pStyle w:val="Akapitzlist"/>
        <w:numPr>
          <w:ilvl w:val="0"/>
          <w:numId w:val="11"/>
        </w:numPr>
        <w:ind w:left="1701"/>
      </w:pPr>
      <w:r w:rsidRPr="001C5777">
        <w:t xml:space="preserve">Wprowadzenie do </w:t>
      </w:r>
      <w:proofErr w:type="spellStart"/>
      <w:r w:rsidRPr="001C5777">
        <w:t>Junos</w:t>
      </w:r>
      <w:proofErr w:type="spellEnd"/>
      <w:r w:rsidRPr="001C5777">
        <w:t xml:space="preserve"> Space</w:t>
      </w:r>
    </w:p>
    <w:p w14:paraId="47CF0BF6" w14:textId="77777777" w:rsidR="00B9413A" w:rsidRPr="001C5777" w:rsidRDefault="00B9413A" w:rsidP="001C5777">
      <w:pPr>
        <w:pStyle w:val="Akapitzlist"/>
        <w:numPr>
          <w:ilvl w:val="0"/>
          <w:numId w:val="11"/>
        </w:numPr>
        <w:ind w:left="1701"/>
      </w:pPr>
      <w:r w:rsidRPr="001C5777">
        <w:t xml:space="preserve">Zagadnienia związane z instalacją </w:t>
      </w:r>
      <w:proofErr w:type="spellStart"/>
      <w:r w:rsidRPr="001C5777">
        <w:t>Junos</w:t>
      </w:r>
      <w:proofErr w:type="spellEnd"/>
      <w:r w:rsidRPr="001C5777">
        <w:t xml:space="preserve"> Space</w:t>
      </w:r>
    </w:p>
    <w:p w14:paraId="6D0AA7AB" w14:textId="77777777" w:rsidR="00B9413A" w:rsidRPr="001C5777" w:rsidRDefault="00B9413A" w:rsidP="001C5777">
      <w:pPr>
        <w:pStyle w:val="Akapitzlist"/>
        <w:numPr>
          <w:ilvl w:val="0"/>
          <w:numId w:val="11"/>
        </w:numPr>
        <w:ind w:left="1701"/>
      </w:pPr>
      <w:r w:rsidRPr="001C5777">
        <w:t>Administracja systemem</w:t>
      </w:r>
    </w:p>
    <w:p w14:paraId="4CCF3A04" w14:textId="77777777" w:rsidR="00B9413A" w:rsidRPr="001C5777" w:rsidRDefault="00B9413A" w:rsidP="001C5777">
      <w:pPr>
        <w:pStyle w:val="Akapitzlist"/>
        <w:numPr>
          <w:ilvl w:val="0"/>
          <w:numId w:val="11"/>
        </w:numPr>
        <w:ind w:left="1701"/>
      </w:pPr>
      <w:r w:rsidRPr="001C5777">
        <w:t>Zarządzanie urządzeniami sieciowymi</w:t>
      </w:r>
    </w:p>
    <w:p w14:paraId="44F17EB3" w14:textId="77777777" w:rsidR="00B9413A" w:rsidRPr="001C5777" w:rsidRDefault="00B9413A" w:rsidP="001C5777">
      <w:pPr>
        <w:pStyle w:val="Akapitzlist"/>
        <w:numPr>
          <w:ilvl w:val="0"/>
          <w:numId w:val="11"/>
        </w:numPr>
        <w:ind w:left="1701"/>
      </w:pPr>
      <w:r w:rsidRPr="001C5777">
        <w:t>Szablony konfiguracji</w:t>
      </w:r>
    </w:p>
    <w:p w14:paraId="7F966B4C" w14:textId="77777777" w:rsidR="00B9413A" w:rsidRDefault="00B9413A" w:rsidP="001C5777">
      <w:pPr>
        <w:pStyle w:val="Akapitzlist"/>
        <w:numPr>
          <w:ilvl w:val="0"/>
          <w:numId w:val="11"/>
        </w:numPr>
        <w:ind w:left="1701"/>
      </w:pPr>
      <w:r w:rsidRPr="001C5777">
        <w:t>Automatyzacja działań administratora</w:t>
      </w:r>
    </w:p>
    <w:p w14:paraId="489F2D62" w14:textId="77777777" w:rsidR="001C5777" w:rsidRDefault="001C5777" w:rsidP="001C5777">
      <w:pPr>
        <w:pStyle w:val="Akapitzlist"/>
        <w:ind w:left="1134"/>
      </w:pPr>
    </w:p>
    <w:p w14:paraId="1D9CDC4D" w14:textId="77777777" w:rsidR="001C5777" w:rsidRPr="005E0833" w:rsidRDefault="001C5777" w:rsidP="001C5777">
      <w:pPr>
        <w:pStyle w:val="Akapitzlist"/>
        <w:ind w:left="1134"/>
      </w:pPr>
    </w:p>
    <w:p w14:paraId="25BC2554" w14:textId="77777777" w:rsidR="00B9413A" w:rsidRPr="005E0833" w:rsidRDefault="00B9413A" w:rsidP="001C5777">
      <w:pPr>
        <w:pStyle w:val="Akapitzlist"/>
        <w:numPr>
          <w:ilvl w:val="0"/>
          <w:numId w:val="10"/>
        </w:numPr>
        <w:suppressAutoHyphens/>
        <w:ind w:left="1134"/>
        <w:contextualSpacing/>
        <w:jc w:val="both"/>
      </w:pPr>
      <w:r w:rsidRPr="005E0833">
        <w:lastRenderedPageBreak/>
        <w:t>JUNOS w urządzeniach zabezpieczeń – szkolenie co najmniej 5 dni</w:t>
      </w:r>
    </w:p>
    <w:p w14:paraId="3DF0D990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Wprowadzenie w tematykę platform zabezpieczeń JUNOS </w:t>
      </w:r>
    </w:p>
    <w:p w14:paraId="5BD73F2E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Koncepcja stref oraz ochrona screening </w:t>
      </w:r>
    </w:p>
    <w:p w14:paraId="6B9FA7B1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Polityki bezpieczeństwa </w:t>
      </w:r>
    </w:p>
    <w:p w14:paraId="66F1254A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Zarządzanie politykami za pomocą Security </w:t>
      </w:r>
      <w:proofErr w:type="spellStart"/>
      <w:r w:rsidRPr="001C5777">
        <w:t>Directora</w:t>
      </w:r>
      <w:proofErr w:type="spellEnd"/>
      <w:r w:rsidRPr="001C5777">
        <w:t xml:space="preserve"> </w:t>
      </w:r>
    </w:p>
    <w:p w14:paraId="4C30689D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Zaawansowane polityki bezpieczeństwa </w:t>
      </w:r>
    </w:p>
    <w:p w14:paraId="782A3BFA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Rozwiązywanie błędów ze strefami i politykami bezpieczeństwa </w:t>
      </w:r>
    </w:p>
    <w:p w14:paraId="074BEA13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NAT – translacja adresów </w:t>
      </w:r>
    </w:p>
    <w:p w14:paraId="065F7EF2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Zaawansowane funkcje NAT </w:t>
      </w:r>
    </w:p>
    <w:p w14:paraId="1895CB8E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proofErr w:type="spellStart"/>
      <w:r w:rsidRPr="001C5777">
        <w:t>Koncencja</w:t>
      </w:r>
      <w:proofErr w:type="spellEnd"/>
      <w:r w:rsidRPr="001C5777">
        <w:t xml:space="preserve"> tuneli </w:t>
      </w:r>
      <w:proofErr w:type="spellStart"/>
      <w:r w:rsidRPr="001C5777">
        <w:t>IPSec</w:t>
      </w:r>
      <w:proofErr w:type="spellEnd"/>
      <w:r w:rsidRPr="001C5777">
        <w:t xml:space="preserve"> VPN </w:t>
      </w:r>
    </w:p>
    <w:p w14:paraId="45AEBE8F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Implementacja IPSEC </w:t>
      </w:r>
    </w:p>
    <w:p w14:paraId="5BD141B9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>Hub-and-</w:t>
      </w:r>
      <w:proofErr w:type="spellStart"/>
      <w:r w:rsidRPr="001C5777">
        <w:t>Spoke</w:t>
      </w:r>
      <w:proofErr w:type="spellEnd"/>
      <w:r w:rsidRPr="001C5777">
        <w:t xml:space="preserve"> VPN </w:t>
      </w:r>
    </w:p>
    <w:p w14:paraId="05D344E1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proofErr w:type="spellStart"/>
      <w:r w:rsidRPr="001C5777">
        <w:t>Group</w:t>
      </w:r>
      <w:proofErr w:type="spellEnd"/>
      <w:r w:rsidRPr="001C5777">
        <w:t xml:space="preserve"> VPN </w:t>
      </w:r>
    </w:p>
    <w:p w14:paraId="15062A15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PKI oraz ADVPN </w:t>
      </w:r>
    </w:p>
    <w:p w14:paraId="28891FE7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Dodatkowe zagadnienia konfiguracji </w:t>
      </w:r>
      <w:proofErr w:type="spellStart"/>
      <w:r w:rsidRPr="001C5777">
        <w:t>IPSec</w:t>
      </w:r>
      <w:proofErr w:type="spellEnd"/>
      <w:r w:rsidRPr="001C5777">
        <w:t xml:space="preserve"> </w:t>
      </w:r>
    </w:p>
    <w:p w14:paraId="2F99A434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Rozwiązywanie problemów w tunelach </w:t>
      </w:r>
      <w:proofErr w:type="spellStart"/>
      <w:r w:rsidRPr="001C5777">
        <w:t>IPSec</w:t>
      </w:r>
      <w:proofErr w:type="spellEnd"/>
      <w:r w:rsidRPr="001C5777">
        <w:t xml:space="preserve"> </w:t>
      </w:r>
    </w:p>
    <w:p w14:paraId="343D3D14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Koncepcja </w:t>
      </w:r>
      <w:proofErr w:type="spellStart"/>
      <w:r w:rsidRPr="001C5777">
        <w:t>klastrowania</w:t>
      </w:r>
      <w:proofErr w:type="spellEnd"/>
      <w:r w:rsidRPr="001C5777">
        <w:t xml:space="preserve"> urządzeń </w:t>
      </w:r>
    </w:p>
    <w:p w14:paraId="2C5CE81B" w14:textId="77777777" w:rsidR="00B9413A" w:rsidRPr="001C5777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Budowanie klastra niezawodnościowego </w:t>
      </w:r>
    </w:p>
    <w:p w14:paraId="0341245C" w14:textId="77777777" w:rsidR="00B9413A" w:rsidRDefault="00B9413A" w:rsidP="001C5777">
      <w:pPr>
        <w:pStyle w:val="Akapitzlist"/>
        <w:numPr>
          <w:ilvl w:val="0"/>
          <w:numId w:val="12"/>
        </w:numPr>
        <w:ind w:left="1701"/>
      </w:pPr>
      <w:r w:rsidRPr="001C5777">
        <w:t xml:space="preserve">Rozwiązywanie problemów w klastrze niezawodnościowym </w:t>
      </w:r>
    </w:p>
    <w:p w14:paraId="751C9B03" w14:textId="77777777" w:rsidR="001C5777" w:rsidRPr="001C5777" w:rsidRDefault="001C5777" w:rsidP="001C5777">
      <w:pPr>
        <w:pStyle w:val="Akapitzlist"/>
        <w:ind w:left="1134"/>
      </w:pPr>
    </w:p>
    <w:p w14:paraId="6573A7C5" w14:textId="77777777" w:rsidR="00B9413A" w:rsidRPr="005E0833" w:rsidRDefault="00B9413A" w:rsidP="001C5777">
      <w:pPr>
        <w:pStyle w:val="Akapitzlist"/>
        <w:numPr>
          <w:ilvl w:val="0"/>
          <w:numId w:val="10"/>
        </w:numPr>
        <w:suppressAutoHyphens/>
        <w:ind w:left="1134"/>
        <w:contextualSpacing/>
        <w:jc w:val="both"/>
      </w:pPr>
      <w:r>
        <w:t>Bezpieczeństwo w systemie JUNOS</w:t>
      </w:r>
      <w:r w:rsidRPr="005E0833">
        <w:t xml:space="preserve"> – szkolenie co najmniej 5 dni</w:t>
      </w:r>
    </w:p>
    <w:p w14:paraId="20F80DB4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Funkcje L2 w </w:t>
      </w:r>
      <w:proofErr w:type="spellStart"/>
      <w:r w:rsidRPr="001C5777">
        <w:t>Junos</w:t>
      </w:r>
      <w:proofErr w:type="spellEnd"/>
      <w:r w:rsidRPr="001C5777">
        <w:t xml:space="preserve"> Security oraz ich zabezpieczenia </w:t>
      </w:r>
    </w:p>
    <w:p w14:paraId="673283C3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Wirtualizacja </w:t>
      </w:r>
    </w:p>
    <w:p w14:paraId="17F5B3B9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Moduł </w:t>
      </w:r>
      <w:proofErr w:type="spellStart"/>
      <w:r w:rsidRPr="001C5777">
        <w:t>AppSecure</w:t>
      </w:r>
      <w:proofErr w:type="spellEnd"/>
      <w:r w:rsidRPr="001C5777">
        <w:t xml:space="preserve"> </w:t>
      </w:r>
    </w:p>
    <w:p w14:paraId="47FC788E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Implementacja </w:t>
      </w:r>
      <w:proofErr w:type="spellStart"/>
      <w:r w:rsidRPr="001C5777">
        <w:t>AppSecure</w:t>
      </w:r>
      <w:proofErr w:type="spellEnd"/>
      <w:r w:rsidRPr="001C5777">
        <w:t xml:space="preserve"> </w:t>
      </w:r>
    </w:p>
    <w:p w14:paraId="3BA9A9D7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Zarządzanie systemem Log </w:t>
      </w:r>
      <w:proofErr w:type="spellStart"/>
      <w:r w:rsidRPr="001C5777">
        <w:t>Director</w:t>
      </w:r>
      <w:proofErr w:type="spellEnd"/>
      <w:r w:rsidRPr="001C5777">
        <w:t xml:space="preserve"> </w:t>
      </w:r>
    </w:p>
    <w:p w14:paraId="76E5772B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proofErr w:type="spellStart"/>
      <w:r w:rsidRPr="001C5777">
        <w:t>Sky</w:t>
      </w:r>
      <w:proofErr w:type="spellEnd"/>
      <w:r w:rsidRPr="001C5777">
        <w:t xml:space="preserve"> ATP w teorii </w:t>
      </w:r>
    </w:p>
    <w:p w14:paraId="5C199332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Implementacja </w:t>
      </w:r>
      <w:proofErr w:type="spellStart"/>
      <w:r w:rsidRPr="001C5777">
        <w:t>SkyATP</w:t>
      </w:r>
      <w:proofErr w:type="spellEnd"/>
      <w:r w:rsidRPr="001C5777">
        <w:t xml:space="preserve"> </w:t>
      </w:r>
    </w:p>
    <w:p w14:paraId="5C30D8A1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Implementacja funkcji UTM </w:t>
      </w:r>
    </w:p>
    <w:p w14:paraId="58F36ECE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Wprowadzenie do systemu IPS </w:t>
      </w:r>
    </w:p>
    <w:p w14:paraId="0DEEB845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Konfiguracja oraz polityki IPS </w:t>
      </w:r>
    </w:p>
    <w:p w14:paraId="1A1FE3F8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Software </w:t>
      </w:r>
      <w:proofErr w:type="spellStart"/>
      <w:r w:rsidRPr="001C5777">
        <w:t>Defined</w:t>
      </w:r>
      <w:proofErr w:type="spellEnd"/>
      <w:r w:rsidRPr="001C5777">
        <w:t xml:space="preserve"> </w:t>
      </w:r>
      <w:proofErr w:type="spellStart"/>
      <w:r w:rsidRPr="001C5777">
        <w:t>Secure</w:t>
      </w:r>
      <w:proofErr w:type="spellEnd"/>
      <w:r w:rsidRPr="001C5777">
        <w:t xml:space="preserve"> Network </w:t>
      </w:r>
    </w:p>
    <w:p w14:paraId="54795DB6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proofErr w:type="spellStart"/>
      <w:r w:rsidRPr="001C5777">
        <w:t>Identyfikacja,monitorowanie</w:t>
      </w:r>
      <w:proofErr w:type="spellEnd"/>
      <w:r w:rsidRPr="001C5777">
        <w:t xml:space="preserve"> i raportowanie </w:t>
      </w:r>
    </w:p>
    <w:p w14:paraId="4F0CE6EF" w14:textId="77777777" w:rsidR="00B9413A" w:rsidRPr="001C5777" w:rsidRDefault="00B9413A" w:rsidP="001C5777">
      <w:pPr>
        <w:pStyle w:val="Akapitzlist"/>
        <w:numPr>
          <w:ilvl w:val="0"/>
          <w:numId w:val="13"/>
        </w:numPr>
        <w:ind w:left="1701"/>
      </w:pPr>
      <w:r w:rsidRPr="001C5777">
        <w:t xml:space="preserve">Rozwiązywanie problemów na platformach SRX </w:t>
      </w:r>
    </w:p>
    <w:p w14:paraId="3D04342B" w14:textId="77777777" w:rsidR="00B9413A" w:rsidRDefault="00B9413A" w:rsidP="001C5777">
      <w:pPr>
        <w:widowControl w:val="0"/>
        <w:suppressAutoHyphens/>
        <w:contextualSpacing/>
        <w:rPr>
          <w:kern w:val="1"/>
        </w:rPr>
      </w:pPr>
    </w:p>
    <w:p w14:paraId="65522B30" w14:textId="77777777" w:rsidR="00B9413A" w:rsidRPr="005E0833" w:rsidRDefault="00B9413A" w:rsidP="001C5777">
      <w:pPr>
        <w:widowControl w:val="0"/>
        <w:numPr>
          <w:ilvl w:val="0"/>
          <w:numId w:val="15"/>
        </w:numPr>
        <w:suppressAutoHyphens/>
        <w:jc w:val="both"/>
      </w:pPr>
      <w:r w:rsidRPr="005E0833">
        <w:t>Szkolenia muszą się odbyć w Warszawie. Wykonawca musi zapewnić sale wykładowe wraz z wyposażeniem i sprzętem niezbędnym do przeprowadzenia szkoleń. Wykonawca zobowiązany jest do zapewnienia obsługi technicznej sprzętu w trakcie szkoleń.</w:t>
      </w:r>
    </w:p>
    <w:p w14:paraId="1C4FBAEA" w14:textId="77777777" w:rsidR="00B9413A" w:rsidRPr="005E0833" w:rsidRDefault="00B9413A" w:rsidP="001C5777">
      <w:pPr>
        <w:widowControl w:val="0"/>
        <w:numPr>
          <w:ilvl w:val="0"/>
          <w:numId w:val="15"/>
        </w:numPr>
        <w:suppressAutoHyphens/>
        <w:jc w:val="both"/>
      </w:pPr>
      <w:r w:rsidRPr="005E0833">
        <w:t xml:space="preserve">Szkolenie musi się odbywać w dni robocze od poniedziałku do piątku, w godzinach 8 – 17. </w:t>
      </w:r>
    </w:p>
    <w:p w14:paraId="39C25AC1" w14:textId="77777777" w:rsidR="00B9413A" w:rsidRPr="005E0833" w:rsidRDefault="00B9413A" w:rsidP="001C5777">
      <w:pPr>
        <w:widowControl w:val="0"/>
        <w:numPr>
          <w:ilvl w:val="0"/>
          <w:numId w:val="15"/>
        </w:numPr>
        <w:suppressAutoHyphens/>
        <w:jc w:val="both"/>
      </w:pPr>
      <w:r w:rsidRPr="005E0833">
        <w:t>Szkolenie musi być prowadzone w języku polskim, Zamawiający dopuszcza, aby materiały i prezentacje były w języku angielskim.</w:t>
      </w:r>
    </w:p>
    <w:p w14:paraId="70207D58" w14:textId="77777777" w:rsidR="00B9413A" w:rsidRPr="005E0833" w:rsidRDefault="00B9413A" w:rsidP="001C5777">
      <w:pPr>
        <w:widowControl w:val="0"/>
        <w:numPr>
          <w:ilvl w:val="0"/>
          <w:numId w:val="15"/>
        </w:numPr>
        <w:suppressAutoHyphens/>
        <w:jc w:val="both"/>
      </w:pPr>
      <w:r w:rsidRPr="005E0833">
        <w:t>Uczestnicy szkolenia muszą otrzymać certyfikat jego ukończenia.</w:t>
      </w:r>
    </w:p>
    <w:p w14:paraId="29759401" w14:textId="77777777" w:rsidR="00B9413A" w:rsidRPr="005E0833" w:rsidRDefault="00B9413A" w:rsidP="001C5777">
      <w:pPr>
        <w:widowControl w:val="0"/>
        <w:numPr>
          <w:ilvl w:val="0"/>
          <w:numId w:val="15"/>
        </w:numPr>
        <w:suppressAutoHyphens/>
        <w:jc w:val="both"/>
      </w:pPr>
      <w:r w:rsidRPr="005E0833">
        <w:t xml:space="preserve">Zamawiający wymaga dostarczenia dla każdego uczestnika szkolenia </w:t>
      </w:r>
      <w:r w:rsidR="001C5777">
        <w:t xml:space="preserve">materiałów </w:t>
      </w:r>
      <w:r w:rsidRPr="005E0833">
        <w:t>szkoleniowych w postaci papierowej i elektronicznej.</w:t>
      </w:r>
    </w:p>
    <w:p w14:paraId="1EBBA7BB" w14:textId="77777777" w:rsidR="00B9413A" w:rsidRPr="005E0833" w:rsidRDefault="00B9413A" w:rsidP="001C5777">
      <w:pPr>
        <w:widowControl w:val="0"/>
        <w:numPr>
          <w:ilvl w:val="0"/>
          <w:numId w:val="15"/>
        </w:numPr>
        <w:suppressAutoHyphens/>
        <w:jc w:val="both"/>
      </w:pPr>
      <w:r w:rsidRPr="005E0833">
        <w:t xml:space="preserve">Zamawiający wymaga zapewnienia w dniu zajęć, jednego ciepłego posiłku (obiad dwudaniowy) oraz napojów: kawa, herbata, woda mineralna, drobne przekąski </w:t>
      </w:r>
      <w:r w:rsidR="001C5777">
        <w:br/>
      </w:r>
      <w:r w:rsidRPr="005E0833">
        <w:t>(np. ciasteczka, owoce) itp. dla każdego uczestnika.</w:t>
      </w:r>
    </w:p>
    <w:p w14:paraId="201E81B5" w14:textId="77777777" w:rsidR="003F19CE" w:rsidRDefault="00FA30DB"/>
    <w:sectPr w:rsidR="003F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DF832FC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2AB1159"/>
    <w:multiLevelType w:val="hybridMultilevel"/>
    <w:tmpl w:val="869A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313A4"/>
    <w:multiLevelType w:val="hybridMultilevel"/>
    <w:tmpl w:val="7F30E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3A6"/>
    <w:multiLevelType w:val="hybridMultilevel"/>
    <w:tmpl w:val="FF5C0534"/>
    <w:lvl w:ilvl="0" w:tplc="E3E66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17D7"/>
    <w:multiLevelType w:val="multilevel"/>
    <w:tmpl w:val="76200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3C11098"/>
    <w:multiLevelType w:val="hybridMultilevel"/>
    <w:tmpl w:val="A3CC5098"/>
    <w:lvl w:ilvl="0" w:tplc="4C1E735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5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BC57BEE"/>
    <w:multiLevelType w:val="hybridMultilevel"/>
    <w:tmpl w:val="5C46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3E0F"/>
    <w:multiLevelType w:val="hybridMultilevel"/>
    <w:tmpl w:val="62781128"/>
    <w:name w:val="WW8Num152"/>
    <w:lvl w:ilvl="0" w:tplc="958C8B28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FF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CA5AE3"/>
    <w:multiLevelType w:val="hybridMultilevel"/>
    <w:tmpl w:val="F296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4B18"/>
    <w:multiLevelType w:val="hybridMultilevel"/>
    <w:tmpl w:val="33EE9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268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01395F"/>
    <w:multiLevelType w:val="hybridMultilevel"/>
    <w:tmpl w:val="5090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81FC1"/>
    <w:multiLevelType w:val="hybridMultilevel"/>
    <w:tmpl w:val="13A02CC4"/>
    <w:lvl w:ilvl="0" w:tplc="4C1E735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74B8"/>
    <w:multiLevelType w:val="hybridMultilevel"/>
    <w:tmpl w:val="1C262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57378"/>
    <w:multiLevelType w:val="multilevel"/>
    <w:tmpl w:val="11B4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2240F8C"/>
    <w:multiLevelType w:val="hybridMultilevel"/>
    <w:tmpl w:val="59E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8EA"/>
    <w:multiLevelType w:val="hybridMultilevel"/>
    <w:tmpl w:val="E0D27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6"/>
  </w:num>
  <w:num w:numId="11">
    <w:abstractNumId w:val="19"/>
  </w:num>
  <w:num w:numId="12">
    <w:abstractNumId w:val="16"/>
  </w:num>
  <w:num w:numId="13">
    <w:abstractNumId w:val="8"/>
  </w:num>
  <w:num w:numId="14">
    <w:abstractNumId w:val="18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A"/>
    <w:rsid w:val="00001E52"/>
    <w:rsid w:val="000921D1"/>
    <w:rsid w:val="00196A9F"/>
    <w:rsid w:val="001C5777"/>
    <w:rsid w:val="002D4177"/>
    <w:rsid w:val="003B2EF8"/>
    <w:rsid w:val="00455193"/>
    <w:rsid w:val="0059710A"/>
    <w:rsid w:val="006A6682"/>
    <w:rsid w:val="00724B82"/>
    <w:rsid w:val="00776EF3"/>
    <w:rsid w:val="00793BF5"/>
    <w:rsid w:val="007F67C8"/>
    <w:rsid w:val="008968D8"/>
    <w:rsid w:val="00982885"/>
    <w:rsid w:val="009A37E5"/>
    <w:rsid w:val="00B9413A"/>
    <w:rsid w:val="00C6600E"/>
    <w:rsid w:val="00CB192B"/>
    <w:rsid w:val="00D01E35"/>
    <w:rsid w:val="00F8481E"/>
    <w:rsid w:val="00FA30DB"/>
    <w:rsid w:val="00FC0FF8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0E01"/>
  <w15:chartTrackingRefBased/>
  <w15:docId w15:val="{E5B1B87C-9DF6-46B9-BF98-E8DF87F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9413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9413A"/>
    <w:pPr>
      <w:ind w:left="708"/>
    </w:pPr>
  </w:style>
  <w:style w:type="paragraph" w:customStyle="1" w:styleId="Akapitzlist1">
    <w:name w:val="Akapit z listą1"/>
    <w:basedOn w:val="Normalny"/>
    <w:uiPriority w:val="99"/>
    <w:qFormat/>
    <w:rsid w:val="00B941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2686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 Anna</dc:creator>
  <cp:keywords/>
  <dc:description/>
  <cp:lastModifiedBy>Mamaj Justyna</cp:lastModifiedBy>
  <cp:revision>2</cp:revision>
  <cp:lastPrinted>2017-10-03T11:06:00Z</cp:lastPrinted>
  <dcterms:created xsi:type="dcterms:W3CDTF">2017-10-11T06:53:00Z</dcterms:created>
  <dcterms:modified xsi:type="dcterms:W3CDTF">2017-10-11T06:53:00Z</dcterms:modified>
</cp:coreProperties>
</file>