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FA46" w14:textId="60BBA0BF" w:rsidR="007B5B09" w:rsidRDefault="1C89BB64" w:rsidP="007B5B09">
      <w:pPr>
        <w:pStyle w:val="Nagwek1"/>
        <w:numPr>
          <w:ilvl w:val="0"/>
          <w:numId w:val="1"/>
        </w:numPr>
        <w:spacing w:before="0" w:after="240"/>
        <w:ind w:left="357" w:hanging="357"/>
        <w:rPr>
          <w:rFonts w:asciiTheme="minorHAnsi" w:eastAsia="Calibri" w:hAnsiTheme="minorHAnsi" w:cstheme="minorBidi"/>
          <w:b/>
          <w:color w:val="000000" w:themeColor="text1"/>
          <w:sz w:val="24"/>
          <w:szCs w:val="24"/>
        </w:rPr>
      </w:pPr>
      <w:r w:rsidRPr="0D41DFB1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>WY</w:t>
      </w:r>
      <w:r w:rsidR="00BF080A" w:rsidRPr="0281444B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 xml:space="preserve">MAGANIA ORAZ ZAKRES ZAMÓWIENIA </w:t>
      </w:r>
    </w:p>
    <w:p w14:paraId="06FA1B4E" w14:textId="3561D64E" w:rsidR="0088220A" w:rsidRDefault="0088220A" w:rsidP="0088220A">
      <w:pPr>
        <w:pStyle w:val="Nagwek1"/>
        <w:numPr>
          <w:ilvl w:val="0"/>
          <w:numId w:val="4"/>
        </w:numPr>
        <w:spacing w:before="0" w:after="0"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Serwer  (3 szt.)</w:t>
      </w:r>
    </w:p>
    <w:p w14:paraId="43F63E33" w14:textId="632292C0" w:rsidR="0088220A" w:rsidRDefault="0088220A" w:rsidP="0088220A">
      <w:pPr>
        <w:snapToGrid w:val="0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Przedmiotem zamówienia jest dostawa fabrycznie nowego serwera klasy przystosowanego do montażu w szafie 19”, wraz z szynami i ramieniem do prowadzenia kabli, spełniającego co najmniej poniższe wymagania: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91"/>
      </w:tblGrid>
      <w:tr w:rsidR="0088220A" w14:paraId="186E587C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8BD1393" w14:textId="77777777" w:rsidR="0088220A" w:rsidRDefault="0088220A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wymagania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8A4E191" w14:textId="77777777" w:rsidR="0088220A" w:rsidRDefault="0088220A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wymagań</w:t>
            </w:r>
          </w:p>
        </w:tc>
      </w:tr>
      <w:tr w:rsidR="004A1C5D" w14:paraId="1289160A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A99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7958" w14:textId="2FEFB7C5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Producent i model serwera (fabrycznie nowy, nieużywany).</w:t>
            </w:r>
          </w:p>
        </w:tc>
      </w:tr>
      <w:tr w:rsidR="004A1C5D" w14:paraId="5F387664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34DB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8A61" w14:textId="1A69C4D4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Obudowa RACK 2U.</w:t>
            </w:r>
          </w:p>
        </w:tc>
      </w:tr>
      <w:tr w:rsidR="004A1C5D" w14:paraId="734E0D3F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BB4A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BB03" w14:textId="66B0BEB2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Min. 24 dyski 2.5” Hot-Plug.</w:t>
            </w:r>
          </w:p>
        </w:tc>
      </w:tr>
      <w:tr w:rsidR="004A1C5D" w14:paraId="3BFC08CC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BB5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EEF" w14:textId="2590B005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Panel diagnostyczny / LED na froncie.</w:t>
            </w:r>
          </w:p>
        </w:tc>
      </w:tr>
      <w:tr w:rsidR="004A1C5D" w14:paraId="48EF79A1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4902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5D6" w14:textId="3ABD853C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Fabryczny panel zabezpieczający dyski (z kluczem, LED, sterowanie z modułu zarządzania).</w:t>
            </w:r>
          </w:p>
        </w:tc>
      </w:tr>
      <w:tr w:rsidR="004A1C5D" w14:paraId="79C9F8A0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9BF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C936" w14:textId="13AD2B56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Szyny + ramię kablowe w komplecie.</w:t>
            </w:r>
          </w:p>
        </w:tc>
      </w:tr>
      <w:tr w:rsidR="004A1C5D" w14:paraId="7DC169A2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146D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6EA4" w14:textId="7564423A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Płyta główna z min. 2 procesorami.</w:t>
            </w:r>
          </w:p>
        </w:tc>
      </w:tr>
      <w:tr w:rsidR="004A1C5D" w:rsidRPr="005549F0" w14:paraId="5F5ED6D0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66CE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853A" w14:textId="224DAFEC" w:rsidR="004A1C5D" w:rsidRPr="00ED1159" w:rsidRDefault="004A1C5D" w:rsidP="00ED115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D1159">
              <w:rPr>
                <w:sz w:val="22"/>
                <w:szCs w:val="22"/>
              </w:rPr>
              <w:t xml:space="preserve">Minimum 32 </w:t>
            </w:r>
            <w:proofErr w:type="spellStart"/>
            <w:r w:rsidRPr="00ED1159">
              <w:rPr>
                <w:sz w:val="22"/>
                <w:szCs w:val="22"/>
              </w:rPr>
              <w:t>sloty</w:t>
            </w:r>
            <w:proofErr w:type="spellEnd"/>
            <w:r w:rsidRPr="00ED1159">
              <w:rPr>
                <w:sz w:val="22"/>
                <w:szCs w:val="22"/>
              </w:rPr>
              <w:t xml:space="preserve"> RAM DDR5 (po 16 na CPU).</w:t>
            </w:r>
          </w:p>
        </w:tc>
      </w:tr>
      <w:tr w:rsidR="004A1C5D" w14:paraId="37E0E213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41C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1D5" w14:textId="1962A629" w:rsidR="004A1C5D" w:rsidRPr="00ED1159" w:rsidRDefault="004A1C5D" w:rsidP="00ED1159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1159">
              <w:rPr>
                <w:sz w:val="22"/>
                <w:szCs w:val="22"/>
              </w:rPr>
              <w:t xml:space="preserve">2× CPU, 32 rdzenie, min. 2.1 GHz, 270W, 160MB, wynik </w:t>
            </w:r>
            <w:proofErr w:type="spellStart"/>
            <w:r w:rsidRPr="00ED1159">
              <w:rPr>
                <w:sz w:val="22"/>
                <w:szCs w:val="22"/>
              </w:rPr>
              <w:t>PassMark</w:t>
            </w:r>
            <w:proofErr w:type="spellEnd"/>
            <w:r w:rsidRPr="00ED1159">
              <w:rPr>
                <w:sz w:val="22"/>
                <w:szCs w:val="22"/>
              </w:rPr>
              <w:t xml:space="preserve"> min. 93110 pkt (</w:t>
            </w:r>
            <w:proofErr w:type="spellStart"/>
            <w:r w:rsidRPr="00ED1159">
              <w:rPr>
                <w:sz w:val="22"/>
                <w:szCs w:val="22"/>
              </w:rPr>
              <w:t>multi</w:t>
            </w:r>
            <w:proofErr w:type="spellEnd"/>
            <w:r w:rsidRPr="00ED1159">
              <w:rPr>
                <w:sz w:val="22"/>
                <w:szCs w:val="22"/>
              </w:rPr>
              <w:t xml:space="preserve"> CPU).</w:t>
            </w:r>
          </w:p>
        </w:tc>
      </w:tr>
      <w:tr w:rsidR="004A1C5D" w14:paraId="77EBBD73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C77F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03FC" w14:textId="788D39EC" w:rsidR="004A1C5D" w:rsidRPr="003B7367" w:rsidRDefault="004A1C5D" w:rsidP="003B7367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B7367">
              <w:rPr>
                <w:sz w:val="22"/>
                <w:szCs w:val="22"/>
              </w:rPr>
              <w:t>RAM min. 1024 GB DDR5 (moduły 64 GB).</w:t>
            </w:r>
          </w:p>
        </w:tc>
      </w:tr>
      <w:tr w:rsidR="004A1C5D" w:rsidRPr="004A1C5D" w14:paraId="3346BFF9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DBFD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9889" w14:textId="5CF41A6E" w:rsidR="004A1C5D" w:rsidRPr="003B7367" w:rsidRDefault="004A1C5D" w:rsidP="003B7367">
            <w:pPr>
              <w:snapToGri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3B7367">
              <w:rPr>
                <w:sz w:val="22"/>
                <w:szCs w:val="22"/>
                <w:lang w:val="en-US"/>
              </w:rPr>
              <w:t>Wymagane</w:t>
            </w:r>
            <w:proofErr w:type="spellEnd"/>
            <w:r w:rsidRPr="003B73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367">
              <w:rPr>
                <w:sz w:val="22"/>
                <w:szCs w:val="22"/>
                <w:lang w:val="en-US"/>
              </w:rPr>
              <w:t>technologie</w:t>
            </w:r>
            <w:proofErr w:type="spellEnd"/>
            <w:r w:rsidRPr="003B7367">
              <w:rPr>
                <w:sz w:val="22"/>
                <w:szCs w:val="22"/>
                <w:lang w:val="en-US"/>
              </w:rPr>
              <w:t xml:space="preserve">: ECC, mirroring, patrol scrubbing, SDDC, ADDDC-SR, PPR, thermal throttling, </w:t>
            </w:r>
            <w:proofErr w:type="spellStart"/>
            <w:r w:rsidRPr="003B7367">
              <w:rPr>
                <w:sz w:val="22"/>
                <w:szCs w:val="22"/>
                <w:lang w:val="en-US"/>
              </w:rPr>
              <w:t>SMBus</w:t>
            </w:r>
            <w:proofErr w:type="spellEnd"/>
            <w:r w:rsidRPr="003B7367">
              <w:rPr>
                <w:sz w:val="22"/>
                <w:szCs w:val="22"/>
                <w:lang w:val="en-US"/>
              </w:rPr>
              <w:t xml:space="preserve"> recovery.</w:t>
            </w:r>
          </w:p>
        </w:tc>
      </w:tr>
      <w:tr w:rsidR="004A1C5D" w14:paraId="710AED5A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534" w14:textId="77777777" w:rsidR="004A1C5D" w:rsidRP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FC3F" w14:textId="1BA6C601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Min. 2 dyski SSD 480 GB SATA Hot-Plug.</w:t>
            </w:r>
          </w:p>
        </w:tc>
      </w:tr>
      <w:tr w:rsidR="004A1C5D" w14:paraId="08C2A43C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843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1D8" w14:textId="6806D83F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Obsługa dysków SATA / SAS / SSD.</w:t>
            </w:r>
          </w:p>
        </w:tc>
      </w:tr>
      <w:tr w:rsidR="004A1C5D" w14:paraId="4C7CE955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E15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C85" w14:textId="69A2D874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Kontroler RAID sprzętowy 0,1,5,6,10,50,60 z cache min. 4 GB + podtrzymanie.</w:t>
            </w:r>
          </w:p>
        </w:tc>
      </w:tr>
      <w:tr w:rsidR="004A1C5D" w14:paraId="301D67DE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3280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36C" w14:textId="2756C5BD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Zintegrowana grafika min. 1920×1200.</w:t>
            </w:r>
          </w:p>
        </w:tc>
      </w:tr>
      <w:tr w:rsidR="004A1C5D" w14:paraId="24788923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7D1F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076C" w14:textId="46ECB735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Min. 2× USB 3.0 + 1× USB-C z dostępem do modułu zarządzania.</w:t>
            </w:r>
          </w:p>
        </w:tc>
      </w:tr>
      <w:tr w:rsidR="004A1C5D" w14:paraId="73CE70C9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00FE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240" w14:textId="023D340A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Min. 1 port VGA.</w:t>
            </w:r>
          </w:p>
        </w:tc>
      </w:tr>
      <w:tr w:rsidR="004A1C5D" w14:paraId="099E9546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EDED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121" w14:textId="01021790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8× 10Gbps SFP+ (min. 4 karty po 2 porty) + przewody LC/LC 3m.</w:t>
            </w:r>
          </w:p>
        </w:tc>
      </w:tr>
      <w:tr w:rsidR="004A1C5D" w14:paraId="0D0FBAB1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62D2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C77" w14:textId="484E9E12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4× 32Gbps FC (min. 2 karty po 2 porty) + przewody LC/LC 3m (dla serwera i macierzy).</w:t>
            </w:r>
          </w:p>
        </w:tc>
      </w:tr>
      <w:tr w:rsidR="004A1C5D" w14:paraId="36814071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DB8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F5CB" w14:textId="0B12F034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1× 1Gb RJ45 do zarządzania + przewody dla serwera i macierzy.</w:t>
            </w:r>
          </w:p>
        </w:tc>
      </w:tr>
      <w:tr w:rsidR="004A1C5D" w14:paraId="2213078C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1BE8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CE7" w14:textId="7095AF30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 xml:space="preserve">Redundantne zasilacze Hot-Plug min. 1600W </w:t>
            </w:r>
            <w:proofErr w:type="spellStart"/>
            <w:r w:rsidRPr="004A1C5D">
              <w:rPr>
                <w:sz w:val="22"/>
                <w:szCs w:val="22"/>
              </w:rPr>
              <w:t>Titanium</w:t>
            </w:r>
            <w:proofErr w:type="spellEnd"/>
            <w:r w:rsidRPr="004A1C5D">
              <w:rPr>
                <w:sz w:val="22"/>
                <w:szCs w:val="22"/>
              </w:rPr>
              <w:t xml:space="preserve"> + przewody zasilające.</w:t>
            </w:r>
          </w:p>
        </w:tc>
      </w:tr>
      <w:tr w:rsidR="004A1C5D" w14:paraId="0D8205E3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7ED5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3FB" w14:textId="396EBC66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Redundantne wentylatory Hot-Plug.</w:t>
            </w:r>
          </w:p>
        </w:tc>
      </w:tr>
      <w:tr w:rsidR="004A1C5D" w14:paraId="55E51575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A09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330" w14:textId="683E678C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Moduł zdalnego zarządzania.</w:t>
            </w:r>
          </w:p>
        </w:tc>
      </w:tr>
      <w:tr w:rsidR="004A1C5D" w14:paraId="26DACA28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77B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C1C" w14:textId="3D17658A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 xml:space="preserve">Zaawansowane oprogramowanie do zarządzania (monitoring, logi, KVM, wirtualne napędy, SNMP, IPMI, SSH, </w:t>
            </w:r>
            <w:proofErr w:type="spellStart"/>
            <w:r w:rsidRPr="004A1C5D">
              <w:rPr>
                <w:sz w:val="22"/>
                <w:szCs w:val="22"/>
              </w:rPr>
              <w:t>Redfish</w:t>
            </w:r>
            <w:proofErr w:type="spellEnd"/>
            <w:r w:rsidRPr="004A1C5D">
              <w:rPr>
                <w:sz w:val="22"/>
                <w:szCs w:val="22"/>
              </w:rPr>
              <w:t xml:space="preserve">, BSOD </w:t>
            </w:r>
            <w:proofErr w:type="spellStart"/>
            <w:r w:rsidRPr="004A1C5D">
              <w:rPr>
                <w:sz w:val="22"/>
                <w:szCs w:val="22"/>
              </w:rPr>
              <w:t>screenshot</w:t>
            </w:r>
            <w:proofErr w:type="spellEnd"/>
            <w:r w:rsidRPr="004A1C5D">
              <w:rPr>
                <w:sz w:val="22"/>
                <w:szCs w:val="22"/>
              </w:rPr>
              <w:t xml:space="preserve">, aktualizacje </w:t>
            </w:r>
            <w:proofErr w:type="spellStart"/>
            <w:r w:rsidRPr="004A1C5D">
              <w:rPr>
                <w:sz w:val="22"/>
                <w:szCs w:val="22"/>
              </w:rPr>
              <w:t>firmware</w:t>
            </w:r>
            <w:proofErr w:type="spellEnd"/>
            <w:r w:rsidRPr="004A1C5D">
              <w:rPr>
                <w:sz w:val="22"/>
                <w:szCs w:val="22"/>
              </w:rPr>
              <w:t>, role).</w:t>
            </w:r>
          </w:p>
        </w:tc>
      </w:tr>
      <w:tr w:rsidR="004A1C5D" w14:paraId="64C7D10A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F91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052" w14:textId="459F2664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Mobilna aplikacja do zarządzania serwerem (iOS, Wi-Fi/USB), funkcje diagnostyczne szczegółowo wymienione.</w:t>
            </w:r>
          </w:p>
        </w:tc>
      </w:tr>
      <w:tr w:rsidR="004A1C5D" w14:paraId="7DE84D53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3799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CA4B" w14:textId="05909A35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Deklaracja zgodności UE (CE).</w:t>
            </w:r>
          </w:p>
        </w:tc>
      </w:tr>
      <w:tr w:rsidR="004A1C5D" w14:paraId="0249FDBB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1D57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5D02" w14:textId="1778887F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 xml:space="preserve">Certyfikat </w:t>
            </w:r>
            <w:proofErr w:type="spellStart"/>
            <w:r w:rsidRPr="004A1C5D">
              <w:rPr>
                <w:sz w:val="22"/>
                <w:szCs w:val="22"/>
              </w:rPr>
              <w:t>RoHS</w:t>
            </w:r>
            <w:proofErr w:type="spellEnd"/>
            <w:r w:rsidRPr="004A1C5D">
              <w:rPr>
                <w:sz w:val="22"/>
                <w:szCs w:val="22"/>
              </w:rPr>
              <w:t xml:space="preserve"> lub równoważny.</w:t>
            </w:r>
          </w:p>
        </w:tc>
      </w:tr>
      <w:tr w:rsidR="004A1C5D" w14:paraId="09901CDD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F2E4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1A21" w14:textId="06192E2E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Produkcja zgodnie z ISO 9001 i 14001 lub równoważnymi.</w:t>
            </w:r>
          </w:p>
        </w:tc>
      </w:tr>
      <w:tr w:rsidR="004A1C5D" w14:paraId="7AAA57B8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C36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6A1" w14:textId="0F0D5D7A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Produkcja nie wcześniej niż 2025 r., autoryzowana dystrybucja, serwis producenta.</w:t>
            </w:r>
          </w:p>
        </w:tc>
      </w:tr>
      <w:tr w:rsidR="004A1C5D" w14:paraId="61703157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D3C0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CD9" w14:textId="0EC7BEBB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 xml:space="preserve">Serwis 36 miesięcy, 5×9 NBD </w:t>
            </w:r>
            <w:proofErr w:type="spellStart"/>
            <w:r w:rsidRPr="004A1C5D">
              <w:rPr>
                <w:sz w:val="22"/>
                <w:szCs w:val="22"/>
              </w:rPr>
              <w:t>onsite</w:t>
            </w:r>
            <w:proofErr w:type="spellEnd"/>
            <w:r w:rsidRPr="004A1C5D">
              <w:rPr>
                <w:sz w:val="22"/>
                <w:szCs w:val="22"/>
              </w:rPr>
              <w:t>, reakcja następny dzień roboczy.</w:t>
            </w:r>
          </w:p>
        </w:tc>
      </w:tr>
      <w:tr w:rsidR="004A1C5D" w14:paraId="4221BE6D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F269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C64" w14:textId="1FECC242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Dyski i inne nośniki – uszkodzone pozostają u Zamawiającego.</w:t>
            </w:r>
          </w:p>
        </w:tc>
      </w:tr>
      <w:tr w:rsidR="004A1C5D" w14:paraId="2E55BC56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FD5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4931" w14:textId="58E52BE7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 xml:space="preserve">Urządzenie przystosowane do napraw </w:t>
            </w:r>
            <w:proofErr w:type="spellStart"/>
            <w:r w:rsidRPr="004A1C5D">
              <w:rPr>
                <w:sz w:val="22"/>
                <w:szCs w:val="22"/>
              </w:rPr>
              <w:t>onsite</w:t>
            </w:r>
            <w:proofErr w:type="spellEnd"/>
            <w:r w:rsidRPr="004A1C5D">
              <w:rPr>
                <w:sz w:val="22"/>
                <w:szCs w:val="22"/>
              </w:rPr>
              <w:t>.</w:t>
            </w:r>
          </w:p>
        </w:tc>
      </w:tr>
      <w:tr w:rsidR="004A1C5D" w14:paraId="49FF08E9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302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8F5" w14:textId="6AD21328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 xml:space="preserve">Serwis obejmuje: najnowszy </w:t>
            </w:r>
            <w:proofErr w:type="spellStart"/>
            <w:r w:rsidRPr="004A1C5D">
              <w:rPr>
                <w:sz w:val="22"/>
                <w:szCs w:val="22"/>
              </w:rPr>
              <w:t>firmware</w:t>
            </w:r>
            <w:proofErr w:type="spellEnd"/>
            <w:r w:rsidRPr="004A1C5D">
              <w:rPr>
                <w:sz w:val="22"/>
                <w:szCs w:val="22"/>
              </w:rPr>
              <w:t>, dostęp do bazy wiedzy, możliwość zgłoszeń błędów HW/SW.</w:t>
            </w:r>
          </w:p>
        </w:tc>
      </w:tr>
      <w:tr w:rsidR="004A1C5D" w14:paraId="37200101" w14:textId="77777777" w:rsidTr="009451C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9E99" w14:textId="77777777" w:rsidR="004A1C5D" w:rsidRDefault="004A1C5D" w:rsidP="004A1C5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0F8" w14:textId="1835E85C" w:rsidR="004A1C5D" w:rsidRPr="004A1C5D" w:rsidRDefault="004A1C5D" w:rsidP="004A1C5D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1C5D">
              <w:rPr>
                <w:sz w:val="22"/>
                <w:szCs w:val="22"/>
              </w:rPr>
              <w:t>Gwarancja macierzy świadczona bezpośrednio przez producenta lub autoryzowanego partnera serwisowego widniejącego na oficjalnej liście producenta (weryfikacja niezależna).</w:t>
            </w:r>
          </w:p>
        </w:tc>
      </w:tr>
    </w:tbl>
    <w:p w14:paraId="3F31C175" w14:textId="77777777" w:rsidR="0088220A" w:rsidRDefault="0088220A" w:rsidP="0088220A">
      <w:pPr>
        <w:snapToGrid w:val="0"/>
        <w:spacing w:after="0"/>
        <w:rPr>
          <w:rFonts w:ascii="Calibri" w:hAnsi="Calibri" w:cs="Calibri"/>
          <w:sz w:val="22"/>
          <w:szCs w:val="22"/>
        </w:rPr>
      </w:pPr>
    </w:p>
    <w:p w14:paraId="72D772C1" w14:textId="11D6615B" w:rsidR="0088220A" w:rsidRDefault="0088220A" w:rsidP="0088220A">
      <w:pPr>
        <w:pStyle w:val="Nagwek2"/>
        <w:numPr>
          <w:ilvl w:val="0"/>
          <w:numId w:val="4"/>
        </w:numPr>
        <w:spacing w:before="0" w:after="0"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Switch FC (</w:t>
      </w:r>
      <w:r w:rsidR="00FC780A">
        <w:rPr>
          <w:rFonts w:ascii="Calibri" w:hAnsi="Calibri" w:cs="Calibri"/>
          <w:b/>
          <w:bCs/>
          <w:color w:val="000000" w:themeColor="text1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szt. z kompletem 16 wkładek SFP)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64"/>
        <w:gridCol w:w="7798"/>
      </w:tblGrid>
      <w:tr w:rsidR="0088220A" w14:paraId="707F2B7B" w14:textId="77777777" w:rsidTr="00E25A16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E5A3A5E" w14:textId="77777777" w:rsidR="0088220A" w:rsidRDefault="008822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Nr </w:t>
            </w:r>
          </w:p>
          <w:p w14:paraId="767E037C" w14:textId="77777777" w:rsidR="0088220A" w:rsidRDefault="0088220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B5895FF" w14:textId="77777777" w:rsidR="0088220A" w:rsidRDefault="0088220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wymagań</w:t>
            </w:r>
          </w:p>
        </w:tc>
      </w:tr>
      <w:tr w:rsidR="00C71ED3" w14:paraId="5F0B3280" w14:textId="77777777" w:rsidTr="00C71ED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156" w14:textId="77777777" w:rsid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608F" w14:textId="4F19BAA0" w:rsidR="00C71ED3" w:rsidRPr="00FC5533" w:rsidRDefault="00C71ED3" w:rsidP="00C71ED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Wymiary przełącznika sieciowego nie mogą przekroczyć 1U oraz muszą umożliwiać instalację w szafie montażowej 19”. </w:t>
            </w:r>
          </w:p>
        </w:tc>
      </w:tr>
      <w:tr w:rsidR="00C71ED3" w14:paraId="03999F8C" w14:textId="77777777" w:rsidTr="00C71ED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F90" w14:textId="77777777" w:rsid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2D6" w14:textId="29195ED9" w:rsidR="00C71ED3" w:rsidRPr="00FC5533" w:rsidRDefault="00C71ED3" w:rsidP="00C71ED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Przełącznik sieciowy musi obsługiwać technologię transmisji danych poprzez protokół FC, co najmniej na poziomie 32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Gbps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 oraz zapewniać możliwość pracy portów FC z prędkościami 8, 16, 32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Gbps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. Wszystkie zaoferowane porty przełącznika FC muszą umożliwiać działanie bez tzw.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oversubscrypcji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 gdzie wszystkie porty w maksymalnie rozbudowanej konfiguracji przełącznika mogą pracować równocześnie z pełną prędkością 32Gb/s.</w:t>
            </w:r>
          </w:p>
        </w:tc>
      </w:tr>
      <w:tr w:rsidR="00C71ED3" w14:paraId="570DCAF3" w14:textId="77777777" w:rsidTr="00C71ED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5E74" w14:textId="77777777" w:rsid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6281" w14:textId="4D5872B0" w:rsidR="00C71ED3" w:rsidRPr="00FC5533" w:rsidRDefault="00C71ED3" w:rsidP="00C71ED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Przełącznik sieciowy musi być wyposażony w minimum 24 aktywne porty FC, wszystkie porty obsadzone wkładkami FC SW 32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Gbps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 ze złączem LC.</w:t>
            </w:r>
          </w:p>
        </w:tc>
      </w:tr>
      <w:tr w:rsidR="00C71ED3" w14:paraId="0D8C2D34" w14:textId="77777777" w:rsidTr="00C71ED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F2F" w14:textId="77777777" w:rsid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6EED" w14:textId="5534AB32" w:rsidR="00C71ED3" w:rsidRPr="00FC5533" w:rsidRDefault="00C71ED3" w:rsidP="00C71ED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Zastosowane wkładki optyczne muszą znajdować się na liście wkładek dopuszczonych przez producenta przełącznika FC do współpracy z dostarczonym urządzeniem.</w:t>
            </w:r>
          </w:p>
        </w:tc>
      </w:tr>
      <w:tr w:rsidR="00C71ED3" w14:paraId="01306676" w14:textId="77777777" w:rsidTr="00C71ED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2B8" w14:textId="77777777" w:rsid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AD7" w14:textId="60986E29" w:rsidR="00C71ED3" w:rsidRPr="00FC5533" w:rsidRDefault="00C71ED3" w:rsidP="00C71ED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Zagregowana maksymalna przepustowość urządzenia nie może być niższa niż 768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Gbps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C71ED3" w14:paraId="4D82364B" w14:textId="77777777" w:rsidTr="00C71ED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3DE" w14:textId="77777777" w:rsid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CB90" w14:textId="52C7024B" w:rsidR="00C71ED3" w:rsidRPr="00FC5533" w:rsidRDefault="00C71ED3" w:rsidP="00C71ED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Przełącznik sieciowy musi automatycznie wykrywać prędkości portów przynajmniej na poziomach 4, 8, 16, 32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Gbps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</w:tc>
      </w:tr>
      <w:tr w:rsidR="00C71ED3" w:rsidRPr="00C71ED3" w14:paraId="2A81CE1A" w14:textId="77777777" w:rsidTr="00C71ED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311" w14:textId="77777777" w:rsid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228" w14:textId="37AFEA90" w:rsidR="00C71ED3" w:rsidRPr="00FC5533" w:rsidRDefault="00C71ED3" w:rsidP="00C71ED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Przełącznik sieciowy musi być certyfikowany do pracy w grupie złożonej z co najmniej 56 przełączników z minimum 19 przeskokami.</w:t>
            </w:r>
          </w:p>
        </w:tc>
      </w:tr>
      <w:tr w:rsidR="00C71ED3" w:rsidRPr="00893371" w14:paraId="16871F75" w14:textId="77777777" w:rsidTr="00731F2C">
        <w:trPr>
          <w:trHeight w:val="106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7F8E" w14:textId="77777777" w:rsidR="00C71ED3" w:rsidRP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FACB" w14:textId="72C65EB1" w:rsidR="00C71ED3" w:rsidRPr="00FC5533" w:rsidRDefault="00C71ED3" w:rsidP="00C71ED3">
            <w:pPr>
              <w:pStyle w:val="Akapitzlist"/>
              <w:spacing w:line="276" w:lineRule="auto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Przełącznik sieciowy musi mieć możliwość pracy w grupie przełączników z jednym punktem zarządzania (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full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fabric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). Pełna architektura z maksymalnie 239 przełącznikami.</w:t>
            </w:r>
          </w:p>
        </w:tc>
      </w:tr>
      <w:tr w:rsidR="00C71ED3" w14:paraId="70276A88" w14:textId="77777777" w:rsidTr="00731F2C">
        <w:trPr>
          <w:trHeight w:val="1113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995" w14:textId="77777777" w:rsidR="00C71ED3" w:rsidRPr="001E45E4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53A2" w14:textId="3F2B97F9" w:rsidR="00C71ED3" w:rsidRPr="00FC5533" w:rsidRDefault="00C71ED3" w:rsidP="00C71ED3">
            <w:pPr>
              <w:pStyle w:val="Akapitzlist"/>
              <w:spacing w:line="276" w:lineRule="auto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Opóźnienie przełączania ramek pomiędzy lokalnymi portami przełącznika nie może być wyższe niż 780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ns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, również w przypadku włączenia korekcji błędów (FEC). Maksymalny rozmiar ramki 2112 bajtów.</w:t>
            </w:r>
          </w:p>
        </w:tc>
      </w:tr>
      <w:tr w:rsidR="00C71ED3" w:rsidRPr="00C71ED3" w14:paraId="6C2FB7B8" w14:textId="77777777" w:rsidTr="00731F2C">
        <w:trPr>
          <w:trHeight w:val="112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C6D6" w14:textId="77777777" w:rsid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2791" w14:textId="0672060D" w:rsidR="00C71ED3" w:rsidRPr="00FC5533" w:rsidRDefault="00C71ED3" w:rsidP="00C71ED3">
            <w:pPr>
              <w:pStyle w:val="Akapitzlist"/>
              <w:spacing w:line="276" w:lineRule="auto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Przełącznik sieciowy musi obsługiwać przynajmniej następujące tryby portów FC: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E_port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F_port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D_port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M_port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Tryb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Access Gateway: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F_Port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i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N_Port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obsługą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NPIV. </w:t>
            </w:r>
          </w:p>
        </w:tc>
      </w:tr>
      <w:tr w:rsidR="00C71ED3" w14:paraId="738C43E7" w14:textId="77777777" w:rsidTr="00C71ED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0A12" w14:textId="77777777" w:rsidR="00C71ED3" w:rsidRP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5B09" w14:textId="5F5EC4FD" w:rsidR="00C71ED3" w:rsidRPr="00FC5533" w:rsidRDefault="00C71ED3" w:rsidP="00C71ED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Przełącznik sieciowy musi wspierać następujące mechanizmy i technologie zwiększające poziom bezpieczeństwa: a. DH-CHAP (uwierzytelnianie pomiędzy przełącznikami i urządzeniami końcowymi) b. FCAP (uwierzytelnianie pomiędzy przełącznikami) c. HTTPS d. RADIUS, LDAP, e. SCP f. SSH v2.g. RBAC h. TACACS+ i.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Syslog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 j.  FC Ping k. FC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Traceroute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 l. Przełącznik FC musi zapewniać obsługę protokołu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NVMe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over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 FC. </w:t>
            </w:r>
          </w:p>
        </w:tc>
      </w:tr>
      <w:tr w:rsidR="00C71ED3" w14:paraId="47D1AAC1" w14:textId="77777777" w:rsidTr="00C71ED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ABD" w14:textId="77777777" w:rsid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E62" w14:textId="51B7F474" w:rsidR="00C71ED3" w:rsidRPr="00FC5533" w:rsidRDefault="00C71ED3" w:rsidP="00C71ED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10/100/1000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Mb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/s Ethernet (RJ-45) - Odpowiedni 3 metrowy przewód musi zostać dostarczony w celu zapewnienia prawidłowego połączenia do infrastruktury Ethernet, „in-band” przez FC, port szeregowy RJ-45 oraz port USB. Odpowiedni 1 metrowy przewód LC/LC musi zostać dostarczony w celu zapewnienia prawidłowego połączenia dwóch przełączników FC ze sobą. </w:t>
            </w:r>
          </w:p>
        </w:tc>
      </w:tr>
      <w:tr w:rsidR="00C71ED3" w14:paraId="29FBEF6D" w14:textId="77777777" w:rsidTr="00C71ED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032" w14:textId="77777777" w:rsid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F16" w14:textId="1929D81D" w:rsidR="00C71ED3" w:rsidRPr="00FC5533" w:rsidRDefault="00C71ED3" w:rsidP="00C71ED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Przełącznik sieciowy musi pozwalać na aktualizację wewnętrznego oprogramowania. Przełącznik FC musi mieć możliwość konfiguracji przez: polecenia tekstowe w interfejsie znakowym konsoli terminala, przeglądarkę internetową z interfejsem graficznym lub dedykowane oprogramowanie, przełącznik FC musi zapewniać obsługę interfejsu zarządzającego REST API.</w:t>
            </w:r>
          </w:p>
        </w:tc>
      </w:tr>
      <w:tr w:rsidR="00C71ED3" w14:paraId="7BC9C19A" w14:textId="77777777" w:rsidTr="00C71ED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F9AC" w14:textId="77777777" w:rsid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37E" w14:textId="75549F6F" w:rsidR="00C71ED3" w:rsidRPr="00FC5533" w:rsidRDefault="00C71ED3" w:rsidP="00C71ED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Urządzenie  musi  być  wyprodukowane  nie  wcześniej  niż  w 2025 roku  i  pochodzić  z autoryzowanego  kanału dystrybucji producenta, a także musi być objęte serwisem producenta.</w:t>
            </w:r>
          </w:p>
        </w:tc>
      </w:tr>
      <w:tr w:rsidR="00C71ED3" w14:paraId="7E374FD8" w14:textId="77777777" w:rsidTr="00E25A16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CE9E" w14:textId="77777777" w:rsidR="00C71ED3" w:rsidRDefault="00C71ED3" w:rsidP="00C71ED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0D6" w14:textId="4A75496E" w:rsidR="00C71ED3" w:rsidRPr="00FC5533" w:rsidRDefault="00C71ED3" w:rsidP="00C71ED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Urządzenie musi zostać objęte minimum 36 miesięcznym okresem wsparcia serwisowego w trybie 5x9 NBD </w:t>
            </w:r>
            <w:proofErr w:type="spellStart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>onsite</w:t>
            </w:r>
            <w:proofErr w:type="spellEnd"/>
            <w:r w:rsidRPr="00FC5533">
              <w:rPr>
                <w:rFonts w:asciiTheme="majorHAnsi" w:hAnsiTheme="majorHAnsi" w:cstheme="majorHAnsi"/>
                <w:sz w:val="22"/>
                <w:szCs w:val="22"/>
              </w:rPr>
              <w:t xml:space="preserve"> z gwarantowanym czasem reakcji najpóźniej w następnym dniu roboczym od momentu zgłoszenia usterki</w:t>
            </w:r>
          </w:p>
        </w:tc>
      </w:tr>
    </w:tbl>
    <w:p w14:paraId="06152011" w14:textId="77777777" w:rsidR="0088220A" w:rsidRDefault="0088220A" w:rsidP="0088220A">
      <w:pPr>
        <w:snapToGrid w:val="0"/>
        <w:spacing w:after="0"/>
        <w:rPr>
          <w:rFonts w:ascii="Calibri" w:hAnsi="Calibri" w:cs="Calibri"/>
          <w:sz w:val="22"/>
          <w:szCs w:val="22"/>
        </w:rPr>
      </w:pPr>
    </w:p>
    <w:p w14:paraId="737BEE09" w14:textId="77777777" w:rsidR="0088220A" w:rsidRDefault="0088220A" w:rsidP="0088220A">
      <w:pPr>
        <w:spacing w:after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467C282" w14:textId="77777777" w:rsidR="0088220A" w:rsidRDefault="0088220A" w:rsidP="0088220A">
      <w:pPr>
        <w:pStyle w:val="Nagwek2"/>
        <w:numPr>
          <w:ilvl w:val="0"/>
          <w:numId w:val="4"/>
        </w:numPr>
        <w:spacing w:before="0" w:after="0"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Switch LAN </w:t>
      </w:r>
      <w:proofErr w:type="spellStart"/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Core</w:t>
      </w:r>
      <w:proofErr w:type="spellEnd"/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(2 szt. z kompletem 24 wkładek SFP)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91"/>
      </w:tblGrid>
      <w:tr w:rsidR="0088220A" w14:paraId="0503518A" w14:textId="77777777" w:rsidTr="0088220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B9DDD27" w14:textId="77777777" w:rsidR="0088220A" w:rsidRDefault="0088220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wymagania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239F89D" w14:textId="77777777" w:rsidR="0088220A" w:rsidRDefault="0088220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wymagań</w:t>
            </w:r>
          </w:p>
        </w:tc>
      </w:tr>
      <w:tr w:rsidR="0088220A" w14:paraId="063F39E3" w14:textId="77777777" w:rsidTr="0088220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EF1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C325" w14:textId="364F8376" w:rsidR="0088220A" w:rsidRDefault="0064193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1939">
              <w:rPr>
                <w:rFonts w:ascii="Calibri" w:hAnsi="Calibri" w:cs="Calibri"/>
                <w:sz w:val="22"/>
                <w:szCs w:val="22"/>
              </w:rPr>
              <w:t xml:space="preserve">Przełącznik musi być dedykowanym urządzeniem sieciowym przystosowanym do zainstalowania w szafie </w:t>
            </w:r>
            <w:proofErr w:type="spellStart"/>
            <w:r w:rsidRPr="00641939">
              <w:rPr>
                <w:rFonts w:ascii="Calibri" w:hAnsi="Calibri" w:cs="Calibri"/>
                <w:sz w:val="22"/>
                <w:szCs w:val="22"/>
              </w:rPr>
              <w:t>rack</w:t>
            </w:r>
            <w:proofErr w:type="spellEnd"/>
            <w:r w:rsidRPr="00641939">
              <w:rPr>
                <w:rFonts w:ascii="Calibri" w:hAnsi="Calibri" w:cs="Calibri"/>
                <w:sz w:val="22"/>
                <w:szCs w:val="22"/>
              </w:rPr>
              <w:t xml:space="preserve">. Wraz z urządzeniem należy dostarczyć niezbędne akcesoria umożliwiające instalację przełącznika w szafie </w:t>
            </w:r>
            <w:proofErr w:type="spellStart"/>
            <w:r w:rsidRPr="00641939">
              <w:rPr>
                <w:rFonts w:ascii="Calibri" w:hAnsi="Calibri" w:cs="Calibri"/>
                <w:sz w:val="22"/>
                <w:szCs w:val="22"/>
              </w:rPr>
              <w:t>rack</w:t>
            </w:r>
            <w:proofErr w:type="spellEnd"/>
            <w:r w:rsidRPr="00641939">
              <w:rPr>
                <w:rFonts w:ascii="Calibri" w:hAnsi="Calibri" w:cs="Calibri"/>
                <w:sz w:val="22"/>
                <w:szCs w:val="22"/>
              </w:rPr>
              <w:t>. System operacyjny (</w:t>
            </w:r>
            <w:proofErr w:type="spellStart"/>
            <w:r w:rsidRPr="00641939">
              <w:rPr>
                <w:rFonts w:ascii="Calibri" w:hAnsi="Calibri" w:cs="Calibri"/>
                <w:sz w:val="22"/>
                <w:szCs w:val="22"/>
              </w:rPr>
              <w:t>firmware</w:t>
            </w:r>
            <w:proofErr w:type="spellEnd"/>
            <w:r w:rsidRPr="00641939">
              <w:rPr>
                <w:rFonts w:ascii="Calibri" w:hAnsi="Calibri" w:cs="Calibri"/>
                <w:sz w:val="22"/>
                <w:szCs w:val="22"/>
              </w:rPr>
              <w:t>) dostarczony przez producenta urządzenia. Zamawiający nie dopuszcza dostarczenia urządzenia z zainstalowanym systemem operacyjnym firmy trzeciej.</w:t>
            </w:r>
          </w:p>
        </w:tc>
      </w:tr>
      <w:tr w:rsidR="0088220A" w14:paraId="024FA286" w14:textId="77777777" w:rsidTr="0088220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BF7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1C84" w14:textId="77777777" w:rsidR="002B6279" w:rsidRPr="002B6279" w:rsidRDefault="002B6279" w:rsidP="002B62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279">
              <w:rPr>
                <w:rFonts w:ascii="Calibri" w:hAnsi="Calibri" w:cs="Calibri"/>
                <w:sz w:val="22"/>
                <w:szCs w:val="22"/>
              </w:rPr>
              <w:t>Wymagane parametry fizyczne:</w:t>
            </w:r>
          </w:p>
          <w:p w14:paraId="5447B584" w14:textId="77777777" w:rsidR="002B6279" w:rsidRPr="002B6279" w:rsidRDefault="002B6279" w:rsidP="002B62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279">
              <w:rPr>
                <w:rFonts w:ascii="Calibri" w:hAnsi="Calibri" w:cs="Calibri"/>
                <w:sz w:val="22"/>
                <w:szCs w:val="22"/>
              </w:rPr>
              <w:t>a)</w:t>
            </w:r>
            <w:r w:rsidRPr="002B6279">
              <w:rPr>
                <w:rFonts w:ascii="Calibri" w:hAnsi="Calibri" w:cs="Calibri"/>
                <w:sz w:val="22"/>
                <w:szCs w:val="22"/>
              </w:rPr>
              <w:tab/>
              <w:t>możliwość montażu w stelażu/szafie 19”</w:t>
            </w:r>
          </w:p>
          <w:p w14:paraId="5E0B6051" w14:textId="77777777" w:rsidR="002B6279" w:rsidRPr="002B6279" w:rsidRDefault="002B6279" w:rsidP="002B62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279">
              <w:rPr>
                <w:rFonts w:ascii="Calibri" w:hAnsi="Calibri" w:cs="Calibri"/>
                <w:sz w:val="22"/>
                <w:szCs w:val="22"/>
              </w:rPr>
              <w:t>b)</w:t>
            </w:r>
            <w:r w:rsidRPr="002B6279">
              <w:rPr>
                <w:rFonts w:ascii="Calibri" w:hAnsi="Calibri" w:cs="Calibri"/>
                <w:sz w:val="22"/>
                <w:szCs w:val="22"/>
              </w:rPr>
              <w:tab/>
              <w:t>wysokość maksymalna 1U</w:t>
            </w:r>
          </w:p>
          <w:p w14:paraId="757AFBAF" w14:textId="77777777" w:rsidR="002B6279" w:rsidRPr="002B6279" w:rsidRDefault="002B6279" w:rsidP="002B62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279">
              <w:rPr>
                <w:rFonts w:ascii="Calibri" w:hAnsi="Calibri" w:cs="Calibri"/>
                <w:sz w:val="22"/>
                <w:szCs w:val="22"/>
              </w:rPr>
              <w:t>c)</w:t>
            </w:r>
            <w:r w:rsidRPr="002B6279">
              <w:rPr>
                <w:rFonts w:ascii="Calibri" w:hAnsi="Calibri" w:cs="Calibri"/>
                <w:sz w:val="22"/>
                <w:szCs w:val="22"/>
              </w:rPr>
              <w:tab/>
              <w:t>głębokość urządzenia nie większa niż 39 cm</w:t>
            </w:r>
          </w:p>
          <w:p w14:paraId="0A1656DF" w14:textId="77777777" w:rsidR="002B6279" w:rsidRPr="002B6279" w:rsidRDefault="002B6279" w:rsidP="002B62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279">
              <w:rPr>
                <w:rFonts w:ascii="Calibri" w:hAnsi="Calibri" w:cs="Calibri"/>
                <w:sz w:val="22"/>
                <w:szCs w:val="22"/>
              </w:rPr>
              <w:t>d)</w:t>
            </w:r>
            <w:r w:rsidRPr="002B6279">
              <w:rPr>
                <w:rFonts w:ascii="Calibri" w:hAnsi="Calibri" w:cs="Calibri"/>
                <w:sz w:val="22"/>
                <w:szCs w:val="22"/>
              </w:rPr>
              <w:tab/>
              <w:t>waga urządzenia nie większa niż 10 kg</w:t>
            </w:r>
          </w:p>
          <w:p w14:paraId="160F6AE0" w14:textId="77777777" w:rsidR="002B6279" w:rsidRPr="002B6279" w:rsidRDefault="002B6279" w:rsidP="002B62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279">
              <w:rPr>
                <w:rFonts w:ascii="Calibri" w:hAnsi="Calibri" w:cs="Calibri"/>
                <w:sz w:val="22"/>
                <w:szCs w:val="22"/>
              </w:rPr>
              <w:t>e)</w:t>
            </w:r>
            <w:r w:rsidRPr="002B6279">
              <w:rPr>
                <w:rFonts w:ascii="Calibri" w:hAnsi="Calibri" w:cs="Calibri"/>
                <w:sz w:val="22"/>
                <w:szCs w:val="22"/>
              </w:rPr>
              <w:tab/>
              <w:t>dwa wewnętrzne redundantne zasilacze 230V AC typu hot-</w:t>
            </w:r>
            <w:proofErr w:type="spellStart"/>
            <w:r w:rsidRPr="002B6279">
              <w:rPr>
                <w:rFonts w:ascii="Calibri" w:hAnsi="Calibri" w:cs="Calibri"/>
                <w:sz w:val="22"/>
                <w:szCs w:val="22"/>
              </w:rPr>
              <w:t>swap</w:t>
            </w:r>
            <w:proofErr w:type="spellEnd"/>
            <w:r w:rsidRPr="002B6279">
              <w:rPr>
                <w:rFonts w:ascii="Calibri" w:hAnsi="Calibri" w:cs="Calibri"/>
                <w:sz w:val="22"/>
                <w:szCs w:val="22"/>
              </w:rPr>
              <w:t xml:space="preserve"> (nie dopuszcza się rozwiązania zewnętrznego). Każde urządzenie musi zostać dostarczone z 2 zasilaczami, z możliwością wymiany w trakcie pracy urządzenia (ang. hot-</w:t>
            </w:r>
            <w:proofErr w:type="spellStart"/>
            <w:r w:rsidRPr="002B6279">
              <w:rPr>
                <w:rFonts w:ascii="Calibri" w:hAnsi="Calibri" w:cs="Calibri"/>
                <w:sz w:val="22"/>
                <w:szCs w:val="22"/>
              </w:rPr>
              <w:t>swap</w:t>
            </w:r>
            <w:proofErr w:type="spellEnd"/>
            <w:r w:rsidRPr="002B6279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6883E040" w14:textId="77777777" w:rsidR="002B6279" w:rsidRPr="002B6279" w:rsidRDefault="002B6279" w:rsidP="002B62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279">
              <w:rPr>
                <w:rFonts w:ascii="Calibri" w:hAnsi="Calibri" w:cs="Calibri"/>
                <w:sz w:val="22"/>
                <w:szCs w:val="22"/>
              </w:rPr>
              <w:t>f)</w:t>
            </w:r>
            <w:r w:rsidRPr="002B6279">
              <w:rPr>
                <w:rFonts w:ascii="Calibri" w:hAnsi="Calibri" w:cs="Calibri"/>
                <w:sz w:val="22"/>
                <w:szCs w:val="22"/>
              </w:rPr>
              <w:tab/>
              <w:t>zakres temperatur pracy ciągłej co najmniej od 0 do +45 °C</w:t>
            </w:r>
          </w:p>
          <w:p w14:paraId="05E6CCE8" w14:textId="263EDF07" w:rsidR="0088220A" w:rsidRDefault="002B6279" w:rsidP="002B62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6279">
              <w:rPr>
                <w:rFonts w:ascii="Calibri" w:hAnsi="Calibri" w:cs="Calibri"/>
                <w:sz w:val="22"/>
                <w:szCs w:val="22"/>
              </w:rPr>
              <w:t>g)</w:t>
            </w:r>
            <w:r w:rsidRPr="002B6279">
              <w:rPr>
                <w:rFonts w:ascii="Calibri" w:hAnsi="Calibri" w:cs="Calibri"/>
                <w:sz w:val="22"/>
                <w:szCs w:val="22"/>
              </w:rPr>
              <w:tab/>
              <w:t>zakres wilgotności pracy co najmniej 5% - 95%</w:t>
            </w:r>
          </w:p>
        </w:tc>
      </w:tr>
      <w:tr w:rsidR="0088220A" w14:paraId="77CA7D56" w14:textId="77777777" w:rsidTr="0088220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1AC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46A8" w14:textId="51D3647E" w:rsidR="0088220A" w:rsidRDefault="00C55A9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5A9E">
              <w:rPr>
                <w:rFonts w:ascii="Calibri" w:hAnsi="Calibri" w:cs="Calibri"/>
                <w:sz w:val="22"/>
                <w:szCs w:val="22"/>
              </w:rPr>
              <w:t>Urządzenie musi być wyposażone w 2 moduły wentylatora z możliwością wymiany pojedynczego wentylatora w trakcie pracy urządzenia (ang. hot-</w:t>
            </w:r>
            <w:proofErr w:type="spellStart"/>
            <w:r w:rsidRPr="00C55A9E">
              <w:rPr>
                <w:rFonts w:ascii="Calibri" w:hAnsi="Calibri" w:cs="Calibri"/>
                <w:sz w:val="22"/>
                <w:szCs w:val="22"/>
              </w:rPr>
              <w:t>swap</w:t>
            </w:r>
            <w:proofErr w:type="spellEnd"/>
            <w:r w:rsidRPr="00C55A9E"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</w:tr>
      <w:tr w:rsidR="0088220A" w14:paraId="14EF02BE" w14:textId="77777777" w:rsidTr="007142F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212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22B6" w14:textId="77777777" w:rsidR="00731F2C" w:rsidRDefault="00E6493C" w:rsidP="00731F2C">
            <w:pPr>
              <w:rPr>
                <w:sz w:val="22"/>
                <w:szCs w:val="22"/>
              </w:rPr>
            </w:pPr>
            <w:r w:rsidRPr="00731F2C">
              <w:rPr>
                <w:sz w:val="22"/>
                <w:szCs w:val="22"/>
              </w:rPr>
              <w:t>Przełącznik musi zostać dostarczony z następującymi interfejsami mogącymi działać równocześnie:</w:t>
            </w:r>
          </w:p>
          <w:p w14:paraId="12002D7E" w14:textId="043B595B" w:rsidR="00E6493C" w:rsidRPr="00731F2C" w:rsidRDefault="00731F2C" w:rsidP="00731F2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 </w:t>
            </w:r>
            <w:r w:rsidR="00E6493C" w:rsidRPr="00731F2C">
              <w:rPr>
                <w:color w:val="000000"/>
                <w:sz w:val="22"/>
                <w:szCs w:val="22"/>
              </w:rPr>
              <w:t xml:space="preserve">porty </w:t>
            </w:r>
            <w:r w:rsidR="00E6493C" w:rsidRPr="00731F2C">
              <w:rPr>
                <w:sz w:val="22"/>
                <w:szCs w:val="22"/>
              </w:rPr>
              <w:t>10GE SFP+</w:t>
            </w:r>
            <w:r w:rsidR="00E6493C" w:rsidRPr="00731F2C">
              <w:rPr>
                <w:color w:val="000000"/>
                <w:sz w:val="22"/>
                <w:szCs w:val="22"/>
              </w:rPr>
              <w:t xml:space="preserve"> z obsługą modułów 10G-SR, 10G-LR, 10G-ER, 1G-LX, 1G-SX</w:t>
            </w:r>
          </w:p>
          <w:p w14:paraId="7DECC931" w14:textId="1526CEC2" w:rsidR="00E6493C" w:rsidRPr="00731F2C" w:rsidRDefault="00E6493C" w:rsidP="00731F2C">
            <w:pPr>
              <w:suppressAutoHyphens/>
              <w:spacing w:after="200" w:line="276" w:lineRule="auto"/>
              <w:rPr>
                <w:sz w:val="22"/>
                <w:szCs w:val="22"/>
              </w:rPr>
            </w:pPr>
            <w:r w:rsidRPr="00731F2C">
              <w:rPr>
                <w:sz w:val="22"/>
                <w:szCs w:val="22"/>
              </w:rPr>
              <w:t xml:space="preserve">24 porty </w:t>
            </w:r>
            <w:proofErr w:type="spellStart"/>
            <w:r w:rsidRPr="00731F2C">
              <w:rPr>
                <w:sz w:val="22"/>
                <w:szCs w:val="22"/>
              </w:rPr>
              <w:t>multiGigabit</w:t>
            </w:r>
            <w:proofErr w:type="spellEnd"/>
            <w:r w:rsidRPr="00731F2C">
              <w:rPr>
                <w:sz w:val="22"/>
                <w:szCs w:val="22"/>
              </w:rPr>
              <w:t xml:space="preserve"> 1/2.5/5/5/10G </w:t>
            </w:r>
            <w:proofErr w:type="spellStart"/>
            <w:r w:rsidRPr="00731F2C">
              <w:rPr>
                <w:sz w:val="22"/>
                <w:szCs w:val="22"/>
              </w:rPr>
              <w:t>BaseT</w:t>
            </w:r>
            <w:proofErr w:type="spellEnd"/>
            <w:r w:rsidRPr="00731F2C">
              <w:rPr>
                <w:sz w:val="22"/>
                <w:szCs w:val="22"/>
              </w:rPr>
              <w:t xml:space="preserve"> RJ45 </w:t>
            </w:r>
            <w:proofErr w:type="spellStart"/>
            <w:r w:rsidRPr="00731F2C">
              <w:rPr>
                <w:sz w:val="22"/>
                <w:szCs w:val="22"/>
              </w:rPr>
              <w:t>PoE</w:t>
            </w:r>
            <w:proofErr w:type="spellEnd"/>
            <w:r w:rsidRPr="00731F2C">
              <w:rPr>
                <w:sz w:val="22"/>
                <w:szCs w:val="22"/>
              </w:rPr>
              <w:t xml:space="preserve">++ (budżet mocy </w:t>
            </w:r>
            <w:proofErr w:type="spellStart"/>
            <w:r w:rsidRPr="00731F2C">
              <w:rPr>
                <w:sz w:val="22"/>
                <w:szCs w:val="22"/>
              </w:rPr>
              <w:t>PoE</w:t>
            </w:r>
            <w:proofErr w:type="spellEnd"/>
            <w:r w:rsidRPr="00731F2C">
              <w:rPr>
                <w:sz w:val="22"/>
                <w:szCs w:val="22"/>
              </w:rPr>
              <w:t xml:space="preserve"> minimum 865W)</w:t>
            </w:r>
            <w:r w:rsidR="00731F2C">
              <w:rPr>
                <w:sz w:val="22"/>
                <w:szCs w:val="22"/>
              </w:rPr>
              <w:br/>
            </w:r>
            <w:r w:rsidRPr="00731F2C">
              <w:rPr>
                <w:sz w:val="22"/>
                <w:szCs w:val="22"/>
              </w:rPr>
              <w:t>4</w:t>
            </w:r>
            <w:r w:rsidRPr="00731F2C">
              <w:rPr>
                <w:color w:val="000000"/>
                <w:sz w:val="22"/>
                <w:szCs w:val="22"/>
              </w:rPr>
              <w:t xml:space="preserve"> port</w:t>
            </w:r>
            <w:r w:rsidRPr="00731F2C">
              <w:rPr>
                <w:sz w:val="22"/>
                <w:szCs w:val="22"/>
              </w:rPr>
              <w:t>y 100G QSFP28 z obsługą modułów 40G-SR, 40G-LR, 100G-SR, 100G-LR</w:t>
            </w:r>
          </w:p>
          <w:p w14:paraId="7FEF5AC0" w14:textId="77777777" w:rsidR="00E6493C" w:rsidRPr="00731F2C" w:rsidRDefault="00E6493C" w:rsidP="00E6493C">
            <w:pPr>
              <w:rPr>
                <w:sz w:val="22"/>
                <w:szCs w:val="22"/>
              </w:rPr>
            </w:pPr>
            <w:r w:rsidRPr="00731F2C">
              <w:rPr>
                <w:sz w:val="22"/>
                <w:szCs w:val="22"/>
              </w:rPr>
              <w:t>Urządzenie musi mieć możliwość rozbudowy o kolejne 2 porty 100G QSFP28</w:t>
            </w:r>
          </w:p>
          <w:p w14:paraId="1688B0B0" w14:textId="1C7984FE" w:rsidR="0088220A" w:rsidRDefault="00E6493C" w:rsidP="00E649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sz w:val="22"/>
                <w:szCs w:val="22"/>
              </w:rPr>
              <w:t>Każdy zestaw musi zostać dostarczony z 24 wkładkami światłowodowymi 10G SFP+ SM 10km LR, 4 wkładkami światłowodowymi 40G QSFP+ SM 10km LR. Wkładki muszą być kompatybilne z przełącznikiem.</w:t>
            </w:r>
          </w:p>
        </w:tc>
      </w:tr>
      <w:tr w:rsidR="0088220A" w14:paraId="24324AD9" w14:textId="77777777" w:rsidTr="007142F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C58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3E9B" w14:textId="77777777" w:rsidR="007B65FD" w:rsidRPr="007B65FD" w:rsidRDefault="007B65FD" w:rsidP="007B65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65FD">
              <w:rPr>
                <w:rFonts w:ascii="Calibri" w:hAnsi="Calibri" w:cs="Calibri"/>
                <w:sz w:val="22"/>
                <w:szCs w:val="22"/>
              </w:rPr>
              <w:t>Przełącznik musi umożliwiać łączenie w stosy z zachowaniem następującej funkcjonalności:</w:t>
            </w:r>
          </w:p>
          <w:p w14:paraId="6994C42E" w14:textId="77777777" w:rsidR="007B65FD" w:rsidRPr="007B65FD" w:rsidRDefault="007B65FD" w:rsidP="007B65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65FD">
              <w:rPr>
                <w:rFonts w:ascii="Calibri" w:hAnsi="Calibri" w:cs="Calibri"/>
                <w:sz w:val="22"/>
                <w:szCs w:val="22"/>
              </w:rPr>
              <w:t>a)</w:t>
            </w:r>
            <w:r w:rsidRPr="007B65FD">
              <w:rPr>
                <w:rFonts w:ascii="Calibri" w:hAnsi="Calibri" w:cs="Calibri"/>
                <w:sz w:val="22"/>
                <w:szCs w:val="22"/>
              </w:rPr>
              <w:tab/>
              <w:t>Zarządzanie stosem poprzez jeden adres IP</w:t>
            </w:r>
          </w:p>
          <w:p w14:paraId="0B370CEE" w14:textId="77777777" w:rsidR="007B65FD" w:rsidRPr="007B65FD" w:rsidRDefault="007B65FD" w:rsidP="007B65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65FD">
              <w:rPr>
                <w:rFonts w:ascii="Calibri" w:hAnsi="Calibri" w:cs="Calibri"/>
                <w:sz w:val="22"/>
                <w:szCs w:val="22"/>
              </w:rPr>
              <w:t>b)</w:t>
            </w:r>
            <w:r w:rsidRPr="007B65FD">
              <w:rPr>
                <w:rFonts w:ascii="Calibri" w:hAnsi="Calibri" w:cs="Calibri"/>
                <w:sz w:val="22"/>
                <w:szCs w:val="22"/>
              </w:rPr>
              <w:tab/>
              <w:t>Do min. 9 jednostek w stosie</w:t>
            </w:r>
          </w:p>
          <w:p w14:paraId="59F7AF5F" w14:textId="77777777" w:rsidR="007B65FD" w:rsidRPr="007B65FD" w:rsidRDefault="007B65FD" w:rsidP="007B65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65FD">
              <w:rPr>
                <w:rFonts w:ascii="Calibri" w:hAnsi="Calibri" w:cs="Calibri"/>
                <w:sz w:val="22"/>
                <w:szCs w:val="22"/>
              </w:rPr>
              <w:t>c)</w:t>
            </w:r>
            <w:r w:rsidRPr="007B65FD">
              <w:rPr>
                <w:rFonts w:ascii="Calibri" w:hAnsi="Calibri" w:cs="Calibri"/>
                <w:sz w:val="22"/>
                <w:szCs w:val="22"/>
              </w:rPr>
              <w:tab/>
              <w:t xml:space="preserve">Magistrala </w:t>
            </w:r>
            <w:proofErr w:type="spellStart"/>
            <w:r w:rsidRPr="007B65FD">
              <w:rPr>
                <w:rFonts w:ascii="Calibri" w:hAnsi="Calibri" w:cs="Calibri"/>
                <w:sz w:val="22"/>
                <w:szCs w:val="22"/>
              </w:rPr>
              <w:t>stackująca</w:t>
            </w:r>
            <w:proofErr w:type="spellEnd"/>
            <w:r w:rsidRPr="007B65FD">
              <w:rPr>
                <w:rFonts w:ascii="Calibri" w:hAnsi="Calibri" w:cs="Calibri"/>
                <w:sz w:val="22"/>
                <w:szCs w:val="22"/>
              </w:rPr>
              <w:t xml:space="preserve"> o wydajności minimum 400Gb/s</w:t>
            </w:r>
          </w:p>
          <w:p w14:paraId="0E0FB019" w14:textId="77777777" w:rsidR="007B65FD" w:rsidRPr="007B65FD" w:rsidRDefault="007B65FD" w:rsidP="007B65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65FD">
              <w:rPr>
                <w:rFonts w:ascii="Calibri" w:hAnsi="Calibri" w:cs="Calibri"/>
                <w:sz w:val="22"/>
                <w:szCs w:val="22"/>
              </w:rPr>
              <w:t>d)</w:t>
            </w:r>
            <w:r w:rsidRPr="007B65FD">
              <w:rPr>
                <w:rFonts w:ascii="Calibri" w:hAnsi="Calibri" w:cs="Calibri"/>
                <w:sz w:val="22"/>
                <w:szCs w:val="22"/>
              </w:rPr>
              <w:tab/>
              <w:t xml:space="preserve">Możliwość tworzenia połączeń link </w:t>
            </w:r>
            <w:proofErr w:type="spellStart"/>
            <w:r w:rsidRPr="007B65FD">
              <w:rPr>
                <w:rFonts w:ascii="Calibri" w:hAnsi="Calibri" w:cs="Calibri"/>
                <w:sz w:val="22"/>
                <w:szCs w:val="22"/>
              </w:rPr>
              <w:t>aggregation</w:t>
            </w:r>
            <w:proofErr w:type="spellEnd"/>
            <w:r w:rsidRPr="007B65FD">
              <w:rPr>
                <w:rFonts w:ascii="Calibri" w:hAnsi="Calibri" w:cs="Calibri"/>
                <w:sz w:val="22"/>
                <w:szCs w:val="22"/>
              </w:rPr>
              <w:t xml:space="preserve"> zgodnie z 802.3ad dla portów należących do różnych jednostek w stosie (ang. cross-</w:t>
            </w:r>
            <w:proofErr w:type="spellStart"/>
            <w:r w:rsidRPr="007B65FD">
              <w:rPr>
                <w:rFonts w:ascii="Calibri" w:hAnsi="Calibri" w:cs="Calibri"/>
                <w:sz w:val="22"/>
                <w:szCs w:val="22"/>
              </w:rPr>
              <w:t>stack</w:t>
            </w:r>
            <w:proofErr w:type="spellEnd"/>
            <w:r w:rsidRPr="007B65FD">
              <w:rPr>
                <w:rFonts w:ascii="Calibri" w:hAnsi="Calibri" w:cs="Calibri"/>
                <w:sz w:val="22"/>
                <w:szCs w:val="22"/>
              </w:rPr>
              <w:t xml:space="preserve"> link </w:t>
            </w:r>
            <w:proofErr w:type="spellStart"/>
            <w:r w:rsidRPr="007B65FD">
              <w:rPr>
                <w:rFonts w:ascii="Calibri" w:hAnsi="Calibri" w:cs="Calibri"/>
                <w:sz w:val="22"/>
                <w:szCs w:val="22"/>
              </w:rPr>
              <w:t>aggregation</w:t>
            </w:r>
            <w:proofErr w:type="spellEnd"/>
            <w:r w:rsidRPr="007B65FD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AE367BB" w14:textId="77777777" w:rsidR="007B65FD" w:rsidRPr="007B65FD" w:rsidRDefault="007B65FD" w:rsidP="007B65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65FD">
              <w:rPr>
                <w:rFonts w:ascii="Calibri" w:hAnsi="Calibri" w:cs="Calibri"/>
                <w:sz w:val="22"/>
                <w:szCs w:val="22"/>
              </w:rPr>
              <w:lastRenderedPageBreak/>
              <w:t>e)</w:t>
            </w:r>
            <w:r w:rsidRPr="007B65FD">
              <w:rPr>
                <w:rFonts w:ascii="Calibri" w:hAnsi="Calibri" w:cs="Calibri"/>
                <w:sz w:val="22"/>
                <w:szCs w:val="22"/>
              </w:rPr>
              <w:tab/>
              <w:t xml:space="preserve">Stos przełączników powinien być widoczny w sieci jako jedno urządzenie logiczne z punktu widzenia protokołu </w:t>
            </w:r>
            <w:proofErr w:type="spellStart"/>
            <w:r w:rsidRPr="007B65FD">
              <w:rPr>
                <w:rFonts w:ascii="Calibri" w:hAnsi="Calibri" w:cs="Calibri"/>
                <w:sz w:val="22"/>
                <w:szCs w:val="22"/>
              </w:rPr>
              <w:t>Spanning-Tree</w:t>
            </w:r>
            <w:proofErr w:type="spellEnd"/>
          </w:p>
          <w:p w14:paraId="510F30B2" w14:textId="77777777" w:rsidR="007B65FD" w:rsidRPr="007B65FD" w:rsidRDefault="007B65FD" w:rsidP="007B65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65FD">
              <w:rPr>
                <w:rFonts w:ascii="Calibri" w:hAnsi="Calibri" w:cs="Calibri"/>
                <w:sz w:val="22"/>
                <w:szCs w:val="22"/>
              </w:rPr>
              <w:t>f)</w:t>
            </w:r>
            <w:r w:rsidRPr="007B65FD">
              <w:rPr>
                <w:rFonts w:ascii="Calibri" w:hAnsi="Calibri" w:cs="Calibri"/>
                <w:sz w:val="22"/>
                <w:szCs w:val="22"/>
              </w:rPr>
              <w:tab/>
              <w:t xml:space="preserve">Jeżeli realizacja funkcji łączenia w stosy wymaga dodatkowych interfejsów </w:t>
            </w:r>
            <w:proofErr w:type="spellStart"/>
            <w:r w:rsidRPr="007B65FD">
              <w:rPr>
                <w:rFonts w:ascii="Calibri" w:hAnsi="Calibri" w:cs="Calibri"/>
                <w:sz w:val="22"/>
                <w:szCs w:val="22"/>
              </w:rPr>
              <w:t>stackujących</w:t>
            </w:r>
            <w:proofErr w:type="spellEnd"/>
            <w:r w:rsidRPr="007B65FD">
              <w:rPr>
                <w:rFonts w:ascii="Calibri" w:hAnsi="Calibri" w:cs="Calibri"/>
                <w:sz w:val="22"/>
                <w:szCs w:val="22"/>
              </w:rPr>
              <w:t xml:space="preserve"> to w ramach niniejszego postępowania Zamawiający wymaga ich dostarczenia.</w:t>
            </w:r>
          </w:p>
          <w:p w14:paraId="789FC415" w14:textId="4ECC0C9B" w:rsidR="0088220A" w:rsidRDefault="007B65FD" w:rsidP="007B65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65FD">
              <w:rPr>
                <w:rFonts w:ascii="Calibri" w:hAnsi="Calibri" w:cs="Calibri"/>
                <w:sz w:val="22"/>
                <w:szCs w:val="22"/>
              </w:rPr>
              <w:t xml:space="preserve">Zamawiający dopuszcza, aby możliwość łączenia w stosy była realizowana za pomocą portów typu </w:t>
            </w:r>
            <w:proofErr w:type="spellStart"/>
            <w:r w:rsidRPr="007B65FD">
              <w:rPr>
                <w:rFonts w:ascii="Calibri" w:hAnsi="Calibri" w:cs="Calibri"/>
                <w:sz w:val="22"/>
                <w:szCs w:val="22"/>
              </w:rPr>
              <w:t>uplink</w:t>
            </w:r>
            <w:proofErr w:type="spellEnd"/>
            <w:r w:rsidRPr="007B65F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8220A" w14:paraId="428E2619" w14:textId="77777777" w:rsidTr="0088220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2BFE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7BD9" w14:textId="1D8E1C1D" w:rsidR="0088220A" w:rsidRDefault="00BA77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7762">
              <w:rPr>
                <w:rFonts w:ascii="Calibri" w:hAnsi="Calibri" w:cs="Calibri"/>
                <w:sz w:val="22"/>
                <w:szCs w:val="22"/>
              </w:rPr>
              <w:t xml:space="preserve">Układ przełączający o wydajności min. 2,16Tbps, wydajność przełączania przynajmniej 1000 </w:t>
            </w:r>
            <w:proofErr w:type="spellStart"/>
            <w:r w:rsidRPr="00BA7762">
              <w:rPr>
                <w:rFonts w:ascii="Calibri" w:hAnsi="Calibri" w:cs="Calibri"/>
                <w:sz w:val="22"/>
                <w:szCs w:val="22"/>
              </w:rPr>
              <w:t>Mpps</w:t>
            </w:r>
            <w:proofErr w:type="spellEnd"/>
          </w:p>
        </w:tc>
      </w:tr>
      <w:tr w:rsidR="0088220A" w14:paraId="13DA6BF4" w14:textId="77777777" w:rsidTr="0088220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712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FD25" w14:textId="72A3AAD8" w:rsidR="0088220A" w:rsidRDefault="000C4F4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4F4F">
              <w:rPr>
                <w:rFonts w:ascii="Calibri" w:hAnsi="Calibri" w:cs="Calibri"/>
                <w:sz w:val="22"/>
                <w:szCs w:val="22"/>
              </w:rPr>
              <w:t>Obsługa min. 130 000 adresów MAC</w:t>
            </w:r>
          </w:p>
        </w:tc>
      </w:tr>
      <w:tr w:rsidR="0088220A" w14:paraId="0CCEBBF1" w14:textId="77777777" w:rsidTr="00CE4C31">
        <w:trPr>
          <w:trHeight w:val="9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EB1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C18A" w14:textId="77777777" w:rsidR="008C6073" w:rsidRPr="008C6073" w:rsidRDefault="008C6073" w:rsidP="008C607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6073">
              <w:rPr>
                <w:rFonts w:ascii="Calibri" w:hAnsi="Calibri" w:cs="Calibri"/>
                <w:sz w:val="22"/>
                <w:szCs w:val="22"/>
              </w:rPr>
              <w:t>Wbudowana pamięć RAM min. 4 GB</w:t>
            </w:r>
          </w:p>
          <w:p w14:paraId="20229637" w14:textId="77777777" w:rsidR="008C6073" w:rsidRPr="008C6073" w:rsidRDefault="008C6073" w:rsidP="008C607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6073">
              <w:rPr>
                <w:rFonts w:ascii="Calibri" w:hAnsi="Calibri" w:cs="Calibri"/>
                <w:sz w:val="22"/>
                <w:szCs w:val="22"/>
              </w:rPr>
              <w:t>Bufor pakietów minimum: 10 MB</w:t>
            </w:r>
          </w:p>
          <w:p w14:paraId="1FA15F38" w14:textId="69E96F9B" w:rsidR="0088220A" w:rsidRPr="008C6073" w:rsidRDefault="008C6073" w:rsidP="008C607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6073">
              <w:rPr>
                <w:rFonts w:ascii="Calibri" w:hAnsi="Calibri" w:cs="Calibri"/>
                <w:sz w:val="22"/>
                <w:szCs w:val="22"/>
              </w:rPr>
              <w:t>Procesor wielordzeniowy. Minimalne taktowanie procesora 1800MHz</w:t>
            </w:r>
          </w:p>
        </w:tc>
      </w:tr>
      <w:tr w:rsidR="0065720A" w14:paraId="3CB3144C" w14:textId="77777777" w:rsidTr="00CE4C31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2CC" w14:textId="77777777" w:rsidR="0065720A" w:rsidRPr="00CE4C31" w:rsidRDefault="0065720A" w:rsidP="00657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F47" w14:textId="51743C8B" w:rsidR="0065720A" w:rsidRPr="00CE4C31" w:rsidRDefault="0065720A" w:rsidP="0065720A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E4C31">
              <w:rPr>
                <w:rFonts w:asciiTheme="majorHAnsi" w:hAnsiTheme="majorHAnsi" w:cstheme="majorHAnsi"/>
                <w:sz w:val="22"/>
                <w:szCs w:val="22"/>
              </w:rPr>
              <w:t xml:space="preserve">Urządzenie musi mieć wbudowaną pamięć </w:t>
            </w:r>
            <w:proofErr w:type="spellStart"/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flash</w:t>
            </w:r>
            <w:proofErr w:type="spellEnd"/>
            <w:r w:rsidRPr="00CE4C31">
              <w:rPr>
                <w:rFonts w:asciiTheme="majorHAnsi" w:hAnsiTheme="majorHAnsi" w:cstheme="majorHAnsi"/>
                <w:sz w:val="22"/>
                <w:szCs w:val="22"/>
              </w:rPr>
              <w:t xml:space="preserve"> o pojemności min. 1 GB</w:t>
            </w:r>
          </w:p>
        </w:tc>
      </w:tr>
      <w:tr w:rsidR="0065720A" w14:paraId="5C1A303F" w14:textId="77777777" w:rsidTr="00CE4C31">
        <w:trPr>
          <w:trHeight w:val="55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8B0A" w14:textId="77777777" w:rsidR="0065720A" w:rsidRPr="00CE4C31" w:rsidRDefault="0065720A" w:rsidP="00657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47F" w14:textId="73438F9D" w:rsidR="0065720A" w:rsidRPr="00CE4C31" w:rsidRDefault="0065720A" w:rsidP="0065720A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E4C31">
              <w:rPr>
                <w:rFonts w:asciiTheme="majorHAnsi" w:hAnsiTheme="majorHAnsi" w:cstheme="majorHAnsi"/>
                <w:sz w:val="22"/>
                <w:szCs w:val="22"/>
              </w:rPr>
              <w:t xml:space="preserve">Obsługa min. 4090 sieci VLAN jednocześnie oraz obsługa 802.1Q </w:t>
            </w:r>
            <w:proofErr w:type="spellStart"/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tunneling</w:t>
            </w:r>
            <w:proofErr w:type="spellEnd"/>
            <w:r w:rsidRPr="00CE4C31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QinQ</w:t>
            </w:r>
            <w:proofErr w:type="spellEnd"/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65720A" w14:paraId="389EB8D5" w14:textId="77777777" w:rsidTr="00CE4C31">
        <w:trPr>
          <w:trHeight w:val="5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EFE" w14:textId="77777777" w:rsidR="0065720A" w:rsidRPr="00CE4C31" w:rsidRDefault="0065720A" w:rsidP="00657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25CC" w14:textId="01E96231" w:rsidR="0065720A" w:rsidRPr="00CE4C31" w:rsidRDefault="0065720A" w:rsidP="0065720A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E4C31">
              <w:rPr>
                <w:rFonts w:asciiTheme="majorHAnsi" w:hAnsiTheme="majorHAnsi" w:cstheme="majorHAnsi"/>
                <w:sz w:val="22"/>
                <w:szCs w:val="22"/>
              </w:rPr>
              <w:t xml:space="preserve">Możliwość skonfigurowania min. 1024 interfejsów </w:t>
            </w:r>
            <w:proofErr w:type="spellStart"/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vlan</w:t>
            </w:r>
            <w:proofErr w:type="spellEnd"/>
            <w:r w:rsidRPr="00CE4C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interface</w:t>
            </w:r>
            <w:proofErr w:type="spellEnd"/>
            <w:r w:rsidRPr="00CE4C31">
              <w:rPr>
                <w:rFonts w:asciiTheme="majorHAnsi" w:hAnsiTheme="majorHAnsi" w:cstheme="majorHAnsi"/>
                <w:sz w:val="22"/>
                <w:szCs w:val="22"/>
              </w:rPr>
              <w:t xml:space="preserve"> SVI działających równocześnie.</w:t>
            </w:r>
          </w:p>
        </w:tc>
      </w:tr>
      <w:tr w:rsidR="0065720A" w14:paraId="762FDA58" w14:textId="77777777" w:rsidTr="00CE4C31">
        <w:trPr>
          <w:trHeight w:val="4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A649" w14:textId="77777777" w:rsidR="0065720A" w:rsidRPr="00CE4C31" w:rsidRDefault="0065720A" w:rsidP="00657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DC5" w14:textId="7168917E" w:rsidR="0065720A" w:rsidRPr="00CE4C31" w:rsidRDefault="0065720A" w:rsidP="0065720A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Obsługa ramek jumbo o wielkości min. 9992 bajtów</w:t>
            </w:r>
          </w:p>
        </w:tc>
      </w:tr>
      <w:tr w:rsidR="0065720A" w14:paraId="31E6C21C" w14:textId="77777777" w:rsidTr="00CE4C31">
        <w:trPr>
          <w:trHeight w:val="4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64DF" w14:textId="77777777" w:rsidR="0065720A" w:rsidRPr="00CE4C31" w:rsidRDefault="0065720A" w:rsidP="00657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37A6" w14:textId="53A2889C" w:rsidR="0065720A" w:rsidRPr="00CE4C31" w:rsidRDefault="0065720A" w:rsidP="0065720A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Obsługa protokołu BFD oraz LACP</w:t>
            </w:r>
          </w:p>
        </w:tc>
      </w:tr>
      <w:tr w:rsidR="0065720A" w14:paraId="756AB987" w14:textId="77777777" w:rsidTr="00CE4C31">
        <w:trPr>
          <w:trHeight w:val="4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7BD" w14:textId="77777777" w:rsidR="0065720A" w:rsidRPr="00CE4C31" w:rsidRDefault="0065720A" w:rsidP="00657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EE0" w14:textId="1D5FA091" w:rsidR="0065720A" w:rsidRPr="00CE4C31" w:rsidRDefault="0065720A" w:rsidP="0065720A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Obsługa protokołu VRRP dla IPv4 i IPv6</w:t>
            </w:r>
          </w:p>
        </w:tc>
      </w:tr>
      <w:tr w:rsidR="0065720A" w14:paraId="0E24500E" w14:textId="77777777" w:rsidTr="009E4CB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6E4D" w14:textId="77777777" w:rsidR="0065720A" w:rsidRPr="00CE4C31" w:rsidRDefault="0065720A" w:rsidP="00657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35FE" w14:textId="789F909F" w:rsidR="0065720A" w:rsidRPr="00CE4C31" w:rsidRDefault="0065720A" w:rsidP="0065720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Wsparcie dla protokołów 802.1d (STP), 802.1s (MSTP), 802.1w (RSTP).</w:t>
            </w:r>
          </w:p>
        </w:tc>
      </w:tr>
      <w:tr w:rsidR="0065720A" w14:paraId="1D6E2F22" w14:textId="77777777" w:rsidTr="009E4CB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974" w14:textId="77777777" w:rsidR="0065720A" w:rsidRPr="00CE4C31" w:rsidRDefault="0065720A" w:rsidP="00657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BBBE" w14:textId="6A6E6B3E" w:rsidR="0065720A" w:rsidRPr="00CE4C31" w:rsidRDefault="0065720A" w:rsidP="0065720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E4C31">
              <w:rPr>
                <w:rFonts w:asciiTheme="majorHAnsi" w:hAnsiTheme="majorHAnsi" w:cstheme="majorHAnsi"/>
                <w:sz w:val="22"/>
                <w:szCs w:val="22"/>
              </w:rPr>
              <w:t xml:space="preserve">Obsługa protokołów routingu OSPF, OSPFv3, IS-IS, IS-ISv6, BGPv4, BGPv4+, RIP, </w:t>
            </w:r>
            <w:proofErr w:type="spellStart"/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RIPng</w:t>
            </w:r>
            <w:proofErr w:type="spellEnd"/>
            <w:r w:rsidR="00AC722B" w:rsidRPr="00CE4C31">
              <w:rPr>
                <w:rFonts w:asciiTheme="majorHAnsi" w:hAnsiTheme="majorHAnsi" w:cstheme="majorHAnsi"/>
                <w:sz w:val="22"/>
                <w:szCs w:val="22"/>
              </w:rPr>
              <w:t>, wraz z licencjami, jeśli takie są wymagane do ich obsługi</w:t>
            </w:r>
          </w:p>
        </w:tc>
      </w:tr>
      <w:tr w:rsidR="00FD1527" w14:paraId="7969DA39" w14:textId="77777777" w:rsidTr="009E4CB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ED4A" w14:textId="77777777" w:rsidR="00FD1527" w:rsidRPr="00CE4C31" w:rsidRDefault="00FD1527" w:rsidP="00FD152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03BB" w14:textId="16DF28D8" w:rsidR="00FD1527" w:rsidRPr="00CE4C31" w:rsidRDefault="00FD1527" w:rsidP="00FD152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Obsługa min. 65 000 tras dla routingu IPv4</w:t>
            </w:r>
          </w:p>
        </w:tc>
      </w:tr>
      <w:tr w:rsidR="00FD1527" w14:paraId="42AB4029" w14:textId="77777777" w:rsidTr="009E4CB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CDF" w14:textId="77777777" w:rsidR="00FD1527" w:rsidRPr="00CE4C31" w:rsidRDefault="00FD1527" w:rsidP="00FD152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E411" w14:textId="0A2EA723" w:rsidR="00FD1527" w:rsidRPr="00CE4C31" w:rsidRDefault="00FD1527" w:rsidP="00FD152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Obsługa min. 32 000 tras dla routingu IPv6</w:t>
            </w:r>
          </w:p>
        </w:tc>
      </w:tr>
      <w:tr w:rsidR="00FD1527" w14:paraId="78962E4D" w14:textId="77777777" w:rsidTr="009E4CB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3285" w14:textId="77777777" w:rsidR="00FD1527" w:rsidRPr="00CE4C31" w:rsidRDefault="00FD1527" w:rsidP="00FD152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F90C" w14:textId="5C2B6503" w:rsidR="00FD1527" w:rsidRPr="00CE4C31" w:rsidRDefault="00FD1527" w:rsidP="00FD152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E4C31">
              <w:rPr>
                <w:rFonts w:asciiTheme="majorHAnsi" w:hAnsiTheme="majorHAnsi" w:cstheme="majorHAnsi"/>
                <w:sz w:val="22"/>
                <w:szCs w:val="22"/>
              </w:rPr>
              <w:t xml:space="preserve">Obsługa protokołów związanych z obsługą ruchu typu </w:t>
            </w:r>
            <w:proofErr w:type="spellStart"/>
            <w:r w:rsidRPr="00CE4C31">
              <w:rPr>
                <w:rFonts w:asciiTheme="majorHAnsi" w:hAnsiTheme="majorHAnsi" w:cstheme="majorHAnsi"/>
                <w:sz w:val="22"/>
                <w:szCs w:val="22"/>
              </w:rPr>
              <w:t>multicast</w:t>
            </w:r>
            <w:proofErr w:type="spellEnd"/>
          </w:p>
        </w:tc>
      </w:tr>
      <w:tr w:rsidR="00FD1527" w14:paraId="1F013EBC" w14:textId="77777777" w:rsidTr="00CE4C31">
        <w:trPr>
          <w:trHeight w:val="3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439" w14:textId="77777777" w:rsidR="00FD1527" w:rsidRPr="00CE4C31" w:rsidRDefault="00FD1527" w:rsidP="00FD152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E19" w14:textId="3A15F912" w:rsidR="00FD1527" w:rsidRPr="00CE4C31" w:rsidRDefault="00FD1527" w:rsidP="00FD1527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E4C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E48B4" w:rsidRPr="00CE4C31">
              <w:rPr>
                <w:rFonts w:asciiTheme="majorHAnsi" w:hAnsiTheme="majorHAnsi" w:cstheme="majorHAnsi"/>
                <w:sz w:val="22"/>
                <w:szCs w:val="22"/>
              </w:rPr>
              <w:t>Minimalny rozmiar tablicy ARP – minimum 64 000 wpisów</w:t>
            </w:r>
          </w:p>
        </w:tc>
      </w:tr>
    </w:tbl>
    <w:p w14:paraId="0DD06A1F" w14:textId="77777777" w:rsidR="0088220A" w:rsidRDefault="0088220A" w:rsidP="0088220A">
      <w:pPr>
        <w:spacing w:after="0"/>
        <w:rPr>
          <w:rFonts w:ascii="Calibri" w:hAnsi="Calibri" w:cs="Calibri"/>
          <w:sz w:val="22"/>
          <w:szCs w:val="22"/>
        </w:rPr>
      </w:pPr>
    </w:p>
    <w:p w14:paraId="0CA2D681" w14:textId="77777777" w:rsidR="00B97E0A" w:rsidRDefault="00B97E0A" w:rsidP="0088220A">
      <w:pPr>
        <w:spacing w:after="0"/>
        <w:rPr>
          <w:rFonts w:ascii="Calibri" w:hAnsi="Calibri" w:cs="Calibri"/>
          <w:sz w:val="22"/>
          <w:szCs w:val="22"/>
        </w:rPr>
      </w:pPr>
    </w:p>
    <w:p w14:paraId="045D4DF0" w14:textId="77777777" w:rsidR="00B97E0A" w:rsidRDefault="00B97E0A" w:rsidP="0088220A">
      <w:pPr>
        <w:spacing w:after="0"/>
        <w:rPr>
          <w:rFonts w:ascii="Calibri" w:hAnsi="Calibri" w:cs="Calibri"/>
          <w:sz w:val="22"/>
          <w:szCs w:val="22"/>
        </w:rPr>
      </w:pPr>
    </w:p>
    <w:p w14:paraId="0F83E71B" w14:textId="77777777" w:rsidR="0088220A" w:rsidRDefault="0088220A" w:rsidP="0088220A">
      <w:pPr>
        <w:pStyle w:val="Nagwek2"/>
        <w:numPr>
          <w:ilvl w:val="0"/>
          <w:numId w:val="4"/>
        </w:numPr>
        <w:spacing w:before="0" w:after="0"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Macierz blokowa (1 szt.)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359"/>
        <w:gridCol w:w="7703"/>
      </w:tblGrid>
      <w:tr w:rsidR="0088220A" w14:paraId="6C9ADABF" w14:textId="77777777" w:rsidTr="000C04A7">
        <w:trPr>
          <w:trHeight w:val="12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245A0FE" w14:textId="77777777" w:rsidR="0088220A" w:rsidRDefault="0088220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 wymagania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43E143A" w14:textId="77777777" w:rsidR="0088220A" w:rsidRDefault="0088220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Opis wymagań</w:t>
            </w:r>
          </w:p>
        </w:tc>
      </w:tr>
      <w:tr w:rsidR="0088220A" w14:paraId="131BE9EF" w14:textId="77777777" w:rsidTr="000C04A7">
        <w:trPr>
          <w:trHeight w:val="82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DE3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639" w14:textId="061312A1" w:rsidR="0088220A" w:rsidRPr="000C04A7" w:rsidRDefault="00180567" w:rsidP="000C04A7">
            <w:pPr>
              <w:rPr>
                <w:rFonts w:ascii="Calibri" w:hAnsi="Calibri" w:cs="Calibri"/>
              </w:rPr>
            </w:pPr>
            <w:r w:rsidRPr="000C04A7">
              <w:rPr>
                <w:rFonts w:ascii="Calibri" w:hAnsi="Calibri" w:cs="Calibri"/>
              </w:rPr>
              <w:t xml:space="preserve">Obudowa o wysokości maksymalnie 2U dedykowana do zamontowania w szafie </w:t>
            </w:r>
            <w:proofErr w:type="spellStart"/>
            <w:r w:rsidRPr="000C04A7">
              <w:rPr>
                <w:rFonts w:ascii="Calibri" w:hAnsi="Calibri" w:cs="Calibri"/>
              </w:rPr>
              <w:t>rack</w:t>
            </w:r>
            <w:proofErr w:type="spellEnd"/>
            <w:r w:rsidRPr="000C04A7">
              <w:rPr>
                <w:rFonts w:ascii="Calibri" w:hAnsi="Calibri" w:cs="Calibri"/>
              </w:rPr>
              <w:t xml:space="preserve"> 19" z zestawem szyn do mocowania w szafie. Co najmniej 24 zatoki przystosowane do instalacji dysków </w:t>
            </w:r>
            <w:proofErr w:type="spellStart"/>
            <w:r w:rsidRPr="000C04A7">
              <w:rPr>
                <w:rFonts w:ascii="Calibri" w:hAnsi="Calibri" w:cs="Calibri"/>
              </w:rPr>
              <w:t>NVMe</w:t>
            </w:r>
            <w:proofErr w:type="spellEnd"/>
            <w:r w:rsidRPr="000C04A7">
              <w:rPr>
                <w:rFonts w:ascii="Calibri" w:hAnsi="Calibri" w:cs="Calibri"/>
              </w:rPr>
              <w:t>.</w:t>
            </w:r>
          </w:p>
        </w:tc>
      </w:tr>
      <w:tr w:rsidR="000C04A7" w14:paraId="5C3AF376" w14:textId="77777777" w:rsidTr="000C04A7">
        <w:trPr>
          <w:trHeight w:val="166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2568" w14:textId="77777777" w:rsidR="000C04A7" w:rsidRDefault="000C04A7" w:rsidP="000C04A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98E3" w14:textId="7C4A3E11" w:rsidR="000C04A7" w:rsidRPr="000C04A7" w:rsidRDefault="000C04A7" w:rsidP="000C04A7">
            <w:pPr>
              <w:rPr>
                <w:rFonts w:ascii="Calibri" w:hAnsi="Calibri" w:cs="Calibri"/>
              </w:rPr>
            </w:pPr>
            <w:r w:rsidRPr="00192651">
              <w:t xml:space="preserve">Zainstalowane minimum dwa redundantne kontrolery pamięci dyskowej, pracujące w trybie symetrycznym Active-Active, obsługujące protokół komunikacji </w:t>
            </w:r>
            <w:proofErr w:type="spellStart"/>
            <w:r w:rsidRPr="00192651">
              <w:t>NVMe</w:t>
            </w:r>
            <w:proofErr w:type="spellEnd"/>
            <w:r w:rsidRPr="00192651">
              <w:t xml:space="preserve"> z dyskami. Pod określeniem tryb Active-Active Symetryczny Zamawiający rozumie, że zasób pamięci dyskowej jest równolegle dostępny na co najmniej 4 portach należących do co najmniej 2 różnych kontrolerów pamięci dyskowej. Każdy z kontrolerów musi mieć możliwość prezentacji wszystkich wolumenów utworzonych w ramach całej </w:t>
            </w:r>
            <w:r w:rsidRPr="00192651">
              <w:lastRenderedPageBreak/>
              <w:t>pamięci dyskowej. Dodatkowo kontrolery musza posiadać wbudowaną funkcjonalność szyfrowania dysków w standardzie AES 256.</w:t>
            </w:r>
          </w:p>
        </w:tc>
      </w:tr>
      <w:tr w:rsidR="007050E7" w14:paraId="19B55BB9" w14:textId="77777777" w:rsidTr="000C04A7">
        <w:trPr>
          <w:trHeight w:val="109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C25" w14:textId="77777777" w:rsidR="007050E7" w:rsidRDefault="007050E7" w:rsidP="007050E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B3CB" w14:textId="3EF7EB3E" w:rsidR="007050E7" w:rsidRPr="000C04A7" w:rsidRDefault="007050E7" w:rsidP="007050E7">
            <w:pPr>
              <w:rPr>
                <w:rFonts w:ascii="Calibri" w:hAnsi="Calibri" w:cs="Calibri"/>
              </w:rPr>
            </w:pPr>
            <w:r w:rsidRPr="00DA18C0">
              <w:t xml:space="preserve">Architektura przetwarzania danych w ramach procesów wewnętrznych na kontrolerach musi być realizowana za pomocą procesorów firmy Intel serii co najmniej </w:t>
            </w:r>
            <w:proofErr w:type="spellStart"/>
            <w:r w:rsidRPr="00DA18C0">
              <w:t>Sapphire</w:t>
            </w:r>
            <w:proofErr w:type="spellEnd"/>
            <w:r w:rsidRPr="00DA18C0">
              <w:t xml:space="preserve"> Rapids.</w:t>
            </w:r>
            <w:r>
              <w:t xml:space="preserve"> </w:t>
            </w:r>
            <w:r w:rsidRPr="00DA18C0">
              <w:t xml:space="preserve">Każdy z kontrolerów musi być wyposażony w procesor, 12Ckażdy o taktowaniu minimum 2.1GHz </w:t>
            </w:r>
          </w:p>
        </w:tc>
      </w:tr>
      <w:tr w:rsidR="007050E7" w14:paraId="3C66337D" w14:textId="77777777" w:rsidTr="000C04A7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8E0A" w14:textId="77777777" w:rsidR="007050E7" w:rsidRDefault="007050E7" w:rsidP="007050E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A8F" w14:textId="4808853C" w:rsidR="007050E7" w:rsidRDefault="007050E7" w:rsidP="007050E7">
            <w:pPr>
              <w:rPr>
                <w:rFonts w:ascii="Calibri" w:hAnsi="Calibri" w:cs="Calibri"/>
              </w:rPr>
            </w:pPr>
            <w:r w:rsidRPr="00DA18C0">
              <w:t xml:space="preserve">Dostarczone rozwiązanie musi umożliwiać podłączenie posiadanych przez zamawiającego innych macierzy dyskowych i przedstawienie ich jako kolejnych pul dyskowych, które można uwzględniać w automatycznych politykach migrowania </w:t>
            </w:r>
            <w:proofErr w:type="spellStart"/>
            <w:r w:rsidRPr="00DA18C0">
              <w:t>danych.Rozwiązanie</w:t>
            </w:r>
            <w:proofErr w:type="spellEnd"/>
            <w:r w:rsidRPr="00DA18C0">
              <w:t xml:space="preserve"> musi umożliwiać podłączenie minimalnie do 64PiB przestrzeni zewnętrznych, połączenie to musi być realizowanie niezależnie od typu infrastruktury sieciowej sieci SAN (FC lub </w:t>
            </w:r>
            <w:proofErr w:type="spellStart"/>
            <w:r w:rsidRPr="00DA18C0">
              <w:t>iSCSI</w:t>
            </w:r>
            <w:proofErr w:type="spellEnd"/>
            <w:r w:rsidRPr="00DA18C0">
              <w:t xml:space="preserve">).Do realizacji powyższej funkcjonalności dostarczone rozwiązanie musi wykorzystywać swoje kontrolery, niedopuszczalne jest stosowanie rozwiązań zewnętrznych, tak zwanych </w:t>
            </w:r>
            <w:proofErr w:type="spellStart"/>
            <w:r w:rsidRPr="00DA18C0">
              <w:t>wirtualizatorów</w:t>
            </w:r>
            <w:proofErr w:type="spellEnd"/>
            <w:r w:rsidRPr="00DA18C0">
              <w:t>.</w:t>
            </w:r>
            <w:r>
              <w:t xml:space="preserve"> </w:t>
            </w:r>
            <w:r w:rsidRPr="00DA18C0">
              <w:t>Licencja na powyższą funkcjonalność nie jest częścią bieżącego postępowania.</w:t>
            </w:r>
          </w:p>
        </w:tc>
      </w:tr>
      <w:tr w:rsidR="007050E7" w14:paraId="499BD5E0" w14:textId="77777777" w:rsidTr="000C04A7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1FD9" w14:textId="77777777" w:rsidR="007050E7" w:rsidRDefault="007050E7" w:rsidP="007050E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8EB8" w14:textId="5C7A7D88" w:rsidR="007050E7" w:rsidRDefault="007050E7" w:rsidP="007050E7">
            <w:pPr>
              <w:rPr>
                <w:rFonts w:ascii="Calibri" w:hAnsi="Calibri" w:cs="Calibri"/>
              </w:rPr>
            </w:pPr>
            <w:r w:rsidRPr="00DA18C0">
              <w:t>Dwa w pełni redundantne zasilane prądem 230V</w:t>
            </w:r>
          </w:p>
        </w:tc>
      </w:tr>
      <w:tr w:rsidR="007050E7" w14:paraId="5E4BA7D6" w14:textId="77777777" w:rsidTr="000C04A7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294" w14:textId="77777777" w:rsidR="007050E7" w:rsidRDefault="007050E7" w:rsidP="007050E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80A9" w14:textId="32E130BD" w:rsidR="007050E7" w:rsidRDefault="007050E7" w:rsidP="007050E7">
            <w:pPr>
              <w:rPr>
                <w:rFonts w:ascii="Calibri" w:hAnsi="Calibri" w:cs="Calibri"/>
              </w:rPr>
            </w:pPr>
            <w:r w:rsidRPr="00DA18C0">
              <w:t xml:space="preserve">Każdy z dostarczanych kontrolerów pamięci dyskowej musi być wyposażony w co najmniej 4 interfejsy FC, każdy o przepustowości co najmniej 32Gbps. Każdy z Portów FC musi być obsadzony właściwą do komunikacji wkładką. Każdy z dostarczanych kontrolerów pamięci dyskowej musi być wyposażony w co najmniej 2 interfejsy </w:t>
            </w:r>
            <w:proofErr w:type="spellStart"/>
            <w:r w:rsidRPr="00DA18C0">
              <w:t>iSCSI</w:t>
            </w:r>
            <w:proofErr w:type="spellEnd"/>
            <w:r w:rsidRPr="00DA18C0">
              <w:t xml:space="preserve">, każdy o przepustowości co najmniej 25Gbps. Każdy z Portów </w:t>
            </w:r>
            <w:proofErr w:type="spellStart"/>
            <w:r w:rsidRPr="00DA18C0">
              <w:t>iSCSI</w:t>
            </w:r>
            <w:proofErr w:type="spellEnd"/>
            <w:r w:rsidRPr="00DA18C0">
              <w:t xml:space="preserve"> musi być obsadzony właściwą do komunikacji wkładką.</w:t>
            </w:r>
          </w:p>
        </w:tc>
      </w:tr>
      <w:tr w:rsidR="007050E7" w14:paraId="77FBEF2B" w14:textId="77777777" w:rsidTr="000C04A7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1C8" w14:textId="77777777" w:rsidR="007050E7" w:rsidRDefault="007050E7" w:rsidP="007050E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14DB" w14:textId="19BEC1F5" w:rsidR="007050E7" w:rsidRDefault="007050E7" w:rsidP="007050E7">
            <w:pPr>
              <w:rPr>
                <w:rFonts w:ascii="Calibri" w:hAnsi="Calibri" w:cs="Calibri"/>
              </w:rPr>
            </w:pPr>
            <w:r w:rsidRPr="00DA18C0">
              <w:t xml:space="preserve">Co najmniej 9 wewnętrznych dysków, każdy w technologii co najmniej </w:t>
            </w:r>
            <w:proofErr w:type="spellStart"/>
            <w:r w:rsidRPr="00DA18C0">
              <w:t>NVMe</w:t>
            </w:r>
            <w:proofErr w:type="spellEnd"/>
            <w:r w:rsidRPr="00DA18C0">
              <w:t xml:space="preserve"> 1.4, każdy o pojemności co najmniej 3.8 TB i posiadający podwójne interfejsy do komunikacji z kontrolerami pamięci dyskowej.</w:t>
            </w:r>
          </w:p>
        </w:tc>
      </w:tr>
      <w:tr w:rsidR="007050E7" w14:paraId="105087DC" w14:textId="77777777" w:rsidTr="000C04A7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4E1E" w14:textId="77777777" w:rsidR="007050E7" w:rsidRDefault="007050E7" w:rsidP="007050E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945D" w14:textId="5EF40A1E" w:rsidR="007050E7" w:rsidRDefault="007050E7" w:rsidP="007050E7">
            <w:pPr>
              <w:rPr>
                <w:rFonts w:ascii="Calibri" w:hAnsi="Calibri" w:cs="Calibri"/>
              </w:rPr>
            </w:pPr>
            <w:r w:rsidRPr="00DA18C0">
              <w:t xml:space="preserve">Wykonawca udzieli na dostarczoną macierz dyskową oraz wszystkie jej komponenty (w tym dyski, kontrolery, zasilacze, moduły rozszerzeń, oprogramowanie kontrolne, licencje) co najmniej 36 miesięcy gwarancji świadczonej w trybie </w:t>
            </w:r>
            <w:proofErr w:type="spellStart"/>
            <w:r w:rsidRPr="00DA18C0">
              <w:t>Next</w:t>
            </w:r>
            <w:proofErr w:type="spellEnd"/>
            <w:r w:rsidRPr="00DA18C0">
              <w:t xml:space="preserve"> Business Day (NBD), liczonej od daty podpisania protokołu odbioru. Gwarancja na dostarczoną macierz dyskową musi być świadczona bezpośrednio przez producenta lub przez autoryzowanego partnera serwisowego producenta, który w dniu składania oferty oraz w dniu realizacji zamówienia znajduje się na oficjalnej liście autoryzowanych partnerów serwisowych publikowanej przez producenta na jego stronie internetowej lub w innym publicznie dostępnym rejestrze. Weryfikacja statusu partnera musi być możliwa przez Zamawiającego w sposób niezależny, bez konieczności pozyskiwania dodatkowych oświadczeń od Wykonawcy, W przypadku awarii, naprawy lub wymiany dysków twardych, dysków lub innych nośników danych stanowiących element macierzy dyskowej, wszystkie wadliwe lub wymieniane nośniki danych pozostają u Zamawiającego</w:t>
            </w:r>
          </w:p>
        </w:tc>
      </w:tr>
    </w:tbl>
    <w:p w14:paraId="42F37F7F" w14:textId="77777777" w:rsidR="0088220A" w:rsidRDefault="0088220A" w:rsidP="0088220A">
      <w:pPr>
        <w:spacing w:after="0"/>
        <w:rPr>
          <w:rFonts w:ascii="Calibri" w:hAnsi="Calibri" w:cs="Calibri"/>
          <w:sz w:val="22"/>
          <w:szCs w:val="22"/>
        </w:rPr>
      </w:pPr>
    </w:p>
    <w:p w14:paraId="126F0235" w14:textId="77777777" w:rsidR="0088220A" w:rsidRDefault="0088220A" w:rsidP="0088220A">
      <w:pPr>
        <w:pStyle w:val="Nagwek2"/>
        <w:numPr>
          <w:ilvl w:val="0"/>
          <w:numId w:val="4"/>
        </w:numPr>
        <w:spacing w:before="0" w:after="0"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UPS (1 szt.)</w:t>
      </w:r>
    </w:p>
    <w:p w14:paraId="47B46147" w14:textId="77777777" w:rsidR="0088220A" w:rsidRDefault="0088220A" w:rsidP="0088220A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Przedmiotem zamówienia jest dostawa, konfiguracja i uruchomienie systemu zasilania gwarantowanego obejmującego dwa zasilacze UPS typu </w:t>
      </w:r>
      <w:proofErr w:type="spellStart"/>
      <w:r>
        <w:rPr>
          <w:rFonts w:ascii="Calibri" w:hAnsi="Calibri" w:cs="Calibri"/>
          <w:sz w:val="22"/>
          <w:szCs w:val="22"/>
        </w:rPr>
        <w:t>Rack</w:t>
      </w:r>
      <w:proofErr w:type="spellEnd"/>
      <w:r>
        <w:rPr>
          <w:rFonts w:ascii="Calibri" w:hAnsi="Calibri" w:cs="Calibri"/>
          <w:sz w:val="22"/>
          <w:szCs w:val="22"/>
        </w:rPr>
        <w:t>/Tower, zestawy akumulatorów, przełączniki obejścia serwisowego oraz akcesoria montażowe.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91"/>
      </w:tblGrid>
      <w:tr w:rsidR="0088220A" w14:paraId="6EF8D438" w14:textId="77777777" w:rsidTr="0088220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E04B935" w14:textId="77777777" w:rsidR="0088220A" w:rsidRDefault="0088220A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wymagania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6420CFB" w14:textId="77777777" w:rsidR="0088220A" w:rsidRDefault="0088220A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wymagania</w:t>
            </w:r>
          </w:p>
        </w:tc>
      </w:tr>
      <w:tr w:rsidR="0088220A" w14:paraId="50A2CDB4" w14:textId="77777777" w:rsidTr="0088220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5CC8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48FD" w14:textId="68B64236" w:rsidR="0088220A" w:rsidRDefault="0077041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7041B">
              <w:rPr>
                <w:rFonts w:ascii="Calibri" w:hAnsi="Calibri" w:cs="Calibri"/>
                <w:sz w:val="22"/>
                <w:szCs w:val="22"/>
              </w:rPr>
              <w:t xml:space="preserve">dostawa, konfiguracja i uruchomienie systemu zasilania gwarantowanego (UPS) wraz z zewnętrznymi zestawami akumulatorów, przełącznikami serwisowymi MBS, czujnikami środowiskowymi oraz zestawami montażowymi </w:t>
            </w:r>
            <w:proofErr w:type="spellStart"/>
            <w:r w:rsidRPr="0077041B">
              <w:rPr>
                <w:rFonts w:ascii="Calibri" w:hAnsi="Calibri" w:cs="Calibri"/>
                <w:sz w:val="22"/>
                <w:szCs w:val="22"/>
              </w:rPr>
              <w:t>rack</w:t>
            </w:r>
            <w:proofErr w:type="spellEnd"/>
          </w:p>
        </w:tc>
      </w:tr>
      <w:tr w:rsidR="0088220A" w14:paraId="5640350A" w14:textId="77777777" w:rsidTr="0088220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4A49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FEEF" w14:textId="41C07C20" w:rsidR="00D00FC5" w:rsidRPr="00D00FC5" w:rsidRDefault="00D00FC5" w:rsidP="00D00FC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00FC5">
              <w:rPr>
                <w:rFonts w:ascii="Calibri" w:hAnsi="Calibri" w:cs="Calibri"/>
                <w:sz w:val="22"/>
                <w:szCs w:val="22"/>
              </w:rPr>
              <w:t>Moc: 6 kVA / 6 kW</w:t>
            </w:r>
            <w:r w:rsidR="006C28B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00FC5">
              <w:rPr>
                <w:rFonts w:ascii="Calibri" w:hAnsi="Calibri" w:cs="Calibri"/>
                <w:sz w:val="22"/>
                <w:szCs w:val="22"/>
              </w:rPr>
              <w:t>Klasyfikacja (PN-EN IEC 62040-3): On-Line, podwójna konwersja, VFI SS 111</w:t>
            </w:r>
            <w:r w:rsidR="006C28B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00FC5">
              <w:rPr>
                <w:rFonts w:ascii="Calibri" w:hAnsi="Calibri" w:cs="Calibri"/>
                <w:sz w:val="22"/>
                <w:szCs w:val="22"/>
              </w:rPr>
              <w:t xml:space="preserve">Typ zabudowy: </w:t>
            </w:r>
            <w:proofErr w:type="spellStart"/>
            <w:r w:rsidRPr="00D00FC5">
              <w:rPr>
                <w:rFonts w:ascii="Calibri" w:hAnsi="Calibri" w:cs="Calibri"/>
                <w:sz w:val="22"/>
                <w:szCs w:val="22"/>
              </w:rPr>
              <w:t>Rack</w:t>
            </w:r>
            <w:proofErr w:type="spellEnd"/>
            <w:r w:rsidRPr="00D00FC5">
              <w:rPr>
                <w:rFonts w:ascii="Calibri" w:hAnsi="Calibri" w:cs="Calibri"/>
                <w:sz w:val="22"/>
                <w:szCs w:val="22"/>
              </w:rPr>
              <w:t>/Tower</w:t>
            </w:r>
            <w:r w:rsidR="006C28B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00FC5">
              <w:rPr>
                <w:rFonts w:ascii="Calibri" w:hAnsi="Calibri" w:cs="Calibri"/>
                <w:sz w:val="22"/>
                <w:szCs w:val="22"/>
              </w:rPr>
              <w:t>Liczba faz: 1</w:t>
            </w:r>
          </w:p>
          <w:p w14:paraId="1DAFF2D7" w14:textId="61DA29A5" w:rsidR="00D00FC5" w:rsidRPr="00D00FC5" w:rsidRDefault="00D00FC5" w:rsidP="00D00FC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00FC5">
              <w:rPr>
                <w:rFonts w:ascii="Calibri" w:hAnsi="Calibri" w:cs="Calibri"/>
                <w:sz w:val="22"/>
                <w:szCs w:val="22"/>
              </w:rPr>
              <w:t>Charakterystyka wejścia:</w:t>
            </w:r>
          </w:p>
          <w:p w14:paraId="0203D7AF" w14:textId="77777777" w:rsidR="00D00FC5" w:rsidRPr="00D00FC5" w:rsidRDefault="00D00FC5" w:rsidP="00D00FC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00FC5">
              <w:rPr>
                <w:rFonts w:ascii="Calibri" w:hAnsi="Calibri" w:cs="Calibri"/>
                <w:sz w:val="22"/>
                <w:szCs w:val="22"/>
              </w:rPr>
              <w:t>○</w:t>
            </w:r>
            <w:r w:rsidRPr="00D00FC5">
              <w:rPr>
                <w:rFonts w:ascii="Calibri" w:hAnsi="Calibri" w:cs="Calibri"/>
                <w:sz w:val="22"/>
                <w:szCs w:val="22"/>
              </w:rPr>
              <w:tab/>
              <w:t>Napięcie znamionowe: 220/230/240 V</w:t>
            </w:r>
          </w:p>
          <w:p w14:paraId="6876032D" w14:textId="77777777" w:rsidR="00D00FC5" w:rsidRPr="00D00FC5" w:rsidRDefault="00D00FC5" w:rsidP="00D00FC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00FC5">
              <w:rPr>
                <w:rFonts w:ascii="Calibri" w:hAnsi="Calibri" w:cs="Calibri"/>
                <w:sz w:val="22"/>
                <w:szCs w:val="22"/>
              </w:rPr>
              <w:t>○</w:t>
            </w:r>
            <w:r w:rsidRPr="00D00FC5">
              <w:rPr>
                <w:rFonts w:ascii="Calibri" w:hAnsi="Calibri" w:cs="Calibri"/>
                <w:sz w:val="22"/>
                <w:szCs w:val="22"/>
              </w:rPr>
              <w:tab/>
              <w:t>Zakres napięcia: 160÷275 V</w:t>
            </w:r>
          </w:p>
          <w:p w14:paraId="1264D4CE" w14:textId="77777777" w:rsidR="00D00FC5" w:rsidRPr="00D00FC5" w:rsidRDefault="00D00FC5" w:rsidP="00D00FC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00FC5">
              <w:rPr>
                <w:rFonts w:ascii="Calibri" w:hAnsi="Calibri" w:cs="Calibri"/>
                <w:sz w:val="22"/>
                <w:szCs w:val="22"/>
              </w:rPr>
              <w:t>○</w:t>
            </w:r>
            <w:r w:rsidRPr="00D00FC5">
              <w:rPr>
                <w:rFonts w:ascii="Calibri" w:hAnsi="Calibri" w:cs="Calibri"/>
                <w:sz w:val="22"/>
                <w:szCs w:val="22"/>
              </w:rPr>
              <w:tab/>
              <w:t xml:space="preserve">Częstotliwość znamionowa: 50/60 </w:t>
            </w:r>
            <w:proofErr w:type="spellStart"/>
            <w:r w:rsidRPr="00D00FC5">
              <w:rPr>
                <w:rFonts w:ascii="Calibri" w:hAnsi="Calibri" w:cs="Calibri"/>
                <w:sz w:val="22"/>
                <w:szCs w:val="22"/>
              </w:rPr>
              <w:t>Hz</w:t>
            </w:r>
            <w:proofErr w:type="spellEnd"/>
            <w:r w:rsidRPr="00D00FC5">
              <w:rPr>
                <w:rFonts w:ascii="Calibri" w:hAnsi="Calibri" w:cs="Calibri"/>
                <w:sz w:val="22"/>
                <w:szCs w:val="22"/>
              </w:rPr>
              <w:t xml:space="preserve"> (autodetekcja)</w:t>
            </w:r>
          </w:p>
          <w:p w14:paraId="4144AC31" w14:textId="77777777" w:rsidR="00D00FC5" w:rsidRPr="00D00FC5" w:rsidRDefault="00D00FC5" w:rsidP="00D00FC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00FC5">
              <w:rPr>
                <w:rFonts w:ascii="Calibri" w:hAnsi="Calibri" w:cs="Calibri"/>
                <w:sz w:val="22"/>
                <w:szCs w:val="22"/>
              </w:rPr>
              <w:t>○</w:t>
            </w:r>
            <w:r w:rsidRPr="00D00FC5">
              <w:rPr>
                <w:rFonts w:ascii="Calibri" w:hAnsi="Calibri" w:cs="Calibri"/>
                <w:sz w:val="22"/>
                <w:szCs w:val="22"/>
              </w:rPr>
              <w:tab/>
              <w:t xml:space="preserve">Zakres częstotliwości: 40÷70 </w:t>
            </w:r>
            <w:proofErr w:type="spellStart"/>
            <w:r w:rsidRPr="00D00FC5">
              <w:rPr>
                <w:rFonts w:ascii="Calibri" w:hAnsi="Calibri" w:cs="Calibri"/>
                <w:sz w:val="22"/>
                <w:szCs w:val="22"/>
              </w:rPr>
              <w:t>Hz</w:t>
            </w:r>
            <w:proofErr w:type="spellEnd"/>
          </w:p>
          <w:p w14:paraId="028EA6FA" w14:textId="77777777" w:rsidR="00D00FC5" w:rsidRPr="00D00FC5" w:rsidRDefault="00D00FC5" w:rsidP="00D00FC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00FC5">
              <w:rPr>
                <w:rFonts w:ascii="Calibri" w:hAnsi="Calibri" w:cs="Calibri"/>
                <w:sz w:val="22"/>
                <w:szCs w:val="22"/>
              </w:rPr>
              <w:t>○</w:t>
            </w:r>
            <w:r w:rsidRPr="00D00FC5">
              <w:rPr>
                <w:rFonts w:ascii="Calibri" w:hAnsi="Calibri" w:cs="Calibri"/>
                <w:sz w:val="22"/>
                <w:szCs w:val="22"/>
              </w:rPr>
              <w:tab/>
              <w:t>Współczynnik mocy (PF): ≥0,99</w:t>
            </w:r>
          </w:p>
          <w:p w14:paraId="35A869C3" w14:textId="77777777" w:rsidR="00D00FC5" w:rsidRPr="00D00FC5" w:rsidRDefault="00D00FC5" w:rsidP="00D00FC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00FC5">
              <w:rPr>
                <w:rFonts w:ascii="Calibri" w:hAnsi="Calibri" w:cs="Calibri"/>
                <w:sz w:val="22"/>
                <w:szCs w:val="22"/>
              </w:rPr>
              <w:t>○</w:t>
            </w:r>
            <w:r w:rsidRPr="00D00FC5">
              <w:rPr>
                <w:rFonts w:ascii="Calibri" w:hAnsi="Calibri" w:cs="Calibri"/>
                <w:sz w:val="22"/>
                <w:szCs w:val="22"/>
              </w:rPr>
              <w:tab/>
              <w:t>Zniekształcenia harmoniczne (THDI): &lt;3%</w:t>
            </w:r>
          </w:p>
          <w:p w14:paraId="18EE2660" w14:textId="77777777" w:rsidR="00D00FC5" w:rsidRPr="00D00FC5" w:rsidRDefault="00D00FC5" w:rsidP="00D00FC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00FC5">
              <w:rPr>
                <w:rFonts w:ascii="Calibri" w:hAnsi="Calibri" w:cs="Calibri"/>
                <w:sz w:val="22"/>
                <w:szCs w:val="22"/>
              </w:rPr>
              <w:t>○</w:t>
            </w:r>
            <w:r w:rsidRPr="00D00FC5">
              <w:rPr>
                <w:rFonts w:ascii="Calibri" w:hAnsi="Calibri" w:cs="Calibri"/>
                <w:sz w:val="22"/>
                <w:szCs w:val="22"/>
              </w:rPr>
              <w:tab/>
              <w:t>Zgodność z systemami zasilania: TN-S / TN-C / TN-C-S / TT</w:t>
            </w:r>
          </w:p>
          <w:p w14:paraId="55C08878" w14:textId="0342F4C4" w:rsidR="0088220A" w:rsidRDefault="00D00FC5" w:rsidP="00D00FC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00FC5">
              <w:rPr>
                <w:rFonts w:ascii="Calibri" w:hAnsi="Calibri" w:cs="Calibri"/>
                <w:sz w:val="22"/>
                <w:szCs w:val="22"/>
              </w:rPr>
              <w:t>○</w:t>
            </w:r>
            <w:r w:rsidRPr="00D00FC5">
              <w:rPr>
                <w:rFonts w:ascii="Calibri" w:hAnsi="Calibri" w:cs="Calibri"/>
                <w:sz w:val="22"/>
                <w:szCs w:val="22"/>
              </w:rPr>
              <w:tab/>
              <w:t>Sposób podłączenia: P+N+PE (listwa zaciskowa)</w:t>
            </w:r>
          </w:p>
        </w:tc>
      </w:tr>
      <w:tr w:rsidR="0088220A" w14:paraId="1A871023" w14:textId="77777777" w:rsidTr="0088220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AB7A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F55B" w14:textId="4BD6F5CC" w:rsidR="00BD5E94" w:rsidRPr="00F44108" w:rsidRDefault="00BD5E94" w:rsidP="00F4410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F44108">
              <w:rPr>
                <w:rFonts w:ascii="Calibri" w:hAnsi="Calibri" w:cs="Calibri"/>
                <w:sz w:val="22"/>
                <w:szCs w:val="22"/>
              </w:rPr>
              <w:t>Charakterystyka wyjścia:</w:t>
            </w:r>
          </w:p>
          <w:p w14:paraId="0E1789AA" w14:textId="77777777" w:rsidR="00BD5E94" w:rsidRPr="00BD5E94" w:rsidRDefault="00BD5E94" w:rsidP="00BD5E94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D5E94">
              <w:rPr>
                <w:rFonts w:ascii="Calibri" w:hAnsi="Calibri" w:cs="Calibri"/>
                <w:sz w:val="22"/>
                <w:szCs w:val="22"/>
              </w:rPr>
              <w:t>○</w:t>
            </w:r>
            <w:r w:rsidRPr="00BD5E94">
              <w:rPr>
                <w:rFonts w:ascii="Calibri" w:hAnsi="Calibri" w:cs="Calibri"/>
                <w:sz w:val="22"/>
                <w:szCs w:val="22"/>
              </w:rPr>
              <w:tab/>
              <w:t>Liczba faz: 1</w:t>
            </w:r>
          </w:p>
          <w:p w14:paraId="3808FDEC" w14:textId="77777777" w:rsidR="00BD5E94" w:rsidRPr="00BD5E94" w:rsidRDefault="00BD5E94" w:rsidP="00BD5E94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D5E94">
              <w:rPr>
                <w:rFonts w:ascii="Calibri" w:hAnsi="Calibri" w:cs="Calibri"/>
                <w:sz w:val="22"/>
                <w:szCs w:val="22"/>
              </w:rPr>
              <w:t>○</w:t>
            </w:r>
            <w:r w:rsidRPr="00BD5E94">
              <w:rPr>
                <w:rFonts w:ascii="Calibri" w:hAnsi="Calibri" w:cs="Calibri"/>
                <w:sz w:val="22"/>
                <w:szCs w:val="22"/>
              </w:rPr>
              <w:tab/>
              <w:t>Napięcie wyjściowe: 220/230/240 V (konfigurowalne)</w:t>
            </w:r>
          </w:p>
          <w:p w14:paraId="4C02254B" w14:textId="77777777" w:rsidR="00BD5E94" w:rsidRPr="00BD5E94" w:rsidRDefault="00BD5E94" w:rsidP="00BD5E94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D5E94">
              <w:rPr>
                <w:rFonts w:ascii="Calibri" w:hAnsi="Calibri" w:cs="Calibri"/>
                <w:sz w:val="22"/>
                <w:szCs w:val="22"/>
              </w:rPr>
              <w:t>○</w:t>
            </w:r>
            <w:r w:rsidRPr="00BD5E94">
              <w:rPr>
                <w:rFonts w:ascii="Calibri" w:hAnsi="Calibri" w:cs="Calibri"/>
                <w:sz w:val="22"/>
                <w:szCs w:val="22"/>
              </w:rPr>
              <w:tab/>
              <w:t>Dokładność napięcia: ±1%</w:t>
            </w:r>
          </w:p>
          <w:p w14:paraId="095D90EE" w14:textId="77777777" w:rsidR="00BD5E94" w:rsidRPr="00BD5E94" w:rsidRDefault="00BD5E94" w:rsidP="00BD5E94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D5E94">
              <w:rPr>
                <w:rFonts w:ascii="Calibri" w:hAnsi="Calibri" w:cs="Calibri"/>
                <w:sz w:val="22"/>
                <w:szCs w:val="22"/>
              </w:rPr>
              <w:t>○</w:t>
            </w:r>
            <w:r w:rsidRPr="00BD5E94">
              <w:rPr>
                <w:rFonts w:ascii="Calibri" w:hAnsi="Calibri" w:cs="Calibri"/>
                <w:sz w:val="22"/>
                <w:szCs w:val="22"/>
              </w:rPr>
              <w:tab/>
              <w:t>Częstotliwość dla pracy z sieci: synchronizowana</w:t>
            </w:r>
          </w:p>
          <w:p w14:paraId="658DB667" w14:textId="77777777" w:rsidR="00BD5E94" w:rsidRPr="00BD5E94" w:rsidRDefault="00BD5E94" w:rsidP="00BD5E94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D5E94">
              <w:rPr>
                <w:rFonts w:ascii="Calibri" w:hAnsi="Calibri" w:cs="Calibri"/>
                <w:sz w:val="22"/>
                <w:szCs w:val="22"/>
              </w:rPr>
              <w:t>○</w:t>
            </w:r>
            <w:r w:rsidRPr="00BD5E94">
              <w:rPr>
                <w:rFonts w:ascii="Calibri" w:hAnsi="Calibri" w:cs="Calibri"/>
                <w:sz w:val="22"/>
                <w:szCs w:val="22"/>
              </w:rPr>
              <w:tab/>
              <w:t xml:space="preserve">Częstotliwość dla pracy z akumulatorów: 50/60 </w:t>
            </w:r>
            <w:proofErr w:type="spellStart"/>
            <w:r w:rsidRPr="00BD5E94">
              <w:rPr>
                <w:rFonts w:ascii="Calibri" w:hAnsi="Calibri" w:cs="Calibri"/>
                <w:sz w:val="22"/>
                <w:szCs w:val="22"/>
              </w:rPr>
              <w:t>Hz</w:t>
            </w:r>
            <w:proofErr w:type="spellEnd"/>
          </w:p>
          <w:p w14:paraId="089B7340" w14:textId="77777777" w:rsidR="00BD5E94" w:rsidRPr="00BD5E94" w:rsidRDefault="00BD5E94" w:rsidP="00BD5E94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D5E94">
              <w:rPr>
                <w:rFonts w:ascii="Calibri" w:hAnsi="Calibri" w:cs="Calibri"/>
                <w:sz w:val="22"/>
                <w:szCs w:val="22"/>
              </w:rPr>
              <w:t>○</w:t>
            </w:r>
            <w:r w:rsidRPr="00BD5E94">
              <w:rPr>
                <w:rFonts w:ascii="Calibri" w:hAnsi="Calibri" w:cs="Calibri"/>
                <w:sz w:val="22"/>
                <w:szCs w:val="22"/>
              </w:rPr>
              <w:tab/>
              <w:t>Przebieg napięcia: fala sinusoidalna</w:t>
            </w:r>
          </w:p>
          <w:p w14:paraId="4EA10BF5" w14:textId="77777777" w:rsidR="00BD5E94" w:rsidRPr="00BD5E94" w:rsidRDefault="00BD5E94" w:rsidP="00BD5E94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D5E94">
              <w:rPr>
                <w:rFonts w:ascii="Calibri" w:hAnsi="Calibri" w:cs="Calibri"/>
                <w:sz w:val="22"/>
                <w:szCs w:val="22"/>
              </w:rPr>
              <w:t>○</w:t>
            </w:r>
            <w:r w:rsidRPr="00BD5E94">
              <w:rPr>
                <w:rFonts w:ascii="Calibri" w:hAnsi="Calibri" w:cs="Calibri"/>
                <w:sz w:val="22"/>
                <w:szCs w:val="22"/>
              </w:rPr>
              <w:tab/>
              <w:t>Współczynnik mocy (PF): 1</w:t>
            </w:r>
          </w:p>
          <w:p w14:paraId="13548834" w14:textId="77777777" w:rsidR="00BD5E94" w:rsidRPr="00BD5E94" w:rsidRDefault="00BD5E94" w:rsidP="00BD5E94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D5E94">
              <w:rPr>
                <w:rFonts w:ascii="Calibri" w:hAnsi="Calibri" w:cs="Calibri"/>
                <w:sz w:val="22"/>
                <w:szCs w:val="22"/>
              </w:rPr>
              <w:t>○</w:t>
            </w:r>
            <w:r w:rsidRPr="00BD5E94">
              <w:rPr>
                <w:rFonts w:ascii="Calibri" w:hAnsi="Calibri" w:cs="Calibri"/>
                <w:sz w:val="22"/>
                <w:szCs w:val="22"/>
              </w:rPr>
              <w:tab/>
              <w:t>Współczynnik szczytu (CF): 3:1</w:t>
            </w:r>
          </w:p>
          <w:p w14:paraId="20591785" w14:textId="57CCAEC3" w:rsidR="00F44108" w:rsidRDefault="00BD5E94" w:rsidP="00F4410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D5E94">
              <w:rPr>
                <w:rFonts w:ascii="Calibri" w:hAnsi="Calibri" w:cs="Calibri"/>
                <w:sz w:val="22"/>
                <w:szCs w:val="22"/>
              </w:rPr>
              <w:t>○</w:t>
            </w:r>
            <w:r w:rsidRPr="00BD5E94">
              <w:rPr>
                <w:rFonts w:ascii="Calibri" w:hAnsi="Calibri" w:cs="Calibri"/>
                <w:sz w:val="22"/>
                <w:szCs w:val="22"/>
              </w:rPr>
              <w:tab/>
              <w:t>Zniekształcenia harmoniczne (</w:t>
            </w:r>
            <w:proofErr w:type="spellStart"/>
            <w:r w:rsidRPr="00BD5E94">
              <w:rPr>
                <w:rFonts w:ascii="Calibri" w:hAnsi="Calibri" w:cs="Calibri"/>
                <w:sz w:val="22"/>
                <w:szCs w:val="22"/>
              </w:rPr>
              <w:t>THDu</w:t>
            </w:r>
            <w:proofErr w:type="spellEnd"/>
            <w:r w:rsidRPr="00BD5E94">
              <w:rPr>
                <w:rFonts w:ascii="Calibri" w:hAnsi="Calibri" w:cs="Calibri"/>
                <w:sz w:val="22"/>
                <w:szCs w:val="22"/>
              </w:rPr>
              <w:t>): ≤1%</w:t>
            </w:r>
          </w:p>
          <w:p w14:paraId="3DA26846" w14:textId="1CF2932B" w:rsidR="0088220A" w:rsidRDefault="0088220A" w:rsidP="00BD5E94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20A" w14:paraId="52E676FD" w14:textId="77777777" w:rsidTr="0088220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5DD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7D23" w14:textId="22ED1B15" w:rsidR="0088220A" w:rsidRDefault="0051364E" w:rsidP="007B39A0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Akumulatory: </w:t>
            </w:r>
            <w:r w:rsidR="007B39A0" w:rsidRPr="007B39A0">
              <w:rPr>
                <w:rFonts w:ascii="Calibri" w:hAnsi="Calibri" w:cs="Calibri"/>
                <w:sz w:val="22"/>
                <w:szCs w:val="22"/>
              </w:rPr>
              <w:t>Technologia akumulatorów: VRLA AGM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B39A0" w:rsidRPr="007B39A0">
              <w:rPr>
                <w:rFonts w:ascii="Calibri" w:hAnsi="Calibri" w:cs="Calibri"/>
                <w:sz w:val="22"/>
                <w:szCs w:val="22"/>
              </w:rPr>
              <w:t>Napięcie nominalne łańcucha akumulatorów: ± 240 V DC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B39A0" w:rsidRPr="007B39A0">
              <w:rPr>
                <w:rFonts w:ascii="Calibri" w:hAnsi="Calibri" w:cs="Calibri"/>
                <w:sz w:val="22"/>
                <w:szCs w:val="22"/>
              </w:rPr>
              <w:t>Napięcie nominalne pojedynczego akumulatora: 12 V DC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B39A0" w:rsidRPr="007B39A0">
              <w:rPr>
                <w:rFonts w:ascii="Calibri" w:hAnsi="Calibri" w:cs="Calibri"/>
                <w:sz w:val="22"/>
                <w:szCs w:val="22"/>
              </w:rPr>
              <w:t>Możliwość podłączenia dodatkowych akumulatorów: tak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B39A0" w:rsidRPr="007B39A0">
              <w:rPr>
                <w:rFonts w:ascii="Calibri" w:hAnsi="Calibri" w:cs="Calibri"/>
                <w:sz w:val="22"/>
                <w:szCs w:val="22"/>
              </w:rPr>
              <w:t>Prąd ładowania nominalny: 12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B39A0" w:rsidRPr="007B39A0">
              <w:rPr>
                <w:rFonts w:ascii="Calibri" w:hAnsi="Calibri" w:cs="Calibri"/>
                <w:sz w:val="22"/>
                <w:szCs w:val="22"/>
              </w:rPr>
              <w:t>Podłączenie zewnętrznych akumulatorów (EBM/STB): zasilacz pracujący tylko z zestawami akumulatorów EBM lub STB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B39A0" w:rsidRPr="007B39A0">
              <w:rPr>
                <w:rFonts w:ascii="Calibri" w:hAnsi="Calibri" w:cs="Calibri"/>
                <w:sz w:val="22"/>
                <w:szCs w:val="22"/>
              </w:rPr>
              <w:t>Sposób podłączenia akumulatorów zewnętrznych: +/PE/- (dedykowane złącze)</w:t>
            </w:r>
          </w:p>
        </w:tc>
      </w:tr>
    </w:tbl>
    <w:p w14:paraId="3CCEAE1D" w14:textId="77777777" w:rsidR="0088220A" w:rsidRDefault="0088220A" w:rsidP="0088220A">
      <w:pPr>
        <w:spacing w:after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FFA5198" w14:textId="77777777" w:rsidR="0088220A" w:rsidRDefault="0088220A" w:rsidP="0088220A">
      <w:pPr>
        <w:pStyle w:val="Nagwek2"/>
        <w:numPr>
          <w:ilvl w:val="0"/>
          <w:numId w:val="4"/>
        </w:numPr>
        <w:spacing w:before="0" w:after="120" w:line="276" w:lineRule="auto"/>
        <w:ind w:left="714" w:hanging="35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Dyski SSD (6 szt.)</w:t>
      </w:r>
    </w:p>
    <w:p w14:paraId="211923DD" w14:textId="27369EF2" w:rsidR="0088220A" w:rsidRDefault="0088220A" w:rsidP="0088220A">
      <w:pPr>
        <w:spacing w:after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Przedmiotem zamówienia jest dostawa dysków SSD 2TB, do macierzy </w:t>
      </w:r>
      <w:r w:rsidR="00EB0118">
        <w:rPr>
          <w:rFonts w:ascii="Calibri" w:hAnsi="Calibri" w:cs="Calibri"/>
          <w:color w:val="000000" w:themeColor="text1"/>
          <w:sz w:val="22"/>
          <w:szCs w:val="22"/>
        </w:rPr>
        <w:t>S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eagate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exos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x 4726 – 6 sztuk.</w:t>
      </w:r>
    </w:p>
    <w:p w14:paraId="5C81A17C" w14:textId="77777777" w:rsidR="006C2F0E" w:rsidRDefault="006C2F0E" w:rsidP="006C2F0E">
      <w:pPr>
        <w:pStyle w:val="Nagwek1"/>
        <w:spacing w:before="0" w:after="0"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41D07D5" w14:textId="77777777" w:rsidR="0088220A" w:rsidRDefault="0088220A" w:rsidP="006C2F0E">
      <w:pPr>
        <w:pStyle w:val="Nagwek2"/>
        <w:numPr>
          <w:ilvl w:val="0"/>
          <w:numId w:val="4"/>
        </w:numPr>
        <w:spacing w:before="0" w:after="120" w:line="276" w:lineRule="auto"/>
        <w:ind w:left="714" w:hanging="35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Dostawa drugiego urządzenia do kopii zapasowych systemu wraz z wdrożeniem, szkoleniem i wsparciem technicznym na 3 lata oraz nielimitowanymi licencjami wieczystymi</w:t>
      </w:r>
    </w:p>
    <w:p w14:paraId="18C264E7" w14:textId="73CFC526" w:rsidR="0088220A" w:rsidRDefault="0088220A" w:rsidP="0088220A">
      <w:r>
        <w:t xml:space="preserve">Zamawiający posiada urządzenie do kopii zapasowych </w:t>
      </w:r>
      <w:proofErr w:type="spellStart"/>
      <w:r>
        <w:t>Xopero</w:t>
      </w:r>
      <w:proofErr w:type="spellEnd"/>
      <w:r>
        <w:t xml:space="preserve"> 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S 24TB i wymaga dostawy i wdrożenia takiego samego urządzenia lub urządzenia o równoważnych parametrach technicznych</w:t>
      </w:r>
      <w:r w:rsidR="67D468A7">
        <w:t xml:space="preserve">. </w:t>
      </w:r>
      <w:r w:rsidR="6DDA5F64">
        <w:t xml:space="preserve">Tylko drugie </w:t>
      </w:r>
      <w:r w:rsidR="3A9F468A">
        <w:t>urządzenie</w:t>
      </w:r>
      <w:r w:rsidR="6DDA5F64">
        <w:t xml:space="preserve"> XOPERO umożliwia włączenie</w:t>
      </w:r>
      <w:r w:rsidR="14CA9C5F">
        <w:t xml:space="preserve"> funkcji </w:t>
      </w:r>
      <w:r w:rsidR="2DD9C200">
        <w:t>synchronizacji</w:t>
      </w:r>
      <w:r w:rsidR="14CA9C5F">
        <w:t xml:space="preserve"> kopii zapasowych</w:t>
      </w:r>
      <w:r w:rsidR="13F08C90">
        <w:t xml:space="preserve"> </w:t>
      </w:r>
      <w:r w:rsidR="39B6D769">
        <w:t xml:space="preserve">oraz </w:t>
      </w:r>
      <w:proofErr w:type="spellStart"/>
      <w:r w:rsidR="39B6D769">
        <w:t>SphereCyberX</w:t>
      </w:r>
      <w:proofErr w:type="spellEnd"/>
      <w:r w:rsidR="14CA9C5F">
        <w:t>. Parametry techniczne</w:t>
      </w:r>
      <w:r w:rsidR="4AEE462D"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88220A" w14:paraId="5B596EB2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4A5A265" w14:textId="77777777" w:rsidR="0088220A" w:rsidRDefault="0088220A" w:rsidP="0088220A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wymagania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153EA8A" w14:textId="77777777" w:rsidR="0088220A" w:rsidRDefault="0088220A" w:rsidP="0088220A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wymagania</w:t>
            </w:r>
          </w:p>
        </w:tc>
      </w:tr>
      <w:tr w:rsidR="0088220A" w14:paraId="46706BA8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9635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262E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Appliance o pojemności 24 TB przestrzeni dyskowej brutto.</w:t>
            </w:r>
          </w:p>
        </w:tc>
      </w:tr>
      <w:tr w:rsidR="0088220A" w14:paraId="70879956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7AB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6A95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Redundantne komponenty sprzętowe (RAID, zasilanie – jeśli przewidziane przez producenta).</w:t>
            </w:r>
          </w:p>
        </w:tc>
      </w:tr>
      <w:tr w:rsidR="0088220A" w14:paraId="416A08D2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EBC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0FDA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Wbudowany system operacyjny oraz oprogramowanie do backupu (brak konieczności instalacji dodatkowych systemów licencyjnych).</w:t>
            </w:r>
          </w:p>
        </w:tc>
      </w:tr>
      <w:tr w:rsidR="0088220A" w14:paraId="5A06B434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45C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7F9F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Funkcjonalność backupu i odzyskiwania danych</w:t>
            </w:r>
          </w:p>
        </w:tc>
      </w:tr>
      <w:tr w:rsidR="0088220A" w14:paraId="303AE1C3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6A2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4339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Centralne zarządzanie kopiami zapasowymi.</w:t>
            </w:r>
          </w:p>
        </w:tc>
      </w:tr>
      <w:tr w:rsidR="0088220A" w14:paraId="4E8A76A3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9A6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FDE7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Tworzenie backupów maszyn wirtualnych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VMware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/Hyper-V), serwerów fizycznych, stacji roboczych, baz danych, plików i systemów operacyjnych.</w:t>
            </w:r>
          </w:p>
        </w:tc>
      </w:tr>
      <w:tr w:rsidR="0088220A" w14:paraId="156A2A9A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1E63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8744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Możliwość wykonywania backupów pełnych, przyrostowych i różnicowych.</w:t>
            </w:r>
          </w:p>
        </w:tc>
      </w:tr>
      <w:tr w:rsidR="0088220A" w14:paraId="0669484C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02D4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5149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Obsługa retencji, wersjonowania oraz harmonogramowania zadań backupu.</w:t>
            </w:r>
          </w:p>
        </w:tc>
      </w:tr>
      <w:tr w:rsidR="0088220A" w14:paraId="03ADFE3A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8DF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6B67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Możliwość natychmiastowego przywracania danych (instant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restore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</w:tr>
      <w:tr w:rsidR="0088220A" w14:paraId="7F52D6FC" w14:textId="77777777" w:rsidTr="3CE5C182">
        <w:trPr>
          <w:trHeight w:val="14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3DD2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798F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Licencjonowanie:</w:t>
            </w:r>
          </w:p>
          <w:p w14:paraId="6FBD1560" w14:textId="77777777" w:rsidR="0088220A" w:rsidRDefault="0088220A" w:rsidP="0088220A">
            <w:pPr>
              <w:pStyle w:val="Akapitzlist"/>
              <w:numPr>
                <w:ilvl w:val="0"/>
                <w:numId w:val="28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nielimitowane licencje wieczyste na backup chronionych urządzeń, serwerów, maszyn wirtualnych itp., zgodnie z modelem producenta.</w:t>
            </w:r>
          </w:p>
          <w:p w14:paraId="43E9E715" w14:textId="77777777" w:rsidR="0088220A" w:rsidRDefault="0088220A" w:rsidP="0088220A">
            <w:pPr>
              <w:pStyle w:val="Akapitzlist"/>
              <w:numPr>
                <w:ilvl w:val="0"/>
                <w:numId w:val="28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licencje muszą umożliwiać ochronę dowolnej liczby stanowisk w ramach wydajności urządzenia.</w:t>
            </w:r>
          </w:p>
        </w:tc>
      </w:tr>
      <w:tr w:rsidR="0088220A" w14:paraId="2165DAF8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0E4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B1AB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Wdrożenie i konfiguracja:</w:t>
            </w:r>
          </w:p>
        </w:tc>
      </w:tr>
      <w:tr w:rsidR="0088220A" w14:paraId="75F3F48A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1A82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D2D4" w14:textId="77777777" w:rsidR="0088220A" w:rsidRPr="00543BE2" w:rsidRDefault="0088220A" w:rsidP="00543BE2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43BE2">
              <w:rPr>
                <w:rFonts w:ascii="Calibri" w:hAnsi="Calibri" w:cs="Calibri"/>
                <w:sz w:val="22"/>
                <w:szCs w:val="22"/>
              </w:rPr>
              <w:t>instalacja urządzenia w środowisku Zamawiającego.</w:t>
            </w:r>
          </w:p>
        </w:tc>
      </w:tr>
      <w:tr w:rsidR="0088220A" w14:paraId="53270945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5722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76B6" w14:textId="77777777" w:rsidR="0088220A" w:rsidRDefault="0088220A" w:rsidP="00543BE2">
            <w:pPr>
              <w:pStyle w:val="Akapitzlist"/>
              <w:spacing w:after="120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konfiguracja polityk backupu zgodnie z ustalonym zakresem.</w:t>
            </w:r>
          </w:p>
        </w:tc>
      </w:tr>
      <w:tr w:rsidR="0088220A" w14:paraId="3E7F3C7F" w14:textId="77777777" w:rsidTr="3CE5C1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3F6F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3B3" w14:textId="77777777" w:rsidR="0088220A" w:rsidRDefault="0088220A" w:rsidP="00543BE2">
            <w:pPr>
              <w:pStyle w:val="Akapitzlist"/>
              <w:spacing w:after="120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uruchomienie systemu i przeprowadzenie testów poprawności działania.</w:t>
            </w:r>
          </w:p>
        </w:tc>
      </w:tr>
      <w:tr w:rsidR="0088220A" w14:paraId="7486922B" w14:textId="77777777" w:rsidTr="3CE5C182">
        <w:trPr>
          <w:trHeight w:val="14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CE5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CA71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Szkolenie:</w:t>
            </w:r>
          </w:p>
          <w:p w14:paraId="0596354F" w14:textId="77777777" w:rsidR="0088220A" w:rsidRDefault="0088220A" w:rsidP="0088220A">
            <w:pPr>
              <w:pStyle w:val="Akapitzlist"/>
              <w:numPr>
                <w:ilvl w:val="0"/>
                <w:numId w:val="30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przeszkolenie administratorów (online lub stacjonarnie).</w:t>
            </w:r>
          </w:p>
          <w:p w14:paraId="6E87CCAC" w14:textId="77777777" w:rsidR="0088220A" w:rsidRDefault="0088220A" w:rsidP="0088220A">
            <w:pPr>
              <w:pStyle w:val="Akapitzlist"/>
              <w:numPr>
                <w:ilvl w:val="0"/>
                <w:numId w:val="30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zakres: obsługa systemu, konfiguracja polityk backupu, odzyskiwanie danych, raportowanie.</w:t>
            </w:r>
          </w:p>
          <w:p w14:paraId="6AC3CC6E" w14:textId="77777777" w:rsidR="0088220A" w:rsidRDefault="0088220A" w:rsidP="0088220A">
            <w:pPr>
              <w:pStyle w:val="Akapitzlist"/>
              <w:numPr>
                <w:ilvl w:val="0"/>
                <w:numId w:val="30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dostarczenie materiałów szkoleniowych.</w:t>
            </w:r>
          </w:p>
        </w:tc>
      </w:tr>
      <w:tr w:rsidR="0088220A" w14:paraId="5CD61AD0" w14:textId="77777777" w:rsidTr="00016A7B">
        <w:trPr>
          <w:trHeight w:val="4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F46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F0C0" w14:textId="77777777" w:rsidR="0088220A" w:rsidRDefault="0088220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Wsparcie techniczne</w:t>
            </w:r>
          </w:p>
          <w:p w14:paraId="1E79B3F1" w14:textId="77777777" w:rsidR="0088220A" w:rsidRDefault="0088220A" w:rsidP="0088220A">
            <w:pPr>
              <w:pStyle w:val="Akapitzlist"/>
              <w:numPr>
                <w:ilvl w:val="0"/>
                <w:numId w:val="31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lata wsparcia technicznego producenta lub dostawcy.</w:t>
            </w:r>
          </w:p>
          <w:p w14:paraId="3DF8F540" w14:textId="77777777" w:rsidR="0088220A" w:rsidRDefault="0088220A" w:rsidP="0088220A">
            <w:pPr>
              <w:pStyle w:val="Akapitzlist"/>
              <w:numPr>
                <w:ilvl w:val="0"/>
                <w:numId w:val="31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aktualizacje oprogramowania (w tym poprawki bezpieczeństwa).</w:t>
            </w:r>
          </w:p>
          <w:p w14:paraId="12E563C8" w14:textId="77777777" w:rsidR="0088220A" w:rsidRDefault="0088220A" w:rsidP="0088220A">
            <w:pPr>
              <w:pStyle w:val="Akapitzlist"/>
              <w:numPr>
                <w:ilvl w:val="0"/>
                <w:numId w:val="31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dostęp do helpdesku producenta/dostawcy.</w:t>
            </w:r>
          </w:p>
          <w:p w14:paraId="76661A62" w14:textId="3A2A9F09" w:rsidR="0088220A" w:rsidRDefault="0088220A" w:rsidP="0088220A">
            <w:pPr>
              <w:pStyle w:val="Akapitzlist"/>
              <w:numPr>
                <w:ilvl w:val="0"/>
                <w:numId w:val="31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usuwanie usterek i konsultacje techniczne.</w:t>
            </w:r>
          </w:p>
          <w:p w14:paraId="0531A6BC" w14:textId="5AFE917F" w:rsidR="0088220A" w:rsidRDefault="15B22593" w:rsidP="3CE5C182">
            <w:pPr>
              <w:pStyle w:val="Akapitzlist"/>
              <w:numPr>
                <w:ilvl w:val="0"/>
                <w:numId w:val="31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3CE5C18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Wsparcie </w:t>
            </w:r>
            <w:r w:rsidR="785CC34A" w:rsidRPr="3CE5C182">
              <w:rPr>
                <w:rFonts w:ascii="Calibri" w:hAnsi="Calibri" w:cs="Calibri"/>
                <w:sz w:val="22"/>
                <w:szCs w:val="22"/>
              </w:rPr>
              <w:t xml:space="preserve">NBD on </w:t>
            </w:r>
            <w:proofErr w:type="spellStart"/>
            <w:r w:rsidR="785CC34A" w:rsidRPr="3CE5C182">
              <w:rPr>
                <w:rFonts w:ascii="Calibri" w:hAnsi="Calibri" w:cs="Calibri"/>
                <w:sz w:val="22"/>
                <w:szCs w:val="22"/>
              </w:rPr>
              <w:t>premise</w:t>
            </w:r>
            <w:proofErr w:type="spellEnd"/>
          </w:p>
        </w:tc>
      </w:tr>
    </w:tbl>
    <w:p w14:paraId="36657EFE" w14:textId="77777777" w:rsidR="0088220A" w:rsidRDefault="0088220A" w:rsidP="0088220A"/>
    <w:p w14:paraId="6EC59DFA" w14:textId="7B21E757" w:rsidR="0088220A" w:rsidRDefault="0088220A" w:rsidP="00FB4020">
      <w:pPr>
        <w:pStyle w:val="Nagwek2"/>
        <w:numPr>
          <w:ilvl w:val="0"/>
          <w:numId w:val="4"/>
        </w:numPr>
        <w:spacing w:before="0" w:after="120" w:line="276" w:lineRule="auto"/>
        <w:ind w:left="714" w:hanging="35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Dostawa i wdrożenie urządzenia UTM (2 szt.) i urządzenia do zbierania logów</w:t>
      </w:r>
      <w:r w:rsidR="00FB402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(1szt. )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z rutera wraz z subskrypcją na 3 lata.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88220A" w14:paraId="57638319" w14:textId="77777777" w:rsidTr="008822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E4A7981" w14:textId="77777777" w:rsidR="0088220A" w:rsidRDefault="0088220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215738931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wymagania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A24231A" w14:textId="77777777" w:rsidR="0088220A" w:rsidRDefault="0088220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wymagań</w:t>
            </w:r>
          </w:p>
        </w:tc>
      </w:tr>
      <w:tr w:rsidR="0088220A" w14:paraId="37C5CC3C" w14:textId="77777777" w:rsidTr="0088220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FA92A3B" w14:textId="77777777" w:rsidR="0088220A" w:rsidRDefault="0088220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UTM</w:t>
            </w:r>
          </w:p>
        </w:tc>
      </w:tr>
      <w:tr w:rsidR="0088220A" w14:paraId="277C7254" w14:textId="77777777" w:rsidTr="008822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F97B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BBCD" w14:textId="039597BE" w:rsidR="0088220A" w:rsidRDefault="000077BD">
            <w:pPr>
              <w:rPr>
                <w:rFonts w:ascii="Calibri" w:hAnsi="Calibri" w:cs="Calibri"/>
                <w:sz w:val="22"/>
                <w:szCs w:val="22"/>
              </w:rPr>
            </w:pPr>
            <w:r w:rsidRPr="000077BD">
              <w:rPr>
                <w:rFonts w:ascii="Calibri" w:hAnsi="Calibri" w:cs="Calibri"/>
                <w:sz w:val="22"/>
                <w:szCs w:val="22"/>
              </w:rPr>
              <w:t xml:space="preserve">Zamawiający informuje, że posiada w swojej infrastrukturze urządzenie firewall firmy </w:t>
            </w:r>
            <w:proofErr w:type="spellStart"/>
            <w:r w:rsidRPr="000077BD">
              <w:rPr>
                <w:rFonts w:ascii="Calibri" w:hAnsi="Calibri" w:cs="Calibri"/>
                <w:sz w:val="22"/>
                <w:szCs w:val="22"/>
              </w:rPr>
              <w:t>Fortinet</w:t>
            </w:r>
            <w:proofErr w:type="spellEnd"/>
            <w:r w:rsidRPr="000077BD">
              <w:rPr>
                <w:rFonts w:ascii="Calibri" w:hAnsi="Calibri" w:cs="Calibri"/>
                <w:sz w:val="22"/>
                <w:szCs w:val="22"/>
              </w:rPr>
              <w:t xml:space="preserve">, które ma zostać zastąpione przez urządzenia będące przedmiotem postępowania. Obecne urządzenie to </w:t>
            </w:r>
            <w:proofErr w:type="spellStart"/>
            <w:r w:rsidRPr="000077BD">
              <w:rPr>
                <w:rFonts w:ascii="Calibri" w:hAnsi="Calibri" w:cs="Calibri"/>
                <w:sz w:val="22"/>
                <w:szCs w:val="22"/>
              </w:rPr>
              <w:t>Fortinet</w:t>
            </w:r>
            <w:proofErr w:type="spellEnd"/>
            <w:r w:rsidRPr="000077BD">
              <w:rPr>
                <w:rFonts w:ascii="Calibri" w:hAnsi="Calibri" w:cs="Calibri"/>
                <w:sz w:val="22"/>
                <w:szCs w:val="22"/>
              </w:rPr>
              <w:t xml:space="preserve"> FortiGate-200F o numerze seryjnym FG200FT920905821 i FG200FT922941409. Wymagana jest pełna zgodność nowej infrastruktury z obecnie posiadaną</w:t>
            </w:r>
          </w:p>
        </w:tc>
      </w:tr>
      <w:tr w:rsidR="0088220A" w14:paraId="21F399B0" w14:textId="77777777" w:rsidTr="008822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C599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6A8E" w14:textId="77777777" w:rsidR="0088220A" w:rsidRDefault="008822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Nowe urządzenia mają zastąpić obecne firewalle FortiGate-200F i muszą być w pełni zgodne z obecną infrastrukturą, w szczególności z istniejącą architekturą, politykami bezpieczeństwa i mechanizmami wysokiej dostępności.</w:t>
            </w:r>
          </w:p>
        </w:tc>
      </w:tr>
      <w:tr w:rsidR="0088220A" w14:paraId="0F6ED134" w14:textId="77777777" w:rsidTr="0088220A">
        <w:trPr>
          <w:trHeight w:val="23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F16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90AB" w14:textId="77777777" w:rsidR="0088220A" w:rsidRPr="00731F2C" w:rsidRDefault="0088220A">
            <w:p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System musi zapewniać:</w:t>
            </w:r>
          </w:p>
          <w:p w14:paraId="79B2DA5E" w14:textId="77777777" w:rsidR="0088220A" w:rsidRPr="00731F2C" w:rsidRDefault="0088220A" w:rsidP="0088220A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Dostawę 2 urządzeń UTM/NGFW, przystosowanych do pracy w klastrze HA (Active-Active lub Active-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Passive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5D7037DD" w14:textId="77777777" w:rsidR="0088220A" w:rsidRPr="00731F2C" w:rsidRDefault="0088220A" w:rsidP="0088220A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Możliwość pracy w trybie router z NAT, transparentny oraz monitorujący (SPAN).</w:t>
            </w:r>
          </w:p>
          <w:p w14:paraId="351C12E5" w14:textId="77777777" w:rsidR="0088220A" w:rsidRPr="00731F2C" w:rsidRDefault="0088220A" w:rsidP="0088220A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Obsługę IPv4 i IPv6 (firewall, VPN, routing dynamiczny, ochrona aplikacyjna).</w:t>
            </w:r>
          </w:p>
          <w:p w14:paraId="110DAD77" w14:textId="77777777" w:rsidR="0088220A" w:rsidRPr="00731F2C" w:rsidRDefault="0088220A" w:rsidP="0088220A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Możliwość wydzielenia min. 2 instancji logicznych (VDOM / wirtualne firewalle) oraz definicji co najmniej 256 interfejsów VLAN (802.1Q).</w:t>
            </w:r>
          </w:p>
          <w:p w14:paraId="54C472A4" w14:textId="77777777" w:rsidR="0088220A" w:rsidRPr="00731F2C" w:rsidRDefault="0088220A" w:rsidP="0088220A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Dedykowanie min. 5 administratorów do poszczególnych instancji.</w:t>
            </w:r>
          </w:p>
        </w:tc>
      </w:tr>
      <w:tr w:rsidR="0088220A" w14:paraId="0BBAC077" w14:textId="77777777" w:rsidTr="0088220A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047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59F6" w14:textId="77777777" w:rsidR="0088220A" w:rsidRPr="00731F2C" w:rsidRDefault="0088220A">
            <w:p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Minimalna konfiguracja portów na każde urządzenie:</w:t>
            </w:r>
          </w:p>
          <w:p w14:paraId="3B1607DC" w14:textId="77777777" w:rsidR="0088220A" w:rsidRPr="00731F2C" w:rsidRDefault="0088220A" w:rsidP="0088220A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min. 2 × GE RJ45 (MGMT/HA),</w:t>
            </w:r>
          </w:p>
          <w:p w14:paraId="5738666D" w14:textId="77777777" w:rsidR="0088220A" w:rsidRPr="00731F2C" w:rsidRDefault="0088220A" w:rsidP="0088220A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min. 8 × GE RJ45,</w:t>
            </w:r>
          </w:p>
          <w:p w14:paraId="29BE45D5" w14:textId="77777777" w:rsidR="0088220A" w:rsidRPr="00731F2C" w:rsidRDefault="0088220A" w:rsidP="0088220A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min. 8 × 1/2.5/5/10GE RJ45,</w:t>
            </w:r>
          </w:p>
          <w:p w14:paraId="0389B4E1" w14:textId="77777777" w:rsidR="0088220A" w:rsidRPr="00731F2C" w:rsidRDefault="0088220A" w:rsidP="0088220A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min. 8 × 10GE SFP+,</w:t>
            </w:r>
          </w:p>
          <w:p w14:paraId="54ECCD91" w14:textId="77777777" w:rsidR="0088220A" w:rsidRPr="00731F2C" w:rsidRDefault="0088220A" w:rsidP="0088220A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min. 4 × GE SFP,</w:t>
            </w:r>
          </w:p>
          <w:p w14:paraId="1B970580" w14:textId="77777777" w:rsidR="0088220A" w:rsidRPr="00731F2C" w:rsidRDefault="0088220A" w:rsidP="0088220A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port konsoli oraz USB.</w:t>
            </w:r>
          </w:p>
        </w:tc>
      </w:tr>
      <w:tr w:rsidR="0088220A" w14:paraId="36456C9E" w14:textId="77777777" w:rsidTr="0088220A">
        <w:trPr>
          <w:trHeight w:val="271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5B37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197B" w14:textId="77777777" w:rsidR="0088220A" w:rsidRPr="00731F2C" w:rsidRDefault="0088220A">
            <w:p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Wydajność (wartości minimalne):</w:t>
            </w:r>
          </w:p>
          <w:p w14:paraId="7A5C6EFA" w14:textId="77777777" w:rsidR="0088220A" w:rsidRPr="00731F2C" w:rsidRDefault="0088220A" w:rsidP="0088220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Stateful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Firewall: ≥ 39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Gbps</w:t>
            </w:r>
            <w:proofErr w:type="spellEnd"/>
          </w:p>
          <w:p w14:paraId="471A7138" w14:textId="77777777" w:rsidR="0088220A" w:rsidRPr="00731F2C" w:rsidRDefault="0088220A" w:rsidP="0088220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Liczba jednoczesnych połączeń: ≥ 11 mln</w:t>
            </w:r>
          </w:p>
          <w:p w14:paraId="5C7649AF" w14:textId="77777777" w:rsidR="0088220A" w:rsidRPr="00731F2C" w:rsidRDefault="0088220A" w:rsidP="0088220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Nowe połączenia na sekundę: ≥ 400 000</w:t>
            </w:r>
          </w:p>
          <w:p w14:paraId="40F59E55" w14:textId="77777777" w:rsidR="0088220A" w:rsidRPr="00731F2C" w:rsidRDefault="0088220A" w:rsidP="0088220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 xml:space="preserve">Firewall + Application Control: ≥ 27,8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Gbps</w:t>
            </w:r>
            <w:proofErr w:type="spellEnd"/>
          </w:p>
          <w:p w14:paraId="29C801F7" w14:textId="77777777" w:rsidR="0088220A" w:rsidRPr="00731F2C" w:rsidRDefault="0088220A" w:rsidP="0088220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 xml:space="preserve">IPS (Enterprise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Traffic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Mix): ≥ 8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Gbps</w:t>
            </w:r>
            <w:proofErr w:type="spellEnd"/>
          </w:p>
          <w:p w14:paraId="79002776" w14:textId="77777777" w:rsidR="0088220A" w:rsidRPr="00731F2C" w:rsidRDefault="0088220A" w:rsidP="0088220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UTM (IPS + AV + Application Control): ≥ 6 Gbps</w:t>
            </w:r>
          </w:p>
          <w:p w14:paraId="15F6C5B1" w14:textId="77777777" w:rsidR="0088220A" w:rsidRPr="00731F2C" w:rsidRDefault="0088220A" w:rsidP="0088220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 xml:space="preserve">Inspekcja ruchu szyfrowanego SSL/TLS (HTTP): ≥ 7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Gbps</w:t>
            </w:r>
            <w:proofErr w:type="spellEnd"/>
          </w:p>
          <w:p w14:paraId="370AD977" w14:textId="77777777" w:rsidR="0088220A" w:rsidRPr="00731F2C" w:rsidRDefault="0088220A" w:rsidP="0088220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IPSec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VPN (AES-128): ≥ 35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Gbps</w:t>
            </w:r>
            <w:proofErr w:type="spellEnd"/>
          </w:p>
        </w:tc>
      </w:tr>
      <w:tr w:rsidR="0088220A" w14:paraId="606B2669" w14:textId="77777777" w:rsidTr="0088220A">
        <w:trPr>
          <w:trHeight w:val="59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C0B1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113A" w14:textId="77777777" w:rsidR="0088220A" w:rsidRPr="00731F2C" w:rsidRDefault="0088220A">
            <w:p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Funkcje bezpieczeństwa (UTM) - System musi zapewniać co najmniej:</w:t>
            </w:r>
          </w:p>
          <w:p w14:paraId="5F3ED07C" w14:textId="77777777" w:rsidR="0088220A" w:rsidRPr="00731F2C" w:rsidRDefault="0088220A" w:rsidP="0088220A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 xml:space="preserve">Firewall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stateful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z możliwością tworzenia stref bezpieczeństwa (LAN/WAN/DMZ).</w:t>
            </w:r>
          </w:p>
          <w:p w14:paraId="07D10CE7" w14:textId="77777777" w:rsidR="0088220A" w:rsidRPr="00731F2C" w:rsidRDefault="0088220A" w:rsidP="0088220A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Kontrolę aplikacji (Application Control) – rozpoznawanie i kontrola aplikacji niezależnie od portu.</w:t>
            </w:r>
          </w:p>
          <w:p w14:paraId="79E8A3F3" w14:textId="77777777" w:rsidR="0088220A" w:rsidRPr="00731F2C" w:rsidRDefault="0088220A" w:rsidP="0088220A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IPSec VPN (site-to-site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client-to-site)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oraz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SSL VPN (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tryb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tunelowy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, split tunneling).</w:t>
            </w:r>
          </w:p>
          <w:p w14:paraId="6CE69DA8" w14:textId="77777777" w:rsidR="0088220A" w:rsidRPr="00731F2C" w:rsidRDefault="0088220A" w:rsidP="0088220A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System IPS (ochrona przed atakami sieciowymi, w tym na aplikacje oraz systemy SCADA).</w:t>
            </w:r>
          </w:p>
          <w:p w14:paraId="663B23F3" w14:textId="77777777" w:rsidR="0088220A" w:rsidRPr="00731F2C" w:rsidRDefault="0088220A" w:rsidP="0088220A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Antywirus (HTTP/HTTPS, FTP, SMTP, POP3, IMAP, CIFS), z obsługą archiwów i sygnatur dla urządzeń mobilnych (Android).</w:t>
            </w:r>
          </w:p>
          <w:p w14:paraId="05DF0D1A" w14:textId="77777777" w:rsidR="0088220A" w:rsidRPr="00731F2C" w:rsidRDefault="0088220A" w:rsidP="0088220A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 xml:space="preserve">Web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Filtering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– filtrowanie stron WWW w oparciu o kategorie (min. bezpieczeństwo, hazard,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malware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phishing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proxy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>, itp.).</w:t>
            </w:r>
          </w:p>
          <w:p w14:paraId="59066088" w14:textId="77777777" w:rsidR="0088220A" w:rsidRPr="00731F2C" w:rsidRDefault="0088220A" w:rsidP="0088220A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Antyspam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dla ruchu pocztowego (min. SMTP).</w:t>
            </w:r>
          </w:p>
          <w:p w14:paraId="64B22330" w14:textId="77777777" w:rsidR="0088220A" w:rsidRPr="00731F2C" w:rsidRDefault="0088220A" w:rsidP="0088220A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DLP – mechanizmy przeciwdziałania wyciekom danych.</w:t>
            </w:r>
          </w:p>
          <w:p w14:paraId="20FCC3DA" w14:textId="77777777" w:rsidR="0088220A" w:rsidRPr="00731F2C" w:rsidRDefault="0088220A" w:rsidP="0088220A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SD-WAN / zaawansowany routing – obsługa protokołów dynamicznych (OSPF, BGP, RIP), PBR, ECMP, BFD; monitorowanie dostępności łączy i przełączanie awaryjne.</w:t>
            </w:r>
          </w:p>
          <w:p w14:paraId="1BF24CC0" w14:textId="77777777" w:rsidR="0088220A" w:rsidRPr="00731F2C" w:rsidRDefault="0088220A" w:rsidP="0088220A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Zarządzanie pasmem (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QoS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traffic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shaping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>) – limity i priorytety per aplikacja, użytkownik, kategorie URL.</w:t>
            </w:r>
          </w:p>
          <w:p w14:paraId="39773153" w14:textId="77777777" w:rsidR="0088220A" w:rsidRPr="00731F2C" w:rsidRDefault="0088220A" w:rsidP="0088220A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Inspekcja ruchu szyfrowanego SSL/TLS (HTTP/HTTPS, SMTP, POP3, FTP).</w:t>
            </w:r>
          </w:p>
          <w:p w14:paraId="2CAC133F" w14:textId="77777777" w:rsidR="0088220A" w:rsidRPr="00731F2C" w:rsidRDefault="0088220A" w:rsidP="0088220A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 xml:space="preserve">Filtracja DNS i blokowanie komunikacji z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botnetami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/ C&amp;C.</w:t>
            </w:r>
          </w:p>
        </w:tc>
      </w:tr>
      <w:tr w:rsidR="0088220A" w14:paraId="2316AC17" w14:textId="77777777" w:rsidTr="0088220A">
        <w:trPr>
          <w:trHeight w:val="20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71C6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746C" w14:textId="77777777" w:rsidR="0088220A" w:rsidRPr="00731F2C" w:rsidRDefault="0088220A">
            <w:p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Integracja i automatyzacja – System musi zapewniać:</w:t>
            </w:r>
          </w:p>
          <w:p w14:paraId="3969359E" w14:textId="77777777" w:rsidR="0088220A" w:rsidRPr="00731F2C" w:rsidRDefault="0088220A" w:rsidP="0088220A">
            <w:pPr>
              <w:pStyle w:val="Akapitzlist"/>
              <w:numPr>
                <w:ilvl w:val="0"/>
                <w:numId w:val="36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 xml:space="preserve">Możliwość integracji z: AWS,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Azure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, GCP,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VMware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NSX, Cisco ACI,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OpenStack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Kubernetes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(SDN/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Cloud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143AB4D6" w14:textId="77777777" w:rsidR="0088220A" w:rsidRPr="00731F2C" w:rsidRDefault="0088220A" w:rsidP="0088220A">
            <w:pPr>
              <w:pStyle w:val="Akapitzlist"/>
              <w:numPr>
                <w:ilvl w:val="0"/>
                <w:numId w:val="36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Wbudowane mechanizmy automatyzacji (automation) – reakcje na zdarzenia (zmiana konfiguracji, powiadomienia, blokady).</w:t>
            </w:r>
          </w:p>
          <w:p w14:paraId="2B381F54" w14:textId="77777777" w:rsidR="0088220A" w:rsidRPr="00731F2C" w:rsidRDefault="0088220A" w:rsidP="0088220A">
            <w:pPr>
              <w:pStyle w:val="Akapitzlist"/>
              <w:numPr>
                <w:ilvl w:val="0"/>
                <w:numId w:val="36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Możliwość centralnego logowania i raportowania (lokalnie lub do zewnętrznego systemu logów/SIEM, SYSLOG TCP + TLS).</w:t>
            </w:r>
          </w:p>
        </w:tc>
      </w:tr>
      <w:tr w:rsidR="0088220A" w14:paraId="19D470B6" w14:textId="77777777" w:rsidTr="008822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847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6EED" w14:textId="77777777" w:rsidR="0088220A" w:rsidRPr="00731F2C" w:rsidRDefault="0088220A">
            <w:p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Zarządzanie przez GUI (HTTPS) i CLI (SSH), możliwość pracy z centralną platformą zarządzającą producenta.</w:t>
            </w:r>
          </w:p>
        </w:tc>
      </w:tr>
      <w:tr w:rsidR="0088220A" w14:paraId="0875170B" w14:textId="77777777" w:rsidTr="008822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E47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5A33" w14:textId="77777777" w:rsidR="0088220A" w:rsidRPr="00731F2C" w:rsidRDefault="0088220A">
            <w:p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 xml:space="preserve">Obsługa SNMPv2/v3,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NetFlow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sFlow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>, REST API do integracji z systemami zewnętrznymi.</w:t>
            </w:r>
          </w:p>
        </w:tc>
      </w:tr>
      <w:tr w:rsidR="0088220A" w14:paraId="78F8B8E6" w14:textId="77777777" w:rsidTr="008822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389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1DA2" w14:textId="77777777" w:rsidR="0088220A" w:rsidRPr="00731F2C" w:rsidRDefault="0088220A">
            <w:p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RBAC – role administracyjne, logowanie działań administratorów.</w:t>
            </w:r>
          </w:p>
        </w:tc>
      </w:tr>
      <w:tr w:rsidR="0088220A" w14:paraId="3E044D2A" w14:textId="77777777" w:rsidTr="008822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2B7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6DB9" w14:textId="77777777" w:rsidR="0088220A" w:rsidRPr="00731F2C" w:rsidRDefault="0088220A">
            <w:p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Uwierzytelnianie użytkowników lokalne i zewnętrzne: LDAP, RADIUS, AD, SAML, możliwość MFA.</w:t>
            </w:r>
          </w:p>
        </w:tc>
      </w:tr>
      <w:tr w:rsidR="0088220A" w14:paraId="44F00E67" w14:textId="77777777" w:rsidTr="0088220A">
        <w:trPr>
          <w:trHeight w:val="23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20DE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D1F9" w14:textId="77777777" w:rsidR="0088220A" w:rsidRPr="00731F2C" w:rsidRDefault="0088220A">
            <w:p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Na każde urządzenie wymagane są licencje i serwisy bezpieczeństwa na okres 36 miesięcy, obejmujące m.in.:</w:t>
            </w:r>
          </w:p>
          <w:p w14:paraId="5E51F175" w14:textId="77777777" w:rsidR="0088220A" w:rsidRPr="00731F2C" w:rsidRDefault="0088220A" w:rsidP="0088220A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aktualizacje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baz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sygnatur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dla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Firewall, Application Control, IPS,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Antywirus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Web Filtering,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Antyspam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  <w:lang w:val="en-US"/>
              </w:rPr>
              <w:t>,</w:t>
            </w:r>
          </w:p>
          <w:p w14:paraId="08A8F198" w14:textId="77777777" w:rsidR="0088220A" w:rsidRPr="00731F2C" w:rsidRDefault="0088220A" w:rsidP="0088220A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 xml:space="preserve">bazy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reputacyjne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IP/domen/URL,</w:t>
            </w:r>
          </w:p>
          <w:p w14:paraId="544910C3" w14:textId="77777777" w:rsidR="0088220A" w:rsidRPr="00731F2C" w:rsidRDefault="0088220A" w:rsidP="0088220A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ochronę systemów SCADA,</w:t>
            </w:r>
          </w:p>
          <w:p w14:paraId="1214D9B1" w14:textId="77777777" w:rsidR="0088220A" w:rsidRPr="00731F2C" w:rsidRDefault="0088220A" w:rsidP="0088220A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 xml:space="preserve">analizę typu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Sandbox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(w chmurze w UE lub lokalna platforma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sandbox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>) – z możliwością wstrzymania dostarczenia pliku do czasu werdyktu.</w:t>
            </w:r>
          </w:p>
        </w:tc>
      </w:tr>
      <w:tr w:rsidR="0088220A" w14:paraId="3B87D2CC" w14:textId="77777777" w:rsidTr="0088220A">
        <w:trPr>
          <w:trHeight w:val="23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A9C" w14:textId="77777777" w:rsidR="0088220A" w:rsidRDefault="0088220A" w:rsidP="0088220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00AA" w14:textId="77777777" w:rsidR="0088220A" w:rsidRPr="00731F2C" w:rsidRDefault="0088220A">
            <w:p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Gwarancja i wsparcie:</w:t>
            </w:r>
          </w:p>
          <w:p w14:paraId="2BF06C79" w14:textId="77777777" w:rsidR="0088220A" w:rsidRPr="00731F2C" w:rsidRDefault="0088220A" w:rsidP="0088220A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36 miesięcy wsparcia producenta w trybie 24×7, z dostępem do aktualizacji oprogramowania.</w:t>
            </w:r>
          </w:p>
          <w:p w14:paraId="417E3B65" w14:textId="77777777" w:rsidR="0088220A" w:rsidRPr="00731F2C" w:rsidRDefault="0088220A" w:rsidP="0088220A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 xml:space="preserve">Advanced Hardware </w:t>
            </w:r>
            <w:proofErr w:type="spellStart"/>
            <w:r w:rsidRPr="00731F2C">
              <w:rPr>
                <w:rFonts w:ascii="Calibri" w:hAnsi="Calibri" w:cs="Calibri"/>
                <w:sz w:val="22"/>
                <w:szCs w:val="22"/>
              </w:rPr>
              <w:t>Replacement</w:t>
            </w:r>
            <w:proofErr w:type="spellEnd"/>
            <w:r w:rsidRPr="00731F2C">
              <w:rPr>
                <w:rFonts w:ascii="Calibri" w:hAnsi="Calibri" w:cs="Calibri"/>
                <w:sz w:val="22"/>
                <w:szCs w:val="22"/>
              </w:rPr>
              <w:t xml:space="preserve"> (AHR) – wymiana uszkodzonego sprzętu przez producenta.</w:t>
            </w:r>
          </w:p>
          <w:p w14:paraId="22B95893" w14:textId="77777777" w:rsidR="0088220A" w:rsidRPr="00731F2C" w:rsidRDefault="0088220A" w:rsidP="0088220A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 w:rsidRPr="00731F2C">
              <w:rPr>
                <w:rFonts w:ascii="Calibri" w:hAnsi="Calibri" w:cs="Calibri"/>
                <w:sz w:val="22"/>
                <w:szCs w:val="22"/>
              </w:rPr>
              <w:t>Urządzenia fabrycznie nowe, z autoryzowanego kanału sprzedaży, z dokumentem potwierdzającym legalne pochodzenie i spełnienie wymogów dla produktów podwójnego zastosowania (jeśli dotyczy).</w:t>
            </w:r>
          </w:p>
        </w:tc>
      </w:tr>
      <w:bookmarkEnd w:id="0"/>
    </w:tbl>
    <w:p w14:paraId="4573E824" w14:textId="77777777" w:rsidR="0088220A" w:rsidRDefault="0088220A" w:rsidP="0088220A"/>
    <w:p w14:paraId="33C84AA1" w14:textId="1125073B" w:rsidR="007827B8" w:rsidRDefault="007827B8" w:rsidP="009547BF">
      <w:pPr>
        <w:pStyle w:val="Nagwek2"/>
        <w:numPr>
          <w:ilvl w:val="0"/>
          <w:numId w:val="4"/>
        </w:numPr>
        <w:spacing w:before="0" w:after="120" w:line="276" w:lineRule="auto"/>
        <w:ind w:left="714" w:hanging="35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Dostawa i wdrożenie </w:t>
      </w:r>
      <w:r w:rsidR="00D5198F" w:rsidRPr="00D5198F">
        <w:rPr>
          <w:rFonts w:ascii="Calibri" w:hAnsi="Calibri" w:cs="Calibri"/>
          <w:b/>
          <w:bCs/>
          <w:color w:val="000000" w:themeColor="text1"/>
          <w:sz w:val="22"/>
          <w:szCs w:val="22"/>
        </w:rPr>
        <w:t>centralnego systemu logowania, raportowania i korelacji, umożliwiającego centralizację procesu logowania zdarzeń sieciowych, systemowych oraz  bezpieczeństwa w ramach całej infrastruktury zabezpieczeń.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D5198F" w14:paraId="13AA59A7" w14:textId="77777777" w:rsidTr="00521F1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80BAB8D" w14:textId="77777777" w:rsidR="00D5198F" w:rsidRDefault="00D5198F" w:rsidP="00521F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wymagania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2C110B3" w14:textId="77777777" w:rsidR="00D5198F" w:rsidRDefault="00D5198F" w:rsidP="00521F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wymagań</w:t>
            </w:r>
          </w:p>
        </w:tc>
      </w:tr>
      <w:tr w:rsidR="00D5198F" w14:paraId="2F3C1491" w14:textId="77777777" w:rsidTr="00521F1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93E1F1B" w14:textId="6FD66682" w:rsidR="00D5198F" w:rsidRDefault="00731F2C" w:rsidP="00521F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Centralny system logowania</w:t>
            </w:r>
          </w:p>
        </w:tc>
      </w:tr>
      <w:tr w:rsidR="00D5198F" w14:paraId="1709C081" w14:textId="77777777" w:rsidTr="001148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DCA3" w14:textId="77777777" w:rsidR="00D5198F" w:rsidRDefault="00D5198F" w:rsidP="00521F14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A82" w14:textId="797401B0" w:rsidR="00D5198F" w:rsidRDefault="00142377" w:rsidP="00521F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B311F5" w:rsidRPr="00B311F5">
              <w:rPr>
                <w:rFonts w:ascii="Calibri" w:hAnsi="Calibri" w:cs="Calibri"/>
                <w:sz w:val="22"/>
                <w:szCs w:val="22"/>
              </w:rPr>
              <w:t>ostarczenie centralnego systemu logowania, raportowania i korelacji, umożliwiającego centralizację procesu logowania zdarzeń sieciowych, systemowych oraz  bezpieczeństwa w ramach całej infrastruktury zabezpieczeń</w:t>
            </w:r>
          </w:p>
        </w:tc>
      </w:tr>
      <w:tr w:rsidR="00D5198F" w14:paraId="363EB736" w14:textId="77777777" w:rsidTr="001148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154" w14:textId="77777777" w:rsidR="00D5198F" w:rsidRDefault="00D5198F" w:rsidP="00521F14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3C2" w14:textId="7F45BFBD" w:rsidR="00D5198F" w:rsidRDefault="00C92308" w:rsidP="00521F14">
            <w:pPr>
              <w:rPr>
                <w:rFonts w:ascii="Calibri" w:hAnsi="Calibri" w:cs="Calibri"/>
                <w:sz w:val="22"/>
                <w:szCs w:val="22"/>
              </w:rPr>
            </w:pPr>
            <w:r w:rsidRPr="00C92308">
              <w:rPr>
                <w:rFonts w:ascii="Calibri" w:hAnsi="Calibri" w:cs="Calibri"/>
                <w:sz w:val="22"/>
                <w:szCs w:val="22"/>
              </w:rPr>
              <w:t xml:space="preserve">Rozwiązanie musi zostać dostarczone w postaci komercyjnej platformy działającej w środowisku wirtualnym lub w postaci komercyjnej platformy działającej na bazie </w:t>
            </w:r>
            <w:proofErr w:type="spellStart"/>
            <w:r w:rsidRPr="00C92308">
              <w:rPr>
                <w:rFonts w:ascii="Calibri" w:hAnsi="Calibri" w:cs="Calibri"/>
                <w:sz w:val="22"/>
                <w:szCs w:val="22"/>
              </w:rPr>
              <w:t>linux</w:t>
            </w:r>
            <w:proofErr w:type="spellEnd"/>
            <w:r w:rsidRPr="00C92308">
              <w:rPr>
                <w:rFonts w:ascii="Calibri" w:hAnsi="Calibri" w:cs="Calibri"/>
                <w:sz w:val="22"/>
                <w:szCs w:val="22"/>
              </w:rPr>
              <w:t xml:space="preserve"> w środowisku wirtualnym, z możliwością uruchomienia na co najmniej następujących </w:t>
            </w:r>
            <w:proofErr w:type="spellStart"/>
            <w:r w:rsidRPr="00C92308">
              <w:rPr>
                <w:rFonts w:ascii="Calibri" w:hAnsi="Calibri" w:cs="Calibri"/>
                <w:sz w:val="22"/>
                <w:szCs w:val="22"/>
              </w:rPr>
              <w:t>hypervisorach</w:t>
            </w:r>
            <w:proofErr w:type="spellEnd"/>
            <w:r w:rsidRPr="00C92308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C92308">
              <w:rPr>
                <w:rFonts w:ascii="Calibri" w:hAnsi="Calibri" w:cs="Calibri"/>
                <w:sz w:val="22"/>
                <w:szCs w:val="22"/>
              </w:rPr>
              <w:t>VMware</w:t>
            </w:r>
            <w:proofErr w:type="spellEnd"/>
            <w:r w:rsidRPr="00C92308">
              <w:rPr>
                <w:rFonts w:ascii="Calibri" w:hAnsi="Calibri" w:cs="Calibri"/>
                <w:sz w:val="22"/>
                <w:szCs w:val="22"/>
              </w:rPr>
              <w:t xml:space="preserve"> ESX/</w:t>
            </w:r>
            <w:proofErr w:type="spellStart"/>
            <w:r w:rsidRPr="00C92308">
              <w:rPr>
                <w:rFonts w:ascii="Calibri" w:hAnsi="Calibri" w:cs="Calibri"/>
                <w:sz w:val="22"/>
                <w:szCs w:val="22"/>
              </w:rPr>
              <w:t>ESXi</w:t>
            </w:r>
            <w:proofErr w:type="spellEnd"/>
            <w:r w:rsidRPr="00C923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308">
              <w:rPr>
                <w:rFonts w:ascii="Calibri" w:hAnsi="Calibri" w:cs="Calibri"/>
                <w:sz w:val="22"/>
                <w:szCs w:val="22"/>
              </w:rPr>
              <w:t>werje</w:t>
            </w:r>
            <w:proofErr w:type="spellEnd"/>
            <w:r w:rsidRPr="00C92308">
              <w:rPr>
                <w:rFonts w:ascii="Calibri" w:hAnsi="Calibri" w:cs="Calibri"/>
                <w:sz w:val="22"/>
                <w:szCs w:val="22"/>
              </w:rPr>
              <w:t xml:space="preserve">: 5.0, 5.1, 5.5, 6.0, 6.5, 6.7; Microsoft Hyper-V wersje: 2008 R2, 2012, 2012 R2, 2016;  </w:t>
            </w:r>
            <w:proofErr w:type="spellStart"/>
            <w:r w:rsidRPr="00C92308">
              <w:rPr>
                <w:rFonts w:ascii="Calibri" w:hAnsi="Calibri" w:cs="Calibri"/>
                <w:sz w:val="22"/>
                <w:szCs w:val="22"/>
              </w:rPr>
              <w:t>Citrix</w:t>
            </w:r>
            <w:proofErr w:type="spellEnd"/>
            <w:r w:rsidRPr="00C923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308">
              <w:rPr>
                <w:rFonts w:ascii="Calibri" w:hAnsi="Calibri" w:cs="Calibri"/>
                <w:sz w:val="22"/>
                <w:szCs w:val="22"/>
              </w:rPr>
              <w:t>XenServer</w:t>
            </w:r>
            <w:proofErr w:type="spellEnd"/>
            <w:r w:rsidRPr="00C92308">
              <w:rPr>
                <w:rFonts w:ascii="Calibri" w:hAnsi="Calibri" w:cs="Calibri"/>
                <w:sz w:val="22"/>
                <w:szCs w:val="22"/>
              </w:rPr>
              <w:t xml:space="preserve"> 6.0+, Open Source </w:t>
            </w:r>
            <w:proofErr w:type="spellStart"/>
            <w:r w:rsidRPr="00C92308">
              <w:rPr>
                <w:rFonts w:ascii="Calibri" w:hAnsi="Calibri" w:cs="Calibri"/>
                <w:sz w:val="22"/>
                <w:szCs w:val="22"/>
              </w:rPr>
              <w:t>Xen</w:t>
            </w:r>
            <w:proofErr w:type="spellEnd"/>
            <w:r w:rsidRPr="00C92308">
              <w:rPr>
                <w:rFonts w:ascii="Calibri" w:hAnsi="Calibri" w:cs="Calibri"/>
                <w:sz w:val="22"/>
                <w:szCs w:val="22"/>
              </w:rPr>
              <w:t xml:space="preserve"> 4.1+, KVM, Amazon Web Services (AWS), Microsoft </w:t>
            </w:r>
            <w:proofErr w:type="spellStart"/>
            <w:r w:rsidRPr="00C92308">
              <w:rPr>
                <w:rFonts w:ascii="Calibri" w:hAnsi="Calibri" w:cs="Calibri"/>
                <w:sz w:val="22"/>
                <w:szCs w:val="22"/>
              </w:rPr>
              <w:t>Azure</w:t>
            </w:r>
            <w:proofErr w:type="spellEnd"/>
            <w:r w:rsidRPr="00C92308">
              <w:rPr>
                <w:rFonts w:ascii="Calibri" w:hAnsi="Calibri" w:cs="Calibri"/>
                <w:sz w:val="22"/>
                <w:szCs w:val="22"/>
              </w:rPr>
              <w:t xml:space="preserve">, Google </w:t>
            </w:r>
            <w:proofErr w:type="spellStart"/>
            <w:r w:rsidRPr="00C92308">
              <w:rPr>
                <w:rFonts w:ascii="Calibri" w:hAnsi="Calibri" w:cs="Calibri"/>
                <w:sz w:val="22"/>
                <w:szCs w:val="22"/>
              </w:rPr>
              <w:t>Cloud</w:t>
            </w:r>
            <w:proofErr w:type="spellEnd"/>
            <w:r w:rsidRPr="00C92308">
              <w:rPr>
                <w:rFonts w:ascii="Calibri" w:hAnsi="Calibri" w:cs="Calibri"/>
                <w:sz w:val="22"/>
                <w:szCs w:val="22"/>
              </w:rPr>
              <w:t xml:space="preserve"> (GCP).</w:t>
            </w:r>
          </w:p>
        </w:tc>
      </w:tr>
      <w:tr w:rsidR="00D5198F" w14:paraId="0BCD8FDB" w14:textId="77777777" w:rsidTr="001148BF">
        <w:trPr>
          <w:trHeight w:val="2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7560" w14:textId="77777777" w:rsidR="00D5198F" w:rsidRDefault="00D5198F" w:rsidP="00521F14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020E" w14:textId="41579AA7" w:rsidR="00D5198F" w:rsidRPr="001148BF" w:rsidRDefault="00142377" w:rsidP="001148BF">
            <w:pPr>
              <w:rPr>
                <w:rFonts w:ascii="Calibri" w:hAnsi="Calibri" w:cs="Calibri"/>
                <w:sz w:val="22"/>
                <w:szCs w:val="22"/>
              </w:rPr>
            </w:pPr>
            <w:r w:rsidRPr="00142377">
              <w:rPr>
                <w:rFonts w:ascii="Calibri" w:hAnsi="Calibri" w:cs="Calibri"/>
                <w:sz w:val="22"/>
                <w:szCs w:val="22"/>
              </w:rPr>
              <w:t>System musi obsługiwać co najmniej 4 interfejsy sieciowe oraz wspierać powierzchnię dyskową o pojemności 3 TB</w:t>
            </w:r>
          </w:p>
        </w:tc>
      </w:tr>
      <w:tr w:rsidR="00D5198F" w14:paraId="1C059404" w14:textId="77777777" w:rsidTr="001148BF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83F2" w14:textId="77777777" w:rsidR="00D5198F" w:rsidRDefault="00D5198F" w:rsidP="00521F14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3EB" w14:textId="176BB7EB" w:rsidR="00D5198F" w:rsidRPr="001148BF" w:rsidRDefault="00E417E5" w:rsidP="00E417E5">
            <w:pPr>
              <w:rPr>
                <w:rFonts w:ascii="Calibri" w:hAnsi="Calibri" w:cs="Calibri"/>
                <w:sz w:val="22"/>
                <w:szCs w:val="22"/>
              </w:rPr>
            </w:pPr>
            <w:r w:rsidRPr="00E417E5">
              <w:rPr>
                <w:rFonts w:ascii="Calibri" w:hAnsi="Calibri" w:cs="Calibri"/>
                <w:sz w:val="22"/>
                <w:szCs w:val="22"/>
              </w:rPr>
              <w:t>System musi być w stanie przyjmować minimum 5 GB logów na dzień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oraz </w:t>
            </w:r>
            <w:r w:rsidRPr="00E417E5">
              <w:rPr>
                <w:rFonts w:ascii="Calibri" w:hAnsi="Calibri" w:cs="Calibri"/>
                <w:sz w:val="22"/>
                <w:szCs w:val="22"/>
              </w:rPr>
              <w:t>umożliwiać kolekcjonowanie logów z co najmniej 1000 systemów.</w:t>
            </w:r>
          </w:p>
        </w:tc>
      </w:tr>
      <w:tr w:rsidR="00D5198F" w14:paraId="36F33134" w14:textId="77777777" w:rsidTr="001148BF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889" w14:textId="77777777" w:rsidR="00D5198F" w:rsidRDefault="00D5198F" w:rsidP="00521F14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96B6" w14:textId="123FC353" w:rsidR="00A9085C" w:rsidRPr="00A9085C" w:rsidRDefault="00A9085C" w:rsidP="00A9085C">
            <w:pPr>
              <w:rPr>
                <w:rFonts w:ascii="Calibri" w:hAnsi="Calibri" w:cs="Calibri"/>
                <w:sz w:val="22"/>
                <w:szCs w:val="22"/>
              </w:rPr>
            </w:pPr>
            <w:r w:rsidRPr="00A9085C">
              <w:rPr>
                <w:rFonts w:ascii="Calibri" w:hAnsi="Calibri" w:cs="Calibri"/>
                <w:sz w:val="22"/>
                <w:szCs w:val="22"/>
              </w:rPr>
              <w:t>System musi oferować predefiniowane (lub mieć możliwość ich konfiguracji) podręczne raporty graficzne lub tekstowe obrazujące stan pracy urządzenia oraz ogólne informacje dotyczące statystyk ruchu sieciowego i zdarzeń bezpieczeństwa. Muszą one obejmować co najmniej:</w:t>
            </w:r>
          </w:p>
          <w:p w14:paraId="469392CB" w14:textId="77777777" w:rsidR="00A9085C" w:rsidRPr="00A9085C" w:rsidRDefault="00A9085C" w:rsidP="00A9085C">
            <w:pPr>
              <w:rPr>
                <w:rFonts w:ascii="Calibri" w:hAnsi="Calibri" w:cs="Calibri"/>
                <w:sz w:val="22"/>
                <w:szCs w:val="22"/>
              </w:rPr>
            </w:pPr>
            <w:r w:rsidRPr="00A9085C">
              <w:rPr>
                <w:rFonts w:ascii="Calibri" w:hAnsi="Calibri" w:cs="Calibri"/>
                <w:sz w:val="22"/>
                <w:szCs w:val="22"/>
              </w:rPr>
              <w:t>a. Listę  najczęściej wykrywanych ataków.</w:t>
            </w:r>
          </w:p>
          <w:p w14:paraId="267344F2" w14:textId="77777777" w:rsidR="00A9085C" w:rsidRPr="00A9085C" w:rsidRDefault="00A9085C" w:rsidP="00A9085C">
            <w:pPr>
              <w:rPr>
                <w:rFonts w:ascii="Calibri" w:hAnsi="Calibri" w:cs="Calibri"/>
                <w:sz w:val="22"/>
                <w:szCs w:val="22"/>
              </w:rPr>
            </w:pPr>
            <w:r w:rsidRPr="00A9085C">
              <w:rPr>
                <w:rFonts w:ascii="Calibri" w:hAnsi="Calibri" w:cs="Calibri"/>
                <w:sz w:val="22"/>
                <w:szCs w:val="22"/>
              </w:rPr>
              <w:t>b. Listę najbardziej aktywnych użytkowników.</w:t>
            </w:r>
          </w:p>
          <w:p w14:paraId="2F28D188" w14:textId="77777777" w:rsidR="00A9085C" w:rsidRPr="00A9085C" w:rsidRDefault="00A9085C" w:rsidP="00A9085C">
            <w:pPr>
              <w:rPr>
                <w:rFonts w:ascii="Calibri" w:hAnsi="Calibri" w:cs="Calibri"/>
                <w:sz w:val="22"/>
                <w:szCs w:val="22"/>
              </w:rPr>
            </w:pPr>
            <w:r w:rsidRPr="00A9085C">
              <w:rPr>
                <w:rFonts w:ascii="Calibri" w:hAnsi="Calibri" w:cs="Calibri"/>
                <w:sz w:val="22"/>
                <w:szCs w:val="22"/>
              </w:rPr>
              <w:t>c. Listę najczęściej wykorzystywanych aplikacji.</w:t>
            </w:r>
          </w:p>
          <w:p w14:paraId="4BFB0B2C" w14:textId="77777777" w:rsidR="00A9085C" w:rsidRPr="00A9085C" w:rsidRDefault="00A9085C" w:rsidP="00A9085C">
            <w:pPr>
              <w:rPr>
                <w:rFonts w:ascii="Calibri" w:hAnsi="Calibri" w:cs="Calibri"/>
                <w:sz w:val="22"/>
                <w:szCs w:val="22"/>
              </w:rPr>
            </w:pPr>
            <w:r w:rsidRPr="00A9085C">
              <w:rPr>
                <w:rFonts w:ascii="Calibri" w:hAnsi="Calibri" w:cs="Calibri"/>
                <w:sz w:val="22"/>
                <w:szCs w:val="22"/>
              </w:rPr>
              <w:t>d. Listę najczęściej odwiedzanych stron www.</w:t>
            </w:r>
          </w:p>
          <w:p w14:paraId="78E87CBC" w14:textId="77777777" w:rsidR="00A9085C" w:rsidRPr="00A9085C" w:rsidRDefault="00A9085C" w:rsidP="00A9085C">
            <w:pPr>
              <w:rPr>
                <w:rFonts w:ascii="Calibri" w:hAnsi="Calibri" w:cs="Calibri"/>
                <w:sz w:val="22"/>
                <w:szCs w:val="22"/>
              </w:rPr>
            </w:pPr>
            <w:r w:rsidRPr="00A9085C">
              <w:rPr>
                <w:rFonts w:ascii="Calibri" w:hAnsi="Calibri" w:cs="Calibri"/>
                <w:sz w:val="22"/>
                <w:szCs w:val="22"/>
              </w:rPr>
              <w:t>e. Listę krajów , do których nawiązywane są połączenia.</w:t>
            </w:r>
          </w:p>
          <w:p w14:paraId="0A062BC4" w14:textId="77777777" w:rsidR="00A9085C" w:rsidRPr="00A9085C" w:rsidRDefault="00A9085C" w:rsidP="00A9085C">
            <w:pPr>
              <w:rPr>
                <w:rFonts w:ascii="Calibri" w:hAnsi="Calibri" w:cs="Calibri"/>
                <w:sz w:val="22"/>
                <w:szCs w:val="22"/>
              </w:rPr>
            </w:pPr>
            <w:r w:rsidRPr="00A9085C">
              <w:rPr>
                <w:rFonts w:ascii="Calibri" w:hAnsi="Calibri" w:cs="Calibri"/>
                <w:sz w:val="22"/>
                <w:szCs w:val="22"/>
              </w:rPr>
              <w:t>f. Listę najczęściej wykorzystywanych polityk Firewall.</w:t>
            </w:r>
          </w:p>
          <w:p w14:paraId="1E803162" w14:textId="29C9AE3C" w:rsidR="00D5198F" w:rsidRPr="001148BF" w:rsidRDefault="00A9085C" w:rsidP="00A9085C">
            <w:pPr>
              <w:rPr>
                <w:rFonts w:ascii="Calibri" w:hAnsi="Calibri" w:cs="Calibri"/>
                <w:sz w:val="22"/>
                <w:szCs w:val="22"/>
              </w:rPr>
            </w:pPr>
            <w:r w:rsidRPr="00A9085C">
              <w:rPr>
                <w:rFonts w:ascii="Calibri" w:hAnsi="Calibri" w:cs="Calibri"/>
                <w:sz w:val="22"/>
                <w:szCs w:val="22"/>
              </w:rPr>
              <w:t xml:space="preserve">g. Informacje o realizowanych połączeniach </w:t>
            </w:r>
            <w:proofErr w:type="spellStart"/>
            <w:r w:rsidRPr="00A9085C">
              <w:rPr>
                <w:rFonts w:ascii="Calibri" w:hAnsi="Calibri" w:cs="Calibri"/>
                <w:sz w:val="22"/>
                <w:szCs w:val="22"/>
              </w:rPr>
              <w:t>IPSec</w:t>
            </w:r>
            <w:proofErr w:type="spellEnd"/>
          </w:p>
        </w:tc>
      </w:tr>
      <w:tr w:rsidR="00D5198F" w14:paraId="194F5385" w14:textId="77777777" w:rsidTr="001148BF">
        <w:trPr>
          <w:trHeight w:val="2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F00" w14:textId="77777777" w:rsidR="00D5198F" w:rsidRDefault="00D5198F" w:rsidP="00521F14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F08" w14:textId="77777777" w:rsidR="00BC0C34" w:rsidRPr="00BC0C34" w:rsidRDefault="00BC0C34" w:rsidP="00BC0C34">
            <w:pPr>
              <w:rPr>
                <w:rFonts w:ascii="Calibri" w:hAnsi="Calibri" w:cs="Calibri"/>
                <w:sz w:val="22"/>
                <w:szCs w:val="22"/>
              </w:rPr>
            </w:pPr>
            <w:r w:rsidRPr="00BC0C34">
              <w:rPr>
                <w:rFonts w:ascii="Calibri" w:hAnsi="Calibri" w:cs="Calibri"/>
                <w:sz w:val="22"/>
                <w:szCs w:val="22"/>
              </w:rPr>
              <w:t>W zakresie raportowania system musi zapewniać:</w:t>
            </w:r>
          </w:p>
          <w:p w14:paraId="7A9B03C2" w14:textId="20B7FE3A" w:rsidR="00BC0C34" w:rsidRPr="00BC0C34" w:rsidRDefault="00BC0C34" w:rsidP="00BC0C34">
            <w:pPr>
              <w:pStyle w:val="Akapitzlist"/>
              <w:numPr>
                <w:ilvl w:val="0"/>
                <w:numId w:val="49"/>
              </w:numPr>
              <w:rPr>
                <w:rFonts w:ascii="Calibri" w:hAnsi="Calibri" w:cs="Calibri"/>
                <w:sz w:val="22"/>
                <w:szCs w:val="22"/>
              </w:rPr>
            </w:pPr>
            <w:r w:rsidRPr="00BC0C34">
              <w:rPr>
                <w:rFonts w:ascii="Calibri" w:hAnsi="Calibri" w:cs="Calibri"/>
                <w:sz w:val="22"/>
                <w:szCs w:val="22"/>
              </w:rPr>
              <w:t>Generowanie raportów co najmniej w formatach: PDF, CSV.</w:t>
            </w:r>
          </w:p>
          <w:p w14:paraId="27EC2FFA" w14:textId="7A8DDA0D" w:rsidR="00BC0C34" w:rsidRPr="00BC0C34" w:rsidRDefault="00BC0C34" w:rsidP="00BC0C34">
            <w:pPr>
              <w:pStyle w:val="Akapitzlist"/>
              <w:numPr>
                <w:ilvl w:val="0"/>
                <w:numId w:val="49"/>
              </w:numPr>
              <w:rPr>
                <w:rFonts w:ascii="Calibri" w:hAnsi="Calibri" w:cs="Calibri"/>
                <w:sz w:val="22"/>
                <w:szCs w:val="22"/>
              </w:rPr>
            </w:pPr>
            <w:r w:rsidRPr="00BC0C34">
              <w:rPr>
                <w:rFonts w:ascii="Calibri" w:hAnsi="Calibri" w:cs="Calibri"/>
                <w:sz w:val="22"/>
                <w:szCs w:val="22"/>
              </w:rPr>
              <w:t>Predefiniowane zestawy raportów, dla których administrator systemu może modyfikować parametry prezentowania wyników.</w:t>
            </w:r>
          </w:p>
          <w:p w14:paraId="2AF93F19" w14:textId="02970528" w:rsidR="00BC0C34" w:rsidRPr="00BC0C34" w:rsidRDefault="00BC0C34" w:rsidP="00BC0C34">
            <w:pPr>
              <w:pStyle w:val="Akapitzlist"/>
              <w:numPr>
                <w:ilvl w:val="0"/>
                <w:numId w:val="49"/>
              </w:numPr>
              <w:rPr>
                <w:rFonts w:ascii="Calibri" w:hAnsi="Calibri" w:cs="Calibri"/>
                <w:sz w:val="22"/>
                <w:szCs w:val="22"/>
              </w:rPr>
            </w:pPr>
            <w:r w:rsidRPr="00BC0C34">
              <w:rPr>
                <w:rFonts w:ascii="Calibri" w:hAnsi="Calibri" w:cs="Calibri"/>
                <w:sz w:val="22"/>
                <w:szCs w:val="22"/>
              </w:rPr>
              <w:t xml:space="preserve">Funkcję definiowania własnych raportów. </w:t>
            </w:r>
          </w:p>
          <w:p w14:paraId="36F65B2E" w14:textId="5A22F37F" w:rsidR="00BC0C34" w:rsidRPr="00BC0C34" w:rsidRDefault="00BC0C34" w:rsidP="00BC0C34">
            <w:pPr>
              <w:pStyle w:val="Akapitzlist"/>
              <w:numPr>
                <w:ilvl w:val="0"/>
                <w:numId w:val="49"/>
              </w:numPr>
              <w:rPr>
                <w:rFonts w:ascii="Calibri" w:hAnsi="Calibri" w:cs="Calibri"/>
                <w:sz w:val="22"/>
                <w:szCs w:val="22"/>
              </w:rPr>
            </w:pPr>
            <w:r w:rsidRPr="00BC0C34">
              <w:rPr>
                <w:rFonts w:ascii="Calibri" w:hAnsi="Calibri" w:cs="Calibri"/>
                <w:sz w:val="22"/>
                <w:szCs w:val="22"/>
              </w:rPr>
              <w:t>Możliwość spolszczenia raportów.</w:t>
            </w:r>
          </w:p>
          <w:p w14:paraId="7012B8FA" w14:textId="512817EB" w:rsidR="00D5198F" w:rsidRPr="00BC0C34" w:rsidRDefault="00BC0C34" w:rsidP="00BC0C34">
            <w:pPr>
              <w:pStyle w:val="Akapitzlist"/>
              <w:numPr>
                <w:ilvl w:val="0"/>
                <w:numId w:val="49"/>
              </w:numPr>
              <w:rPr>
                <w:rFonts w:ascii="Calibri" w:hAnsi="Calibri" w:cs="Calibri"/>
                <w:sz w:val="22"/>
                <w:szCs w:val="22"/>
              </w:rPr>
            </w:pPr>
            <w:r w:rsidRPr="00BC0C34">
              <w:rPr>
                <w:rFonts w:ascii="Calibri" w:hAnsi="Calibri" w:cs="Calibri"/>
                <w:sz w:val="22"/>
                <w:szCs w:val="22"/>
              </w:rPr>
              <w:t>Generowanie raportów w sposób cykliczny lub na żądanie, z możliwością automatycznego przesłania wyników na  określony adres lub adresy email</w:t>
            </w:r>
          </w:p>
        </w:tc>
      </w:tr>
      <w:tr w:rsidR="00D5198F" w14:paraId="0C27EC02" w14:textId="77777777" w:rsidTr="001148BF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32C" w14:textId="77777777" w:rsidR="00D5198F" w:rsidRDefault="00D5198F" w:rsidP="00521F14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FA67" w14:textId="21533B03" w:rsidR="00AE5C0F" w:rsidRPr="00AE5C0F" w:rsidRDefault="00AE5C0F" w:rsidP="00AE5C0F">
            <w:pPr>
              <w:rPr>
                <w:rFonts w:ascii="Calibri" w:hAnsi="Calibri" w:cs="Calibri"/>
                <w:sz w:val="22"/>
                <w:szCs w:val="22"/>
              </w:rPr>
            </w:pPr>
            <w:r w:rsidRPr="00AE5C0F">
              <w:rPr>
                <w:rFonts w:ascii="Calibri" w:hAnsi="Calibri" w:cs="Calibri"/>
                <w:sz w:val="22"/>
                <w:szCs w:val="22"/>
              </w:rPr>
              <w:t>System musi być dostarczony w modelu „na własność” tj. niewykupienie odnowienia licencji wsparcia technicznego dla rozwiązania nie spowoduje zablokowania funkcjonowania systemu a jedynie pozbawi możliwości pobierania aktualizacji oprogramowania.</w:t>
            </w:r>
          </w:p>
          <w:p w14:paraId="447D0B51" w14:textId="65DAFF4D" w:rsidR="00D5198F" w:rsidRPr="001148BF" w:rsidRDefault="00AE5C0F" w:rsidP="00AE5C0F">
            <w:pPr>
              <w:rPr>
                <w:rFonts w:ascii="Calibri" w:hAnsi="Calibri" w:cs="Calibri"/>
                <w:sz w:val="22"/>
                <w:szCs w:val="22"/>
              </w:rPr>
            </w:pPr>
            <w:r w:rsidRPr="00AE5C0F">
              <w:rPr>
                <w:rFonts w:ascii="Calibri" w:hAnsi="Calibri" w:cs="Calibri"/>
                <w:sz w:val="22"/>
                <w:szCs w:val="22"/>
              </w:rPr>
              <w:t>Wsparcie: System musi być objęty serwisem producenta przez okres 36 miesięcy, upoważniającym do aktualizacji oprogramowania oraz wsparcia technicznego w trybie 24x7</w:t>
            </w:r>
          </w:p>
        </w:tc>
      </w:tr>
    </w:tbl>
    <w:p w14:paraId="259B3127" w14:textId="77777777" w:rsidR="00D5198F" w:rsidRPr="00D5198F" w:rsidRDefault="00D5198F" w:rsidP="00D5198F"/>
    <w:sectPr w:rsidR="00D5198F" w:rsidRPr="00D519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6C18" w14:textId="77777777" w:rsidR="00DF3A62" w:rsidRDefault="00DF3A62" w:rsidP="00CA0E76">
      <w:pPr>
        <w:spacing w:after="0" w:line="240" w:lineRule="auto"/>
      </w:pPr>
      <w:r>
        <w:separator/>
      </w:r>
    </w:p>
  </w:endnote>
  <w:endnote w:type="continuationSeparator" w:id="0">
    <w:p w14:paraId="3DB9E6D3" w14:textId="77777777" w:rsidR="00DF3A62" w:rsidRDefault="00DF3A62" w:rsidP="00CA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18D8" w14:textId="77777777" w:rsidR="004D31A2" w:rsidRDefault="004D31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CDE9" w14:textId="77777777" w:rsidR="004D31A2" w:rsidRDefault="004D31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A8C3" w14:textId="77777777" w:rsidR="004D31A2" w:rsidRDefault="004D31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314C" w14:textId="77777777" w:rsidR="00DF3A62" w:rsidRDefault="00DF3A62" w:rsidP="00CA0E76">
      <w:pPr>
        <w:spacing w:after="0" w:line="240" w:lineRule="auto"/>
      </w:pPr>
      <w:r>
        <w:separator/>
      </w:r>
    </w:p>
  </w:footnote>
  <w:footnote w:type="continuationSeparator" w:id="0">
    <w:p w14:paraId="2AD25EB7" w14:textId="77777777" w:rsidR="00DF3A62" w:rsidRDefault="00DF3A62" w:rsidP="00CA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A998" w14:textId="77777777" w:rsidR="004D31A2" w:rsidRDefault="004D31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8636" w14:textId="4A88A696" w:rsidR="00614D92" w:rsidRPr="000F7A40" w:rsidRDefault="006C21AA" w:rsidP="000F7A40">
    <w:pPr>
      <w:pStyle w:val="Nagwek"/>
      <w:jc w:val="right"/>
      <w:rPr>
        <w:i/>
        <w:iCs/>
      </w:rPr>
    </w:pPr>
    <w:r>
      <w:rPr>
        <w:i/>
        <w:iCs/>
      </w:rPr>
      <w:t xml:space="preserve">Załącznik nr </w:t>
    </w:r>
    <w:r w:rsidR="004D31A2">
      <w:rPr>
        <w:i/>
        <w:iCs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F147" w14:textId="77777777" w:rsidR="004D31A2" w:rsidRDefault="004D31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1F2"/>
    <w:multiLevelType w:val="hybridMultilevel"/>
    <w:tmpl w:val="58D65E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02D94"/>
    <w:multiLevelType w:val="hybridMultilevel"/>
    <w:tmpl w:val="664870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52AC2"/>
    <w:multiLevelType w:val="hybridMultilevel"/>
    <w:tmpl w:val="322AD3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80F4C"/>
    <w:multiLevelType w:val="hybridMultilevel"/>
    <w:tmpl w:val="14C8C2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8B67C9"/>
    <w:multiLevelType w:val="hybridMultilevel"/>
    <w:tmpl w:val="FDFC7660"/>
    <w:lvl w:ilvl="0" w:tplc="E4261E0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22952"/>
    <w:multiLevelType w:val="hybridMultilevel"/>
    <w:tmpl w:val="E5C0BA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6B36E2"/>
    <w:multiLevelType w:val="hybridMultilevel"/>
    <w:tmpl w:val="3E86E8BC"/>
    <w:lvl w:ilvl="0" w:tplc="19CE6B0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4677D"/>
    <w:multiLevelType w:val="multilevel"/>
    <w:tmpl w:val="CA3E671E"/>
    <w:lvl w:ilvl="0">
      <w:start w:val="1"/>
      <w:numFmt w:val="bullet"/>
      <w:lvlText w:val="●"/>
      <w:lvlJc w:val="left"/>
      <w:pPr>
        <w:tabs>
          <w:tab w:val="num" w:pos="0"/>
        </w:tabs>
        <w:ind w:left="77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1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3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7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9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3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11D24D7B"/>
    <w:multiLevelType w:val="hybridMultilevel"/>
    <w:tmpl w:val="6C8A7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6D0E54"/>
    <w:multiLevelType w:val="hybridMultilevel"/>
    <w:tmpl w:val="C6DEA5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925320"/>
    <w:multiLevelType w:val="hybridMultilevel"/>
    <w:tmpl w:val="5C3A96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B57C36"/>
    <w:multiLevelType w:val="hybridMultilevel"/>
    <w:tmpl w:val="12406C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3570C2"/>
    <w:multiLevelType w:val="hybridMultilevel"/>
    <w:tmpl w:val="2D94D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D7599"/>
    <w:multiLevelType w:val="hybridMultilevel"/>
    <w:tmpl w:val="5D1EC6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E21320"/>
    <w:multiLevelType w:val="hybridMultilevel"/>
    <w:tmpl w:val="DE1ED9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835317"/>
    <w:multiLevelType w:val="hybridMultilevel"/>
    <w:tmpl w:val="E4229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257D"/>
    <w:multiLevelType w:val="hybridMultilevel"/>
    <w:tmpl w:val="DC262B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08533F"/>
    <w:multiLevelType w:val="hybridMultilevel"/>
    <w:tmpl w:val="A95848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87A05"/>
    <w:multiLevelType w:val="multilevel"/>
    <w:tmpl w:val="E0EEBBE2"/>
    <w:lvl w:ilvl="0">
      <w:start w:val="1"/>
      <w:numFmt w:val="bullet"/>
      <w:lvlText w:val="●"/>
      <w:lvlJc w:val="left"/>
      <w:pPr>
        <w:tabs>
          <w:tab w:val="num" w:pos="0"/>
        </w:tabs>
        <w:ind w:left="77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1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3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7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9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30" w:hanging="360"/>
      </w:pPr>
      <w:rPr>
        <w:rFonts w:ascii="Noto Sans Symbols" w:hAnsi="Noto Sans Symbols" w:cs="Noto Sans Symbols" w:hint="default"/>
      </w:rPr>
    </w:lvl>
  </w:abstractNum>
  <w:abstractNum w:abstractNumId="19" w15:restartNumberingAfterBreak="0">
    <w:nsid w:val="2E8D0350"/>
    <w:multiLevelType w:val="hybridMultilevel"/>
    <w:tmpl w:val="7D1E74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4500D2"/>
    <w:multiLevelType w:val="hybridMultilevel"/>
    <w:tmpl w:val="8334CA7C"/>
    <w:lvl w:ilvl="0" w:tplc="B1626E92">
      <w:start w:val="1"/>
      <w:numFmt w:val="decimal"/>
      <w:lvlText w:val="%1)"/>
      <w:lvlJc w:val="left"/>
      <w:pPr>
        <w:ind w:left="644" w:hanging="360"/>
      </w:pPr>
      <w:rPr>
        <w:rFonts w:asciiTheme="majorHAnsi" w:hAnsiTheme="majorHAnsi" w:cstheme="majorHAns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501AA"/>
    <w:multiLevelType w:val="hybridMultilevel"/>
    <w:tmpl w:val="15664E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510F1B"/>
    <w:multiLevelType w:val="hybridMultilevel"/>
    <w:tmpl w:val="3F1C96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37CF3"/>
    <w:multiLevelType w:val="hybridMultilevel"/>
    <w:tmpl w:val="8C980C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CF6F2C"/>
    <w:multiLevelType w:val="hybridMultilevel"/>
    <w:tmpl w:val="8B40B9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E96057"/>
    <w:multiLevelType w:val="hybridMultilevel"/>
    <w:tmpl w:val="4CFE32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8D476B"/>
    <w:multiLevelType w:val="hybridMultilevel"/>
    <w:tmpl w:val="4FDAB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C44F9E"/>
    <w:multiLevelType w:val="hybridMultilevel"/>
    <w:tmpl w:val="4F781D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3638F0"/>
    <w:multiLevelType w:val="hybridMultilevel"/>
    <w:tmpl w:val="076276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33CA6"/>
    <w:multiLevelType w:val="hybridMultilevel"/>
    <w:tmpl w:val="66B6F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95BFF"/>
    <w:multiLevelType w:val="hybridMultilevel"/>
    <w:tmpl w:val="058C0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90A97"/>
    <w:multiLevelType w:val="hybridMultilevel"/>
    <w:tmpl w:val="E2BCE5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300477"/>
    <w:multiLevelType w:val="hybridMultilevel"/>
    <w:tmpl w:val="17DE18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945001"/>
    <w:multiLevelType w:val="hybridMultilevel"/>
    <w:tmpl w:val="0F3845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B77C84"/>
    <w:multiLevelType w:val="hybridMultilevel"/>
    <w:tmpl w:val="FE6032A8"/>
    <w:lvl w:ilvl="0" w:tplc="87343A1E">
      <w:start w:val="2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B418A"/>
    <w:multiLevelType w:val="hybridMultilevel"/>
    <w:tmpl w:val="32262C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EB3614"/>
    <w:multiLevelType w:val="hybridMultilevel"/>
    <w:tmpl w:val="A6B86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314E2"/>
    <w:multiLevelType w:val="hybridMultilevel"/>
    <w:tmpl w:val="CB32F5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073ACE"/>
    <w:multiLevelType w:val="hybridMultilevel"/>
    <w:tmpl w:val="495A5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575C2"/>
    <w:multiLevelType w:val="hybridMultilevel"/>
    <w:tmpl w:val="A82ACA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DC3B83"/>
    <w:multiLevelType w:val="hybridMultilevel"/>
    <w:tmpl w:val="A2E22E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C35AB1"/>
    <w:multiLevelType w:val="hybridMultilevel"/>
    <w:tmpl w:val="19BEF9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CB242B"/>
    <w:multiLevelType w:val="hybridMultilevel"/>
    <w:tmpl w:val="9D6830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D62E14"/>
    <w:multiLevelType w:val="hybridMultilevel"/>
    <w:tmpl w:val="E4B81B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5E70E0"/>
    <w:multiLevelType w:val="hybridMultilevel"/>
    <w:tmpl w:val="0F7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E76F5"/>
    <w:multiLevelType w:val="hybridMultilevel"/>
    <w:tmpl w:val="E7CE47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135655"/>
    <w:multiLevelType w:val="hybridMultilevel"/>
    <w:tmpl w:val="7D4071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5A471F"/>
    <w:multiLevelType w:val="hybridMultilevel"/>
    <w:tmpl w:val="5880B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0370"/>
    <w:multiLevelType w:val="hybridMultilevel"/>
    <w:tmpl w:val="423A07C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A07510"/>
    <w:multiLevelType w:val="hybridMultilevel"/>
    <w:tmpl w:val="72C674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37461193">
    <w:abstractNumId w:val="48"/>
  </w:num>
  <w:num w:numId="2" w16cid:durableId="832112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17056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9063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4513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86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61086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0960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3924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4613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6865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0399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9695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24136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85313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32182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03524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36478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70134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0372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20235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70600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98090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02603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464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80967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67619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8013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9936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1951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19986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52042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60055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9429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25641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97956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740006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9815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934332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4597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7184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44130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000752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0247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25679042">
    <w:abstractNumId w:val="18"/>
  </w:num>
  <w:num w:numId="46" w16cid:durableId="547571065">
    <w:abstractNumId w:val="7"/>
  </w:num>
  <w:num w:numId="47" w16cid:durableId="1649940969">
    <w:abstractNumId w:val="0"/>
  </w:num>
  <w:num w:numId="48" w16cid:durableId="210649828">
    <w:abstractNumId w:val="36"/>
  </w:num>
  <w:num w:numId="49" w16cid:durableId="1113548908">
    <w:abstractNumId w:val="29"/>
  </w:num>
  <w:num w:numId="50" w16cid:durableId="1580359285">
    <w:abstractNumId w:val="4"/>
  </w:num>
  <w:num w:numId="51" w16cid:durableId="997655947">
    <w:abstractNumId w:val="3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02"/>
    <w:rsid w:val="000077BD"/>
    <w:rsid w:val="00012CBD"/>
    <w:rsid w:val="00016A7B"/>
    <w:rsid w:val="0002102F"/>
    <w:rsid w:val="0004270F"/>
    <w:rsid w:val="0005158F"/>
    <w:rsid w:val="000526A8"/>
    <w:rsid w:val="00064AE8"/>
    <w:rsid w:val="00072267"/>
    <w:rsid w:val="000774C9"/>
    <w:rsid w:val="0008329C"/>
    <w:rsid w:val="00084384"/>
    <w:rsid w:val="00085E17"/>
    <w:rsid w:val="00095620"/>
    <w:rsid w:val="000B0B5E"/>
    <w:rsid w:val="000B524C"/>
    <w:rsid w:val="000C04A7"/>
    <w:rsid w:val="000C4F4F"/>
    <w:rsid w:val="000D228F"/>
    <w:rsid w:val="000F7A40"/>
    <w:rsid w:val="001017FE"/>
    <w:rsid w:val="00101F06"/>
    <w:rsid w:val="001148BF"/>
    <w:rsid w:val="001274CA"/>
    <w:rsid w:val="00130B55"/>
    <w:rsid w:val="00142377"/>
    <w:rsid w:val="001551AD"/>
    <w:rsid w:val="0016203E"/>
    <w:rsid w:val="00174B8A"/>
    <w:rsid w:val="00175824"/>
    <w:rsid w:val="00177238"/>
    <w:rsid w:val="00180567"/>
    <w:rsid w:val="001A2CA5"/>
    <w:rsid w:val="001B7F97"/>
    <w:rsid w:val="001C6DD7"/>
    <w:rsid w:val="001D1BBD"/>
    <w:rsid w:val="001D4218"/>
    <w:rsid w:val="001E45E4"/>
    <w:rsid w:val="001E497E"/>
    <w:rsid w:val="001F106F"/>
    <w:rsid w:val="00200812"/>
    <w:rsid w:val="00210517"/>
    <w:rsid w:val="0021590B"/>
    <w:rsid w:val="00242800"/>
    <w:rsid w:val="002A0F07"/>
    <w:rsid w:val="002A576B"/>
    <w:rsid w:val="002B4A33"/>
    <w:rsid w:val="002B6279"/>
    <w:rsid w:val="002D23D2"/>
    <w:rsid w:val="002D5770"/>
    <w:rsid w:val="002D5A98"/>
    <w:rsid w:val="0030589A"/>
    <w:rsid w:val="0031018A"/>
    <w:rsid w:val="0031525C"/>
    <w:rsid w:val="003252B9"/>
    <w:rsid w:val="003330DE"/>
    <w:rsid w:val="00335FD0"/>
    <w:rsid w:val="00350E62"/>
    <w:rsid w:val="0036151A"/>
    <w:rsid w:val="0036566F"/>
    <w:rsid w:val="00382C81"/>
    <w:rsid w:val="003B42FF"/>
    <w:rsid w:val="003B7367"/>
    <w:rsid w:val="003B7E3F"/>
    <w:rsid w:val="003C34AE"/>
    <w:rsid w:val="003D0E4D"/>
    <w:rsid w:val="003D1288"/>
    <w:rsid w:val="003F520B"/>
    <w:rsid w:val="00402738"/>
    <w:rsid w:val="00402EB2"/>
    <w:rsid w:val="0041694F"/>
    <w:rsid w:val="00430F66"/>
    <w:rsid w:val="004347AB"/>
    <w:rsid w:val="0044211D"/>
    <w:rsid w:val="0044477D"/>
    <w:rsid w:val="00445B24"/>
    <w:rsid w:val="00450D2E"/>
    <w:rsid w:val="0046039A"/>
    <w:rsid w:val="004728B6"/>
    <w:rsid w:val="0048293F"/>
    <w:rsid w:val="004842CD"/>
    <w:rsid w:val="004A1C5D"/>
    <w:rsid w:val="004A7816"/>
    <w:rsid w:val="004D31A2"/>
    <w:rsid w:val="004E19E6"/>
    <w:rsid w:val="004E793A"/>
    <w:rsid w:val="005067FA"/>
    <w:rsid w:val="00506D77"/>
    <w:rsid w:val="0051364E"/>
    <w:rsid w:val="00513B8E"/>
    <w:rsid w:val="00521DFB"/>
    <w:rsid w:val="00521F14"/>
    <w:rsid w:val="00532444"/>
    <w:rsid w:val="00537302"/>
    <w:rsid w:val="00543BE2"/>
    <w:rsid w:val="00544549"/>
    <w:rsid w:val="005549F0"/>
    <w:rsid w:val="0058635A"/>
    <w:rsid w:val="00590125"/>
    <w:rsid w:val="00594EB3"/>
    <w:rsid w:val="005B230A"/>
    <w:rsid w:val="005B4E95"/>
    <w:rsid w:val="005B5F2F"/>
    <w:rsid w:val="005C62E3"/>
    <w:rsid w:val="005D0F04"/>
    <w:rsid w:val="005E078A"/>
    <w:rsid w:val="005E7AF7"/>
    <w:rsid w:val="005F031D"/>
    <w:rsid w:val="005F6FDA"/>
    <w:rsid w:val="00604E8B"/>
    <w:rsid w:val="00611A19"/>
    <w:rsid w:val="00611BA4"/>
    <w:rsid w:val="00614D92"/>
    <w:rsid w:val="00627D44"/>
    <w:rsid w:val="00641939"/>
    <w:rsid w:val="006535CE"/>
    <w:rsid w:val="0065720A"/>
    <w:rsid w:val="00671D8E"/>
    <w:rsid w:val="00681CD4"/>
    <w:rsid w:val="00687B2D"/>
    <w:rsid w:val="006A0D74"/>
    <w:rsid w:val="006A7312"/>
    <w:rsid w:val="006B1C6C"/>
    <w:rsid w:val="006C21AA"/>
    <w:rsid w:val="006C28B6"/>
    <w:rsid w:val="006C2F0E"/>
    <w:rsid w:val="006C52DE"/>
    <w:rsid w:val="006F70FB"/>
    <w:rsid w:val="007050E7"/>
    <w:rsid w:val="00710EA7"/>
    <w:rsid w:val="00711A98"/>
    <w:rsid w:val="0071224D"/>
    <w:rsid w:val="007142F7"/>
    <w:rsid w:val="00717C53"/>
    <w:rsid w:val="0072042C"/>
    <w:rsid w:val="00721100"/>
    <w:rsid w:val="00724BBC"/>
    <w:rsid w:val="00731F2C"/>
    <w:rsid w:val="00733027"/>
    <w:rsid w:val="0073607B"/>
    <w:rsid w:val="00746D28"/>
    <w:rsid w:val="00747C93"/>
    <w:rsid w:val="007517F4"/>
    <w:rsid w:val="00753032"/>
    <w:rsid w:val="00755E8F"/>
    <w:rsid w:val="0076031F"/>
    <w:rsid w:val="007616DD"/>
    <w:rsid w:val="0077041B"/>
    <w:rsid w:val="007705B9"/>
    <w:rsid w:val="00770D7F"/>
    <w:rsid w:val="00774B95"/>
    <w:rsid w:val="007762C1"/>
    <w:rsid w:val="0078109B"/>
    <w:rsid w:val="007827B8"/>
    <w:rsid w:val="00783981"/>
    <w:rsid w:val="00794B50"/>
    <w:rsid w:val="007950F2"/>
    <w:rsid w:val="007A2C48"/>
    <w:rsid w:val="007A722F"/>
    <w:rsid w:val="007B39A0"/>
    <w:rsid w:val="007B5B09"/>
    <w:rsid w:val="007B65FD"/>
    <w:rsid w:val="007B77AE"/>
    <w:rsid w:val="007E48B4"/>
    <w:rsid w:val="00800CA4"/>
    <w:rsid w:val="00801FD8"/>
    <w:rsid w:val="0080295B"/>
    <w:rsid w:val="00821702"/>
    <w:rsid w:val="00830D8F"/>
    <w:rsid w:val="00831396"/>
    <w:rsid w:val="0083345A"/>
    <w:rsid w:val="00841C44"/>
    <w:rsid w:val="00842F31"/>
    <w:rsid w:val="00850F85"/>
    <w:rsid w:val="00855308"/>
    <w:rsid w:val="00871137"/>
    <w:rsid w:val="0088220A"/>
    <w:rsid w:val="00893371"/>
    <w:rsid w:val="008967E3"/>
    <w:rsid w:val="00897B57"/>
    <w:rsid w:val="008B1DAC"/>
    <w:rsid w:val="008B36EA"/>
    <w:rsid w:val="008C6073"/>
    <w:rsid w:val="008C7F85"/>
    <w:rsid w:val="008D069D"/>
    <w:rsid w:val="008E4EBF"/>
    <w:rsid w:val="008E61B6"/>
    <w:rsid w:val="008F1F82"/>
    <w:rsid w:val="008F7B12"/>
    <w:rsid w:val="009065EF"/>
    <w:rsid w:val="00910EEA"/>
    <w:rsid w:val="00927106"/>
    <w:rsid w:val="009451C7"/>
    <w:rsid w:val="00950834"/>
    <w:rsid w:val="00952115"/>
    <w:rsid w:val="009547BF"/>
    <w:rsid w:val="009558AE"/>
    <w:rsid w:val="00967C2A"/>
    <w:rsid w:val="009752F0"/>
    <w:rsid w:val="00983221"/>
    <w:rsid w:val="00992B29"/>
    <w:rsid w:val="009B2687"/>
    <w:rsid w:val="009D5151"/>
    <w:rsid w:val="009D5679"/>
    <w:rsid w:val="009D6DC8"/>
    <w:rsid w:val="009E4CBF"/>
    <w:rsid w:val="009F2CB1"/>
    <w:rsid w:val="00A0165C"/>
    <w:rsid w:val="00A44045"/>
    <w:rsid w:val="00A50456"/>
    <w:rsid w:val="00A5554D"/>
    <w:rsid w:val="00A657E8"/>
    <w:rsid w:val="00A71592"/>
    <w:rsid w:val="00A73207"/>
    <w:rsid w:val="00A779B4"/>
    <w:rsid w:val="00A80367"/>
    <w:rsid w:val="00A87A1B"/>
    <w:rsid w:val="00A9085C"/>
    <w:rsid w:val="00AA55CA"/>
    <w:rsid w:val="00AB0EA4"/>
    <w:rsid w:val="00AC34A4"/>
    <w:rsid w:val="00AC722B"/>
    <w:rsid w:val="00AD2CF3"/>
    <w:rsid w:val="00AE2670"/>
    <w:rsid w:val="00AE2C60"/>
    <w:rsid w:val="00AE5B31"/>
    <w:rsid w:val="00AE5C0F"/>
    <w:rsid w:val="00AF1506"/>
    <w:rsid w:val="00B0419F"/>
    <w:rsid w:val="00B14A70"/>
    <w:rsid w:val="00B1599B"/>
    <w:rsid w:val="00B311F5"/>
    <w:rsid w:val="00B574E0"/>
    <w:rsid w:val="00B61EDD"/>
    <w:rsid w:val="00B6205D"/>
    <w:rsid w:val="00B714C5"/>
    <w:rsid w:val="00B90E73"/>
    <w:rsid w:val="00B91073"/>
    <w:rsid w:val="00B930D9"/>
    <w:rsid w:val="00B97E0A"/>
    <w:rsid w:val="00BA06CE"/>
    <w:rsid w:val="00BA7420"/>
    <w:rsid w:val="00BA7762"/>
    <w:rsid w:val="00BB28D6"/>
    <w:rsid w:val="00BB3C1A"/>
    <w:rsid w:val="00BC0C34"/>
    <w:rsid w:val="00BC16AF"/>
    <w:rsid w:val="00BC7321"/>
    <w:rsid w:val="00BD5AB4"/>
    <w:rsid w:val="00BD5E94"/>
    <w:rsid w:val="00BD67B6"/>
    <w:rsid w:val="00BD69B5"/>
    <w:rsid w:val="00BE176F"/>
    <w:rsid w:val="00BF080A"/>
    <w:rsid w:val="00BF66A7"/>
    <w:rsid w:val="00C06B50"/>
    <w:rsid w:val="00C2068C"/>
    <w:rsid w:val="00C2539B"/>
    <w:rsid w:val="00C25753"/>
    <w:rsid w:val="00C25BD4"/>
    <w:rsid w:val="00C55A9E"/>
    <w:rsid w:val="00C71ED3"/>
    <w:rsid w:val="00C913A1"/>
    <w:rsid w:val="00C92308"/>
    <w:rsid w:val="00CA0E76"/>
    <w:rsid w:val="00CB1D78"/>
    <w:rsid w:val="00CB446D"/>
    <w:rsid w:val="00CB71B5"/>
    <w:rsid w:val="00CD7BF2"/>
    <w:rsid w:val="00CE4A45"/>
    <w:rsid w:val="00CE4C31"/>
    <w:rsid w:val="00CF0CC8"/>
    <w:rsid w:val="00D00754"/>
    <w:rsid w:val="00D00FC5"/>
    <w:rsid w:val="00D247CB"/>
    <w:rsid w:val="00D26D35"/>
    <w:rsid w:val="00D346AC"/>
    <w:rsid w:val="00D3710D"/>
    <w:rsid w:val="00D5198F"/>
    <w:rsid w:val="00D614EC"/>
    <w:rsid w:val="00D62A66"/>
    <w:rsid w:val="00D80481"/>
    <w:rsid w:val="00D85535"/>
    <w:rsid w:val="00D86148"/>
    <w:rsid w:val="00DA253C"/>
    <w:rsid w:val="00DA2817"/>
    <w:rsid w:val="00DA3C79"/>
    <w:rsid w:val="00DB5BDF"/>
    <w:rsid w:val="00DB65D7"/>
    <w:rsid w:val="00DD5A81"/>
    <w:rsid w:val="00DF3A62"/>
    <w:rsid w:val="00E20F2E"/>
    <w:rsid w:val="00E22849"/>
    <w:rsid w:val="00E25A16"/>
    <w:rsid w:val="00E26985"/>
    <w:rsid w:val="00E35CC4"/>
    <w:rsid w:val="00E417E5"/>
    <w:rsid w:val="00E41B9E"/>
    <w:rsid w:val="00E426C1"/>
    <w:rsid w:val="00E46625"/>
    <w:rsid w:val="00E54887"/>
    <w:rsid w:val="00E54BB1"/>
    <w:rsid w:val="00E54E24"/>
    <w:rsid w:val="00E6493C"/>
    <w:rsid w:val="00E725C4"/>
    <w:rsid w:val="00E7649B"/>
    <w:rsid w:val="00E92123"/>
    <w:rsid w:val="00E96A03"/>
    <w:rsid w:val="00EB0118"/>
    <w:rsid w:val="00EC0FFF"/>
    <w:rsid w:val="00ED1159"/>
    <w:rsid w:val="00ED621F"/>
    <w:rsid w:val="00EE38B1"/>
    <w:rsid w:val="00EF3EB6"/>
    <w:rsid w:val="00F023C9"/>
    <w:rsid w:val="00F11509"/>
    <w:rsid w:val="00F1376E"/>
    <w:rsid w:val="00F2273D"/>
    <w:rsid w:val="00F23BD0"/>
    <w:rsid w:val="00F30A20"/>
    <w:rsid w:val="00F44108"/>
    <w:rsid w:val="00F6727B"/>
    <w:rsid w:val="00F774AB"/>
    <w:rsid w:val="00F832D6"/>
    <w:rsid w:val="00F840B3"/>
    <w:rsid w:val="00F9598A"/>
    <w:rsid w:val="00FA547E"/>
    <w:rsid w:val="00FB0DB4"/>
    <w:rsid w:val="00FB4020"/>
    <w:rsid w:val="00FB4D7F"/>
    <w:rsid w:val="00FC06AD"/>
    <w:rsid w:val="00FC13AC"/>
    <w:rsid w:val="00FC5533"/>
    <w:rsid w:val="00FC7279"/>
    <w:rsid w:val="00FC780A"/>
    <w:rsid w:val="00FD1527"/>
    <w:rsid w:val="00FD6EAB"/>
    <w:rsid w:val="00FE162E"/>
    <w:rsid w:val="00FE51E0"/>
    <w:rsid w:val="00FE5E82"/>
    <w:rsid w:val="00FF73B7"/>
    <w:rsid w:val="017A38B8"/>
    <w:rsid w:val="020691D9"/>
    <w:rsid w:val="0281444B"/>
    <w:rsid w:val="0462E286"/>
    <w:rsid w:val="07267D69"/>
    <w:rsid w:val="0D41DFB1"/>
    <w:rsid w:val="0F63FFAC"/>
    <w:rsid w:val="0FE6FB11"/>
    <w:rsid w:val="13F08C90"/>
    <w:rsid w:val="14CA9C5F"/>
    <w:rsid w:val="15B22593"/>
    <w:rsid w:val="168916BE"/>
    <w:rsid w:val="182D6597"/>
    <w:rsid w:val="193146D3"/>
    <w:rsid w:val="1C89BB64"/>
    <w:rsid w:val="221B1017"/>
    <w:rsid w:val="22AD4A44"/>
    <w:rsid w:val="2782F817"/>
    <w:rsid w:val="2D02934F"/>
    <w:rsid w:val="2DD9C200"/>
    <w:rsid w:val="355841F0"/>
    <w:rsid w:val="3623CA21"/>
    <w:rsid w:val="370A289B"/>
    <w:rsid w:val="39B6D769"/>
    <w:rsid w:val="3A9F468A"/>
    <w:rsid w:val="3CE5C182"/>
    <w:rsid w:val="3F35E4BA"/>
    <w:rsid w:val="46CF348F"/>
    <w:rsid w:val="49DDC98D"/>
    <w:rsid w:val="4AEE462D"/>
    <w:rsid w:val="4AF974CD"/>
    <w:rsid w:val="4C2BDAD6"/>
    <w:rsid w:val="4C4A54F1"/>
    <w:rsid w:val="515AD995"/>
    <w:rsid w:val="5455E40D"/>
    <w:rsid w:val="56A8F818"/>
    <w:rsid w:val="5A4FBB86"/>
    <w:rsid w:val="5A9983DE"/>
    <w:rsid w:val="5B2ED063"/>
    <w:rsid w:val="62067516"/>
    <w:rsid w:val="63676083"/>
    <w:rsid w:val="641C7CE6"/>
    <w:rsid w:val="67D468A7"/>
    <w:rsid w:val="68B8DF96"/>
    <w:rsid w:val="6BE2DBC9"/>
    <w:rsid w:val="6DDA5F64"/>
    <w:rsid w:val="6F216B1D"/>
    <w:rsid w:val="77D8CF1F"/>
    <w:rsid w:val="785CC34A"/>
    <w:rsid w:val="7E06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DBBD1"/>
  <w15:docId w15:val="{AE66FCD4-1963-41DF-94DF-E753E0C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C81"/>
  </w:style>
  <w:style w:type="paragraph" w:styleId="Nagwek1">
    <w:name w:val="heading 1"/>
    <w:basedOn w:val="Normalny"/>
    <w:next w:val="Normalny"/>
    <w:link w:val="Nagwek1Znak"/>
    <w:uiPriority w:val="9"/>
    <w:qFormat/>
    <w:rsid w:val="00FE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1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1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1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1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1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1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aliases w:val="Numerowanie,Akapit z listą BS,lp1,Preambuła,L1,T_SZ_List Paragraph,Akapit z listą5,Podsis rysunku,Bullet Number,List Paragraph2,ISCG Numerowanie,lp11,List Paragraph11,Bullet 1,Use Case List Paragraph,Body MS Bullet,CW_Lista,Akapit normaln"/>
    <w:basedOn w:val="Normalny"/>
    <w:link w:val="AkapitzlistZnak"/>
    <w:uiPriority w:val="34"/>
    <w:qFormat/>
    <w:rsid w:val="00FE51E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E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1E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1E0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E51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1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D1BB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1BBD"/>
    <w:rPr>
      <w:color w:val="954F72"/>
      <w:u w:val="single"/>
    </w:rPr>
  </w:style>
  <w:style w:type="paragraph" w:customStyle="1" w:styleId="msonormal0">
    <w:name w:val="msonormal"/>
    <w:basedOn w:val="Normalny"/>
    <w:rsid w:val="001D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3">
    <w:name w:val="xl63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64">
    <w:name w:val="xl64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9">
    <w:name w:val="xl69"/>
    <w:basedOn w:val="Normalny"/>
    <w:rsid w:val="001D1BB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A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E76"/>
  </w:style>
  <w:style w:type="paragraph" w:styleId="Stopka">
    <w:name w:val="footer"/>
    <w:basedOn w:val="Normalny"/>
    <w:link w:val="StopkaZnak"/>
    <w:uiPriority w:val="99"/>
    <w:unhideWhenUsed/>
    <w:rsid w:val="00CA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E76"/>
  </w:style>
  <w:style w:type="character" w:customStyle="1" w:styleId="AkapitzlistZnak">
    <w:name w:val="Akapit z listą Znak"/>
    <w:aliases w:val="Numerowanie Znak,Akapit z listą BS Znak,lp1 Znak,Preambuła Znak,L1 Znak,T_SZ_List Paragraph Znak,Akapit z listą5 Znak,Podsis rysunku Znak,Bullet Number Znak,List Paragraph2 Znak,ISCG Numerowanie Znak,lp11 Znak,List Paragraph11 Znak"/>
    <w:link w:val="Akapitzlist"/>
    <w:uiPriority w:val="34"/>
    <w:qFormat/>
    <w:locked/>
    <w:rsid w:val="000F7A40"/>
  </w:style>
  <w:style w:type="paragraph" w:customStyle="1" w:styleId="p1">
    <w:name w:val="p1"/>
    <w:basedOn w:val="Normalny"/>
    <w:rsid w:val="0085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2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26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67C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ae352-e2a3-4100-96d9-a2a1e47e4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66CC7BBCA0534E886917F49C7C51D7" ma:contentTypeVersion="5" ma:contentTypeDescription="Utwórz nowy dokument." ma:contentTypeScope="" ma:versionID="b3d21c7644bc757346e08ba871143b72">
  <xsd:schema xmlns:xsd="http://www.w3.org/2001/XMLSchema" xmlns:xs="http://www.w3.org/2001/XMLSchema" xmlns:p="http://schemas.microsoft.com/office/2006/metadata/properties" xmlns:ns3="458ae352-e2a3-4100-96d9-a2a1e47e47a5" targetNamespace="http://schemas.microsoft.com/office/2006/metadata/properties" ma:root="true" ma:fieldsID="f4ba7d734253b5392af62cc4a5754218" ns3:_="">
    <xsd:import namespace="458ae352-e2a3-4100-96d9-a2a1e47e47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e352-e2a3-4100-96d9-a2a1e47e47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2C317-61A7-4F5A-9296-4FB025345AD3}">
  <ds:schemaRefs>
    <ds:schemaRef ds:uri="http://schemas.microsoft.com/office/2006/metadata/properties"/>
    <ds:schemaRef ds:uri="http://schemas.microsoft.com/office/infopath/2007/PartnerControls"/>
    <ds:schemaRef ds:uri="458ae352-e2a3-4100-96d9-a2a1e47e47a5"/>
  </ds:schemaRefs>
</ds:datastoreItem>
</file>

<file path=customXml/itemProps2.xml><?xml version="1.0" encoding="utf-8"?>
<ds:datastoreItem xmlns:ds="http://schemas.openxmlformats.org/officeDocument/2006/customXml" ds:itemID="{64911C12-FE30-45B6-A714-8DE6321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e352-e2a3-4100-96d9-a2a1e47e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CF7D4-E109-4F6B-9819-ED9E5F848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3417</Words>
  <Characters>20505</Characters>
  <Application>Microsoft Office Word</Application>
  <DocSecurity>0</DocSecurity>
  <Lines>170</Lines>
  <Paragraphs>47</Paragraphs>
  <ScaleCrop>false</ScaleCrop>
  <Company/>
  <LinksUpToDate>false</LinksUpToDate>
  <CharactersWithSpaces>23875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Rafał Przybysz</cp:lastModifiedBy>
  <cp:revision>136</cp:revision>
  <cp:lastPrinted>2025-11-06T02:10:00Z</cp:lastPrinted>
  <dcterms:created xsi:type="dcterms:W3CDTF">2025-12-03T02:40:00Z</dcterms:created>
  <dcterms:modified xsi:type="dcterms:W3CDTF">2025-12-10T14:23:00Z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0x0101002C66CC7BBCA0534E886917F49C7C51D7</vt:lpwstr>
  </property>
</Properties>
</file>