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AE27" w14:textId="7110481B" w:rsidR="00382C81" w:rsidRDefault="00BF080A" w:rsidP="00967C2A">
      <w:pPr>
        <w:pStyle w:val="Nagwek1"/>
        <w:numPr>
          <w:ilvl w:val="0"/>
          <w:numId w:val="1"/>
        </w:numPr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</w:pPr>
      <w:r w:rsidRPr="00BC16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WYMAGANIA ORAZ ZAKRES ZAMÓWIENIA </w:t>
      </w:r>
    </w:p>
    <w:p w14:paraId="1076FAD0" w14:textId="186ABD95" w:rsidR="00967C2A" w:rsidRPr="00967C2A" w:rsidRDefault="00967C2A" w:rsidP="00967C2A">
      <w:pPr>
        <w:pStyle w:val="Nagwek1"/>
        <w:numPr>
          <w:ilvl w:val="0"/>
          <w:numId w:val="3"/>
        </w:numPr>
        <w:spacing w:before="240" w:after="120" w:line="276" w:lineRule="auto"/>
        <w:ind w:left="714" w:hanging="35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Integracja HIS z Systemem Informatycznym Monitorowania Profilaktyki - licencja, wdrożenie, nadzór autorski (3 lata)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66"/>
        <w:gridCol w:w="7801"/>
      </w:tblGrid>
      <w:tr w:rsidR="00967C2A" w14:paraId="0F6927F8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345004D" w14:textId="77777777" w:rsidR="00967C2A" w:rsidRDefault="00967C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Nr wymagania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92945D8" w14:textId="77777777" w:rsidR="00967C2A" w:rsidRDefault="00967C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Opis wymagań</w:t>
            </w:r>
          </w:p>
        </w:tc>
      </w:tr>
      <w:tr w:rsidR="00967C2A" w14:paraId="799F830D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1DEA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79E1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System musi umożliwiać gromadzenie i przetwarzanie danych o zrealizowanych badaniach w ramach programów profilaktycznych NFZ </w:t>
            </w:r>
          </w:p>
        </w:tc>
      </w:tr>
      <w:tr w:rsidR="00967C2A" w14:paraId="186AA2E9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383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0A4B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System musi zapewniać walidację danych na poziomie systemu HIS.</w:t>
            </w:r>
          </w:p>
        </w:tc>
      </w:tr>
      <w:tr w:rsidR="00967C2A" w14:paraId="75C14D02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78F2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AD83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System musi wspierać wypełnianie ankiet danymi pacjenta zaewidencjonowanymi w systemie HIS, w tym danymi osobowymi pacjenta, wynikami badań oraz pomiarów.</w:t>
            </w:r>
          </w:p>
        </w:tc>
      </w:tr>
      <w:tr w:rsidR="00967C2A" w14:paraId="2513AD8C" w14:textId="77777777" w:rsidTr="00967C2A">
        <w:trPr>
          <w:trHeight w:val="72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3E70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A25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System musi umożliwiać ewidencję badań realizowanych w ramach programów profilaktycznych bez konieczności ręcznego wprowadzania danych na portalu SIMP.</w:t>
            </w:r>
          </w:p>
        </w:tc>
      </w:tr>
      <w:tr w:rsidR="00967C2A" w14:paraId="330E2F11" w14:textId="77777777" w:rsidTr="00967C2A">
        <w:trPr>
          <w:trHeight w:val="72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9EDC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574F" w14:textId="77777777" w:rsidR="00967C2A" w:rsidRDefault="00967C2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Dane do systemu SIMP są przekazywane za pośrednictwem Platformy Integracyjnej.</w:t>
            </w:r>
          </w:p>
        </w:tc>
      </w:tr>
      <w:tr w:rsidR="00967C2A" w14:paraId="55EF783E" w14:textId="77777777" w:rsidTr="00967C2A">
        <w:trPr>
          <w:trHeight w:val="72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FF3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8FC6" w14:textId="77777777" w:rsidR="00967C2A" w:rsidRDefault="00967C2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System Informatyczny Monitorowania Profilaktyki (SIMP) - dane z HIS muszą być przekazywane do SIMP w postaci pliku XML za pośrednictwem usługi udostępnionej przez NFZ.</w:t>
            </w:r>
          </w:p>
        </w:tc>
      </w:tr>
      <w:tr w:rsidR="00967C2A" w14:paraId="497D4E07" w14:textId="77777777" w:rsidTr="00967C2A">
        <w:trPr>
          <w:trHeight w:val="72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D024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EB52" w14:textId="77777777" w:rsidR="00967C2A" w:rsidRDefault="00967C2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Funkcjonalność musi korzystać z danych osobowych pacjenta oraz z danych pobytu pacjenta w zakresie wyników badań i pomiarów.</w:t>
            </w:r>
          </w:p>
        </w:tc>
      </w:tr>
      <w:tr w:rsidR="00967C2A" w14:paraId="7F1DA266" w14:textId="77777777" w:rsidTr="00967C2A">
        <w:trPr>
          <w:trHeight w:val="72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46F2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9B09" w14:textId="77777777" w:rsidR="00967C2A" w:rsidRDefault="00967C2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Integracja z SIMP musi wykorzystywać konfigurację komunikacji z systemami NFZ definiowaną na poziomie HIS.</w:t>
            </w:r>
          </w:p>
        </w:tc>
      </w:tr>
      <w:tr w:rsidR="00967C2A" w14:paraId="79F88D68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261B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A7CF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System musi umożliwiać podpowiadanie danych zaewidencjonowanych w systemie HIS, w szczególności danych osobowych, wyników badań i pomiarów.</w:t>
            </w:r>
          </w:p>
        </w:tc>
      </w:tr>
      <w:tr w:rsidR="00967C2A" w14:paraId="368AB6CB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CD7C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EDE2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System musi umożliwiać autoryzację danych oraz podpisywanie ankiet.</w:t>
            </w:r>
          </w:p>
        </w:tc>
      </w:tr>
      <w:tr w:rsidR="00967C2A" w14:paraId="5DB9418B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4C5D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2B41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System musi umożliwiać zarejestrowanie badania w SIMP.</w:t>
            </w:r>
          </w:p>
        </w:tc>
      </w:tr>
      <w:tr w:rsidR="00967C2A" w14:paraId="5581464F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55AD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A211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System musi pozwalać na przesłanie i poprawne zapisanie w SIMP danych zrealizowanego badania profilaktycznego.</w:t>
            </w:r>
          </w:p>
        </w:tc>
      </w:tr>
      <w:tr w:rsidR="00967C2A" w14:paraId="040CECB7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043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82D4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System musi umożliwiać bieżącą weryfikację statusu badania w SIMP.</w:t>
            </w:r>
          </w:p>
        </w:tc>
      </w:tr>
      <w:tr w:rsidR="00967C2A" w14:paraId="5E5895C2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D8F5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1CD9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System musi poprawnie wyświetlać wynik komunikacji z SIMP.</w:t>
            </w:r>
          </w:p>
        </w:tc>
      </w:tr>
      <w:tr w:rsidR="00967C2A" w14:paraId="1E20AEF9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705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A1BD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System musi umożliwiać korektę błędnie przesłanej ankiety.</w:t>
            </w:r>
          </w:p>
        </w:tc>
      </w:tr>
      <w:tr w:rsidR="00967C2A" w14:paraId="167F69E8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BBB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5465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System musi posiadać licencję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Integracja_SIMP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.</w:t>
            </w:r>
          </w:p>
        </w:tc>
      </w:tr>
      <w:tr w:rsidR="00967C2A" w14:paraId="5298D951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A23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0BAE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System musi zapewniać działającą komunikację z NFZ.</w:t>
            </w:r>
          </w:p>
        </w:tc>
      </w:tr>
      <w:tr w:rsidR="00967C2A" w14:paraId="5DC4AD29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0BA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136A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System musi mieć poprawnie skonfigurowane w AMMS dane logowania do portalu SIMP (parametry: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SzynaIntegr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\SIMP\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Haslo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SzynaIntegr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\SIMP\Login).</w:t>
            </w:r>
          </w:p>
        </w:tc>
      </w:tr>
      <w:tr w:rsidR="00967C2A" w14:paraId="4909FEE7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E10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B26E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System musi mieć zainstalowany na Platformie Integracyjnej moduł SIMP (pakiet Usługi NFZ) wraz z podaniem aktualnego adresu środowiska SIMP.</w:t>
            </w:r>
          </w:p>
        </w:tc>
      </w:tr>
      <w:tr w:rsidR="00967C2A" w14:paraId="5D9AA02B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AEB3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C725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</w:rPr>
              <w:t>System musi działać w jednostce posiadającej aktywną umowę z NFZ w zakresie realizacji Profilaktycznych Programów Zdrowotnych.</w:t>
            </w:r>
          </w:p>
        </w:tc>
      </w:tr>
      <w:tr w:rsidR="00967C2A" w14:paraId="6A2B9169" w14:textId="77777777" w:rsidTr="00967C2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7A3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2EE9" w14:textId="77777777" w:rsidR="00967C2A" w:rsidRDefault="00967C2A">
            <w:pPr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</w:rPr>
              <w:t>System musi mieć nadane w AMMS uprawnienia do eksportu danych do SIMP</w:t>
            </w:r>
          </w:p>
        </w:tc>
      </w:tr>
    </w:tbl>
    <w:p w14:paraId="0713D2C7" w14:textId="608994A5" w:rsidR="00967C2A" w:rsidRPr="00967C2A" w:rsidRDefault="00967C2A" w:rsidP="00967C2A">
      <w:pPr>
        <w:pStyle w:val="Nagwek1"/>
        <w:numPr>
          <w:ilvl w:val="0"/>
          <w:numId w:val="3"/>
        </w:numPr>
        <w:spacing w:before="240" w:after="120" w:line="276" w:lineRule="auto"/>
        <w:ind w:left="714" w:hanging="35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Serwer integracyjny HL7 – wdrożenie i licencje</w:t>
      </w:r>
      <w:r w:rsidR="00246098">
        <w:rPr>
          <w:rFonts w:ascii="Calibri" w:hAnsi="Calibri" w:cs="Calibri"/>
          <w:b/>
          <w:bCs/>
          <w:color w:val="000000" w:themeColor="text1"/>
          <w:sz w:val="22"/>
          <w:szCs w:val="22"/>
        </w:rPr>
        <w:t>, nadzór autorski (3 lata)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649"/>
      </w:tblGrid>
      <w:tr w:rsidR="00967C2A" w14:paraId="77391021" w14:textId="77777777" w:rsidTr="00967C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71AC89F" w14:textId="77777777" w:rsidR="00967C2A" w:rsidRDefault="00967C2A">
            <w:pPr>
              <w:jc w:val="center"/>
              <w:outlineLvl w:val="2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Nr wymagania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98F3D8D" w14:textId="77777777" w:rsidR="00967C2A" w:rsidRDefault="00967C2A">
            <w:pPr>
              <w:jc w:val="center"/>
              <w:outlineLvl w:val="2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Opis wymagań</w:t>
            </w:r>
          </w:p>
        </w:tc>
      </w:tr>
      <w:tr w:rsidR="00967C2A" w14:paraId="5A5C19FA" w14:textId="77777777" w:rsidTr="00967C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DE2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A685" w14:textId="77777777" w:rsidR="00967C2A" w:rsidRDefault="00967C2A">
            <w:pPr>
              <w:jc w:val="both"/>
              <w:outlineLvl w:val="2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zapewniać rozliczalność i rejestrowanie użycia integracji - rejestrowanie szczegółowych danych o użyciu interfejsów przez systemy zewnętrzne: identyfikator systemu, typ operacji, czas, dane wejściowe, status (sukces/błąd).</w:t>
            </w:r>
          </w:p>
        </w:tc>
      </w:tr>
      <w:tr w:rsidR="00967C2A" w14:paraId="48712C44" w14:textId="77777777" w:rsidTr="00967C2A">
        <w:trPr>
          <w:trHeight w:val="13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679C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92B5" w14:textId="77777777" w:rsidR="00967C2A" w:rsidRDefault="00967C2A">
            <w:pPr>
              <w:jc w:val="both"/>
              <w:outlineLvl w:val="2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zapewniać dwa interfejsy komunikacyjne:</w:t>
            </w:r>
          </w:p>
          <w:p w14:paraId="5674E4B9" w14:textId="77777777" w:rsidR="00967C2A" w:rsidRDefault="00967C2A" w:rsidP="00967C2A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interfejs HL7 Messaging zgodny z profilem integracyjnym HIS (wymagane ORM/ORU, struktury pól, format transmisji MLLP, mapowanie danych).</w:t>
            </w:r>
          </w:p>
          <w:p w14:paraId="5D77652C" w14:textId="77777777" w:rsidR="00967C2A" w:rsidRDefault="00967C2A" w:rsidP="00967C2A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interfejs REST API zgodny z profilem integracyjnym HIS — pełna zgodność testowana na specyfikacji HIS.</w:t>
            </w:r>
          </w:p>
        </w:tc>
      </w:tr>
      <w:tr w:rsidR="00967C2A" w14:paraId="7B00724F" w14:textId="77777777" w:rsidTr="00967C2A">
        <w:trPr>
          <w:trHeight w:val="1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FA08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C9C5" w14:textId="77777777" w:rsidR="00967C2A" w:rsidRDefault="00967C2A">
            <w:pPr>
              <w:jc w:val="both"/>
              <w:outlineLvl w:val="2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zapewniać elastyczną konfigurację komunikatów HL7:</w:t>
            </w:r>
          </w:p>
          <w:p w14:paraId="5B103B45" w14:textId="77777777" w:rsidR="00967C2A" w:rsidRDefault="00967C2A" w:rsidP="00967C2A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możliwość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parametrystycznej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konfiguracji zakresu danych (poziom ustawień HIS).</w:t>
            </w:r>
          </w:p>
          <w:p w14:paraId="18BEA275" w14:textId="77777777" w:rsidR="00967C2A" w:rsidRDefault="00967C2A" w:rsidP="00967C2A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możliwość tworzenia 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pl-PL"/>
              </w:rPr>
              <w:t>wariantów komunikatów HL7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poprzez graficzny interfejs — bez zmian kodu źródłowego.</w:t>
            </w:r>
          </w:p>
          <w:p w14:paraId="646B148E" w14:textId="77777777" w:rsidR="00967C2A" w:rsidRDefault="00967C2A" w:rsidP="00967C2A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możliwość wzbogacania danych komunikatu o dane pobierane z REST API Serwera Integracji.</w:t>
            </w:r>
          </w:p>
        </w:tc>
      </w:tr>
      <w:tr w:rsidR="00967C2A" w14:paraId="4E1C2911" w14:textId="77777777" w:rsidTr="00967C2A">
        <w:trPr>
          <w:trHeight w:val="11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206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CDCD" w14:textId="77777777" w:rsidR="00967C2A" w:rsidRDefault="00967C2A">
            <w:pPr>
              <w:jc w:val="both"/>
              <w:outlineLvl w:val="2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zapewniać monitorowanie i diagnostykę:</w:t>
            </w:r>
          </w:p>
          <w:p w14:paraId="788F0158" w14:textId="77777777" w:rsidR="00967C2A" w:rsidRDefault="00967C2A" w:rsidP="00967C2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generowanie metryk i logów zgodnych z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.</w:t>
            </w:r>
          </w:p>
          <w:p w14:paraId="21337EF0" w14:textId="77777777" w:rsidR="00967C2A" w:rsidRDefault="00967C2A" w:rsidP="00967C2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obsługa błędów, zdarzeń oraz diagnostyki aplikacji integracyjnych.</w:t>
            </w:r>
          </w:p>
          <w:p w14:paraId="4F997B4D" w14:textId="77777777" w:rsidR="00967C2A" w:rsidRDefault="00967C2A" w:rsidP="00967C2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możliwość wizualizacji (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Grafana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po stronie klienta).</w:t>
            </w:r>
          </w:p>
        </w:tc>
      </w:tr>
      <w:tr w:rsidR="00967C2A" w14:paraId="606525E2" w14:textId="77777777" w:rsidTr="00967C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40D4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BBB6" w14:textId="77777777" w:rsidR="00967C2A" w:rsidRDefault="00967C2A">
            <w:pPr>
              <w:jc w:val="both"/>
              <w:outlineLvl w:val="2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zapewniać obsługę dokumentów elektronicznych (EDM) - wymagana integracja z Repozytorium EDM poprzez dedykowany interfejs.</w:t>
            </w:r>
          </w:p>
        </w:tc>
      </w:tr>
      <w:tr w:rsidR="00967C2A" w14:paraId="42498A90" w14:textId="77777777" w:rsidTr="00967C2A">
        <w:trPr>
          <w:trHeight w:val="7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372E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9EA6" w14:textId="77777777" w:rsidR="00967C2A" w:rsidRDefault="00967C2A">
            <w:pPr>
              <w:jc w:val="both"/>
              <w:outlineLvl w:val="2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zapewniać zgodność środowiskową:</w:t>
            </w:r>
          </w:p>
          <w:p w14:paraId="5B433652" w14:textId="77777777" w:rsidR="00967C2A" w:rsidRDefault="00967C2A" w:rsidP="00967C2A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outlineLvl w:val="2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działać na Windows i Linux.</w:t>
            </w:r>
          </w:p>
          <w:p w14:paraId="3C87D6D5" w14:textId="77777777" w:rsidR="00967C2A" w:rsidRDefault="00967C2A" w:rsidP="00967C2A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dostarczenie aplikacji jako obrazy kontenerowe zgodne z Docker.</w:t>
            </w:r>
          </w:p>
        </w:tc>
      </w:tr>
      <w:tr w:rsidR="00967C2A" w14:paraId="49766B77" w14:textId="77777777" w:rsidTr="00967C2A">
        <w:trPr>
          <w:trHeight w:val="1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058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7520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wymaga:</w:t>
            </w:r>
          </w:p>
          <w:p w14:paraId="1A7F3F91" w14:textId="77777777" w:rsidR="00967C2A" w:rsidRDefault="00967C2A" w:rsidP="00967C2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outlineLvl w:val="2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Działającego i skonfigurowanego systemu HIS (AMMS) jako źródła danych.</w:t>
            </w:r>
          </w:p>
          <w:p w14:paraId="1EB66995" w14:textId="77777777" w:rsidR="00967C2A" w:rsidRDefault="00967C2A" w:rsidP="00967C2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outlineLvl w:val="2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Działającego Repozytorium EDM / AMDX z interfejsem EDM.</w:t>
            </w:r>
          </w:p>
          <w:p w14:paraId="56FD2CAE" w14:textId="77777777" w:rsidR="00967C2A" w:rsidRDefault="00967C2A" w:rsidP="00967C2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outlineLvl w:val="2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Systemu monitorującego AMMS_MONITORING z obsługą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.</w:t>
            </w:r>
          </w:p>
          <w:p w14:paraId="49A7E7DA" w14:textId="77777777" w:rsidR="00967C2A" w:rsidRDefault="00967C2A" w:rsidP="00967C2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outlineLvl w:val="2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Zewnętrznych systemów, które będą źródłem/odbiorcą danych — uruchomionych i gotowych do integracji.</w:t>
            </w:r>
          </w:p>
        </w:tc>
      </w:tr>
      <w:tr w:rsidR="00967C2A" w14:paraId="02C06B51" w14:textId="77777777" w:rsidTr="00967C2A">
        <w:trPr>
          <w:trHeight w:val="1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82D4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ED9B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musi:</w:t>
            </w:r>
          </w:p>
          <w:p w14:paraId="47405768" w14:textId="77777777" w:rsidR="00967C2A" w:rsidRDefault="00967C2A" w:rsidP="00967C2A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rejestrować szczegółowe dane o użyciu integracji przez systemy zewnętrzne.</w:t>
            </w:r>
          </w:p>
          <w:p w14:paraId="0A66139E" w14:textId="77777777" w:rsidR="00967C2A" w:rsidRDefault="00967C2A" w:rsidP="00967C2A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dostarczyć pełną dokumentację techniczną interfejsu HL7.</w:t>
            </w:r>
          </w:p>
          <w:p w14:paraId="090B37EB" w14:textId="77777777" w:rsidR="00967C2A" w:rsidRDefault="00967C2A" w:rsidP="00967C2A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obsługiwać komunikaty HL7 zgodnie z profilem HIS i istniejącymi integracjami.</w:t>
            </w:r>
          </w:p>
          <w:p w14:paraId="0E6CE999" w14:textId="77777777" w:rsidR="00967C2A" w:rsidRDefault="00967C2A" w:rsidP="00967C2A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udostępniać dane poprzez REST zgodnie ze specyfikacją HIS.</w:t>
            </w:r>
          </w:p>
          <w:p w14:paraId="034A410B" w14:textId="77777777" w:rsidR="00967C2A" w:rsidRDefault="00967C2A" w:rsidP="00967C2A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generować komunikaty HL7 zgodnie z konfiguracją HIS.</w:t>
            </w:r>
          </w:p>
          <w:p w14:paraId="52ADE7C9" w14:textId="77777777" w:rsidR="00967C2A" w:rsidRDefault="00967C2A" w:rsidP="00967C2A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produkować metryki zgodne z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.</w:t>
            </w:r>
          </w:p>
          <w:p w14:paraId="74A1EAFA" w14:textId="77777777" w:rsidR="00967C2A" w:rsidRDefault="00967C2A" w:rsidP="00967C2A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dostarczyć obrazy kontenerowe Docker z pełną funkcjonalnością.</w:t>
            </w:r>
          </w:p>
        </w:tc>
      </w:tr>
      <w:tr w:rsidR="00967C2A" w14:paraId="0ACA0C5E" w14:textId="77777777" w:rsidTr="00967C2A">
        <w:trPr>
          <w:trHeight w:val="22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485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4E99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Zadanie obejmuje: </w:t>
            </w:r>
          </w:p>
          <w:p w14:paraId="6EE10A9D" w14:textId="77777777" w:rsidR="00967C2A" w:rsidRDefault="00967C2A" w:rsidP="00967C2A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implementację dwóch typów interfejsów (HL7 + REST) zgodnych z HIS.</w:t>
            </w:r>
          </w:p>
          <w:p w14:paraId="4A610A5E" w14:textId="77777777" w:rsidR="00967C2A" w:rsidRDefault="00967C2A" w:rsidP="00967C2A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zaawansowaną konfigurowalność HL7 bez modyfikacji kodu.</w:t>
            </w:r>
          </w:p>
          <w:p w14:paraId="07D79031" w14:textId="77777777" w:rsidR="00967C2A" w:rsidRDefault="00967C2A" w:rsidP="00967C2A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moduł rejestrowania zdarzeń i użycia (rozliczalność).</w:t>
            </w:r>
          </w:p>
          <w:p w14:paraId="73C36BAF" w14:textId="77777777" w:rsidR="00967C2A" w:rsidRDefault="00967C2A" w:rsidP="00967C2A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pełne monitorowanie i diagnostykę w standardzie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.</w:t>
            </w:r>
          </w:p>
          <w:p w14:paraId="2B070825" w14:textId="77777777" w:rsidR="00967C2A" w:rsidRDefault="00967C2A" w:rsidP="00967C2A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obsługę dokumentów EDM.</w:t>
            </w:r>
          </w:p>
          <w:p w14:paraId="47D038C0" w14:textId="77777777" w:rsidR="00967C2A" w:rsidRDefault="00967C2A" w:rsidP="00967C2A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dostawę systemu w formie kontenerów Docker.</w:t>
            </w:r>
          </w:p>
          <w:p w14:paraId="1A1DF844" w14:textId="77777777" w:rsidR="00967C2A" w:rsidRDefault="00967C2A" w:rsidP="00967C2A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testy zgodności z HIS i z istniejącymi integracjami.</w:t>
            </w:r>
          </w:p>
        </w:tc>
      </w:tr>
      <w:tr w:rsidR="00967C2A" w14:paraId="703911AF" w14:textId="77777777" w:rsidTr="00967C2A">
        <w:trPr>
          <w:trHeight w:val="22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2674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DB61" w14:textId="77777777" w:rsidR="00967C2A" w:rsidRDefault="00967C2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Zamawiający wymaga uruchomienia i skonfigurowania:</w:t>
            </w:r>
          </w:p>
          <w:p w14:paraId="2370C44C" w14:textId="77777777" w:rsidR="00967C2A" w:rsidRDefault="00967C2A" w:rsidP="00967C2A">
            <w:pPr>
              <w:pStyle w:val="Akapitzlist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Komponentów </w:t>
            </w:r>
            <w:proofErr w:type="spellStart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backendowych</w:t>
            </w:r>
            <w:proofErr w:type="spellEnd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 Serwera Integracji (usługi integracyjne HL7 i REST).</w:t>
            </w:r>
          </w:p>
          <w:p w14:paraId="382769F5" w14:textId="77777777" w:rsidR="00967C2A" w:rsidRDefault="00967C2A" w:rsidP="00967C2A">
            <w:pPr>
              <w:pStyle w:val="Akapitzlist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Aplikacji Serwera (graficzny interfejs użytkownika do konfiguracji integracji).</w:t>
            </w:r>
          </w:p>
          <w:p w14:paraId="5B18A761" w14:textId="77777777" w:rsidR="00967C2A" w:rsidRDefault="00967C2A" w:rsidP="00967C2A">
            <w:pPr>
              <w:pStyle w:val="Akapitzlist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Systemu monitoringu (</w:t>
            </w:r>
            <w:proofErr w:type="spellStart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Grafana</w:t>
            </w:r>
            <w:proofErr w:type="spellEnd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Prometheus</w:t>
            </w:r>
            <w:proofErr w:type="spellEnd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 – opcjonalnie, jeśli w zakresie wdrożenia).</w:t>
            </w:r>
          </w:p>
          <w:p w14:paraId="5BDA2A19" w14:textId="77777777" w:rsidR="00967C2A" w:rsidRDefault="00967C2A" w:rsidP="00967C2A">
            <w:pPr>
              <w:pStyle w:val="Akapitzlist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Elementów obsługi logów (komponenty ELK).</w:t>
            </w:r>
          </w:p>
          <w:p w14:paraId="5B8DF691" w14:textId="77777777" w:rsidR="00967C2A" w:rsidRDefault="00967C2A" w:rsidP="00967C2A">
            <w:pPr>
              <w:pStyle w:val="Akapitzlist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Komponentów wspierających komunikację z AMMS i EDM/AMDX (jeśli wymagane).</w:t>
            </w:r>
          </w:p>
        </w:tc>
      </w:tr>
      <w:tr w:rsidR="00967C2A" w14:paraId="7FFEBDF2" w14:textId="77777777" w:rsidTr="00967C2A">
        <w:trPr>
          <w:trHeight w:val="22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4DD3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7D2E" w14:textId="77777777" w:rsidR="00967C2A" w:rsidRDefault="00967C2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</w:rPr>
              <w:t>Zamawiający wymaga parametryzacji środowiska:</w:t>
            </w:r>
          </w:p>
          <w:p w14:paraId="73952C45" w14:textId="77777777" w:rsidR="00967C2A" w:rsidRDefault="00967C2A" w:rsidP="00967C2A">
            <w:pPr>
              <w:pStyle w:val="Akapitzlist"/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Pliki konfiguracyjne .</w:t>
            </w:r>
            <w:proofErr w:type="spellStart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env</w:t>
            </w:r>
            <w:proofErr w:type="spellEnd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docker-compose.yml</w:t>
            </w:r>
            <w:proofErr w:type="spellEnd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 oraz inne niezbędne pliki YAML.</w:t>
            </w:r>
          </w:p>
          <w:p w14:paraId="3CD035BF" w14:textId="77777777" w:rsidR="00967C2A" w:rsidRDefault="00967C2A" w:rsidP="00967C2A">
            <w:pPr>
              <w:pStyle w:val="Akapitzlist"/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Konfiguracja mechanizmu uwierzytelniania i uprawnień użytkowników Aplikacji Serwera.</w:t>
            </w:r>
          </w:p>
          <w:p w14:paraId="1AAAC2C5" w14:textId="77777777" w:rsidR="00967C2A" w:rsidRDefault="00967C2A" w:rsidP="00967C2A">
            <w:pPr>
              <w:pStyle w:val="Akapitzlist"/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Zmodyfikowanie konfiguracji na poziomie definicji systemów zewnętrznych w AMMS/SI, tak aby wskazać adresy usług Serwera Integracji realizujących poszczególne integracje oraz przełączyć parametry komunikacji tak, na komponenty SI jako kanału integracyjnego.</w:t>
            </w:r>
          </w:p>
          <w:p w14:paraId="23FEC600" w14:textId="77777777" w:rsidR="00967C2A" w:rsidRDefault="00967C2A" w:rsidP="00967C2A">
            <w:pPr>
              <w:pStyle w:val="Akapitzlist"/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Parametry systemów monitorujących (adresy źródeł metryk, </w:t>
            </w:r>
            <w:proofErr w:type="spellStart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dashboardy</w:t>
            </w:r>
            <w:proofErr w:type="spellEnd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Grafana</w:t>
            </w:r>
            <w:proofErr w:type="spellEnd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 itp.).</w:t>
            </w:r>
          </w:p>
        </w:tc>
      </w:tr>
      <w:tr w:rsidR="00967C2A" w14:paraId="13E6F229" w14:textId="77777777" w:rsidTr="00967C2A">
        <w:trPr>
          <w:trHeight w:val="22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E5D9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9643" w14:textId="77777777" w:rsidR="00967C2A" w:rsidRDefault="00967C2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Zamawiający wymaga zachowania następującej kolejności uruchamiania komponentów:</w:t>
            </w:r>
          </w:p>
          <w:p w14:paraId="79287FD9" w14:textId="77777777" w:rsidR="00967C2A" w:rsidRDefault="00967C2A" w:rsidP="00967C2A">
            <w:pPr>
              <w:pStyle w:val="Akapitzlist"/>
              <w:numPr>
                <w:ilvl w:val="0"/>
                <w:numId w:val="13"/>
              </w:numPr>
              <w:tabs>
                <w:tab w:val="left" w:pos="993"/>
              </w:tabs>
              <w:spacing w:line="276" w:lineRule="auto"/>
              <w:ind w:left="360"/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AMMS_MONITORING,</w:t>
            </w:r>
          </w:p>
          <w:p w14:paraId="21BD9D2C" w14:textId="77777777" w:rsidR="00967C2A" w:rsidRDefault="00967C2A" w:rsidP="00967C2A">
            <w:pPr>
              <w:pStyle w:val="Akapitzlist"/>
              <w:numPr>
                <w:ilvl w:val="0"/>
                <w:numId w:val="13"/>
              </w:numPr>
              <w:tabs>
                <w:tab w:val="left" w:pos="993"/>
              </w:tabs>
              <w:spacing w:line="276" w:lineRule="auto"/>
              <w:ind w:left="360"/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Następnie komponenty </w:t>
            </w:r>
            <w:proofErr w:type="spellStart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backendowe</w:t>
            </w:r>
            <w:proofErr w:type="spellEnd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 Serwera Integracji,</w:t>
            </w:r>
          </w:p>
          <w:p w14:paraId="024365D9" w14:textId="77777777" w:rsidR="00967C2A" w:rsidRDefault="00967C2A" w:rsidP="00967C2A">
            <w:pPr>
              <w:pStyle w:val="Akapitzlist"/>
              <w:numPr>
                <w:ilvl w:val="0"/>
                <w:numId w:val="13"/>
              </w:numPr>
              <w:tabs>
                <w:tab w:val="left" w:pos="993"/>
              </w:tabs>
              <w:spacing w:line="276" w:lineRule="auto"/>
              <w:ind w:left="360"/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Potem aplikacja </w:t>
            </w:r>
            <w:proofErr w:type="spellStart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frontendowa</w:t>
            </w:r>
            <w:proofErr w:type="spellEnd"/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 xml:space="preserve"> Serwera Integracji (GUI),</w:t>
            </w:r>
          </w:p>
          <w:p w14:paraId="6EA6E688" w14:textId="77777777" w:rsidR="00967C2A" w:rsidRDefault="00967C2A" w:rsidP="00967C2A">
            <w:pPr>
              <w:pStyle w:val="Akapitzlist"/>
              <w:numPr>
                <w:ilvl w:val="0"/>
                <w:numId w:val="13"/>
              </w:numPr>
              <w:tabs>
                <w:tab w:val="left" w:pos="993"/>
              </w:tabs>
              <w:spacing w:line="276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Na końcu: konfiguracja parametrów środowiska w Serwera Integracji, jednostek organizacyjnych w AMMS i aktywacja konkretnych integracji.</w:t>
            </w:r>
          </w:p>
        </w:tc>
      </w:tr>
    </w:tbl>
    <w:p w14:paraId="484F09B2" w14:textId="77777777" w:rsidR="00967C2A" w:rsidRDefault="00967C2A" w:rsidP="00967C2A">
      <w:pPr>
        <w:pStyle w:val="Nagwek1"/>
        <w:numPr>
          <w:ilvl w:val="0"/>
          <w:numId w:val="3"/>
        </w:numPr>
        <w:spacing w:before="240" w:after="120" w:line="276" w:lineRule="auto"/>
        <w:ind w:left="714" w:hanging="35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Rozszerzenie EDM o nowe dokumenty ustawowe – licencja, wdrożenie, 3-letni nadzór autorski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967C2A" w14:paraId="2B9B6974" w14:textId="77777777" w:rsidTr="00967C2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B33C523" w14:textId="77777777" w:rsidR="00967C2A" w:rsidRDefault="00967C2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Nr wymagania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C1E9088" w14:textId="77777777" w:rsidR="00967C2A" w:rsidRDefault="00967C2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Opis wymagań</w:t>
            </w:r>
          </w:p>
        </w:tc>
      </w:tr>
      <w:tr w:rsidR="00967C2A" w14:paraId="5B442F0D" w14:textId="77777777" w:rsidTr="00967C2A">
        <w:trPr>
          <w:trHeight w:val="331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BE3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D7A6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umożliwiać generowanie w postaci elektronicznej, zgodnie z obowiązującymi standardami i przepisami prawa, następujących dokumentów:</w:t>
            </w:r>
          </w:p>
          <w:p w14:paraId="1E7BE063" w14:textId="77777777" w:rsidR="00967C2A" w:rsidRDefault="00967C2A" w:rsidP="00967C2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opisy badań histopatologicznych,</w:t>
            </w:r>
          </w:p>
          <w:p w14:paraId="115BEAB8" w14:textId="77777777" w:rsidR="00967C2A" w:rsidRDefault="00967C2A" w:rsidP="00967C2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opisy badań cytologicznych,</w:t>
            </w:r>
          </w:p>
          <w:p w14:paraId="0E484387" w14:textId="77777777" w:rsidR="00967C2A" w:rsidRDefault="00967C2A" w:rsidP="00967C2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karta diagnostyki i leczenia onkologicznego (e-DILO),</w:t>
            </w:r>
          </w:p>
          <w:p w14:paraId="05534BBE" w14:textId="77777777" w:rsidR="00967C2A" w:rsidRDefault="00967C2A" w:rsidP="00967C2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plan leczenia onkologicznego,</w:t>
            </w:r>
          </w:p>
          <w:p w14:paraId="678D6641" w14:textId="77777777" w:rsidR="00967C2A" w:rsidRDefault="00967C2A" w:rsidP="00967C2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Patient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Summary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(Karta zdrowia pacjenta),</w:t>
            </w:r>
          </w:p>
          <w:p w14:paraId="197A8008" w14:textId="77777777" w:rsidR="00967C2A" w:rsidRDefault="00967C2A" w:rsidP="00967C2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karta medycznych czynności ratunkowych,</w:t>
            </w:r>
          </w:p>
          <w:p w14:paraId="710EAE5E" w14:textId="77777777" w:rsidR="00967C2A" w:rsidRDefault="00967C2A" w:rsidP="00967C2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dokumenty medycyny pracy (orzeczenie lekarskie oraz wytyczne wynikające z warunków pracy).</w:t>
            </w:r>
          </w:p>
        </w:tc>
      </w:tr>
      <w:tr w:rsidR="00967C2A" w14:paraId="17E22EE7" w14:textId="77777777" w:rsidTr="00967C2A">
        <w:trPr>
          <w:trHeight w:val="27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FCEF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364A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umożliwiać integrację z Platformą P1 w zakresie następujących typów dokumentów:</w:t>
            </w:r>
          </w:p>
          <w:p w14:paraId="16C88A14" w14:textId="77777777" w:rsidR="00967C2A" w:rsidRDefault="00967C2A" w:rsidP="00967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e-wyniki i opisy badań histopatologicznych,</w:t>
            </w:r>
          </w:p>
          <w:p w14:paraId="2665E8E6" w14:textId="77777777" w:rsidR="00967C2A" w:rsidRDefault="00967C2A" w:rsidP="00967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e-wyniki i opisy badań cytologicznych,</w:t>
            </w:r>
          </w:p>
          <w:p w14:paraId="2EA48BE8" w14:textId="77777777" w:rsidR="00967C2A" w:rsidRDefault="00967C2A" w:rsidP="00967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karta diagnostyki i leczenia onkologicznego (e-DILO),</w:t>
            </w:r>
          </w:p>
          <w:p w14:paraId="799820A4" w14:textId="77777777" w:rsidR="00967C2A" w:rsidRDefault="00967C2A" w:rsidP="00967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plan leczenia onkologicznego,</w:t>
            </w:r>
          </w:p>
          <w:p w14:paraId="5C2919DB" w14:textId="77777777" w:rsidR="00967C2A" w:rsidRDefault="00967C2A" w:rsidP="00967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Patient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Summary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(PS),</w:t>
            </w:r>
          </w:p>
          <w:p w14:paraId="1C789E9C" w14:textId="77777777" w:rsidR="00967C2A" w:rsidRDefault="00967C2A" w:rsidP="00967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karta medycznych czynności ratunkowych,</w:t>
            </w:r>
          </w:p>
          <w:p w14:paraId="1CB64783" w14:textId="77777777" w:rsidR="00967C2A" w:rsidRDefault="00967C2A" w:rsidP="00967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dokumenty medycyny pracy.</w:t>
            </w:r>
          </w:p>
        </w:tc>
      </w:tr>
      <w:tr w:rsidR="00967C2A" w14:paraId="21D7987E" w14:textId="77777777" w:rsidTr="00967C2A">
        <w:trPr>
          <w:trHeight w:val="16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243D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2D93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umożliwiać:</w:t>
            </w:r>
          </w:p>
          <w:p w14:paraId="3DAE2C15" w14:textId="77777777" w:rsidR="00967C2A" w:rsidRDefault="00967C2A" w:rsidP="00967C2A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monitorowanie stanu indeksacji dokumentów w P1 w formie zbiorczych statystyk (wg typu dokumentu i przedziału czasowego),</w:t>
            </w:r>
          </w:p>
          <w:p w14:paraId="5DDDE6A3" w14:textId="77777777" w:rsidR="00967C2A" w:rsidRDefault="00967C2A" w:rsidP="00967C2A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monitorowanie statusu indeksacji poszczególnych dokumentów,</w:t>
            </w:r>
          </w:p>
          <w:p w14:paraId="24E5E038" w14:textId="77777777" w:rsidR="00967C2A" w:rsidRDefault="00967C2A" w:rsidP="00967C2A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monitorowanie wzrostu poziomu zaindeksowanej EDM w zakresie wyników badań laboratoryjnych oraz opisów badań diagnostycznych.</w:t>
            </w:r>
          </w:p>
        </w:tc>
      </w:tr>
      <w:tr w:rsidR="00967C2A" w14:paraId="42A99F19" w14:textId="77777777" w:rsidTr="00967C2A">
        <w:trPr>
          <w:trHeight w:val="110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C93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0316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W realizacji procesów objętych produktem będą uczestniczyć:</w:t>
            </w:r>
          </w:p>
          <w:p w14:paraId="0D0D3B1C" w14:textId="77777777" w:rsidR="00967C2A" w:rsidRDefault="00967C2A" w:rsidP="00967C2A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komponenty HIS,</w:t>
            </w:r>
          </w:p>
          <w:p w14:paraId="4FA16C06" w14:textId="77777777" w:rsidR="00967C2A" w:rsidRDefault="00967C2A" w:rsidP="00967C2A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repozytorium EDM,</w:t>
            </w:r>
          </w:p>
          <w:p w14:paraId="7EBA0DA0" w14:textId="77777777" w:rsidR="00967C2A" w:rsidRDefault="00967C2A" w:rsidP="00967C2A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komponenty brzegowe odpowiedzialne za integrację z systemem P1.</w:t>
            </w:r>
          </w:p>
        </w:tc>
      </w:tr>
      <w:tr w:rsidR="00967C2A" w14:paraId="182E1FA0" w14:textId="77777777" w:rsidTr="00967C2A">
        <w:trPr>
          <w:trHeight w:val="10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22F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8F39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Rozwiązanie musi obejmować integrację z systemem P1 w zakresie:</w:t>
            </w:r>
          </w:p>
          <w:p w14:paraId="699D2F62" w14:textId="77777777" w:rsidR="00967C2A" w:rsidRDefault="00967C2A" w:rsidP="00967C2A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obsługi i wymiany dokumentów wskazanych w wymaganiach funkcjonalnych,</w:t>
            </w:r>
          </w:p>
          <w:p w14:paraId="4E2FBB38" w14:textId="77777777" w:rsidR="00967C2A" w:rsidRDefault="00967C2A" w:rsidP="00967C2A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korzystania z usług ogólnej wymiany EDM lub usług dedykowanych dla konkretnych typów dokumentów (np. generacja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Patient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Summary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, e-DILO).</w:t>
            </w:r>
          </w:p>
        </w:tc>
      </w:tr>
      <w:tr w:rsidR="00967C2A" w14:paraId="74D0859E" w14:textId="77777777" w:rsidTr="00967C2A">
        <w:trPr>
          <w:trHeight w:val="110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D28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DB92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Funkcjonalność musi opierać się na współpracy:</w:t>
            </w:r>
          </w:p>
          <w:p w14:paraId="7F2920D0" w14:textId="77777777" w:rsidR="00967C2A" w:rsidRDefault="00967C2A" w:rsidP="00967C2A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systemu HIS,</w:t>
            </w:r>
          </w:p>
          <w:p w14:paraId="67DCD547" w14:textId="77777777" w:rsidR="00967C2A" w:rsidRDefault="00967C2A" w:rsidP="00967C2A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repozytorium EDM,</w:t>
            </w:r>
          </w:p>
          <w:p w14:paraId="1DEEFF9A" w14:textId="77777777" w:rsidR="00967C2A" w:rsidRDefault="00967C2A" w:rsidP="00967C2A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komponentów odpowiedzialnych za komunikację z P1.</w:t>
            </w:r>
          </w:p>
        </w:tc>
      </w:tr>
      <w:tr w:rsidR="00967C2A" w14:paraId="65A04942" w14:textId="77777777" w:rsidTr="00967C2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F3F5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FE0E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System musi umożliwiać wygenerowanie dokumentów zgodnie z obowiązującym formatem, w zakresie dokumentów przyporządkowanych do systemu HIS (np. dokument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Patient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Summary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jest generowany po stronie systemu P1).</w:t>
            </w:r>
          </w:p>
        </w:tc>
      </w:tr>
      <w:tr w:rsidR="00967C2A" w14:paraId="551ACC6E" w14:textId="77777777" w:rsidTr="00967C2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5193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641E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umożliwiać przekazywanie dokumentów lub ich indeksów do systemu P1, w zależności od usług dostępnych dla danego typu dokumentu.</w:t>
            </w:r>
          </w:p>
        </w:tc>
      </w:tr>
      <w:tr w:rsidR="00967C2A" w14:paraId="62129CD8" w14:textId="77777777" w:rsidTr="00967C2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89C8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6DC3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umożliwiać wyszukiwanie i pobieranie z Platformy P1 dokumentów wskazanych typów, zgodnie z zakresem usług udostępnionych dla każdego typu dokumentu.</w:t>
            </w:r>
          </w:p>
        </w:tc>
      </w:tr>
      <w:tr w:rsidR="00967C2A" w14:paraId="26DDE8EF" w14:textId="77777777" w:rsidTr="00967C2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EBDF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CF4F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umożliwiać dostęp do statystyk wykorzystania poszczególnych usług centralnych, w tym monitorowanie zwiększenia poziomu zaindeksowanej EDM dla wyników badań laboratoryjnych oraz opisów badań diagnostycznych.</w:t>
            </w:r>
          </w:p>
        </w:tc>
      </w:tr>
      <w:tr w:rsidR="00967C2A" w14:paraId="627B0BE5" w14:textId="77777777" w:rsidTr="00967C2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ED7F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DE5B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System musi umożliwiać wymianę danych w standardzie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FHIR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w zakresie KSO (karta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eDiLO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oraz plan leczenia onkologicznego).</w:t>
            </w:r>
          </w:p>
        </w:tc>
      </w:tr>
      <w:tr w:rsidR="00967C2A" w14:paraId="0CE66BD9" w14:textId="77777777" w:rsidTr="00967C2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2AEE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C506" w14:textId="77777777" w:rsidR="00967C2A" w:rsidRDefault="00967C2A">
            <w:pPr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Zamawiający wymaga zapewnienia zasobów dla komponentu odpowiedzialnego za komunikację z usługami FHIR (wymagania jak dla komponentu brzegowego Zdarzeń Medycznych). W pozostałym zakresie rozwiązanie opiera się o istniejące komponenty. W przypadku braku jakichkolwiek rezerw wydajnościowych na maszynach obsługujących instalacje AMDX i komponent P1 adapter, zalecane jest zwiększenie zasobów o około 10%.</w:t>
            </w:r>
          </w:p>
        </w:tc>
      </w:tr>
      <w:tr w:rsidR="00967C2A" w14:paraId="460F093B" w14:textId="77777777" w:rsidTr="00967C2A">
        <w:trPr>
          <w:trHeight w:val="214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030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EFA8" w14:textId="77777777" w:rsidR="00967C2A" w:rsidRDefault="00967C2A">
            <w:pPr>
              <w:tabs>
                <w:tab w:val="left" w:pos="993"/>
              </w:tabs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Finalnie w ramach wdrożenia Zamawiający wymaga uruchomienia i skonfigurowania w ramach wdrożenia:</w:t>
            </w:r>
          </w:p>
          <w:p w14:paraId="25CFE15D" w14:textId="77777777" w:rsidR="00967C2A" w:rsidRDefault="00967C2A" w:rsidP="00967C2A">
            <w:pPr>
              <w:pStyle w:val="Akapitzlist"/>
              <w:numPr>
                <w:ilvl w:val="0"/>
                <w:numId w:val="20"/>
              </w:numPr>
              <w:tabs>
                <w:tab w:val="left" w:pos="993"/>
              </w:tabs>
              <w:spacing w:line="276" w:lineRule="auto"/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Aktualizacji AMDX i adaptera P1,</w:t>
            </w:r>
          </w:p>
          <w:p w14:paraId="330584C1" w14:textId="77777777" w:rsidR="00967C2A" w:rsidRDefault="00967C2A" w:rsidP="00967C2A">
            <w:pPr>
              <w:pStyle w:val="Akapitzlist"/>
              <w:numPr>
                <w:ilvl w:val="0"/>
                <w:numId w:val="20"/>
              </w:numPr>
              <w:tabs>
                <w:tab w:val="left" w:pos="993"/>
              </w:tabs>
              <w:spacing w:line="276" w:lineRule="auto"/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Instalacji komponentów odpowiedzialnych za integrację z usługami FHIR w zakresie KSO,</w:t>
            </w:r>
          </w:p>
          <w:p w14:paraId="75C29D07" w14:textId="77777777" w:rsidR="00967C2A" w:rsidRDefault="00967C2A" w:rsidP="00967C2A">
            <w:pPr>
              <w:pStyle w:val="Akapitzlist"/>
              <w:numPr>
                <w:ilvl w:val="0"/>
                <w:numId w:val="20"/>
              </w:numPr>
              <w:tabs>
                <w:tab w:val="left" w:pos="993"/>
              </w:tabs>
              <w:spacing w:line="276" w:lineRule="auto"/>
              <w:jc w:val="both"/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Aptos" w:hAnsi="Calibri" w:cs="Calibri"/>
                <w:color w:val="000000" w:themeColor="text1"/>
                <w:sz w:val="22"/>
                <w:szCs w:val="22"/>
              </w:rPr>
              <w:t>Uzupełnienia konfiguracji zgodnie z dostarczoną dokumentacją (np. ustawienie adresów nowych usług P1).</w:t>
            </w:r>
          </w:p>
        </w:tc>
      </w:tr>
    </w:tbl>
    <w:p w14:paraId="35BB1B80" w14:textId="4099928E" w:rsidR="007448F7" w:rsidRPr="000E6889" w:rsidRDefault="00967C2A" w:rsidP="007448F7">
      <w:pPr>
        <w:pStyle w:val="Nagwek1"/>
        <w:numPr>
          <w:ilvl w:val="0"/>
          <w:numId w:val="3"/>
        </w:numPr>
        <w:spacing w:before="240" w:after="120" w:line="276" w:lineRule="auto"/>
        <w:ind w:left="714" w:hanging="35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Monitoring środowiska posiadanego HIS – </w:t>
      </w:r>
      <w:r w:rsidR="00BF2653">
        <w:rPr>
          <w:rFonts w:ascii="Calibri" w:hAnsi="Calibri" w:cs="Calibri"/>
          <w:b/>
          <w:bCs/>
          <w:color w:val="000000" w:themeColor="text1"/>
          <w:sz w:val="22"/>
          <w:szCs w:val="22"/>
        </w:rPr>
        <w:t>nadzór autorski (3 lata)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7649"/>
      </w:tblGrid>
      <w:tr w:rsidR="00967C2A" w14:paraId="5FDAE21C" w14:textId="77777777" w:rsidTr="00967C2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19F1FA" w14:textId="77777777" w:rsidR="00967C2A" w:rsidRDefault="00967C2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Nr wymagania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D64D20C" w14:textId="77777777" w:rsidR="00967C2A" w:rsidRDefault="00967C2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Opis wymagań</w:t>
            </w:r>
          </w:p>
        </w:tc>
      </w:tr>
      <w:tr w:rsidR="00967C2A" w14:paraId="3319DE8D" w14:textId="77777777" w:rsidTr="00967C2A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3E83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0878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posiadać agentów na serwery z systemem operacyjnym Linux i Windows.</w:t>
            </w:r>
          </w:p>
        </w:tc>
      </w:tr>
      <w:tr w:rsidR="00967C2A" w14:paraId="68328A48" w14:textId="77777777" w:rsidTr="00967C2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A3EA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EF92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posiadać agenta obsługującego wysyłkę SMS.</w:t>
            </w:r>
          </w:p>
        </w:tc>
      </w:tr>
      <w:tr w:rsidR="00967C2A" w14:paraId="7A96BBB1" w14:textId="77777777" w:rsidTr="00967C2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DF9E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AD15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posiadać możliwość współpracy z systemem HIS w zakresie konfiguracji listy serwerów i usług do monitorowania.</w:t>
            </w:r>
          </w:p>
        </w:tc>
      </w:tr>
      <w:tr w:rsidR="00967C2A" w14:paraId="2CB2A7D3" w14:textId="77777777" w:rsidTr="00967C2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6EE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453A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zapewniać mechanizmy monitorowania i diagnostyki systemu HIS poprzez obsługę pobierania i prezentacji licencjonowanych metryk merytorycznych udostępnianych przez HIS.</w:t>
            </w:r>
          </w:p>
        </w:tc>
      </w:tr>
      <w:tr w:rsidR="00967C2A" w14:paraId="38E91F64" w14:textId="77777777" w:rsidTr="00967C2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16C1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C06F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zapewniać mechanizmy monitorowania i diagnostyki systemów zależnych poprzez obsługę pobierania i prezentacji licencjonowanych metryk merytorycznych udostępnianych przez te systemy.</w:t>
            </w:r>
          </w:p>
        </w:tc>
      </w:tr>
      <w:tr w:rsidR="00967C2A" w14:paraId="45E1EA8F" w14:textId="77777777" w:rsidTr="00967C2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1A97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F5D7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posiadać funkcjonalność monitorowania i diagnostyki serwera bazy danych systemu HIS.</w:t>
            </w:r>
          </w:p>
        </w:tc>
      </w:tr>
      <w:tr w:rsidR="00967C2A" w14:paraId="59A04555" w14:textId="77777777" w:rsidTr="00967C2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454C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3AD1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System musi posiadać możliwość monitorowania i diagnostyki serwera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proxy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klastra systemu HIS.</w:t>
            </w:r>
          </w:p>
        </w:tc>
      </w:tr>
      <w:tr w:rsidR="00967C2A" w14:paraId="2C37350F" w14:textId="77777777" w:rsidTr="00967C2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ACCF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86B8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HIS oraz systemy zależne monitorowane przez moduł monitoringu muszą udostępniać licencjonowane metryki merytoryczne z zakresu przetwarzania i awarii.</w:t>
            </w:r>
          </w:p>
        </w:tc>
      </w:tr>
      <w:tr w:rsidR="00967C2A" w14:paraId="0AD3E3DA" w14:textId="77777777" w:rsidTr="00967C2A">
        <w:trPr>
          <w:trHeight w:val="16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4FCC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2CA9" w14:textId="77777777" w:rsidR="00967C2A" w:rsidRDefault="00967C2A">
            <w:pPr>
              <w:jc w:val="both"/>
              <w:outlineLvl w:val="0"/>
              <w:rPr>
                <w:rFonts w:ascii="Calibri" w:eastAsia="Times New Roman" w:hAnsi="Calibri" w:cs="Calibri"/>
                <w:kern w:val="36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kern w:val="36"/>
                <w:sz w:val="22"/>
                <w:szCs w:val="22"/>
                <w:lang w:eastAsia="pl-PL"/>
              </w:rPr>
              <w:t>System musi obsługiwać wewnętrzne integracje w zakresie:</w:t>
            </w:r>
          </w:p>
          <w:p w14:paraId="698B2A48" w14:textId="77777777" w:rsidR="00967C2A" w:rsidRDefault="00967C2A" w:rsidP="00967C2A">
            <w:pPr>
              <w:numPr>
                <w:ilvl w:val="0"/>
                <w:numId w:val="21"/>
              </w:numPr>
              <w:spacing w:line="276" w:lineRule="auto"/>
              <w:ind w:left="360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HIS – źródło danych dla licencjonowanych metryk merytorycznych.</w:t>
            </w:r>
          </w:p>
          <w:p w14:paraId="1AE1F2A9" w14:textId="77777777" w:rsidR="00967C2A" w:rsidRDefault="00967C2A" w:rsidP="00967C2A">
            <w:pPr>
              <w:numPr>
                <w:ilvl w:val="0"/>
                <w:numId w:val="21"/>
              </w:numPr>
              <w:spacing w:line="276" w:lineRule="auto"/>
              <w:ind w:left="360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EDM – repozytorium EDM jako źródło danych dla licencjonowanych metryk merytorycznych.</w:t>
            </w:r>
          </w:p>
          <w:p w14:paraId="69270373" w14:textId="77777777" w:rsidR="00967C2A" w:rsidRDefault="00967C2A" w:rsidP="00967C2A">
            <w:pPr>
              <w:numPr>
                <w:ilvl w:val="0"/>
                <w:numId w:val="21"/>
              </w:numPr>
              <w:spacing w:line="276" w:lineRule="auto"/>
              <w:ind w:left="360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Platforma integracyjna – źródło danych dla licencjonowanych metryk merytorycznych.</w:t>
            </w:r>
          </w:p>
          <w:p w14:paraId="18BC4C9D" w14:textId="77777777" w:rsidR="00967C2A" w:rsidRDefault="00967C2A" w:rsidP="00967C2A">
            <w:pPr>
              <w:numPr>
                <w:ilvl w:val="0"/>
                <w:numId w:val="21"/>
              </w:numPr>
              <w:spacing w:line="276" w:lineRule="auto"/>
              <w:ind w:left="360"/>
              <w:jc w:val="both"/>
              <w:rPr>
                <w:rFonts w:ascii="Calibri" w:eastAsia="Times New Roman" w:hAnsi="Calibri" w:cs="Calibri"/>
                <w:kern w:val="36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Oracle – baza danych systemu HIS/EDM.</w:t>
            </w:r>
          </w:p>
        </w:tc>
      </w:tr>
      <w:tr w:rsidR="00967C2A" w14:paraId="4A6CC686" w14:textId="77777777" w:rsidTr="00967C2A">
        <w:trPr>
          <w:trHeight w:val="16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DA3D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5145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Moduł Monitoring środowiska HIS musi zostać uruchomiony przed systemem HIS, aby zapewnić prawidłowe działanie panelu konfiguracyjnego dostępnego w systemie HIS.</w:t>
            </w:r>
          </w:p>
          <w:p w14:paraId="48EF8853" w14:textId="77777777" w:rsidR="00967C2A" w:rsidRDefault="00967C2A" w:rsidP="00967C2A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Moduł monitoringu korzysta ze wspólnej bazy danych systemu HIS.</w:t>
            </w:r>
          </w:p>
          <w:p w14:paraId="284DC434" w14:textId="77777777" w:rsidR="00967C2A" w:rsidRDefault="00967C2A" w:rsidP="00967C2A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Aktualizacja systemu HIS oraz systemów zależnych może wpływać na działanie modułu monitoringu w zakresie zmian prezentacji metryk merytorycznych oraz jakości monitorowanych zdarzeń.</w:t>
            </w:r>
          </w:p>
        </w:tc>
      </w:tr>
      <w:tr w:rsidR="00967C2A" w14:paraId="18506DFC" w14:textId="77777777" w:rsidTr="00967C2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F08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4344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System musi umożliwiać wygenerowanie dokumentów zgodnie z obowiązującym formatem, w zakresie dokumentów przyporządkowanych do systemu HIS (np. dokument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Patient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Summary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jest generowany po stronie systemu P1).</w:t>
            </w:r>
          </w:p>
        </w:tc>
      </w:tr>
      <w:tr w:rsidR="00967C2A" w14:paraId="2900BCFA" w14:textId="77777777" w:rsidTr="00967C2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0DB3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6BDC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umożliwiać przekazywanie dokumentów lub ich indeksów do systemu P1, w zależności od usług dostępnych dla danego typu dokumentu.</w:t>
            </w:r>
          </w:p>
        </w:tc>
      </w:tr>
      <w:tr w:rsidR="00967C2A" w14:paraId="1B991876" w14:textId="77777777" w:rsidTr="00967C2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856F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B928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umożliwiać wyszukiwanie i pobieranie z Platformy P1 dokumentów wskazanych typów, zgodnie z zakresem usług dostępnych dla danego typu dokumentu.</w:t>
            </w:r>
          </w:p>
        </w:tc>
      </w:tr>
      <w:tr w:rsidR="00967C2A" w14:paraId="424E7E5B" w14:textId="77777777" w:rsidTr="00967C2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41E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4728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umożliwiać dostęp do statystyk wykorzystania poszczególnych usług centralnych, w tym monitorowanie zwiększenia poziomu zaindeksowanej EDM w zakresie wyników badań laboratoryjnych oraz opisów badań diagnostycznych.</w:t>
            </w:r>
          </w:p>
        </w:tc>
      </w:tr>
      <w:tr w:rsidR="00967C2A" w14:paraId="4F62E04A" w14:textId="77777777" w:rsidTr="00967C2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4512" w14:textId="77777777" w:rsidR="00967C2A" w:rsidRDefault="00967C2A" w:rsidP="00967C2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9F79" w14:textId="77777777" w:rsidR="00967C2A" w:rsidRDefault="00967C2A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System musi umożliwiać wymianę danych w standardzie FHIR w zakresie KSO (karta e-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DiLO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oraz plan leczenia onkologicznego).</w:t>
            </w:r>
          </w:p>
        </w:tc>
      </w:tr>
    </w:tbl>
    <w:p w14:paraId="00074C2C" w14:textId="399F4B6B" w:rsidR="000E6889" w:rsidRPr="00F54965" w:rsidRDefault="00F54965" w:rsidP="00F54965">
      <w:pPr>
        <w:pStyle w:val="Akapitzlist"/>
        <w:numPr>
          <w:ilvl w:val="0"/>
          <w:numId w:val="3"/>
        </w:numPr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</w:pPr>
      <w:r w:rsidRPr="00F54965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Wsparcie digitalizacji dokumentacji medycznej, integracja P1, integracja P1– licencje, wdrożenie, sprzęt, opieka serwisowa</w:t>
      </w:r>
      <w:r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 xml:space="preserve">- </w:t>
      </w:r>
      <w:r w:rsidR="000E6889" w:rsidRPr="00F54965">
        <w:rPr>
          <w:rFonts w:ascii="Calibri" w:hAnsi="Calibri" w:cs="Calibri"/>
          <w:b/>
          <w:bCs/>
          <w:color w:val="000000" w:themeColor="text1"/>
          <w:sz w:val="22"/>
          <w:szCs w:val="22"/>
        </w:rPr>
        <w:t>nadzór autorski (3 lata)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91"/>
      </w:tblGrid>
      <w:tr w:rsidR="00C24AA3" w14:paraId="1CB19983" w14:textId="77777777" w:rsidTr="00970CD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C65A" w14:textId="77777777" w:rsidR="00C24AA3" w:rsidRDefault="00C24AA3" w:rsidP="00970C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wymagania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752A" w14:textId="77777777" w:rsidR="00C24AA3" w:rsidRDefault="00C24AA3" w:rsidP="00970C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wymagań</w:t>
            </w:r>
          </w:p>
        </w:tc>
      </w:tr>
      <w:tr w:rsidR="00C24AA3" w14:paraId="17EF6007" w14:textId="77777777" w:rsidTr="00970CD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47B" w14:textId="77777777" w:rsidR="00C24AA3" w:rsidRDefault="00C24AA3" w:rsidP="00970CD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EDE0" w14:textId="77777777" w:rsidR="00C24AA3" w:rsidRDefault="00C24AA3" w:rsidP="00970CD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System musi umożliwiać monitorowanie poziomu zaindeksowania dokumentów (kart informacyjnych), z uwzględnieniem dokumentów przekazanych do centralnego repozytorium Centrum e-Zdrowia dla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zdigitalizowanej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papierowej dokumentacji medycznej, prezentując poprawne statystyki zgodnie z liczbą przekazanych dokumentów lub indeksów.</w:t>
            </w:r>
          </w:p>
        </w:tc>
      </w:tr>
      <w:tr w:rsidR="00C24AA3" w14:paraId="417F76BD" w14:textId="77777777" w:rsidTr="00970CD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A21E" w14:textId="77777777" w:rsidR="00C24AA3" w:rsidRDefault="00C24AA3" w:rsidP="00970CD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2DDF" w14:textId="77777777" w:rsidR="00C24AA3" w:rsidRDefault="00C24AA3" w:rsidP="00970CD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System musi umożliwiać tworzenie dokumentów elektronicznych zgodnych ze standardem PIK HL7 CDA dla dokumentów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zdigitalizowanych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oraz ich utrwalanie w repozytorium EDM.</w:t>
            </w:r>
          </w:p>
        </w:tc>
      </w:tr>
      <w:tr w:rsidR="00C24AA3" w14:paraId="6A101703" w14:textId="77777777" w:rsidTr="00970CD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0960" w14:textId="77777777" w:rsidR="00C24AA3" w:rsidRDefault="00C24AA3" w:rsidP="00970CD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841D" w14:textId="77777777" w:rsidR="00C24AA3" w:rsidRDefault="00C24AA3" w:rsidP="00970CD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System musi umożliwiać przekazywanie dokumentów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zdigitalizowanych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do platformy P1 zgodnie z udostępnioną specyfikacją usług.</w:t>
            </w:r>
          </w:p>
        </w:tc>
      </w:tr>
      <w:tr w:rsidR="00C24AA3" w14:paraId="037CC1E9" w14:textId="77777777" w:rsidTr="00970CD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BD10" w14:textId="77777777" w:rsidR="00C24AA3" w:rsidRDefault="00C24AA3" w:rsidP="00970CD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C2AA" w14:textId="77777777" w:rsidR="00C24AA3" w:rsidRDefault="00C24AA3" w:rsidP="00970CD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wymuszenie ponownej wysyłki indeksu dokumentu EDM do systemu P1 z poziomu systemu HIS.</w:t>
            </w:r>
          </w:p>
        </w:tc>
      </w:tr>
      <w:tr w:rsidR="00C24AA3" w14:paraId="25E7543E" w14:textId="77777777" w:rsidTr="00970CD5">
        <w:trPr>
          <w:trHeight w:val="17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CC6D" w14:textId="77777777" w:rsidR="00C24AA3" w:rsidRDefault="00C24AA3" w:rsidP="00970CD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680F" w14:textId="77777777" w:rsidR="00C24AA3" w:rsidRDefault="00C24AA3" w:rsidP="00970CD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Zamawiający wymaga uruchomienia i konfiguracji następujących elementów:</w:t>
            </w:r>
          </w:p>
          <w:p w14:paraId="06D6E7F6" w14:textId="77777777" w:rsidR="00C24AA3" w:rsidRDefault="00C24AA3" w:rsidP="00970CD5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aktualizacja AMDX oraz adaptera P1,</w:t>
            </w:r>
          </w:p>
          <w:p w14:paraId="7D8D7A0B" w14:textId="77777777" w:rsidR="00C24AA3" w:rsidRDefault="00C24AA3" w:rsidP="00970CD5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uzupełnienie konfiguracji zgodnie z dostarczoną dokumentacją, w tym ustawienie adresów nowych usług P1,</w:t>
            </w:r>
          </w:p>
          <w:p w14:paraId="378FE23F" w14:textId="77777777" w:rsidR="00C24AA3" w:rsidRDefault="00C24AA3" w:rsidP="00970CD5">
            <w:pPr>
              <w:pStyle w:val="Akapitzlist"/>
              <w:numPr>
                <w:ilvl w:val="0"/>
                <w:numId w:val="2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konfiguracja integracji z urządzeniami skanującymi, jeśli jest wymagana w ramach procesu obsługi dokumentów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zdigitalizowanych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C24AA3" w14:paraId="421C96A0" w14:textId="77777777" w:rsidTr="00970CD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A1B2" w14:textId="77777777" w:rsidR="00C24AA3" w:rsidRDefault="00C24AA3" w:rsidP="00970CD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F4F7" w14:textId="77777777" w:rsidR="00C24AA3" w:rsidRDefault="00C24AA3" w:rsidP="00970CD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posiadać licencję na funkcjonalność.</w:t>
            </w:r>
          </w:p>
        </w:tc>
      </w:tr>
      <w:tr w:rsidR="00C24AA3" w14:paraId="280FDC6E" w14:textId="77777777" w:rsidTr="00970CD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B5E" w14:textId="77777777" w:rsidR="00C24AA3" w:rsidRDefault="00C24AA3" w:rsidP="00970CD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4DC8" w14:textId="77777777" w:rsidR="00C24AA3" w:rsidRDefault="00C24AA3" w:rsidP="00970CD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Musi istnieć działająca integracja z systemem P1 w zakresie wymiany EDM.</w:t>
            </w:r>
          </w:p>
        </w:tc>
      </w:tr>
      <w:tr w:rsidR="00C24AA3" w14:paraId="0C833AE9" w14:textId="77777777" w:rsidTr="00970CD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3B96" w14:textId="77777777" w:rsidR="00C24AA3" w:rsidRDefault="00C24AA3" w:rsidP="00970CD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91E2" w14:textId="77777777" w:rsidR="00C24AA3" w:rsidRDefault="00C24AA3" w:rsidP="00970CD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Rozwiązanie musi opierać się na istniejących komponentach środowiska.</w:t>
            </w:r>
          </w:p>
        </w:tc>
      </w:tr>
      <w:tr w:rsidR="00C24AA3" w14:paraId="0001BA8F" w14:textId="77777777" w:rsidTr="00970CD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ABC7" w14:textId="77777777" w:rsidR="00C24AA3" w:rsidRDefault="00C24AA3" w:rsidP="00970CD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AE70" w14:textId="77777777" w:rsidR="00C24AA3" w:rsidRDefault="00C24AA3" w:rsidP="00970CD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przypadku wykorzystywania urządzeń skanujących dostawców zewnętrznych, muszą być zapewnione zasoby zgodne z ich wymaganiami technicznymi.</w:t>
            </w:r>
          </w:p>
        </w:tc>
      </w:tr>
    </w:tbl>
    <w:p w14:paraId="1F4C7FDB" w14:textId="77777777" w:rsidR="000E6889" w:rsidRPr="007448F7" w:rsidRDefault="000E6889" w:rsidP="000E6889">
      <w:pPr>
        <w:pStyle w:val="Nagwek1"/>
        <w:spacing w:before="240" w:after="120" w:line="276" w:lineRule="auto"/>
        <w:rPr>
          <w:rFonts w:cstheme="majorHAnsi"/>
          <w:color w:val="auto"/>
          <w:sz w:val="22"/>
          <w:szCs w:val="22"/>
        </w:rPr>
      </w:pPr>
    </w:p>
    <w:p w14:paraId="01049E1E" w14:textId="34F3419F" w:rsidR="007448F7" w:rsidRPr="007448F7" w:rsidRDefault="007448F7" w:rsidP="007448F7">
      <w:pPr>
        <w:pStyle w:val="Nagwek1"/>
        <w:spacing w:before="240" w:after="120" w:line="276" w:lineRule="auto"/>
        <w:rPr>
          <w:rFonts w:cstheme="majorHAnsi"/>
          <w:color w:val="auto"/>
          <w:sz w:val="22"/>
          <w:szCs w:val="22"/>
        </w:rPr>
      </w:pPr>
    </w:p>
    <w:sectPr w:rsidR="007448F7" w:rsidRPr="007448F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73B2" w14:textId="77777777" w:rsidR="000C25E3" w:rsidRDefault="000C25E3" w:rsidP="00CA0E76">
      <w:pPr>
        <w:spacing w:after="0" w:line="240" w:lineRule="auto"/>
      </w:pPr>
      <w:r>
        <w:separator/>
      </w:r>
    </w:p>
  </w:endnote>
  <w:endnote w:type="continuationSeparator" w:id="0">
    <w:p w14:paraId="44F1E9AE" w14:textId="77777777" w:rsidR="000C25E3" w:rsidRDefault="000C25E3" w:rsidP="00CA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0EF2" w14:textId="77777777" w:rsidR="000C25E3" w:rsidRDefault="000C25E3" w:rsidP="00CA0E76">
      <w:pPr>
        <w:spacing w:after="0" w:line="240" w:lineRule="auto"/>
      </w:pPr>
      <w:r>
        <w:separator/>
      </w:r>
    </w:p>
  </w:footnote>
  <w:footnote w:type="continuationSeparator" w:id="0">
    <w:p w14:paraId="0E57BAE7" w14:textId="77777777" w:rsidR="000C25E3" w:rsidRDefault="000C25E3" w:rsidP="00CA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8636" w14:textId="5ABD5B3E" w:rsidR="00614D92" w:rsidRPr="000F7A40" w:rsidRDefault="00614D92" w:rsidP="000F7A40">
    <w:pPr>
      <w:pStyle w:val="Nagwek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36E2"/>
    <w:multiLevelType w:val="hybridMultilevel"/>
    <w:tmpl w:val="3E86E8BC"/>
    <w:lvl w:ilvl="0" w:tplc="19CE6B0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485A"/>
    <w:multiLevelType w:val="multilevel"/>
    <w:tmpl w:val="0330A972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02595"/>
    <w:multiLevelType w:val="multilevel"/>
    <w:tmpl w:val="0330A972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86B36"/>
    <w:multiLevelType w:val="hybridMultilevel"/>
    <w:tmpl w:val="A992F8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F001C"/>
    <w:multiLevelType w:val="multilevel"/>
    <w:tmpl w:val="1C44DED8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D1178"/>
    <w:multiLevelType w:val="multilevel"/>
    <w:tmpl w:val="B306674C"/>
    <w:lvl w:ilvl="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9605F"/>
    <w:multiLevelType w:val="hybridMultilevel"/>
    <w:tmpl w:val="8E783D8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56C62"/>
    <w:multiLevelType w:val="multilevel"/>
    <w:tmpl w:val="A0289D24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333C1"/>
    <w:multiLevelType w:val="hybridMultilevel"/>
    <w:tmpl w:val="94C488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4F6243"/>
    <w:multiLevelType w:val="multilevel"/>
    <w:tmpl w:val="B47201D4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657CD"/>
    <w:multiLevelType w:val="hybridMultilevel"/>
    <w:tmpl w:val="3A66DC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270E9"/>
    <w:multiLevelType w:val="hybridMultilevel"/>
    <w:tmpl w:val="8E783D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D3059"/>
    <w:multiLevelType w:val="hybridMultilevel"/>
    <w:tmpl w:val="2354C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405F"/>
    <w:multiLevelType w:val="multilevel"/>
    <w:tmpl w:val="08EA50E8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564C1"/>
    <w:multiLevelType w:val="hybridMultilevel"/>
    <w:tmpl w:val="3CBE9D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D3003F"/>
    <w:multiLevelType w:val="hybridMultilevel"/>
    <w:tmpl w:val="1D188E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BB6731"/>
    <w:multiLevelType w:val="multilevel"/>
    <w:tmpl w:val="B306674C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9A2548"/>
    <w:multiLevelType w:val="multilevel"/>
    <w:tmpl w:val="78A60F5C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896C49"/>
    <w:multiLevelType w:val="hybridMultilevel"/>
    <w:tmpl w:val="D3B8C7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5E70E0"/>
    <w:multiLevelType w:val="hybridMultilevel"/>
    <w:tmpl w:val="303CE45C"/>
    <w:lvl w:ilvl="0" w:tplc="DCE0033C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21B8A"/>
    <w:multiLevelType w:val="multilevel"/>
    <w:tmpl w:val="48568818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0F74DF"/>
    <w:multiLevelType w:val="multilevel"/>
    <w:tmpl w:val="1246751C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D10370"/>
    <w:multiLevelType w:val="hybridMultilevel"/>
    <w:tmpl w:val="423A07C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797933">
    <w:abstractNumId w:val="22"/>
  </w:num>
  <w:num w:numId="2" w16cid:durableId="8447131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902637">
    <w:abstractNumId w:val="0"/>
  </w:num>
  <w:num w:numId="4" w16cid:durableId="10595487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6776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796220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9920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4763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31990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8226617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34381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58725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72715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79234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3123336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7942750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5254909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5798164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45884147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609262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3134995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6820840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691147926">
    <w:abstractNumId w:val="8"/>
  </w:num>
  <w:num w:numId="24" w16cid:durableId="779227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02"/>
    <w:rsid w:val="00012CBD"/>
    <w:rsid w:val="000526A8"/>
    <w:rsid w:val="00064AE8"/>
    <w:rsid w:val="00072267"/>
    <w:rsid w:val="0008329C"/>
    <w:rsid w:val="00085E17"/>
    <w:rsid w:val="00095620"/>
    <w:rsid w:val="000C25E3"/>
    <w:rsid w:val="000E6889"/>
    <w:rsid w:val="000F7A40"/>
    <w:rsid w:val="001369E4"/>
    <w:rsid w:val="00177238"/>
    <w:rsid w:val="001D1BBD"/>
    <w:rsid w:val="001F106F"/>
    <w:rsid w:val="00246098"/>
    <w:rsid w:val="0031018A"/>
    <w:rsid w:val="0031525C"/>
    <w:rsid w:val="003330DE"/>
    <w:rsid w:val="00350E62"/>
    <w:rsid w:val="0036566F"/>
    <w:rsid w:val="00382C81"/>
    <w:rsid w:val="003B7E3F"/>
    <w:rsid w:val="0041694F"/>
    <w:rsid w:val="004347AB"/>
    <w:rsid w:val="00445B24"/>
    <w:rsid w:val="004728B6"/>
    <w:rsid w:val="004E19E6"/>
    <w:rsid w:val="00513B8E"/>
    <w:rsid w:val="00537302"/>
    <w:rsid w:val="00544549"/>
    <w:rsid w:val="005C62E3"/>
    <w:rsid w:val="005E7AF7"/>
    <w:rsid w:val="00611A19"/>
    <w:rsid w:val="00614D92"/>
    <w:rsid w:val="006535CE"/>
    <w:rsid w:val="006B1C6C"/>
    <w:rsid w:val="006C52DE"/>
    <w:rsid w:val="006D58B6"/>
    <w:rsid w:val="00711A98"/>
    <w:rsid w:val="0072042C"/>
    <w:rsid w:val="00733027"/>
    <w:rsid w:val="0073607B"/>
    <w:rsid w:val="007448F7"/>
    <w:rsid w:val="00747C93"/>
    <w:rsid w:val="007616DD"/>
    <w:rsid w:val="00770D7F"/>
    <w:rsid w:val="00774B95"/>
    <w:rsid w:val="007B77AE"/>
    <w:rsid w:val="007F3414"/>
    <w:rsid w:val="00801FD8"/>
    <w:rsid w:val="00850F85"/>
    <w:rsid w:val="0085478F"/>
    <w:rsid w:val="00855308"/>
    <w:rsid w:val="00871137"/>
    <w:rsid w:val="008E61B6"/>
    <w:rsid w:val="008F1F82"/>
    <w:rsid w:val="009065EF"/>
    <w:rsid w:val="00967C2A"/>
    <w:rsid w:val="00992B29"/>
    <w:rsid w:val="009B2687"/>
    <w:rsid w:val="00A73207"/>
    <w:rsid w:val="00AC34A4"/>
    <w:rsid w:val="00AF1506"/>
    <w:rsid w:val="00B6205D"/>
    <w:rsid w:val="00B714C5"/>
    <w:rsid w:val="00B90E73"/>
    <w:rsid w:val="00B930D9"/>
    <w:rsid w:val="00BC16AF"/>
    <w:rsid w:val="00BF080A"/>
    <w:rsid w:val="00BF2653"/>
    <w:rsid w:val="00C24AA3"/>
    <w:rsid w:val="00C25BD4"/>
    <w:rsid w:val="00CA0E76"/>
    <w:rsid w:val="00D247CB"/>
    <w:rsid w:val="00D614EC"/>
    <w:rsid w:val="00D86148"/>
    <w:rsid w:val="00DA2817"/>
    <w:rsid w:val="00DB65D7"/>
    <w:rsid w:val="00DD4ED3"/>
    <w:rsid w:val="00DD5A81"/>
    <w:rsid w:val="00E22849"/>
    <w:rsid w:val="00E35CC4"/>
    <w:rsid w:val="00E46625"/>
    <w:rsid w:val="00E54887"/>
    <w:rsid w:val="00E54E24"/>
    <w:rsid w:val="00EF3EB6"/>
    <w:rsid w:val="00F023C9"/>
    <w:rsid w:val="00F11509"/>
    <w:rsid w:val="00F1376E"/>
    <w:rsid w:val="00F52F52"/>
    <w:rsid w:val="00F54965"/>
    <w:rsid w:val="00F774AB"/>
    <w:rsid w:val="00FA547E"/>
    <w:rsid w:val="00FE162E"/>
    <w:rsid w:val="00FE51E0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DBBD1"/>
  <w15:docId w15:val="{F7007BAB-1F3F-8A46-921D-EFCC3CBA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C81"/>
  </w:style>
  <w:style w:type="paragraph" w:styleId="Nagwek1">
    <w:name w:val="heading 1"/>
    <w:basedOn w:val="Normalny"/>
    <w:next w:val="Normalny"/>
    <w:link w:val="Nagwek1Znak"/>
    <w:uiPriority w:val="9"/>
    <w:qFormat/>
    <w:rsid w:val="00FE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E5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1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1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1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1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1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1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aliases w:val="Numerowanie,Akapit z listą BS,lp1,Preambuła,L1,T_SZ_List Paragraph,Akapit z listą5,Podsis rysunku,Bullet Number,List Paragraph2,ISCG Numerowanie,lp11,List Paragraph11,Bullet 1,Use Case List Paragraph,Body MS Bullet,CW_Lista,Akapit normaln"/>
    <w:basedOn w:val="Normalny"/>
    <w:link w:val="AkapitzlistZnak"/>
    <w:uiPriority w:val="34"/>
    <w:qFormat/>
    <w:rsid w:val="00FE51E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E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1E0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1E0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FE51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1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D1BB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1BBD"/>
    <w:rPr>
      <w:color w:val="954F72"/>
      <w:u w:val="single"/>
    </w:rPr>
  </w:style>
  <w:style w:type="paragraph" w:customStyle="1" w:styleId="msonormal0">
    <w:name w:val="msonormal"/>
    <w:basedOn w:val="Normalny"/>
    <w:rsid w:val="001D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3">
    <w:name w:val="xl63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64">
    <w:name w:val="xl64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68">
    <w:name w:val="xl68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9">
    <w:name w:val="xl69"/>
    <w:basedOn w:val="Normalny"/>
    <w:rsid w:val="001D1BB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A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E76"/>
  </w:style>
  <w:style w:type="paragraph" w:styleId="Stopka">
    <w:name w:val="footer"/>
    <w:basedOn w:val="Normalny"/>
    <w:link w:val="StopkaZnak"/>
    <w:uiPriority w:val="99"/>
    <w:unhideWhenUsed/>
    <w:rsid w:val="00CA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E76"/>
  </w:style>
  <w:style w:type="character" w:customStyle="1" w:styleId="AkapitzlistZnak">
    <w:name w:val="Akapit z listą Znak"/>
    <w:aliases w:val="Numerowanie Znak,Akapit z listą BS Znak,lp1 Znak,Preambuła Znak,L1 Znak,T_SZ_List Paragraph Znak,Akapit z listą5 Znak,Podsis rysunku Znak,Bullet Number Znak,List Paragraph2 Znak,ISCG Numerowanie Znak,lp11 Znak,List Paragraph11 Znak"/>
    <w:link w:val="Akapitzlist"/>
    <w:uiPriority w:val="34"/>
    <w:qFormat/>
    <w:locked/>
    <w:rsid w:val="000F7A40"/>
  </w:style>
  <w:style w:type="paragraph" w:customStyle="1" w:styleId="p1">
    <w:name w:val="p1"/>
    <w:basedOn w:val="Normalny"/>
    <w:rsid w:val="0085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26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67C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ae352-e2a3-4100-96d9-a2a1e47e47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66CC7BBCA0534E886917F49C7C51D7" ma:contentTypeVersion="5" ma:contentTypeDescription="Utwórz nowy dokument." ma:contentTypeScope="" ma:versionID="b3d21c7644bc757346e08ba871143b72">
  <xsd:schema xmlns:xsd="http://www.w3.org/2001/XMLSchema" xmlns:xs="http://www.w3.org/2001/XMLSchema" xmlns:p="http://schemas.microsoft.com/office/2006/metadata/properties" xmlns:ns3="458ae352-e2a3-4100-96d9-a2a1e47e47a5" targetNamespace="http://schemas.microsoft.com/office/2006/metadata/properties" ma:root="true" ma:fieldsID="f4ba7d734253b5392af62cc4a5754218" ns3:_="">
    <xsd:import namespace="458ae352-e2a3-4100-96d9-a2a1e47e47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e352-e2a3-4100-96d9-a2a1e47e47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CF7D4-E109-4F6B-9819-ED9E5F848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2C317-61A7-4F5A-9296-4FB025345AD3}">
  <ds:schemaRefs>
    <ds:schemaRef ds:uri="http://schemas.microsoft.com/office/2006/metadata/properties"/>
    <ds:schemaRef ds:uri="http://schemas.microsoft.com/office/infopath/2007/PartnerControls"/>
    <ds:schemaRef ds:uri="458ae352-e2a3-4100-96d9-a2a1e47e47a5"/>
  </ds:schemaRefs>
</ds:datastoreItem>
</file>

<file path=customXml/itemProps3.xml><?xml version="1.0" encoding="utf-8"?>
<ds:datastoreItem xmlns:ds="http://schemas.openxmlformats.org/officeDocument/2006/customXml" ds:itemID="{64911C12-FE30-45B6-A714-8DE6321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e352-e2a3-4100-96d9-a2a1e47e4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1989</Words>
  <Characters>11938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Paweł Frączak</cp:lastModifiedBy>
  <cp:revision>11</cp:revision>
  <cp:lastPrinted>2025-11-05T08:10:00Z</cp:lastPrinted>
  <dcterms:created xsi:type="dcterms:W3CDTF">2025-12-02T08:26:00Z</dcterms:created>
  <dcterms:modified xsi:type="dcterms:W3CDTF">2025-12-03T10:57:00Z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0x0101002C66CC7BBCA0534E886917F49C7C51D7</vt:lpwstr>
  </property>
</Properties>
</file>