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EA" w:rsidRPr="00F2347B" w:rsidRDefault="00F2347B">
      <w:pPr>
        <w:rPr>
          <w:rFonts w:ascii="Fira Sans" w:hAnsi="Fira Sans"/>
        </w:rPr>
      </w:pPr>
      <w:r w:rsidRPr="00F2347B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943"/>
        <w:gridCol w:w="6269"/>
      </w:tblGrid>
      <w:tr w:rsidR="008F2AEA" w:rsidRPr="00F2347B" w:rsidTr="00831D18">
        <w:trPr>
          <w:trHeight w:val="2423"/>
        </w:trPr>
        <w:tc>
          <w:tcPr>
            <w:tcW w:w="2943" w:type="dxa"/>
            <w:shd w:val="clear" w:color="auto" w:fill="auto"/>
            <w:vAlign w:val="center"/>
          </w:tcPr>
          <w:p w:rsidR="008F2AEA" w:rsidRPr="00F2347B" w:rsidRDefault="008F2AEA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268" w:type="dxa"/>
            <w:shd w:val="clear" w:color="auto" w:fill="auto"/>
          </w:tcPr>
          <w:p w:rsidR="00BF4600" w:rsidRDefault="00BF4600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</w:p>
          <w:p w:rsidR="008F2AEA" w:rsidRPr="00F2347B" w:rsidRDefault="008040FA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  <w:r w:rsidRPr="00F2347B"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  <w:t>CENNIK</w:t>
            </w:r>
          </w:p>
          <w:p w:rsidR="00D25366" w:rsidRPr="00F2347B" w:rsidRDefault="008040FA">
            <w:pPr>
              <w:jc w:val="right"/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</w:pPr>
            <w:r w:rsidRPr="00F2347B">
              <w:rPr>
                <w:rFonts w:ascii="Fira Sans" w:hAnsi="Fira Sans"/>
                <w:b/>
                <w:color w:val="1F497D" w:themeColor="text2"/>
                <w:sz w:val="36"/>
                <w:szCs w:val="36"/>
              </w:rPr>
              <w:t>ZABIEGI Z ZAKRESU OTORYNOLARYNGOLOGII</w:t>
            </w:r>
          </w:p>
          <w:p w:rsidR="002416C7" w:rsidRDefault="002416C7" w:rsidP="002416C7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</w:p>
          <w:p w:rsidR="002416C7" w:rsidRDefault="002416C7" w:rsidP="002416C7">
            <w:pPr>
              <w:jc w:val="right"/>
              <w:rPr>
                <w:rFonts w:ascii="Fira Sans" w:eastAsia="Calibri" w:hAnsi="Fira Sans"/>
                <w:color w:val="auto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2416C7" w:rsidRDefault="002416C7" w:rsidP="002416C7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  <w:bookmarkStart w:id="0" w:name="_GoBack"/>
            <w:bookmarkEnd w:id="0"/>
          </w:p>
          <w:p w:rsidR="008F2AEA" w:rsidRPr="00F2347B" w:rsidRDefault="008F2AEA" w:rsidP="008A59D6">
            <w:pPr>
              <w:jc w:val="right"/>
              <w:rPr>
                <w:rFonts w:ascii="Fira Sans" w:hAnsi="Fira Sans"/>
                <w:b/>
                <w:sz w:val="36"/>
                <w:szCs w:val="36"/>
              </w:rPr>
            </w:pPr>
          </w:p>
        </w:tc>
      </w:tr>
    </w:tbl>
    <w:p w:rsidR="008F2AEA" w:rsidRPr="00F2347B" w:rsidRDefault="008F2AEA">
      <w:pPr>
        <w:rPr>
          <w:rFonts w:ascii="Fira Sans" w:hAnsi="Fira Sans"/>
          <w:b/>
          <w:sz w:val="24"/>
          <w:szCs w:val="24"/>
        </w:rPr>
      </w:pPr>
    </w:p>
    <w:tbl>
      <w:tblPr>
        <w:tblStyle w:val="Tabela-Siatka"/>
        <w:tblW w:w="97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721"/>
      </w:tblGrid>
      <w:tr w:rsidR="008F2AEA" w:rsidRPr="00F2347B" w:rsidTr="00831D18">
        <w:trPr>
          <w:trHeight w:val="1540"/>
        </w:trPr>
        <w:tc>
          <w:tcPr>
            <w:tcW w:w="9721" w:type="dxa"/>
            <w:shd w:val="clear" w:color="auto" w:fill="DBE5F1" w:themeFill="accent1" w:themeFillTint="33"/>
          </w:tcPr>
          <w:p w:rsidR="008F2AEA" w:rsidRPr="00F2347B" w:rsidRDefault="008040FA">
            <w:pPr>
              <w:pStyle w:val="NormalnyWeb"/>
              <w:spacing w:beforeAutospacing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F2347B">
              <w:rPr>
                <w:rStyle w:val="Pogrubienie"/>
                <w:rFonts w:ascii="Fira Sans" w:hAnsi="Fira Sans"/>
                <w:color w:val="0000FF"/>
              </w:rPr>
              <w:br/>
              <w:t>ADRES, TELEFON, E-MAIL</w:t>
            </w:r>
          </w:p>
          <w:p w:rsidR="008F2AEA" w:rsidRPr="00F2347B" w:rsidRDefault="008040FA">
            <w:pPr>
              <w:pStyle w:val="NormalnyWeb"/>
              <w:spacing w:beforeAutospacing="0" w:afterAutospacing="0"/>
              <w:jc w:val="center"/>
              <w:rPr>
                <w:rStyle w:val="Pogrubienie"/>
                <w:rFonts w:ascii="Fira Sans" w:hAnsi="Fira Sans"/>
                <w:color w:val="000000"/>
              </w:rPr>
            </w:pPr>
            <w:r w:rsidRPr="00F2347B">
              <w:rPr>
                <w:rFonts w:ascii="Fira Sans" w:hAnsi="Fira Sans"/>
                <w:b/>
                <w:bCs/>
                <w:color w:val="0000FF"/>
              </w:rPr>
              <w:br/>
            </w:r>
            <w:r w:rsidRPr="00F2347B">
              <w:rPr>
                <w:rStyle w:val="Pogrubienie"/>
                <w:rFonts w:ascii="Fira Sans" w:hAnsi="Fira Sans"/>
                <w:color w:val="000000"/>
              </w:rPr>
              <w:t>ul. Hubalczyków 1,</w:t>
            </w:r>
            <w:r w:rsidRPr="00F2347B">
              <w:rPr>
                <w:rFonts w:ascii="Fira Sans" w:hAnsi="Fira Sans"/>
                <w:bCs/>
                <w:color w:val="000000"/>
              </w:rPr>
              <w:br/>
            </w:r>
            <w:r w:rsidRPr="00F2347B">
              <w:rPr>
                <w:rStyle w:val="Pogrubienie"/>
                <w:rFonts w:ascii="Fira Sans" w:hAnsi="Fira Sans"/>
                <w:color w:val="000000"/>
              </w:rPr>
              <w:t>76-200 Słupsk</w:t>
            </w:r>
          </w:p>
          <w:p w:rsidR="008F2AEA" w:rsidRPr="00F2347B" w:rsidRDefault="008040FA">
            <w:pPr>
              <w:pStyle w:val="NormalnyWeb"/>
              <w:spacing w:beforeAutospacing="0" w:afterAutospacing="0"/>
              <w:jc w:val="center"/>
              <w:rPr>
                <w:rStyle w:val="Pogrubienie"/>
                <w:rFonts w:ascii="Fira Sans" w:hAnsi="Fira Sans"/>
                <w:lang w:val="en-US"/>
              </w:rPr>
            </w:pPr>
            <w:r w:rsidRPr="00F2347B">
              <w:rPr>
                <w:rStyle w:val="Pogrubienie"/>
                <w:rFonts w:ascii="Fira Sans" w:hAnsi="Fira Sans"/>
              </w:rPr>
              <w:t xml:space="preserve"> </w:t>
            </w:r>
            <w:r w:rsidRPr="00F2347B">
              <w:rPr>
                <w:rStyle w:val="Pogrubienie"/>
                <w:rFonts w:ascii="Fira Sans" w:hAnsi="Fira Sans"/>
                <w:lang w:val="en-US"/>
              </w:rPr>
              <w:t>tel. 59 84 60 330</w:t>
            </w:r>
            <w:r w:rsidRPr="00F2347B">
              <w:rPr>
                <w:rFonts w:ascii="Fira Sans" w:hAnsi="Fira Sans"/>
                <w:bCs/>
                <w:color w:val="000000"/>
                <w:lang w:val="en-US"/>
              </w:rPr>
              <w:br/>
            </w:r>
            <w:r w:rsidRPr="00F2347B">
              <w:rPr>
                <w:rStyle w:val="Pogrubienie"/>
                <w:rFonts w:ascii="Fira Sans" w:hAnsi="Fira Sans"/>
                <w:lang w:val="en-US"/>
              </w:rPr>
              <w:t>e-mail: laryngologia@szpital.slupsk.pl</w:t>
            </w:r>
          </w:p>
          <w:p w:rsidR="008F2AEA" w:rsidRPr="00F2347B" w:rsidRDefault="008F2AEA">
            <w:pPr>
              <w:pStyle w:val="NormalnyWeb"/>
              <w:spacing w:beforeAutospacing="0" w:afterAutospacing="0"/>
              <w:jc w:val="center"/>
              <w:rPr>
                <w:rFonts w:ascii="Fira Sans" w:hAnsi="Fira Sans"/>
                <w:b/>
                <w:color w:val="244061" w:themeColor="accent1" w:themeShade="80"/>
                <w:lang w:val="en-US"/>
              </w:rPr>
            </w:pPr>
          </w:p>
        </w:tc>
      </w:tr>
    </w:tbl>
    <w:p w:rsidR="008F2AEA" w:rsidRPr="00F2347B" w:rsidRDefault="008F2AEA">
      <w:pPr>
        <w:rPr>
          <w:rFonts w:ascii="Fira Sans" w:hAnsi="Fira Sans"/>
          <w:sz w:val="24"/>
          <w:szCs w:val="24"/>
          <w:lang w:val="en-US"/>
        </w:rPr>
      </w:pPr>
    </w:p>
    <w:p w:rsidR="008F2AEA" w:rsidRPr="00F2347B" w:rsidRDefault="008F2AEA">
      <w:pPr>
        <w:rPr>
          <w:rFonts w:ascii="Fira Sans" w:hAnsi="Fira Sans"/>
          <w:sz w:val="24"/>
          <w:szCs w:val="24"/>
          <w:lang w:val="en-US"/>
        </w:rPr>
      </w:pPr>
    </w:p>
    <w:p w:rsidR="008F2AEA" w:rsidRPr="00F2347B" w:rsidRDefault="008F2AEA">
      <w:pPr>
        <w:rPr>
          <w:rFonts w:ascii="Fira Sans" w:hAnsi="Fira Sans"/>
          <w:sz w:val="24"/>
          <w:szCs w:val="24"/>
          <w:lang w:val="en-US"/>
        </w:rPr>
      </w:pPr>
    </w:p>
    <w:tbl>
      <w:tblPr>
        <w:tblStyle w:val="Tabelasiatki2akcent51"/>
        <w:tblW w:w="5000" w:type="pct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000" w:firstRow="0" w:lastRow="0" w:firstColumn="0" w:lastColumn="0" w:noHBand="0" w:noVBand="0"/>
      </w:tblPr>
      <w:tblGrid>
        <w:gridCol w:w="914"/>
        <w:gridCol w:w="6643"/>
        <w:gridCol w:w="1505"/>
      </w:tblGrid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63" w:type="dxa"/>
            <w:gridSpan w:val="2"/>
            <w:vAlign w:val="center"/>
          </w:tcPr>
          <w:p w:rsidR="00712296" w:rsidRPr="00F2347B" w:rsidRDefault="00712296" w:rsidP="00831D18">
            <w:pPr>
              <w:snapToGrid w:val="0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F2347B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525" w:type="dxa"/>
            <w:tcMar>
              <w:left w:w="102" w:type="dxa"/>
            </w:tcMar>
            <w:vAlign w:val="center"/>
          </w:tcPr>
          <w:p w:rsidR="00712296" w:rsidRPr="00F2347B" w:rsidRDefault="00712296" w:rsidP="00831D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F2347B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Wycięcie migdałków podniebiennych i migdałka gardłowego u dzieci (</w:t>
            </w: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adenotonsillotomia</w:t>
            </w:r>
            <w:proofErr w:type="spellEnd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F72E0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2 76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 w:rsidP="00EA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Wycięcie migdałków podniebiennych u dzieci (adenotomia)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F72E0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2 4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 w:rsidP="00EA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Wycięcie migdałka gardłowego u dzieci (tonsillektomia)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F72E0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2 4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Wycięcie migdałka gardłowego u dorosłego z użyciem plazmy argonowej (tonsillektomia)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F72E07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3 0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Leczenie bólów głowy (szczególnie migrenowych) poprzez blokadę zwoju skrzydłowo-podniebiennego w znieczuleniu miejscowym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1 8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Plastyka przegrody 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4 2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Zamknięte nastawienie złamania kości nosa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1 8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Plastyka podniebienia miękkiego i języczka w znieczuleniu miejscowym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96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Plastyka podniebienia miękkiego i języczka wraz z </w:t>
            </w: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kochoplastyką</w:t>
            </w:r>
            <w:proofErr w:type="spellEnd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 w znieczuleniu miejscowym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1 44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Plastyka małżowin nosowych (</w:t>
            </w: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konchoplastyka</w:t>
            </w:r>
            <w:proofErr w:type="spellEnd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) w znieczuleniu miejscowym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96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Koagulacja argonowa krwawiących naczyń splotu </w:t>
            </w: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Kiesselbacha</w:t>
            </w:r>
            <w:proofErr w:type="spellEnd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 przy nawracających krwawieniach z jam nosowych w znieczuleniu miejscowym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96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Wycięcie niewielkich zmian w obrębie jamy ustnej i gardła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1 2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Wycięcie zmiany zatoki szczękowej z dostępu Caldwell-</w:t>
            </w: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Luca</w:t>
            </w:r>
            <w:proofErr w:type="spellEnd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 (niewidoczny pooperacyjnie dostęp przez przedsionek jamy ustnej)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4043D0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3 6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Wymiana rurki </w:t>
            </w: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trachostomijnej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DB4D7C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432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Płukanie ucha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DB4D7C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Kateteryzacja (przedmuchanie) trąbek słuchowych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DB4D7C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 w:rsidP="0080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Usunięcie ciała obcego z ucha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DB4D7C">
            <w:pPr>
              <w:jc w:val="right"/>
              <w:rPr>
                <w:rFonts w:ascii="Fira Sans" w:hAnsi="Fira Sans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24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 w:rsidP="0083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Tympanometria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DB4D7C" w:rsidP="00831D18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72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 w:rsidP="0083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proofErr w:type="spellStart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Otoemisja</w:t>
            </w:r>
            <w:proofErr w:type="spellEnd"/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 xml:space="preserve"> akustyczna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DB4D7C" w:rsidP="00831D18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12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712296" w:rsidRPr="00F2347B" w:rsidTr="00712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tcMar>
              <w:left w:w="102" w:type="dxa"/>
            </w:tcMar>
            <w:vAlign w:val="center"/>
          </w:tcPr>
          <w:p w:rsidR="00712296" w:rsidRPr="00F2347B" w:rsidRDefault="00712296" w:rsidP="00831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Audiometria impedancyjna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tcMar>
              <w:left w:w="102" w:type="dxa"/>
            </w:tcMar>
            <w:vAlign w:val="center"/>
          </w:tcPr>
          <w:p w:rsidR="00712296" w:rsidRPr="00F2347B" w:rsidRDefault="00DB4D7C" w:rsidP="00831D18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90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712296" w:rsidRPr="00F2347B" w:rsidTr="0071229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dxa"/>
            <w:shd w:val="clear" w:color="auto" w:fill="auto"/>
            <w:vAlign w:val="center"/>
          </w:tcPr>
          <w:p w:rsidR="00712296" w:rsidRPr="00F2347B" w:rsidRDefault="00712296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822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712296" w:rsidP="00831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Słuchowe potencjały wywołane z pnia mózgu (BAEP)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5" w:type="dxa"/>
            <w:shd w:val="clear" w:color="auto" w:fill="auto"/>
            <w:tcMar>
              <w:left w:w="102" w:type="dxa"/>
            </w:tcMar>
            <w:vAlign w:val="center"/>
          </w:tcPr>
          <w:p w:rsidR="00712296" w:rsidRPr="00F2347B" w:rsidRDefault="00DB4D7C" w:rsidP="00831D18">
            <w:pPr>
              <w:jc w:val="right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2347B">
              <w:rPr>
                <w:rFonts w:ascii="Fira Sans" w:hAnsi="Fira Sans"/>
                <w:color w:val="000000"/>
                <w:sz w:val="24"/>
                <w:szCs w:val="24"/>
              </w:rPr>
              <w:t>420</w:t>
            </w:r>
            <w:r w:rsidR="00712296" w:rsidRPr="00F2347B"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</w:tbl>
    <w:p w:rsidR="008F2AEA" w:rsidRPr="00F2347B" w:rsidRDefault="008F2AEA">
      <w:pPr>
        <w:jc w:val="center"/>
        <w:rPr>
          <w:rFonts w:ascii="Fira Sans" w:hAnsi="Fira Sans"/>
          <w:sz w:val="24"/>
          <w:szCs w:val="24"/>
        </w:rPr>
      </w:pPr>
    </w:p>
    <w:p w:rsidR="008F2AEA" w:rsidRPr="00F2347B" w:rsidRDefault="008F2AEA">
      <w:pPr>
        <w:rPr>
          <w:rFonts w:ascii="Fira Sans" w:hAnsi="Fira Sans"/>
          <w:sz w:val="24"/>
          <w:szCs w:val="24"/>
        </w:rPr>
      </w:pPr>
    </w:p>
    <w:p w:rsidR="008F2AEA" w:rsidRPr="00F2347B" w:rsidRDefault="008E591D">
      <w:pPr>
        <w:jc w:val="both"/>
        <w:rPr>
          <w:rFonts w:ascii="Fira Sans" w:hAnsi="Fira Sans"/>
          <w:sz w:val="24"/>
          <w:szCs w:val="24"/>
        </w:rPr>
      </w:pPr>
      <w:r w:rsidRPr="00F2347B">
        <w:rPr>
          <w:rFonts w:ascii="Fira Sans" w:hAnsi="Fira Sans"/>
          <w:sz w:val="24"/>
          <w:szCs w:val="24"/>
        </w:rPr>
        <w:t>*</w:t>
      </w:r>
      <w:r w:rsidR="008040FA" w:rsidRPr="00F2347B">
        <w:rPr>
          <w:rFonts w:ascii="Fira Sans" w:hAnsi="Fira Sans"/>
          <w:sz w:val="24"/>
          <w:szCs w:val="24"/>
        </w:rPr>
        <w:t>Do wykonanego zabiegu należy doliczyć koszt ewentualnego badania histopatologicznego - wg cennika</w:t>
      </w:r>
    </w:p>
    <w:p w:rsidR="008F2AEA" w:rsidRPr="00F2347B" w:rsidRDefault="008040FA">
      <w:pPr>
        <w:jc w:val="both"/>
        <w:rPr>
          <w:rFonts w:ascii="Fira Sans" w:hAnsi="Fira Sans"/>
          <w:sz w:val="24"/>
          <w:szCs w:val="24"/>
        </w:rPr>
      </w:pPr>
      <w:r w:rsidRPr="00F2347B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8F2AEA" w:rsidRPr="00F2347B" w:rsidRDefault="008040FA">
      <w:pPr>
        <w:jc w:val="both"/>
        <w:rPr>
          <w:rFonts w:ascii="Fira Sans" w:hAnsi="Fira Sans"/>
          <w:sz w:val="24"/>
          <w:szCs w:val="24"/>
        </w:rPr>
      </w:pPr>
      <w:r w:rsidRPr="00F2347B">
        <w:rPr>
          <w:rFonts w:ascii="Fira Sans" w:hAnsi="Fira Sans"/>
          <w:sz w:val="24"/>
          <w:szCs w:val="24"/>
        </w:rPr>
        <w:t>*Cennik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8F2AEA" w:rsidRPr="00F2347B" w:rsidRDefault="008040FA" w:rsidP="008E591D">
      <w:pPr>
        <w:jc w:val="both"/>
        <w:rPr>
          <w:rFonts w:ascii="Fira Sans" w:hAnsi="Fira Sans"/>
          <w:sz w:val="22"/>
          <w:szCs w:val="22"/>
        </w:rPr>
      </w:pPr>
      <w:r w:rsidRPr="00F2347B">
        <w:rPr>
          <w:rFonts w:ascii="Fira Sans" w:hAnsi="Fira Sans"/>
          <w:sz w:val="24"/>
          <w:szCs w:val="24"/>
        </w:rPr>
        <w:t>*W przypadku, gdy udzielenie świadczenia wymaga od pacjenta przeprowadzenia dodatkowych badań, świadczenie to może zostać wykonane po przedłożeniu odpowiedniego dokumentu potwierdzającego ich wykonanie.</w:t>
      </w:r>
    </w:p>
    <w:p w:rsidR="008F2AEA" w:rsidRPr="00F2347B" w:rsidRDefault="008F2AEA">
      <w:pPr>
        <w:ind w:left="708" w:firstLine="708"/>
        <w:jc w:val="center"/>
        <w:rPr>
          <w:rFonts w:ascii="Fira Sans" w:hAnsi="Fira Sans"/>
        </w:rPr>
      </w:pPr>
    </w:p>
    <w:sectPr w:rsidR="008F2AEA" w:rsidRPr="00F2347B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18" w:rsidRDefault="00831D18">
      <w:r>
        <w:separator/>
      </w:r>
    </w:p>
  </w:endnote>
  <w:endnote w:type="continuationSeparator" w:id="0">
    <w:p w:rsidR="00831D18" w:rsidRDefault="0083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BD" w:rsidRPr="00EF00C8" w:rsidRDefault="003100BD" w:rsidP="003100BD">
    <w:pPr>
      <w:pStyle w:val="NormalnyWeb"/>
      <w:spacing w:before="1131" w:beforeAutospacing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F58F72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831D18" w:rsidRDefault="00831D18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18" w:rsidRDefault="00831D18">
      <w:r>
        <w:separator/>
      </w:r>
    </w:p>
  </w:footnote>
  <w:footnote w:type="continuationSeparator" w:id="0">
    <w:p w:rsidR="00831D18" w:rsidRDefault="0083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18" w:rsidRDefault="00831D18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64DB"/>
    <w:multiLevelType w:val="multilevel"/>
    <w:tmpl w:val="F566F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CC1C28"/>
    <w:multiLevelType w:val="multilevel"/>
    <w:tmpl w:val="E1646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A"/>
    <w:rsid w:val="00236D83"/>
    <w:rsid w:val="002416C7"/>
    <w:rsid w:val="003100BD"/>
    <w:rsid w:val="003C1198"/>
    <w:rsid w:val="004043D0"/>
    <w:rsid w:val="00712296"/>
    <w:rsid w:val="00714D52"/>
    <w:rsid w:val="007D365A"/>
    <w:rsid w:val="008040FA"/>
    <w:rsid w:val="00831D18"/>
    <w:rsid w:val="008A59D6"/>
    <w:rsid w:val="008E591D"/>
    <w:rsid w:val="008F2AEA"/>
    <w:rsid w:val="008F488A"/>
    <w:rsid w:val="00905D1C"/>
    <w:rsid w:val="00A34DDB"/>
    <w:rsid w:val="00A35161"/>
    <w:rsid w:val="00AF1BB1"/>
    <w:rsid w:val="00BF4600"/>
    <w:rsid w:val="00C6555A"/>
    <w:rsid w:val="00D25366"/>
    <w:rsid w:val="00D4219E"/>
    <w:rsid w:val="00DB4D7C"/>
    <w:rsid w:val="00EA1637"/>
    <w:rsid w:val="00F2347B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CC36"/>
  <w15:docId w15:val="{F1937C77-622A-48A0-9E07-E3728C6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519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customStyle="1" w:styleId="Wyrnienie">
    <w:name w:val="Wyróżnienie"/>
    <w:uiPriority w:val="20"/>
    <w:qFormat/>
    <w:rsid w:val="004C47C8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  <w:szCs w:val="22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sz w:val="28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519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CC5192"/>
    <w:rPr>
      <w:color w:val="00000A"/>
    </w:rPr>
  </w:style>
  <w:style w:type="paragraph" w:styleId="NormalnyWeb">
    <w:name w:val="Normal (Web)"/>
    <w:basedOn w:val="Normalny"/>
    <w:uiPriority w:val="99"/>
    <w:unhideWhenUsed/>
    <w:qFormat/>
    <w:rsid w:val="001D7595"/>
    <w:pPr>
      <w:spacing w:beforeAutospacing="1" w:afterAutospacing="1"/>
    </w:pPr>
    <w:rPr>
      <w:sz w:val="24"/>
      <w:szCs w:val="24"/>
    </w:rPr>
  </w:style>
  <w:style w:type="table" w:styleId="Jasnecieniowanieakcent1">
    <w:name w:val="Light Shading Accent 1"/>
    <w:basedOn w:val="Standardowy"/>
    <w:uiPriority w:val="60"/>
    <w:rsid w:val="0075455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akcent51">
    <w:name w:val="Tabela siatki 2 — akcent 51"/>
    <w:basedOn w:val="Standardowy"/>
    <w:uiPriority w:val="47"/>
    <w:rsid w:val="004C47C8"/>
    <w:rPr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1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0EDA-FB72-41A0-8761-DF94809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Rojek</dc:creator>
  <dc:description/>
  <cp:lastModifiedBy>Kamil Idziński</cp:lastModifiedBy>
  <cp:revision>2</cp:revision>
  <cp:lastPrinted>2021-12-06T12:48:00Z</cp:lastPrinted>
  <dcterms:created xsi:type="dcterms:W3CDTF">2022-10-25T10:36:00Z</dcterms:created>
  <dcterms:modified xsi:type="dcterms:W3CDTF">2022-10-25T10:36:00Z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