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3642F7" w:rsidRDefault="003642F7">
      <w:pPr>
        <w:rPr>
          <w:rFonts w:ascii="Fira Sans" w:hAnsi="Fira Sans"/>
        </w:rPr>
      </w:pPr>
      <w:r w:rsidRPr="003642F7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6196"/>
      </w:tblGrid>
      <w:tr w:rsidR="00754559" w:rsidRPr="003642F7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3642F7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5A0E67" w:rsidRDefault="005A0E67" w:rsidP="00D0211F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</w:p>
          <w:p w:rsidR="00364512" w:rsidRPr="003642F7" w:rsidRDefault="00364512" w:rsidP="00D0211F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</w:p>
          <w:p w:rsidR="00754559" w:rsidRPr="003642F7" w:rsidRDefault="00D0211F" w:rsidP="00D0211F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  <w:r w:rsidRPr="003642F7"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  <w:t>CENNIK</w:t>
            </w:r>
          </w:p>
          <w:p w:rsidR="00754559" w:rsidRPr="003642F7" w:rsidRDefault="00285A3C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28"/>
              </w:rPr>
            </w:pPr>
            <w:r w:rsidRPr="003642F7">
              <w:rPr>
                <w:rFonts w:ascii="Fira Sans" w:hAnsi="Fira Sans"/>
                <w:b/>
                <w:color w:val="244061" w:themeColor="accent1" w:themeShade="80"/>
                <w:sz w:val="32"/>
                <w:szCs w:val="28"/>
              </w:rPr>
              <w:t>KONSULTACJE SPECJALISTYCZNE</w:t>
            </w:r>
          </w:p>
          <w:p w:rsidR="00A30C0E" w:rsidRDefault="00A30C0E" w:rsidP="00A30C0E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</w:p>
          <w:p w:rsidR="00A30C0E" w:rsidRPr="00A30C0E" w:rsidRDefault="00A30C0E" w:rsidP="00A30C0E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bookmarkStart w:id="0" w:name="_GoBack"/>
            <w:bookmarkEnd w:id="0"/>
            <w:r w:rsidRPr="00A30C0E"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A30C0E" w:rsidRPr="00A30C0E" w:rsidRDefault="00A30C0E" w:rsidP="00A30C0E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 w:rsidRPr="00A30C0E"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5A0E67" w:rsidRPr="003642F7" w:rsidRDefault="005A0E67" w:rsidP="005A0E67">
            <w:pPr>
              <w:jc w:val="center"/>
              <w:rPr>
                <w:rFonts w:ascii="Fira Sans" w:hAnsi="Fira Sans"/>
                <w:b/>
                <w:color w:val="244061" w:themeColor="accent1" w:themeShade="80"/>
                <w:sz w:val="32"/>
                <w:szCs w:val="28"/>
              </w:rPr>
            </w:pPr>
          </w:p>
          <w:p w:rsidR="00D0211F" w:rsidRPr="003642F7" w:rsidRDefault="00D0211F" w:rsidP="00B649D1">
            <w:pPr>
              <w:tabs>
                <w:tab w:val="center" w:pos="2629"/>
              </w:tabs>
              <w:jc w:val="right"/>
              <w:rPr>
                <w:rFonts w:ascii="Fira Sans" w:hAnsi="Fira Sans"/>
                <w:b/>
                <w:sz w:val="28"/>
                <w:szCs w:val="28"/>
              </w:rPr>
            </w:pPr>
          </w:p>
        </w:tc>
      </w:tr>
    </w:tbl>
    <w:p w:rsidR="00754559" w:rsidRPr="003642F7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29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293"/>
      </w:tblGrid>
      <w:tr w:rsidR="00754559" w:rsidRPr="003642F7" w:rsidTr="005A0E67">
        <w:trPr>
          <w:trHeight w:val="1144"/>
        </w:trPr>
        <w:tc>
          <w:tcPr>
            <w:tcW w:w="9293" w:type="dxa"/>
            <w:shd w:val="clear" w:color="auto" w:fill="DBE5F1" w:themeFill="accent1" w:themeFillTint="33"/>
          </w:tcPr>
          <w:p w:rsidR="002C5FED" w:rsidRPr="003642F7" w:rsidRDefault="005A0E67" w:rsidP="00DD17A3">
            <w:pPr>
              <w:pStyle w:val="NormalnyWeb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  <w:r w:rsidRPr="003642F7">
              <w:rPr>
                <w:rStyle w:val="Pogrubienie"/>
                <w:rFonts w:ascii="Fira Sans" w:hAnsi="Fira Sans"/>
                <w:color w:val="0000FF"/>
              </w:rPr>
              <w:br/>
            </w:r>
            <w:r w:rsidR="0075190B" w:rsidRPr="003642F7">
              <w:rPr>
                <w:rStyle w:val="Pogrubienie"/>
                <w:rFonts w:ascii="Fira Sans" w:hAnsi="Fira Sans"/>
                <w:color w:val="0000FF"/>
              </w:rPr>
              <w:t>ADRES</w:t>
            </w:r>
            <w:r w:rsidR="001D7595" w:rsidRPr="003642F7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3642F7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Hubalczyków 1,</w:t>
            </w:r>
            <w:r w:rsidR="001D7595" w:rsidRPr="003642F7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3642F7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="001D7595" w:rsidRPr="003642F7">
              <w:rPr>
                <w:rFonts w:ascii="Fira Sans" w:hAnsi="Fira Sans"/>
                <w:b/>
                <w:bCs/>
                <w:color w:val="000000"/>
              </w:rPr>
              <w:br/>
            </w:r>
          </w:p>
        </w:tc>
      </w:tr>
    </w:tbl>
    <w:p w:rsidR="004C47C8" w:rsidRPr="003642F7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3642F7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3642F7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4C47C8" w:rsidRPr="003642F7" w:rsidTr="005A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  <w:vAlign w:val="center"/>
          </w:tcPr>
          <w:p w:rsidR="004C47C8" w:rsidRPr="003642F7" w:rsidRDefault="00285A3C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3642F7">
              <w:rPr>
                <w:rFonts w:ascii="Fira Sans" w:hAnsi="Fira Sans"/>
                <w:b/>
                <w:bCs/>
                <w:sz w:val="24"/>
                <w:szCs w:val="24"/>
              </w:rPr>
              <w:t xml:space="preserve">Konsultacje </w:t>
            </w:r>
          </w:p>
        </w:tc>
        <w:tc>
          <w:tcPr>
            <w:tcW w:w="1785" w:type="dxa"/>
            <w:vAlign w:val="center"/>
          </w:tcPr>
          <w:p w:rsidR="004C47C8" w:rsidRPr="003642F7" w:rsidRDefault="004C47C8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3642F7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4C47C8" w:rsidRPr="003642F7" w:rsidTr="005A0E67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4C47C8" w:rsidRPr="003642F7" w:rsidRDefault="004C47C8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4C47C8" w:rsidRPr="003642F7" w:rsidRDefault="00285A3C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3642F7">
              <w:rPr>
                <w:rFonts w:ascii="Fira Sans" w:hAnsi="Fira Sans"/>
                <w:sz w:val="24"/>
                <w:szCs w:val="24"/>
              </w:rPr>
              <w:t>Konsultacje specjalistyczne</w:t>
            </w:r>
            <w:r w:rsidR="00D77E36" w:rsidRPr="003642F7">
              <w:rPr>
                <w:rFonts w:ascii="Fira Sans" w:hAnsi="Fira Sans"/>
                <w:sz w:val="24"/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4C47C8" w:rsidRPr="003642F7" w:rsidRDefault="00B649D1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3642F7">
              <w:rPr>
                <w:rFonts w:ascii="Fira Sans" w:hAnsi="Fira Sans"/>
                <w:sz w:val="24"/>
                <w:szCs w:val="24"/>
              </w:rPr>
              <w:t>24</w:t>
            </w:r>
            <w:r w:rsidR="00537502" w:rsidRPr="003642F7">
              <w:rPr>
                <w:rFonts w:ascii="Fira Sans" w:hAnsi="Fira Sans"/>
                <w:sz w:val="24"/>
                <w:szCs w:val="24"/>
              </w:rPr>
              <w:t>0</w:t>
            </w:r>
            <w:r w:rsidR="00710EB1" w:rsidRPr="003642F7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</w:tbl>
    <w:p w:rsidR="00096ED8" w:rsidRPr="003642F7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DD17A3" w:rsidRPr="003642F7" w:rsidRDefault="00DD17A3" w:rsidP="004C47C8">
      <w:pPr>
        <w:jc w:val="center"/>
        <w:rPr>
          <w:rFonts w:ascii="Fira Sans" w:hAnsi="Fira Sans"/>
          <w:sz w:val="24"/>
          <w:szCs w:val="24"/>
        </w:rPr>
      </w:pPr>
    </w:p>
    <w:p w:rsidR="002E3481" w:rsidRPr="003642F7" w:rsidRDefault="002E3481" w:rsidP="004C47C8">
      <w:pPr>
        <w:jc w:val="center"/>
        <w:rPr>
          <w:rFonts w:ascii="Fira Sans" w:hAnsi="Fira Sans"/>
          <w:sz w:val="24"/>
          <w:szCs w:val="24"/>
        </w:rPr>
      </w:pPr>
    </w:p>
    <w:p w:rsidR="000D2EC1" w:rsidRPr="003642F7" w:rsidRDefault="00DD17A3" w:rsidP="00DD17A3">
      <w:pPr>
        <w:jc w:val="both"/>
        <w:rPr>
          <w:rFonts w:ascii="Fira Sans" w:hAnsi="Fira Sans"/>
          <w:sz w:val="24"/>
          <w:szCs w:val="24"/>
        </w:rPr>
      </w:pPr>
      <w:r w:rsidRPr="003642F7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0D2EC1" w:rsidRPr="003642F7" w:rsidRDefault="005A0E67" w:rsidP="000D2EC1">
      <w:pPr>
        <w:jc w:val="both"/>
        <w:rPr>
          <w:rFonts w:ascii="Fira Sans" w:hAnsi="Fira Sans"/>
          <w:sz w:val="24"/>
          <w:szCs w:val="24"/>
        </w:rPr>
      </w:pPr>
      <w:r w:rsidRPr="003642F7">
        <w:rPr>
          <w:rFonts w:ascii="Fira Sans" w:hAnsi="Fira Sans"/>
          <w:sz w:val="24"/>
          <w:szCs w:val="24"/>
        </w:rPr>
        <w:t>*</w:t>
      </w:r>
      <w:r w:rsidR="000D2EC1" w:rsidRPr="003642F7">
        <w:rPr>
          <w:rFonts w:ascii="Fira Sans" w:hAnsi="Fira Sans"/>
          <w:sz w:val="24"/>
          <w:szCs w:val="24"/>
        </w:rPr>
        <w:t xml:space="preserve">Cennik dotyczy </w:t>
      </w:r>
      <w:r w:rsidR="002E3481" w:rsidRPr="003642F7">
        <w:rPr>
          <w:rFonts w:ascii="Fira Sans" w:hAnsi="Fira Sans"/>
          <w:sz w:val="24"/>
          <w:szCs w:val="24"/>
        </w:rPr>
        <w:t>wyłącznie przypadków</w:t>
      </w:r>
      <w:r w:rsidR="000D2EC1" w:rsidRPr="003642F7">
        <w:rPr>
          <w:rFonts w:ascii="Fira Sans" w:hAnsi="Fira Sans"/>
          <w:sz w:val="24"/>
          <w:szCs w:val="24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0D2EC1" w:rsidRPr="003642F7" w:rsidRDefault="005A0E67" w:rsidP="000D2EC1">
      <w:pPr>
        <w:jc w:val="both"/>
        <w:rPr>
          <w:rFonts w:ascii="Fira Sans" w:hAnsi="Fira Sans"/>
          <w:sz w:val="24"/>
          <w:szCs w:val="24"/>
        </w:rPr>
      </w:pPr>
      <w:r w:rsidRPr="003642F7">
        <w:rPr>
          <w:rFonts w:ascii="Fira Sans" w:hAnsi="Fira Sans"/>
          <w:sz w:val="24"/>
          <w:szCs w:val="24"/>
        </w:rPr>
        <w:t>*</w:t>
      </w:r>
      <w:r w:rsidR="000D2EC1" w:rsidRPr="003642F7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p w:rsidR="00DD17A3" w:rsidRPr="003642F7" w:rsidRDefault="00DD17A3" w:rsidP="004C47C8">
      <w:pPr>
        <w:jc w:val="center"/>
        <w:rPr>
          <w:rFonts w:ascii="Fira Sans" w:hAnsi="Fira Sans"/>
          <w:sz w:val="22"/>
          <w:szCs w:val="22"/>
        </w:rPr>
      </w:pPr>
    </w:p>
    <w:p w:rsidR="00DD17A3" w:rsidRPr="003642F7" w:rsidRDefault="00DD17A3" w:rsidP="004C47C8">
      <w:pPr>
        <w:jc w:val="center"/>
        <w:rPr>
          <w:rFonts w:ascii="Fira Sans" w:hAnsi="Fira Sans"/>
          <w:sz w:val="22"/>
          <w:szCs w:val="22"/>
        </w:rPr>
      </w:pPr>
    </w:p>
    <w:p w:rsidR="00DD17A3" w:rsidRPr="003642F7" w:rsidRDefault="00DD17A3" w:rsidP="004C47C8">
      <w:pPr>
        <w:jc w:val="center"/>
        <w:rPr>
          <w:rFonts w:ascii="Fira Sans" w:hAnsi="Fira Sans"/>
          <w:sz w:val="22"/>
          <w:szCs w:val="22"/>
        </w:rPr>
      </w:pPr>
    </w:p>
    <w:p w:rsidR="00DD17A3" w:rsidRPr="003642F7" w:rsidRDefault="00DD17A3" w:rsidP="00A16D99">
      <w:pPr>
        <w:ind w:left="3540" w:firstLine="708"/>
        <w:jc w:val="center"/>
        <w:rPr>
          <w:rFonts w:ascii="Fira Sans" w:hAnsi="Fira Sans"/>
          <w:b/>
          <w:sz w:val="22"/>
          <w:szCs w:val="22"/>
        </w:rPr>
      </w:pPr>
    </w:p>
    <w:p w:rsidR="005A0E67" w:rsidRPr="003642F7" w:rsidRDefault="005A0E67">
      <w:pPr>
        <w:ind w:left="3540" w:firstLine="708"/>
        <w:jc w:val="center"/>
        <w:rPr>
          <w:rFonts w:ascii="Fira Sans" w:hAnsi="Fira Sans"/>
          <w:b/>
          <w:sz w:val="22"/>
          <w:szCs w:val="22"/>
        </w:rPr>
      </w:pPr>
    </w:p>
    <w:sectPr w:rsidR="005A0E67" w:rsidRPr="003642F7" w:rsidSect="00CC5192">
      <w:headerReference w:type="default" r:id="rId9"/>
      <w:footerReference w:type="default" r:id="rId10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C93" w:rsidRDefault="00031C93" w:rsidP="00CC5192">
      <w:r>
        <w:separator/>
      </w:r>
    </w:p>
  </w:endnote>
  <w:endnote w:type="continuationSeparator" w:id="0">
    <w:p w:rsidR="00031C93" w:rsidRDefault="00031C93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altName w:val="DejaVu Sans"/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Source Sans Pro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E30" w:rsidRPr="00EF00C8" w:rsidRDefault="00F27E30" w:rsidP="00F27E30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A140FE" wp14:editId="1E472E3C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C9F8B9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031C93" w:rsidRPr="00CC5192" w:rsidRDefault="00031C93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C93" w:rsidRDefault="00031C93" w:rsidP="00CC5192">
      <w:r>
        <w:separator/>
      </w:r>
    </w:p>
  </w:footnote>
  <w:footnote w:type="continuationSeparator" w:id="0">
    <w:p w:rsidR="00031C93" w:rsidRDefault="00031C93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C93" w:rsidRPr="00530104" w:rsidRDefault="00031C93" w:rsidP="0035180D">
    <w:pPr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5517C"/>
    <w:rsid w:val="00096ED8"/>
    <w:rsid w:val="000D2EC1"/>
    <w:rsid w:val="00116D14"/>
    <w:rsid w:val="001D7595"/>
    <w:rsid w:val="001F68D7"/>
    <w:rsid w:val="002536B2"/>
    <w:rsid w:val="00277F90"/>
    <w:rsid w:val="00285A3C"/>
    <w:rsid w:val="002900BB"/>
    <w:rsid w:val="002A445E"/>
    <w:rsid w:val="002C5FED"/>
    <w:rsid w:val="002E3481"/>
    <w:rsid w:val="00301273"/>
    <w:rsid w:val="00303C29"/>
    <w:rsid w:val="003177CD"/>
    <w:rsid w:val="003432F2"/>
    <w:rsid w:val="0035180D"/>
    <w:rsid w:val="003642F7"/>
    <w:rsid w:val="00364512"/>
    <w:rsid w:val="003875DE"/>
    <w:rsid w:val="003C25D9"/>
    <w:rsid w:val="00427D5B"/>
    <w:rsid w:val="00444FE1"/>
    <w:rsid w:val="004B6763"/>
    <w:rsid w:val="004C47C8"/>
    <w:rsid w:val="00530104"/>
    <w:rsid w:val="00537502"/>
    <w:rsid w:val="005A0E67"/>
    <w:rsid w:val="005E30A8"/>
    <w:rsid w:val="0060364B"/>
    <w:rsid w:val="00614642"/>
    <w:rsid w:val="00620515"/>
    <w:rsid w:val="00622D29"/>
    <w:rsid w:val="006A074B"/>
    <w:rsid w:val="00710EB1"/>
    <w:rsid w:val="0075190B"/>
    <w:rsid w:val="00754559"/>
    <w:rsid w:val="007858E6"/>
    <w:rsid w:val="008226AB"/>
    <w:rsid w:val="008E30C7"/>
    <w:rsid w:val="008F342D"/>
    <w:rsid w:val="009E3B56"/>
    <w:rsid w:val="009F7F91"/>
    <w:rsid w:val="00A16D99"/>
    <w:rsid w:val="00A30C0E"/>
    <w:rsid w:val="00AC0413"/>
    <w:rsid w:val="00B649D1"/>
    <w:rsid w:val="00B75F3F"/>
    <w:rsid w:val="00B8090A"/>
    <w:rsid w:val="00CC5192"/>
    <w:rsid w:val="00CE4929"/>
    <w:rsid w:val="00D0211F"/>
    <w:rsid w:val="00D206DB"/>
    <w:rsid w:val="00D30BB9"/>
    <w:rsid w:val="00D77E36"/>
    <w:rsid w:val="00DD17A3"/>
    <w:rsid w:val="00E24DB2"/>
    <w:rsid w:val="00EC6923"/>
    <w:rsid w:val="00F254C4"/>
    <w:rsid w:val="00F27E30"/>
    <w:rsid w:val="00F758DA"/>
    <w:rsid w:val="00FA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9D22F73"/>
  <w15:docId w15:val="{18BF3F4A-3B19-4C21-BB77-91F63947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F27E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A707F-B800-421E-889A-65C486FC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2017-07-05T06:30:00Z</cp:lastPrinted>
  <dcterms:created xsi:type="dcterms:W3CDTF">2022-10-25T10:34:00Z</dcterms:created>
  <dcterms:modified xsi:type="dcterms:W3CDTF">2022-10-25T10:34:00Z</dcterms:modified>
</cp:coreProperties>
</file>