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C5AA" w14:textId="28EFAD6E" w:rsidR="00733801" w:rsidRPr="00733801" w:rsidRDefault="00733801" w:rsidP="00733801">
      <w:pPr>
        <w:suppressAutoHyphens w:val="0"/>
        <w:spacing w:after="0" w:line="300" w:lineRule="exact"/>
        <w:jc w:val="both"/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</w:pPr>
      <w:r w:rsidRPr="00733801"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>Część I</w:t>
      </w:r>
      <w:r w:rsidR="00314DEB"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>V</w:t>
      </w:r>
      <w:r w:rsidRPr="00733801"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="00314DEB"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>SWZ</w:t>
      </w:r>
      <w:r w:rsidRPr="00733801"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>–</w:t>
      </w:r>
      <w:r w:rsidRPr="00733801">
        <w:rPr>
          <w:rFonts w:ascii="Fira Sans" w:eastAsia="Calibri" w:hAnsi="Fira Sans"/>
          <w:b/>
          <w:bCs/>
          <w:color w:val="000000"/>
          <w:kern w:val="0"/>
          <w:sz w:val="24"/>
          <w:szCs w:val="24"/>
          <w:u w:val="single"/>
        </w:rPr>
        <w:t xml:space="preserve"> Opis przedmiotu zamówienia – CZĘŚĆ I</w:t>
      </w:r>
    </w:p>
    <w:p w14:paraId="287BD2FE" w14:textId="77777777" w:rsidR="00DE7F72" w:rsidRPr="00733801" w:rsidRDefault="00DE7F72" w:rsidP="00733801">
      <w:pPr>
        <w:pStyle w:val="Standard"/>
        <w:spacing w:after="0" w:line="300" w:lineRule="exact"/>
        <w:rPr>
          <w:rFonts w:ascii="Fira Sans" w:hAnsi="Fira Sans" w:cs="Times New Roman"/>
          <w:b/>
        </w:rPr>
      </w:pPr>
    </w:p>
    <w:p w14:paraId="315A11A6" w14:textId="6F778CE6" w:rsidR="00DE7F72" w:rsidRPr="00733801" w:rsidRDefault="00733801" w:rsidP="00733801">
      <w:pPr>
        <w:pStyle w:val="Standard"/>
        <w:spacing w:after="0" w:line="300" w:lineRule="exact"/>
        <w:rPr>
          <w:rFonts w:ascii="Fira Sans" w:hAnsi="Fira Sans" w:cs="Times New Roman"/>
          <w:b/>
        </w:rPr>
      </w:pPr>
      <w:bookmarkStart w:id="0" w:name="_Hlk116550123"/>
      <w:r w:rsidRPr="00080A9E">
        <w:rPr>
          <w:rFonts w:ascii="Fira Sans" w:hAnsi="Fira Sans" w:cs="Times New Roman"/>
          <w:b/>
        </w:rPr>
        <w:t xml:space="preserve">UTM </w:t>
      </w:r>
      <w:r w:rsidR="00080A9E" w:rsidRPr="00080A9E">
        <w:rPr>
          <w:rFonts w:ascii="Fira Sans" w:hAnsi="Fira Sans" w:cs="Times New Roman"/>
          <w:b/>
        </w:rPr>
        <w:t>–</w:t>
      </w:r>
      <w:r w:rsidRPr="00080A9E">
        <w:rPr>
          <w:rFonts w:ascii="Fira Sans" w:hAnsi="Fira Sans" w:cs="Times New Roman"/>
          <w:b/>
        </w:rPr>
        <w:t xml:space="preserve"> </w:t>
      </w:r>
      <w:r w:rsidR="003170D0" w:rsidRPr="00080A9E">
        <w:rPr>
          <w:rFonts w:ascii="Fira Sans" w:hAnsi="Fira Sans" w:cs="Times New Roman"/>
          <w:b/>
        </w:rPr>
        <w:t>Firew</w:t>
      </w:r>
      <w:r w:rsidR="003170D0">
        <w:rPr>
          <w:rFonts w:ascii="Fira Sans" w:hAnsi="Fira Sans" w:cs="Times New Roman"/>
          <w:b/>
        </w:rPr>
        <w:t>a</w:t>
      </w:r>
      <w:r w:rsidR="003170D0" w:rsidRPr="00080A9E">
        <w:rPr>
          <w:rFonts w:ascii="Fira Sans" w:hAnsi="Fira Sans" w:cs="Times New Roman"/>
          <w:b/>
        </w:rPr>
        <w:t xml:space="preserve">ll </w:t>
      </w:r>
      <w:r w:rsidR="00080A9E" w:rsidRPr="00080A9E">
        <w:rPr>
          <w:rFonts w:ascii="Fira Sans" w:hAnsi="Fira Sans" w:cs="Times New Roman"/>
          <w:b/>
        </w:rPr>
        <w:t>sprzętowy</w:t>
      </w:r>
    </w:p>
    <w:bookmarkEnd w:id="0"/>
    <w:p w14:paraId="6763C9B2" w14:textId="77777777" w:rsidR="00DE7F72" w:rsidRPr="00733801" w:rsidRDefault="00DE7F72" w:rsidP="00733801">
      <w:pPr>
        <w:pStyle w:val="Standard"/>
        <w:spacing w:after="0" w:line="300" w:lineRule="exact"/>
        <w:ind w:left="426"/>
        <w:jc w:val="center"/>
        <w:rPr>
          <w:rFonts w:ascii="Fira Sans" w:hAnsi="Fira Sans" w:cs="Times New Roman"/>
          <w:b/>
        </w:rPr>
      </w:pPr>
    </w:p>
    <w:p w14:paraId="7A3D9AEF" w14:textId="77777777" w:rsidR="00DE7F72" w:rsidRPr="00733801" w:rsidRDefault="00733801" w:rsidP="00733801">
      <w:pPr>
        <w:spacing w:after="0" w:line="300" w:lineRule="exact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14:paraId="286DCAE5" w14:textId="77777777" w:rsidR="00DE7F72" w:rsidRPr="00733801" w:rsidRDefault="00733801" w:rsidP="00733801">
      <w:pPr>
        <w:spacing w:after="0" w:line="300" w:lineRule="exact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System realizujący funkcję Firewall musi dawać możliwość pracy w jednym z trzech trybów: Routera z funkcją NAT, transparentnym oraz monitorowania na porcie SPAN.</w:t>
      </w:r>
    </w:p>
    <w:p w14:paraId="170D87A3" w14:textId="77777777" w:rsidR="00DE7F72" w:rsidRPr="00733801" w:rsidRDefault="00733801" w:rsidP="00733801">
      <w:pPr>
        <w:spacing w:after="0" w:line="300" w:lineRule="exact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</w:rPr>
        <w:t>W ramach dostarczonego systemu bezpieczeństwa musi być zapewniona możliwość budowy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7D1946E3" w14:textId="77777777" w:rsidR="00DE7F72" w:rsidRPr="00733801" w:rsidRDefault="00733801" w:rsidP="00733801">
      <w:pPr>
        <w:spacing w:after="0" w:line="300" w:lineRule="exact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System musi wspierać IPv4 oraz IPv6 w zakresie:</w:t>
      </w:r>
    </w:p>
    <w:p w14:paraId="4DC16807" w14:textId="77777777" w:rsidR="00DE7F72" w:rsidRPr="00733801" w:rsidRDefault="00733801" w:rsidP="00733801">
      <w:pPr>
        <w:pStyle w:val="Akapitzlist"/>
        <w:numPr>
          <w:ilvl w:val="0"/>
          <w:numId w:val="2"/>
        </w:numPr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Firewall.</w:t>
      </w:r>
    </w:p>
    <w:p w14:paraId="0FC0AE3C" w14:textId="77777777" w:rsidR="00DE7F72" w:rsidRPr="00733801" w:rsidRDefault="00733801" w:rsidP="00733801">
      <w:pPr>
        <w:pStyle w:val="Akapitzlist"/>
        <w:numPr>
          <w:ilvl w:val="0"/>
          <w:numId w:val="2"/>
        </w:numPr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Ochrony w warstwie aplikacji.</w:t>
      </w:r>
    </w:p>
    <w:p w14:paraId="6DE8F788" w14:textId="77777777" w:rsidR="00DE7F72" w:rsidRPr="00733801" w:rsidRDefault="00733801" w:rsidP="00733801">
      <w:pPr>
        <w:pStyle w:val="Akapitzlist"/>
        <w:numPr>
          <w:ilvl w:val="0"/>
          <w:numId w:val="2"/>
        </w:numPr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P</w:t>
      </w:r>
      <w:r w:rsidRPr="00733801">
        <w:rPr>
          <w:rFonts w:ascii="Fira Sans" w:hAnsi="Fira Sans" w:cs="Times New Roman"/>
          <w:lang w:val="en-US"/>
        </w:rPr>
        <w:t xml:space="preserve">rotokołów </w:t>
      </w:r>
      <w:r w:rsidRPr="00733801">
        <w:rPr>
          <w:rFonts w:ascii="Fira Sans" w:hAnsi="Fira Sans" w:cs="Times New Roman"/>
        </w:rPr>
        <w:t xml:space="preserve">routingu dynamicznego. </w:t>
      </w:r>
    </w:p>
    <w:p w14:paraId="7AC16D9D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jc w:val="center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1D6CFE0A" w14:textId="7B9ABFEA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Redundancja, monitoring i wykrywanie awarii</w:t>
      </w:r>
      <w:r w:rsidRPr="00733801">
        <w:rPr>
          <w:rFonts w:ascii="Fira Sans" w:hAnsi="Fira Sans" w:cs="Times New Roman"/>
          <w:b/>
          <w:color w:val="000000"/>
          <w:sz w:val="22"/>
          <w:szCs w:val="22"/>
          <w:lang w:val="en-US"/>
        </w:rPr>
        <w:br/>
      </w:r>
    </w:p>
    <w:p w14:paraId="795A932E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  <w:tab w:val="left" w:pos="396"/>
        </w:tabs>
        <w:spacing w:after="0" w:line="300" w:lineRule="exact"/>
        <w:ind w:left="454" w:hanging="454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 xml:space="preserve">W przypadku systemu pełniącego funkcje: Firewall, IPSec, Kontrola Aplikacji oraz IPS – musi istnieć możliwość łączenia w klaster Active-Active lub Active-Passive. W obu trybach powinna istnieć funkcja synchronizacji sesji firewall. </w:t>
      </w:r>
    </w:p>
    <w:p w14:paraId="22CD4BD7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  <w:tab w:val="left" w:pos="396"/>
        </w:tabs>
        <w:spacing w:after="0" w:line="300" w:lineRule="exact"/>
        <w:ind w:left="454" w:hanging="454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ramach postępowania system musi zostać dostarczony w postaci redundantnej.</w:t>
      </w:r>
    </w:p>
    <w:p w14:paraId="38E341F6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396"/>
        </w:tabs>
        <w:spacing w:after="0" w:line="300" w:lineRule="exact"/>
        <w:ind w:left="454" w:hanging="454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Monitoring i wykrywanie uszkodzenia elementów sprzętowych i programowych systemów zabezpieczeń oraz łączy sieciowych.</w:t>
      </w:r>
    </w:p>
    <w:p w14:paraId="01663F7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396"/>
        </w:tabs>
        <w:spacing w:after="0" w:line="300" w:lineRule="exact"/>
        <w:ind w:left="454" w:hanging="454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Monitoring stanu realizowanych połączeń VPN.</w:t>
      </w:r>
    </w:p>
    <w:p w14:paraId="4A9D0AC0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left" w:pos="396"/>
        </w:tabs>
        <w:spacing w:after="0" w:line="300" w:lineRule="exact"/>
        <w:ind w:left="454" w:hanging="454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umożliwiać agregację linków statyczną oraz w oparciu o protokół LACP. Powinna istnieć możliwość tworzenia interfejsów redundantnych.</w:t>
      </w:r>
    </w:p>
    <w:p w14:paraId="0A0E9A69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05B237C7" w14:textId="7B4E6892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  <w:sz w:val="22"/>
          <w:szCs w:val="22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Interfejsy, dysk, zasilanie</w:t>
      </w:r>
    </w:p>
    <w:p w14:paraId="21128BEF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realizujący funkcję Firewall musi dysponować minimum 18 portami Gigabit Ethernet RJ-45, 8 gniazdami SFP 1 Gbps, 4 gniazdami SFP+ 10 Gbps.</w:t>
      </w:r>
    </w:p>
    <w:p w14:paraId="5F8F23F8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Firewall musi posiadać wbudowany port konsoli szeregowej oraz gniazdo USB umożliwiające podłączenie modemu 3G/4G oraz instalacji oprogramowania z klucza USB.</w:t>
      </w:r>
    </w:p>
    <w:p w14:paraId="1163BA43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ramach systemu Firewall powinna być możliwość zdefiniowania co najmniej 200 interfejsów wirtualnych - definiowanych jako VLAN’y w oparciu o standard 802.1Q.</w:t>
      </w:r>
    </w:p>
    <w:p w14:paraId="39ED55A9" w14:textId="2D5332E0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być wyposażony w zasilanie AC.</w:t>
      </w:r>
    </w:p>
    <w:p w14:paraId="6BD37571" w14:textId="77777777" w:rsidR="00733801" w:rsidRPr="00733801" w:rsidRDefault="00733801" w:rsidP="00733801">
      <w:pPr>
        <w:pStyle w:val="Akapitzlist"/>
        <w:tabs>
          <w:tab w:val="left" w:pos="0"/>
        </w:tabs>
        <w:spacing w:after="0" w:line="300" w:lineRule="exact"/>
        <w:ind w:left="283"/>
        <w:contextualSpacing w:val="0"/>
        <w:jc w:val="both"/>
        <w:rPr>
          <w:rFonts w:ascii="Fira Sans" w:hAnsi="Fira Sans"/>
        </w:rPr>
      </w:pPr>
    </w:p>
    <w:p w14:paraId="60FC0C82" w14:textId="77777777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  <w:sz w:val="22"/>
          <w:szCs w:val="22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lastRenderedPageBreak/>
        <w:t>Parametry wydajnościowe</w:t>
      </w:r>
    </w:p>
    <w:p w14:paraId="4078C872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zakresie Firewall’a obsługa nie mniej niż 3 mln. jednoczesnych połączeń oraz 260 tys. nowych połączeń na sekundę.</w:t>
      </w:r>
    </w:p>
    <w:p w14:paraId="74AE827F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Przepustowość Stateful Firewall: nie mniej niż 26 Gbps dla pakietów 512 B.</w:t>
      </w:r>
    </w:p>
    <w:p w14:paraId="65D12E1B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Przepustowość Firewall z włączoną funkcją Kontroli Aplikacji: nie mniej niż 13 Gbps.</w:t>
      </w:r>
    </w:p>
    <w:p w14:paraId="24E2B846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Wydajność szyfrowania IPSec VPN nie mniej niż 12 Gbps.</w:t>
      </w:r>
    </w:p>
    <w:p w14:paraId="28C40F93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Wydajność skanowania ruchu w celu ochrony przed atakami (zarówno client side jak i server side w ramach modułu IPS) dla ruchu Enterprise Traffic Mix - minimum 5 Gbps.</w:t>
      </w:r>
    </w:p>
    <w:p w14:paraId="04965272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Wydajność skanowania ruchu typu Enterprise Mix z włączonymi funkcjami: IPS, Application Control, Antywirus - minimum 3 Gbps.</w:t>
      </w:r>
    </w:p>
    <w:p w14:paraId="15E5A34D" w14:textId="44095B8E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Wydajność systemu w zakresie inspekcji komunikacji szyfrowanej SSL dla ruchu http – minimum 4 Gbps.</w:t>
      </w:r>
    </w:p>
    <w:p w14:paraId="360A2975" w14:textId="77777777" w:rsidR="00733801" w:rsidRPr="00733801" w:rsidRDefault="00733801" w:rsidP="00733801">
      <w:pPr>
        <w:pStyle w:val="Akapitzlist"/>
        <w:tabs>
          <w:tab w:val="left" w:pos="0"/>
        </w:tabs>
        <w:spacing w:after="0" w:line="300" w:lineRule="exact"/>
        <w:ind w:left="283"/>
        <w:contextualSpacing w:val="0"/>
        <w:jc w:val="both"/>
        <w:rPr>
          <w:rFonts w:ascii="Fira Sans" w:hAnsi="Fira Sans"/>
        </w:rPr>
      </w:pPr>
    </w:p>
    <w:p w14:paraId="25B68A2E" w14:textId="6D465AE0" w:rsidR="00DE7F72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Funkcje systemu bezpieczeństwa</w:t>
      </w:r>
    </w:p>
    <w:p w14:paraId="66DFCBF1" w14:textId="77777777" w:rsidR="00DE7F72" w:rsidRPr="00733801" w:rsidRDefault="00733801" w:rsidP="00733801">
      <w:pPr>
        <w:tabs>
          <w:tab w:val="left" w:pos="0"/>
        </w:tabs>
        <w:spacing w:after="0" w:line="300" w:lineRule="exact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ramach dostarczonego systemu ochrony muszą być realizowane wszystkie poniższe funkcje. Mogą one być zrealizowane w postaci osobnych, komercyjnych platform sprzętowych lub programowych.</w:t>
      </w:r>
    </w:p>
    <w:p w14:paraId="329FD676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Kontrola dostępu - zapora ogniowa klasy Stateful Inspection.</w:t>
      </w:r>
    </w:p>
    <w:p w14:paraId="38F334A6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 xml:space="preserve">Kontrola Aplikacji. </w:t>
      </w:r>
    </w:p>
    <w:p w14:paraId="65379E97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Poufność transmisji danych  - połączenia szyfrowane IPSec VPN oraz SSL VPN.</w:t>
      </w:r>
    </w:p>
    <w:p w14:paraId="21CC0257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Ochrona przed malware – co najmniej dla protokołów SMTP, POP3, IMAP, HTTP, FTP, HTTPS.</w:t>
      </w:r>
    </w:p>
    <w:p w14:paraId="2A82844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Ochrona przed atakami  - Intrusion Prevention System.</w:t>
      </w:r>
    </w:p>
    <w:p w14:paraId="6C191B89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Kontrola stron WWW.</w:t>
      </w:r>
    </w:p>
    <w:p w14:paraId="1A425A1F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Kontrola zawartości poczty – Antyspam dla protokołów SMTP, POP3.</w:t>
      </w:r>
    </w:p>
    <w:p w14:paraId="7E881AC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Zarządzanie pasmem (QoS, Traffic shaping).</w:t>
      </w:r>
    </w:p>
    <w:p w14:paraId="4677EAA8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 xml:space="preserve">Mechanizmy ochrony przed wyciekiem poufnej informacji (DLP). </w:t>
      </w:r>
    </w:p>
    <w:p w14:paraId="017208E0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client-to-site.</w:t>
      </w:r>
    </w:p>
    <w:p w14:paraId="0ECB24B0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Analiza ruchu szyfrowanego protokołem SSL także dla protokołu HTTP/2.</w:t>
      </w:r>
    </w:p>
    <w:p w14:paraId="224B26F8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Analiza ruchu szyfrowanego protokołem SSH.</w:t>
      </w:r>
    </w:p>
    <w:p w14:paraId="3822AB7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Funkcja lokalnego serwera DNS ze wsparciem dla DNS over TLS (DoT) oraz DNS over HTTPS (DoH) z możliwością filtrowania zapytań DNS na lokalnym serwerze DNS jak i w ruchu przechodzącym przez system.</w:t>
      </w:r>
    </w:p>
    <w:p w14:paraId="7687EE90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251881E8" w14:textId="2A4D677D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  <w:sz w:val="22"/>
          <w:szCs w:val="22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Polityki firewall</w:t>
      </w:r>
    </w:p>
    <w:p w14:paraId="383C6DB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Polityka firewall musi uwzględniać adresy IP, użytkowników, protokoły, usługi sieciowe, aplikacje lub zbiory aplikacji, reakcje sparcie dla IKE v1 oraz v2.zabezpieczeń, rejestrowanie zdarzeń.</w:t>
      </w:r>
    </w:p>
    <w:p w14:paraId="01499D16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zapewniać translację adresów NAT: źródłowego i docelowego, translację PAT oraz Translację jeden do jeden oraz jeden do wielu. Dedykowany ALG (Application Level Gateway) dla protokołu SIP.</w:t>
      </w:r>
    </w:p>
    <w:p w14:paraId="001C10CA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lastRenderedPageBreak/>
        <w:t>W ramach systemu musi istnieć możliwość tworzenia wydzielonych stref bezpieczeństwa np. DMZ, LAN, WAN.</w:t>
      </w:r>
    </w:p>
    <w:p w14:paraId="4FBCC6E9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Możliwość wykorzystania w polityce bezpieczeństwa zewnętrznych repozytoriów zawierających: kategorie url, adresy IP, nazwy domenowe, hash'e złośliwych plików.</w:t>
      </w:r>
    </w:p>
    <w:p w14:paraId="1827C07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283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Element systemu realizujący funkcję Firewall musi integrować się z następującymi rozwiązaniami SDN w celu dynamicznego pobierania informacji o zainstalowanych maszynach wirtualnych po to aby użyć ich przy budowaniu polityk kontroli dostępu - Amazon Web Services (AWS), Microsoft Azure, Google Cloud Platform (GCP), OpenStack, VMware NSX.</w:t>
      </w:r>
    </w:p>
    <w:p w14:paraId="15A26115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480F147B" w14:textId="57D80771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  <w:sz w:val="22"/>
          <w:szCs w:val="22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Połączenia VPN</w:t>
      </w:r>
    </w:p>
    <w:p w14:paraId="05919392" w14:textId="77777777" w:rsidR="00DE7F72" w:rsidRPr="00733801" w:rsidRDefault="00733801" w:rsidP="00733801">
      <w:pPr>
        <w:pStyle w:val="Akapitzlist"/>
        <w:tabs>
          <w:tab w:val="left" w:pos="0"/>
        </w:tabs>
        <w:spacing w:after="0" w:line="300" w:lineRule="exact"/>
        <w:ind w:left="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umożliwiać konfigurację połączeń typu IPSec VPN.  W zakresie tej funkcji musi zapewniać:</w:t>
      </w:r>
    </w:p>
    <w:p w14:paraId="3CD6F632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Wsparcie dla IKE v1 oraz v2.</w:t>
      </w:r>
    </w:p>
    <w:p w14:paraId="1DAFB1CF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Obsługa szyfrowania protokołem AES z kluczem 128 i 256 bitów w trybie pracy Galois/Counter Mode(GCM).</w:t>
      </w:r>
    </w:p>
    <w:p w14:paraId="78451D46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Obsługa</w:t>
      </w:r>
      <w:r w:rsidRPr="00733801">
        <w:rPr>
          <w:rFonts w:ascii="Fira Sans" w:hAnsi="Fira Sans"/>
          <w:lang w:val="sv-SE"/>
        </w:rPr>
        <w:t xml:space="preserve"> protokołu Diffie-Hellman  grup 19 i 20.</w:t>
      </w:r>
    </w:p>
    <w:p w14:paraId="0E8106C9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Wsparcie dla Pracy w topologii Hub and Spoke oraz Mesh, w tym wsparcie dla dynamicznego zestawiania tuneli pomiędzy SPOKE w topologii HUB and SPOKE.</w:t>
      </w:r>
    </w:p>
    <w:p w14:paraId="06EE0658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Tworzenie połączeń typu Site-to-Site oraz Client-to-Site.</w:t>
      </w:r>
    </w:p>
    <w:p w14:paraId="74760FB8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Monitorowanie stanu tuneli VPN i stałego utrzymywania ich aktywności.</w:t>
      </w:r>
    </w:p>
    <w:p w14:paraId="7045F70F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Możliwość wyboru tunelu przez protokoły: dynamicznego routingu (np. OSPF) oraz routingu statycznego.</w:t>
      </w:r>
    </w:p>
    <w:p w14:paraId="4723E5F9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Obsługa mechanizmów: IPSec NAT Traversal, DPD, Xauth.</w:t>
      </w:r>
    </w:p>
    <w:p w14:paraId="473A4E1C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Mechanizm „Split tunneling” dla połączeń Client-to-Site.</w:t>
      </w:r>
    </w:p>
    <w:p w14:paraId="22D35B0B" w14:textId="77777777" w:rsidR="00DE7F72" w:rsidRPr="00733801" w:rsidRDefault="00733801" w:rsidP="00733801">
      <w:pPr>
        <w:pStyle w:val="Akapitzlist"/>
        <w:tabs>
          <w:tab w:val="left" w:pos="0"/>
        </w:tabs>
        <w:spacing w:after="0" w:line="300" w:lineRule="exact"/>
        <w:ind w:left="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System musi umożliwiać konfigurację połączeń typu SSL VPN. W zakresie tej funkcji musi zapewniać:</w:t>
      </w:r>
    </w:p>
    <w:p w14:paraId="21588ACB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378" w:hanging="392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14:paraId="5CD1406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378" w:hanging="392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Pracę w trybie Tunnel z możliwością włączenia funkcji „Split tunneling” przy zastosowaniu dedykowanego klienta.</w:t>
      </w:r>
    </w:p>
    <w:p w14:paraId="62A05ACD" w14:textId="431D3900" w:rsidR="00DE7F72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396"/>
        </w:tabs>
        <w:spacing w:after="0" w:line="300" w:lineRule="exact"/>
        <w:ind w:left="378" w:hanging="392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Producent rozwiązania musi dostarczać oprogramowanie klienckie VPN, które umożliwia realizację połączeń IPSec VPN lub SSL VPN.</w:t>
      </w:r>
    </w:p>
    <w:p w14:paraId="5320864C" w14:textId="77777777" w:rsidR="00733801" w:rsidRPr="00733801" w:rsidRDefault="00733801" w:rsidP="00733801">
      <w:pPr>
        <w:pStyle w:val="Akapitzlist"/>
        <w:tabs>
          <w:tab w:val="left" w:pos="396"/>
        </w:tabs>
        <w:spacing w:after="0" w:line="300" w:lineRule="exact"/>
        <w:ind w:left="378"/>
        <w:contextualSpacing w:val="0"/>
        <w:jc w:val="both"/>
        <w:rPr>
          <w:rFonts w:ascii="Fira Sans" w:hAnsi="Fira Sans"/>
        </w:rPr>
      </w:pPr>
    </w:p>
    <w:p w14:paraId="3CC84AD5" w14:textId="77777777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Routing i obsługa łączy WAN</w:t>
      </w:r>
    </w:p>
    <w:p w14:paraId="6AEB977B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Obsługa routingu statyczny.</w:t>
      </w:r>
    </w:p>
    <w:p w14:paraId="6B1F3C2C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Obsługa Policy Based Routingu.</w:t>
      </w:r>
    </w:p>
    <w:p w14:paraId="285452CE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>Obsługa protokołów dynamicznego routingu w oparciu o protokoły: RIPv2, OSPF, BGP oraz PIM</w:t>
      </w:r>
    </w:p>
    <w:p w14:paraId="45F97530" w14:textId="77777777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Funkcje SD-WAN</w:t>
      </w:r>
    </w:p>
    <w:p w14:paraId="0E118FCD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powinien umożliwiać wykorzystanie protokołów dynamicznego routingu przy konfiguracji równoważenia obciążenia do łączy WAN.</w:t>
      </w:r>
    </w:p>
    <w:p w14:paraId="52C66B63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lastRenderedPageBreak/>
        <w:t>Reguły SD-WAN powinny umożliwiać określenie aplikacji jako argumentu dla kierowania ruchu.</w:t>
      </w:r>
    </w:p>
    <w:p w14:paraId="5117537B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21128C7C" w14:textId="3A57B068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Zarządzanie pasmem</w:t>
      </w:r>
    </w:p>
    <w:p w14:paraId="5FA42A84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Firewall musi umożliwiać zarządzanie pasmem poprzez określenie: maksymalnej, gwarantowanej ilości pasma,  oznaczanie DSCP oraz wskazanie priorytetu ruchu.</w:t>
      </w:r>
    </w:p>
    <w:p w14:paraId="37FFF002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Musi istnieć możliwość określania pasma dla poszczególnych aplikacji.</w:t>
      </w:r>
    </w:p>
    <w:p w14:paraId="70A73F56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zapewniać możliwość zarządzania pasmem dla wybranych kategorii URL.</w:t>
      </w:r>
    </w:p>
    <w:p w14:paraId="5E9CA44B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5B35B270" w14:textId="0FD44D0D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Ochrona prze malware</w:t>
      </w:r>
    </w:p>
    <w:p w14:paraId="360B579E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Silnik antywirusowy musi umożliwiać skanowanie ruchu w obu kierunkach komunikacji dla protokołów działających na niestandardowych portach (np. FTP na porcie 2021).</w:t>
      </w:r>
    </w:p>
    <w:p w14:paraId="6C2D1592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umożliwiać skanowanie archiwów, w tym co najmniej: zip, RAR.</w:t>
      </w:r>
    </w:p>
    <w:p w14:paraId="18A185B1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dysponować sygnaturami do ochrony urządzeń mobilnych (co najmniej dla systemu operacyjnego Android).</w:t>
      </w:r>
    </w:p>
    <w:p w14:paraId="07929053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chmurze.</w:t>
      </w:r>
    </w:p>
    <w:p w14:paraId="1CB77C66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umożliwiać usuwanie aktywnej zawartości plików PDF oraz Microsoft Office bez konieczności blokowania transferu całych plików.</w:t>
      </w:r>
    </w:p>
    <w:p w14:paraId="462C0A07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Możliwość wykorzystania silnika sztucznej inteligencji AI wytrenowanego przez laboratoria producenta.</w:t>
      </w:r>
    </w:p>
    <w:p w14:paraId="31EA97F5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2289987E" w14:textId="263A9ECB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Ochrona prze malware</w:t>
      </w:r>
    </w:p>
    <w:p w14:paraId="13ABED79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Ochrona IPS powinna opierać się co najmniej na analizie sygnaturowej oraz na analizie anomalii w protokołach sieciowych.</w:t>
      </w:r>
    </w:p>
    <w:p w14:paraId="45C1EA50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powinien chronić przed atakami na aplikacje pracujące na niestandardowych portach.</w:t>
      </w:r>
    </w:p>
    <w:p w14:paraId="3B46D11C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Baza sygnatur ataków powinna zawierać minimum 5000 wpisów i być aktualizowana automatycznie, zgodnie z harmonogramem definiowanym przez administratora.</w:t>
      </w:r>
    </w:p>
    <w:p w14:paraId="26D0F50B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Administrator systemu musi mieć możliwość definiowania własnych wyjątków oraz własnych sygnatur.</w:t>
      </w:r>
    </w:p>
    <w:p w14:paraId="3955609E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zapewniać wykrywanie anomalii protokołów i ruchu sieciowego, realizując tym samym podstawową ochronę przed atakami typu DoS oraz DdoS.</w:t>
      </w:r>
    </w:p>
    <w:p w14:paraId="1B685B07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dysponować sygnaturami do ochrony przed atakami na systemy przemysłowe SCADA.  ******* zapis stosowany kiedy oferowana jest licencja Industrial Security Service lub Enterprise Bundle *****.</w:t>
      </w:r>
    </w:p>
    <w:p w14:paraId="0D78D5EA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Mechanizmy ochrony dla aplikacji Web’owych na poziomie sygnaturowym (co najmniej ochrona przed: CSS, SQL Injecton, Trojany, Exploity, Roboty) oraz możliwość kontrolowania długości nagłówka, ilości parametrów URL, Cookies.</w:t>
      </w:r>
    </w:p>
    <w:p w14:paraId="6FB33896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Wykrywanie i blokowanie komunikacji C&amp;C do sieci botnet.</w:t>
      </w:r>
    </w:p>
    <w:p w14:paraId="683722B0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498ED6BE" w14:textId="6604FBA7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Kontrola aplikacji</w:t>
      </w:r>
    </w:p>
    <w:p w14:paraId="07D1016E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Funkcja Kontroli Aplikacji powinna umożliwiać kontrolę ruchu na podstawie głębokiej analizy pakietów, nie bazując jedynie na wartościach portów TCP/UDP.</w:t>
      </w:r>
    </w:p>
    <w:p w14:paraId="78309A98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Baza Kontroli Aplikacji powinna zawierać minimum 2000 sygnatur i być aktualizowana automatycznie, zgodnie z harmonogramem definiowanym przez administratora.</w:t>
      </w:r>
    </w:p>
    <w:p w14:paraId="7BA7BDEA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Aplikacje chmurowe (co najmniej: Facebook, Google Docs, Dropbox) powinny być kontrolowane pod względem wykonywanych czynności, np.: pobieranie, wysyłanie plików.</w:t>
      </w:r>
    </w:p>
    <w:p w14:paraId="6D2DAE38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Baza powinna zawierać kategorie aplikacji szczególnie istotne z punktu widzenia bezpieczeństwa: proxy, P2P.</w:t>
      </w:r>
    </w:p>
    <w:p w14:paraId="0C81900F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Administrator systemu musi mieć możliwość definiowania wyjątków oraz własnych sygnatur.</w:t>
      </w:r>
    </w:p>
    <w:p w14:paraId="3F4570CB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618050B6" w14:textId="660DECE1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Kontrola www</w:t>
      </w:r>
    </w:p>
    <w:p w14:paraId="12A537FA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Moduł kontroli WWW musi korzystać z bazy zawierającej co najmniej 40 milionów adresów URL pogrupowanych w kategorie tematyczne.</w:t>
      </w:r>
    </w:p>
    <w:p w14:paraId="67612DD6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ramach filtra www powinny być dostępne kategorie istotne z punktu widzenia bezpieczeństwa, jak: malware (lub inne będące źródłem złośliwego oprogramowania), phishing, spam, Dynamic DNS, proxy.</w:t>
      </w:r>
    </w:p>
    <w:p w14:paraId="1628578A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Filtr WWW musi dostarczać kategorii stron zabronionych prawem: Hazard.</w:t>
      </w:r>
    </w:p>
    <w:p w14:paraId="24B31915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Administrator musi mieć możliwość nadpisywania kategorii oraz tworzenia wyjątków – białe/czarne listy dla adresów URL.</w:t>
      </w:r>
    </w:p>
    <w:p w14:paraId="05D60D34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Funkcja Safe Search – przeciwdziałająca pojawieniu się niechcianych treści w wynikach wyszukiwarek takich jak: Google, oraz Yahoo.</w:t>
      </w:r>
    </w:p>
    <w:p w14:paraId="7FC53DCE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Administrator musi mieć możliwość definiowania komunikatów zwracanych użytkownikowi dla różnych akcji podejmowanych przez moduł filtrowania.</w:t>
      </w:r>
    </w:p>
    <w:p w14:paraId="4CE117B3" w14:textId="77777777" w:rsidR="00DE7F72" w:rsidRPr="00733801" w:rsidRDefault="00733801" w:rsidP="00733801">
      <w:pPr>
        <w:pStyle w:val="Akapitzlist"/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contextualSpacing w:val="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ramach systemu musi istnieć możliwość określenia, dla których kategorii url lub wskazanych url - system nie będzie dokonywał inspekcji szyfrowanej komunikacji.</w:t>
      </w:r>
    </w:p>
    <w:p w14:paraId="371CC713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7256FE46" w14:textId="21C5AA23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Uwierzytelnianie użytkowników w ramach sesji</w:t>
      </w:r>
    </w:p>
    <w:p w14:paraId="0E65B1E1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Firewall musi umożliwiać weryfikację tożsamości użytkowników za pomocą, haseł statycznych i definicji użytkowników przechowywanych w lokalnej bazie systemu, haseł statycznych i definicji użytkowników przechowywanych w bazach zgodnych z LDAP, haseł dynamicznych (RADIUS, RSA SecurID) w oparciu o zewnętrzne bazy danych.</w:t>
      </w:r>
    </w:p>
    <w:p w14:paraId="6E65AE52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Musi istnieć możliwość zastosowania w tym procesie uwierzytelniania dwu-składnikowego.</w:t>
      </w:r>
    </w:p>
    <w:p w14:paraId="4DDD78B9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Rozwiązanie powinno umożliwiać budowę architektury uwierzytelniania typu Single Sign On przy integracji ze środowiskiem Active Directory oraz zastosowanie innych mechanizmów: RADIUS lub API.</w:t>
      </w:r>
    </w:p>
    <w:p w14:paraId="446D31A4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Uwierzytelnianie w oparciu o protokół SAML w politykach bezpieczeństwa systemu dotyczących ruchu HTTP.</w:t>
      </w:r>
    </w:p>
    <w:p w14:paraId="73BFD7C6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231004AE" w14:textId="38E9932C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Zarządzanie</w:t>
      </w:r>
    </w:p>
    <w:p w14:paraId="38904FF8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13589EE2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Komunikacja systemów zabezpieczeń z platformami  centralnego zarządzania musi być realizowana z wykorzystaniem szyfrowanych protokołów.</w:t>
      </w:r>
    </w:p>
    <w:p w14:paraId="49D40A02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Powinna istnieć możliwość włączenia mechanizmów uwierzytelniania dwu-składnikowego dla dostępu administracyjnego.</w:t>
      </w:r>
    </w:p>
    <w:p w14:paraId="6690DA9F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współpracować z rozwiązaniami monitorowania poprzez protokoły SNMP w wersjach 2c, 3 oraz umożliwiać przekazywanie statystyk ruchu za pomocą protokołów netflow lub sflow.</w:t>
      </w:r>
    </w:p>
    <w:p w14:paraId="5E1FF52E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mieć możliwość zarządzania przez systemy firm trzecich poprzez API, do którego producent udostępnia dokumentację.</w:t>
      </w:r>
    </w:p>
    <w:p w14:paraId="0B0DC360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Element systemu pełniący funkcję Firewal musi posiadać wbudowane narzędzia diagnostyczne, przynajmniej: ping, traceroute, podglądu pakietów, monitorowanie procesowania sesji oraz stanu sesji firewall.</w:t>
      </w:r>
    </w:p>
    <w:p w14:paraId="2A0CEF4D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Element systemu realizujący funkcję firewall musi umożliwiać wykonanie szeregu zmian przez administratora w CLI lub GUI, które nie zostaną zaimplementowane zanim nie zostaną zatwierdzone.</w:t>
      </w:r>
    </w:p>
    <w:p w14:paraId="1F812809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4D452401" w14:textId="5D4AF40B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Logowanie</w:t>
      </w:r>
    </w:p>
    <w:p w14:paraId="70831BB1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14:paraId="70CA53A1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14:paraId="1CF72AEC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Logowanie musi obejmować zdarzenia dotyczące wszystkich modułów sieciowych i bezpieczeństwa oferowanego systemu.</w:t>
      </w:r>
    </w:p>
    <w:p w14:paraId="513654B5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Musi istnieć możliwość logowania do serwera SYSLOG.</w:t>
      </w:r>
    </w:p>
    <w:p w14:paraId="6CA050DC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2C5C8DB4" w14:textId="73F08161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Certyfikaty</w:t>
      </w:r>
    </w:p>
    <w:p w14:paraId="75B50615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Poszczególne elementy oferowanego systemu bezpieczeństwa powinny posiadać następujące certyfikacje - ICSA lub EAL4 dla funkcji Firewall.</w:t>
      </w:r>
    </w:p>
    <w:p w14:paraId="3D8F28B8" w14:textId="77777777" w:rsid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 w:cs="Times New Roman"/>
          <w:b/>
          <w:color w:val="000000"/>
          <w:sz w:val="22"/>
          <w:szCs w:val="22"/>
        </w:rPr>
      </w:pPr>
    </w:p>
    <w:p w14:paraId="3CB74FB6" w14:textId="0C47E7AA" w:rsidR="00DE7F72" w:rsidRPr="00733801" w:rsidRDefault="00733801" w:rsidP="00733801">
      <w:pPr>
        <w:pStyle w:val="Nagwek1"/>
        <w:tabs>
          <w:tab w:val="left" w:pos="0"/>
        </w:tabs>
        <w:spacing w:before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  <w:sz w:val="22"/>
          <w:szCs w:val="22"/>
        </w:rPr>
        <w:t>Serwis i licencje</w:t>
      </w:r>
    </w:p>
    <w:p w14:paraId="5F79CB29" w14:textId="77777777" w:rsidR="00DE7F72" w:rsidRPr="00733801" w:rsidRDefault="00733801" w:rsidP="00733801">
      <w:pPr>
        <w:numPr>
          <w:ilvl w:val="0"/>
          <w:numId w:val="3"/>
        </w:numPr>
        <w:tabs>
          <w:tab w:val="clear" w:pos="720"/>
          <w:tab w:val="left" w:pos="0"/>
        </w:tabs>
        <w:spacing w:after="0" w:line="300" w:lineRule="exact"/>
        <w:ind w:left="340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 xml:space="preserve">W ramach postępowania powinny zostać dostarczone licencje upoważniające do korzystania z aktualnych baz funkcji ochronnych producenta i serwisów. Powinny one obejmować kontrolę Aplikacji, IPS, Antywirus (z uwzględnieniem sygnatur do ochrony urządzeń mobilnych - co najmniej dla systemu operacyjnego Android), Analiza typu </w:t>
      </w:r>
      <w:r w:rsidRPr="00733801">
        <w:rPr>
          <w:rFonts w:ascii="Fira Sans" w:hAnsi="Fira Sans" w:cs="Times New Roman"/>
          <w:color w:val="000000"/>
        </w:rPr>
        <w:lastRenderedPageBreak/>
        <w:t>Sandbox, Antyspam, Web Filtering, bazy reputacyjne adresów IP/domen, sygnatury ochrony systemów przemysłowych SCADA na okres 12 miesięcy.</w:t>
      </w:r>
    </w:p>
    <w:p w14:paraId="066AACD7" w14:textId="77777777" w:rsidR="00733801" w:rsidRDefault="00733801" w:rsidP="00733801">
      <w:pPr>
        <w:tabs>
          <w:tab w:val="left" w:pos="0"/>
        </w:tabs>
        <w:spacing w:after="0" w:line="300" w:lineRule="exact"/>
        <w:rPr>
          <w:rFonts w:ascii="Fira Sans" w:hAnsi="Fira Sans" w:cs="Times New Roman"/>
          <w:b/>
          <w:color w:val="000000"/>
        </w:rPr>
      </w:pPr>
    </w:p>
    <w:p w14:paraId="5E73E020" w14:textId="45756D33" w:rsidR="00DE7F72" w:rsidRPr="00733801" w:rsidRDefault="00733801" w:rsidP="00733801">
      <w:pPr>
        <w:tabs>
          <w:tab w:val="left" w:pos="0"/>
        </w:tabs>
        <w:spacing w:after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</w:rPr>
        <w:t>Gwarancja oraz wsparcie</w:t>
      </w:r>
    </w:p>
    <w:p w14:paraId="1E6A0B9C" w14:textId="77777777" w:rsidR="00DE7F72" w:rsidRPr="00733801" w:rsidRDefault="00733801" w:rsidP="00733801">
      <w:pPr>
        <w:numPr>
          <w:ilvl w:val="0"/>
          <w:numId w:val="4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Gwarancja: System musi być objęty serwisem gwarancyjnym producenta przez okres 12 miesięcy, polegającym na naprawie lub wymianie urządzenia w przypadku jego wadliwości. W ramach tego serwisu producent musi zapewniać również dostęp do aktualizacji oprogramowania oraz wsparcie techniczne w trybie 24x7.</w:t>
      </w:r>
    </w:p>
    <w:p w14:paraId="788519A1" w14:textId="77777777" w:rsidR="00733801" w:rsidRDefault="00733801" w:rsidP="00733801">
      <w:pPr>
        <w:tabs>
          <w:tab w:val="left" w:pos="0"/>
        </w:tabs>
        <w:spacing w:after="0" w:line="300" w:lineRule="exact"/>
        <w:rPr>
          <w:rFonts w:ascii="Fira Sans" w:hAnsi="Fira Sans" w:cs="Times New Roman"/>
          <w:b/>
          <w:color w:val="000000"/>
        </w:rPr>
      </w:pPr>
    </w:p>
    <w:p w14:paraId="654C2D4C" w14:textId="2AFE4AB7" w:rsidR="00DE7F72" w:rsidRPr="00733801" w:rsidRDefault="00733801" w:rsidP="00733801">
      <w:pPr>
        <w:tabs>
          <w:tab w:val="left" w:pos="0"/>
        </w:tabs>
        <w:spacing w:after="0" w:line="300" w:lineRule="exact"/>
        <w:rPr>
          <w:rFonts w:ascii="Fira Sans" w:hAnsi="Fira Sans"/>
        </w:rPr>
      </w:pPr>
      <w:r w:rsidRPr="00733801">
        <w:rPr>
          <w:rFonts w:ascii="Fira Sans" w:hAnsi="Fira Sans" w:cs="Times New Roman"/>
          <w:b/>
          <w:color w:val="000000"/>
        </w:rPr>
        <w:t>Rozszerzone wsparcie serwisowe AHB//SOS</w:t>
      </w:r>
    </w:p>
    <w:p w14:paraId="36729D58" w14:textId="77777777" w:rsidR="00DE7F72" w:rsidRPr="00733801" w:rsidRDefault="00733801" w:rsidP="00733801">
      <w:pPr>
        <w:numPr>
          <w:ilvl w:val="0"/>
          <w:numId w:val="5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System musi być objęty rozszerzonym wsparciem technicznym gwarantującym udostępnienie oraz dostarczenie sprzętu zastępczego na czas naprawy sprzętu w ciągu 8 godzin od momentu potwierdzenia zasadności zgłoszenia, realizowanym przez producenta rozwiązania lub autoryzowanego dystrybutora przez okres 12 miesięcy.</w:t>
      </w:r>
    </w:p>
    <w:p w14:paraId="4EFAA21B" w14:textId="2F97E6E1" w:rsidR="00DE7F72" w:rsidRPr="008A3D3D" w:rsidRDefault="00733801" w:rsidP="00E564AC">
      <w:pPr>
        <w:numPr>
          <w:ilvl w:val="0"/>
          <w:numId w:val="5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 w:cs="Times New Roman"/>
          <w:color w:val="000000"/>
        </w:rPr>
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24x7.</w:t>
      </w:r>
      <w:r w:rsidR="00E564AC">
        <w:rPr>
          <w:rFonts w:ascii="Fira Sans" w:hAnsi="Fira Sans" w:cs="Times New Roman"/>
          <w:color w:val="000000"/>
        </w:rPr>
        <w:t xml:space="preserve"> </w:t>
      </w:r>
      <w:r w:rsidR="00E564AC" w:rsidRPr="008A3D3D">
        <w:rPr>
          <w:rFonts w:ascii="Fira Sans" w:hAnsi="Fira Sans" w:cs="Times New Roman"/>
          <w:strike/>
          <w:color w:val="FF0000"/>
        </w:rPr>
        <w:t xml:space="preserve">Wykonawca przedłoży Zamawiającemu </w:t>
      </w:r>
      <w:r w:rsidRPr="008A3D3D">
        <w:rPr>
          <w:rFonts w:ascii="Fira Sans" w:hAnsi="Fira Sans"/>
          <w:strike/>
          <w:color w:val="FF0000"/>
        </w:rPr>
        <w:t>adres strony internetowej serwisu i numer infolinii telefonicznej</w:t>
      </w:r>
      <w:r w:rsidR="00E564AC" w:rsidRPr="008A3D3D">
        <w:rPr>
          <w:rFonts w:ascii="Fira Sans" w:hAnsi="Fira Sans"/>
          <w:strike/>
          <w:color w:val="FF0000"/>
        </w:rPr>
        <w:t>.</w:t>
      </w:r>
    </w:p>
    <w:p w14:paraId="3D5B5E68" w14:textId="2767E54F" w:rsidR="008A3D3D" w:rsidRPr="008A3D3D" w:rsidRDefault="007A543A" w:rsidP="008A3D3D">
      <w:pPr>
        <w:numPr>
          <w:ilvl w:val="0"/>
          <w:numId w:val="5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A543A">
        <w:rPr>
          <w:rFonts w:ascii="Fira Sans" w:hAnsi="Fira Sans"/>
          <w:color w:val="FF0000"/>
        </w:rPr>
        <w:t>Oferent winien przedłożyć wraz z ofertą</w:t>
      </w:r>
      <w:r w:rsidRPr="007A543A">
        <w:rPr>
          <w:rFonts w:ascii="Fira Sans" w:hAnsi="Fira Sans"/>
          <w:color w:val="FF0000"/>
        </w:rPr>
        <w:t xml:space="preserve"> </w:t>
      </w:r>
      <w:bookmarkStart w:id="1" w:name="_Hlk117248237"/>
      <w:r w:rsidR="008A3D3D" w:rsidRPr="008A3D3D">
        <w:rPr>
          <w:rFonts w:ascii="Fira Sans" w:hAnsi="Fira Sans"/>
          <w:color w:val="FF0000"/>
        </w:rPr>
        <w:t>oświadczenie Producenta lub Autoryzowanego Dystrybutora świadczącego wsparcie techniczne o gotowości świadczenia na rzecz Zamawiającego wymaganego serwisu (zawierające: adres strony internetowej serwisu i numer infolinii telefonicznej).</w:t>
      </w:r>
      <w:bookmarkEnd w:id="1"/>
    </w:p>
    <w:p w14:paraId="0029D681" w14:textId="06E7FFCC" w:rsidR="00DE7F72" w:rsidRPr="00733801" w:rsidRDefault="00733801" w:rsidP="00733801">
      <w:pPr>
        <w:numPr>
          <w:ilvl w:val="0"/>
          <w:numId w:val="5"/>
        </w:numPr>
        <w:tabs>
          <w:tab w:val="clear" w:pos="720"/>
          <w:tab w:val="left" w:pos="0"/>
        </w:tabs>
        <w:spacing w:after="0" w:line="300" w:lineRule="exact"/>
        <w:ind w:left="397" w:hanging="340"/>
        <w:jc w:val="both"/>
        <w:rPr>
          <w:rFonts w:ascii="Fira Sans" w:hAnsi="Fira Sans"/>
        </w:rPr>
      </w:pPr>
      <w:r w:rsidRPr="00733801">
        <w:rPr>
          <w:rFonts w:ascii="Fira Sans" w:hAnsi="Fira Sans"/>
        </w:rPr>
        <w:t xml:space="preserve">Oferent winien </w:t>
      </w:r>
      <w:r w:rsidR="00314DEB">
        <w:rPr>
          <w:rFonts w:ascii="Fira Sans" w:hAnsi="Fira Sans"/>
        </w:rPr>
        <w:t xml:space="preserve">posiadać </w:t>
      </w:r>
      <w:r w:rsidRPr="00733801">
        <w:rPr>
          <w:rFonts w:ascii="Fira Sans" w:hAnsi="Fira Sans"/>
        </w:rPr>
        <w:t>Certyfikat ISO 9001 podmiotu serwisującego.</w:t>
      </w:r>
    </w:p>
    <w:p w14:paraId="4DE74725" w14:textId="77777777" w:rsidR="00733801" w:rsidRPr="00E564AC" w:rsidRDefault="00733801" w:rsidP="00733801">
      <w:pPr>
        <w:tabs>
          <w:tab w:val="left" w:pos="0"/>
        </w:tabs>
        <w:spacing w:after="0" w:line="300" w:lineRule="exact"/>
        <w:rPr>
          <w:rFonts w:ascii="Fira Sans" w:hAnsi="Fira Sans" w:cs="Times New Roman"/>
          <w:b/>
          <w:color w:val="auto"/>
        </w:rPr>
      </w:pPr>
    </w:p>
    <w:p w14:paraId="6016CD88" w14:textId="21CCEE86" w:rsidR="00DE7F72" w:rsidRPr="00E564AC" w:rsidRDefault="00733801" w:rsidP="00733801">
      <w:pPr>
        <w:tabs>
          <w:tab w:val="left" w:pos="0"/>
        </w:tabs>
        <w:spacing w:after="0" w:line="300" w:lineRule="exact"/>
        <w:rPr>
          <w:rFonts w:ascii="Fira Sans" w:hAnsi="Fira Sans"/>
          <w:color w:val="auto"/>
        </w:rPr>
      </w:pPr>
      <w:r w:rsidRPr="00E564AC">
        <w:rPr>
          <w:rFonts w:ascii="Fira Sans" w:hAnsi="Fira Sans" w:cs="Times New Roman"/>
          <w:b/>
          <w:color w:val="auto"/>
        </w:rPr>
        <w:t>Opis do wymagań ogólnych</w:t>
      </w:r>
    </w:p>
    <w:p w14:paraId="20754613" w14:textId="298200D9" w:rsidR="00DE7F72" w:rsidRPr="00E564AC" w:rsidRDefault="00733801" w:rsidP="00953DAB">
      <w:pPr>
        <w:numPr>
          <w:ilvl w:val="0"/>
          <w:numId w:val="6"/>
        </w:numPr>
        <w:tabs>
          <w:tab w:val="clear" w:pos="720"/>
          <w:tab w:val="left" w:pos="0"/>
        </w:tabs>
        <w:spacing w:after="0" w:line="300" w:lineRule="exact"/>
        <w:ind w:left="454" w:hanging="340"/>
        <w:jc w:val="both"/>
        <w:rPr>
          <w:rFonts w:ascii="Fira Sans" w:hAnsi="Fira Sans"/>
          <w:color w:val="auto"/>
        </w:rPr>
      </w:pPr>
      <w:r w:rsidRPr="00E564AC">
        <w:rPr>
          <w:rFonts w:ascii="Fira Sans" w:hAnsi="Fira Sans" w:cs="Times New Roman"/>
          <w:color w:val="auto"/>
        </w:rPr>
        <w:t xml:space="preserve">Opis przedmiotu zamówienia (nie techniczny, tylko ogólny): W przypadku istnienia takiego wymogu w stosunku do technologii objętej przedmiotem niniejszego postępowania (tzw. produkty podwójnego zastosowania), Dostawca winien </w:t>
      </w:r>
      <w:r w:rsidR="00E564AC" w:rsidRPr="00E564AC">
        <w:rPr>
          <w:rFonts w:ascii="Fira Sans" w:hAnsi="Fira Sans" w:cs="Times New Roman"/>
          <w:color w:val="auto"/>
        </w:rPr>
        <w:t xml:space="preserve">posiadać </w:t>
      </w:r>
      <w:r w:rsidRPr="00E564AC">
        <w:rPr>
          <w:rFonts w:ascii="Fira Sans" w:hAnsi="Fira Sans" w:cs="Times New Roman"/>
          <w:color w:val="auto"/>
        </w:rPr>
        <w:t>dokument pochodzący od importera tej technologii stwierdzający, iż przy jej wprowadzeniu na terytorium Polski, zostały dochowane wymogi właściwych przepisów prawa, w tym ustawy z dnia 29 listopada 2000 r. o obrocie z zagranicą towarami, technologiami i usługami o znaczeniu strategicznym dla bezpieczeństwa państwa, a także dla utrzymania międzynarodowego pokoju i bezpieczeństwa (Dz.U. z 2004, Nr 229, poz. 2315 z późn zm.) oraz dokument potwierdzający, że importer posiada certyfikowany przez właściwą jednostkę system zarządzania jakością tzw. wewnętrzny system kontroli wymagany dla wspólnotowego systemu kontroli wywozu, transferu, pośrednictwa i tranzytu w odniesieniu do produktów podwójnego zastosowania.</w:t>
      </w:r>
      <w:r w:rsidR="00E564AC" w:rsidRPr="00E564AC">
        <w:rPr>
          <w:rFonts w:ascii="Fira Sans" w:hAnsi="Fira Sans" w:cs="Times New Roman"/>
          <w:color w:val="auto"/>
        </w:rPr>
        <w:t xml:space="preserve"> Wykonawca zobowiązany jest okazać w/w dokumenty na każde żądanie Zamawiającego w terminie nie dłuższym niż 3 dni od wezwania przez Zamawiającego</w:t>
      </w:r>
      <w:r w:rsidR="00E564AC" w:rsidRPr="00E564AC">
        <w:rPr>
          <w:color w:val="auto"/>
        </w:rPr>
        <w:t>.</w:t>
      </w:r>
    </w:p>
    <w:sectPr w:rsidR="00DE7F72" w:rsidRPr="00E564A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A2A1" w14:textId="77777777" w:rsidR="004B31C9" w:rsidRDefault="004B31C9">
      <w:pPr>
        <w:spacing w:after="0" w:line="240" w:lineRule="auto"/>
      </w:pPr>
      <w:r>
        <w:separator/>
      </w:r>
    </w:p>
  </w:endnote>
  <w:endnote w:type="continuationSeparator" w:id="0">
    <w:p w14:paraId="0B52D51E" w14:textId="77777777" w:rsidR="004B31C9" w:rsidRDefault="004B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0A5B" w14:textId="77777777" w:rsidR="00DE7F72" w:rsidRDefault="00733801">
    <w:pPr>
      <w:pStyle w:val="Bezodstpw1"/>
    </w:pPr>
    <w:r>
      <w:rPr>
        <w:rFonts w:eastAsia="Calibri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</w:t>
    </w:r>
  </w:p>
  <w:p w14:paraId="0FC2FEAF" w14:textId="77777777" w:rsidR="00DE7F72" w:rsidRDefault="00733801">
    <w:pPr>
      <w:pStyle w:val="Bezodstpw1"/>
    </w:pPr>
    <w:r>
      <w:rPr>
        <w:noProof/>
        <w:lang w:eastAsia="pl-PL"/>
      </w:rPr>
      <mc:AlternateContent>
        <mc:Choice Requires="wps">
          <w:drawing>
            <wp:anchor distT="0" distB="1270" distL="635" distR="0" simplePos="0" relativeHeight="10" behindDoc="1" locked="0" layoutInCell="0" allowOverlap="1" wp14:anchorId="25BF4602" wp14:editId="35ED868E">
              <wp:simplePos x="0" y="0"/>
              <wp:positionH relativeFrom="column">
                <wp:posOffset>635</wp:posOffset>
              </wp:positionH>
              <wp:positionV relativeFrom="paragraph">
                <wp:posOffset>5080</wp:posOffset>
              </wp:positionV>
              <wp:extent cx="635" cy="12065"/>
              <wp:effectExtent l="635" t="0" r="0" b="1905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22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3FC4E97" id="Prostokąt 2" o:spid="_x0000_s1026" style="position:absolute;margin-left:.05pt;margin-top:.4pt;width:.05pt;height:.95pt;z-index:-503316470;visibility:visible;mso-wrap-style:square;mso-wrap-distance-left:.05pt;mso-wrap-distance-top:0;mso-wrap-distance-right:0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" o:allowincell="f" fillcolor="#a0a0a0" stroked="f" strokeweight="0"/>
          </w:pict>
        </mc:Fallback>
      </mc:AlternateContent>
    </w:r>
  </w:p>
  <w:p w14:paraId="46B126D6" w14:textId="77777777" w:rsidR="00DE7F72" w:rsidRDefault="00733801">
    <w:pPr>
      <w:pStyle w:val="Bezodstpw1"/>
    </w:pPr>
    <w:r>
      <w:rPr>
        <w:rFonts w:eastAsia="Calibri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10285" w:type="dxa"/>
      <w:tblInd w:w="-275" w:type="dxa"/>
      <w:tblLayout w:type="fixed"/>
      <w:tblCellMar>
        <w:left w:w="98" w:type="dxa"/>
      </w:tblCellMar>
      <w:tblLook w:val="0000" w:firstRow="0" w:lastRow="0" w:firstColumn="0" w:lastColumn="0" w:noHBand="0" w:noVBand="0"/>
    </w:tblPr>
    <w:tblGrid>
      <w:gridCol w:w="10285"/>
    </w:tblGrid>
    <w:tr w:rsidR="00DE7F72" w14:paraId="3DA551CE" w14:textId="77777777">
      <w:trPr>
        <w:trHeight w:val="283"/>
      </w:trPr>
      <w:tc>
        <w:tcPr>
          <w:tcW w:w="102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152BC07A" w14:textId="77777777" w:rsidR="00DE7F72" w:rsidRDefault="00733801">
          <w:pPr>
            <w:pStyle w:val="Bezodstpw1"/>
            <w:widowControl w:val="0"/>
            <w:jc w:val="center"/>
          </w:pPr>
          <w:r>
            <w:rPr>
              <w:sz w:val="14"/>
              <w:szCs w:val="16"/>
            </w:rPr>
            <w:t xml:space="preserve">KRS: 0000565090  Sąd Rejonowy Gdańsk-Północ w Gdańsku, VIII Wydział Gospodarczy </w:t>
          </w:r>
          <w:r>
            <w:rPr>
              <w:sz w:val="14"/>
              <w:szCs w:val="16"/>
            </w:rPr>
            <w:br/>
            <w:t>NIP: 839-31-79-849  REGON: 770901511 Kapitał zakładowy spółki: 160 000 000 zł</w:t>
          </w:r>
        </w:p>
        <w:p w14:paraId="4A83CEE7" w14:textId="77777777" w:rsidR="00DE7F72" w:rsidRDefault="00DE7F72">
          <w:pPr>
            <w:pStyle w:val="Bezodstpw1"/>
            <w:widowControl w:val="0"/>
            <w:rPr>
              <w:rFonts w:eastAsia="Calibri"/>
            </w:rPr>
          </w:pPr>
        </w:p>
      </w:tc>
    </w:tr>
  </w:tbl>
  <w:p w14:paraId="0A40162B" w14:textId="77777777" w:rsidR="00DE7F72" w:rsidRDefault="00DE7F72">
    <w:pPr>
      <w:pStyle w:val="Bezodstpw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34B8" w14:textId="77777777" w:rsidR="004B31C9" w:rsidRDefault="004B31C9">
      <w:pPr>
        <w:spacing w:after="0" w:line="240" w:lineRule="auto"/>
      </w:pPr>
      <w:r>
        <w:separator/>
      </w:r>
    </w:p>
  </w:footnote>
  <w:footnote w:type="continuationSeparator" w:id="0">
    <w:p w14:paraId="7A51DE17" w14:textId="77777777" w:rsidR="004B31C9" w:rsidRDefault="004B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8B5"/>
    <w:multiLevelType w:val="multilevel"/>
    <w:tmpl w:val="65E2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E0033F"/>
    <w:multiLevelType w:val="multilevel"/>
    <w:tmpl w:val="6E80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B76B77"/>
    <w:multiLevelType w:val="multilevel"/>
    <w:tmpl w:val="F6E44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1D10B6"/>
    <w:multiLevelType w:val="multilevel"/>
    <w:tmpl w:val="815C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9031C47"/>
    <w:multiLevelType w:val="multilevel"/>
    <w:tmpl w:val="0ED2033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FEA2E40"/>
    <w:multiLevelType w:val="multilevel"/>
    <w:tmpl w:val="18863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59D6B9F"/>
    <w:multiLevelType w:val="multilevel"/>
    <w:tmpl w:val="EDB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31830155">
    <w:abstractNumId w:val="5"/>
  </w:num>
  <w:num w:numId="2" w16cid:durableId="1033072195">
    <w:abstractNumId w:val="4"/>
  </w:num>
  <w:num w:numId="3" w16cid:durableId="1968773491">
    <w:abstractNumId w:val="3"/>
  </w:num>
  <w:num w:numId="4" w16cid:durableId="75396523">
    <w:abstractNumId w:val="0"/>
  </w:num>
  <w:num w:numId="5" w16cid:durableId="663512729">
    <w:abstractNumId w:val="6"/>
  </w:num>
  <w:num w:numId="6" w16cid:durableId="1869173584">
    <w:abstractNumId w:val="1"/>
  </w:num>
  <w:num w:numId="7" w16cid:durableId="190659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72"/>
    <w:rsid w:val="00080A9E"/>
    <w:rsid w:val="00146B57"/>
    <w:rsid w:val="00314DEB"/>
    <w:rsid w:val="003170D0"/>
    <w:rsid w:val="004B31C9"/>
    <w:rsid w:val="005920C2"/>
    <w:rsid w:val="00733801"/>
    <w:rsid w:val="007A543A"/>
    <w:rsid w:val="00871F83"/>
    <w:rsid w:val="008A3D3D"/>
    <w:rsid w:val="00DD63F2"/>
    <w:rsid w:val="00DE7F72"/>
    <w:rsid w:val="00E564AC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62B"/>
  <w15:docId w15:val="{8EEEE695-9A77-41A8-9A33-563C3656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A2B"/>
    <w:pPr>
      <w:spacing w:after="200" w:line="276" w:lineRule="auto"/>
    </w:pPr>
    <w:rPr>
      <w:rFonts w:ascii="Calibri" w:eastAsia="Droid Sans Fallback" w:hAnsi="Calibri" w:cs="Calibri"/>
      <w:color w:val="00000A"/>
      <w:kern w:val="2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F66A2B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F66A2B"/>
    <w:rPr>
      <w:rFonts w:ascii="Arial" w:eastAsia="Droid Sans Fallback" w:hAnsi="Arial" w:cs="Arial"/>
      <w:b/>
      <w:color w:val="00000A"/>
      <w:kern w:val="2"/>
      <w:sz w:val="24"/>
    </w:rPr>
  </w:style>
  <w:style w:type="character" w:customStyle="1" w:styleId="attributenametext">
    <w:name w:val="attribute_name_text"/>
    <w:qFormat/>
    <w:rsid w:val="00F66A2B"/>
  </w:style>
  <w:style w:type="character" w:customStyle="1" w:styleId="NagwekZnak">
    <w:name w:val="Nagłówek Znak"/>
    <w:basedOn w:val="Domylnaczcionkaakapitu"/>
    <w:link w:val="Nagwek"/>
    <w:qFormat/>
    <w:rsid w:val="00F66A2B"/>
    <w:rPr>
      <w:rFonts w:ascii="Calibri" w:eastAsia="Droid Sans Fallback" w:hAnsi="Calibri" w:cs="Calibri"/>
      <w:color w:val="00000A"/>
      <w:kern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6A2B"/>
    <w:rPr>
      <w:rFonts w:ascii="Tahoma" w:eastAsia="Droid Sans Fallback" w:hAnsi="Tahoma" w:cs="Tahoma"/>
      <w:color w:val="00000A"/>
      <w:kern w:val="2"/>
      <w:sz w:val="16"/>
      <w:szCs w:val="16"/>
    </w:rPr>
  </w:style>
  <w:style w:type="character" w:customStyle="1" w:styleId="czeinternetowe">
    <w:name w:val="Łącze internetowe"/>
    <w:rsid w:val="00FB123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1235"/>
    <w:rPr>
      <w:rFonts w:ascii="Calibri" w:eastAsia="Droid Sans Fallback" w:hAnsi="Calibri" w:cs="Calibri"/>
      <w:color w:val="00000A"/>
      <w:kern w:val="2"/>
    </w:rPr>
  </w:style>
  <w:style w:type="character" w:customStyle="1" w:styleId="tx">
    <w:name w:val="tx"/>
    <w:basedOn w:val="Domylnaczcionkaakapitu"/>
    <w:qFormat/>
    <w:rsid w:val="002702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A68CA"/>
    <w:rPr>
      <w:rFonts w:ascii="Calibri" w:eastAsia="Droid Sans Fallback" w:hAnsi="Calibri" w:cs="Calibri"/>
      <w:color w:val="00000A"/>
      <w:kern w:val="2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A68C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7D7"/>
    <w:rPr>
      <w:rFonts w:ascii="Calibri" w:eastAsia="Droid Sans Fallback" w:hAnsi="Calibri" w:cs="Calibri"/>
      <w:color w:val="00000A"/>
      <w:kern w:val="2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27D7"/>
    <w:rPr>
      <w:vertAlign w:val="superscript"/>
    </w:rPr>
  </w:style>
  <w:style w:type="character" w:customStyle="1" w:styleId="Hipercze1">
    <w:name w:val="Hiperłącze1"/>
    <w:basedOn w:val="Domylnaczcionkaakapitu"/>
    <w:qFormat/>
    <w:rsid w:val="00F904F1"/>
    <w:rPr>
      <w:color w:val="0000FF"/>
      <w:u w:val="single" w:color="000000"/>
    </w:rPr>
  </w:style>
  <w:style w:type="character" w:styleId="Pogrubienie">
    <w:name w:val="Strong"/>
    <w:basedOn w:val="Domylnaczcionkaakapitu"/>
    <w:uiPriority w:val="22"/>
    <w:qFormat/>
    <w:rsid w:val="00863C6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09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09BA"/>
    <w:rPr>
      <w:rFonts w:ascii="Calibri" w:eastAsia="Droid Sans Fallback" w:hAnsi="Calibri" w:cs="Calibri"/>
      <w:color w:val="00000A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09BA"/>
    <w:rPr>
      <w:rFonts w:ascii="Calibri" w:eastAsia="Droid Sans Fallback" w:hAnsi="Calibri" w:cs="Calibri"/>
      <w:b/>
      <w:bCs/>
      <w:color w:val="00000A"/>
      <w:kern w:val="2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F66A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Bezodstpw1">
    <w:name w:val="Bez odstępów1"/>
    <w:qFormat/>
    <w:rsid w:val="00F66A2B"/>
    <w:rPr>
      <w:rFonts w:ascii="Calibri" w:eastAsia="Droid Sans Fallback" w:hAnsi="Calibri" w:cs="Calibri"/>
      <w:color w:val="00000A"/>
      <w:kern w:val="2"/>
    </w:rPr>
  </w:style>
  <w:style w:type="paragraph" w:customStyle="1" w:styleId="Zawartotabeli">
    <w:name w:val="Zawartość tabeli"/>
    <w:basedOn w:val="Normalny"/>
    <w:qFormat/>
    <w:rsid w:val="00F66A2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6A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B123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CA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D7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904F1"/>
    <w:pPr>
      <w:spacing w:after="200" w:line="276" w:lineRule="auto"/>
    </w:pPr>
    <w:rPr>
      <w:rFonts w:ascii="Calibri" w:eastAsia="Droid Sans Fallback" w:hAnsi="Calibri" w:cs="Calibri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69383E"/>
    <w:pPr>
      <w:ind w:left="720"/>
      <w:contextualSpacing/>
    </w:pPr>
  </w:style>
  <w:style w:type="paragraph" w:customStyle="1" w:styleId="Default">
    <w:name w:val="Default"/>
    <w:qFormat/>
    <w:rsid w:val="00971588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09B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09BA"/>
    <w:rPr>
      <w:b/>
      <w:bCs/>
    </w:rPr>
  </w:style>
  <w:style w:type="table" w:styleId="Tabela-Siatka">
    <w:name w:val="Table Grid"/>
    <w:basedOn w:val="Standardowy"/>
    <w:uiPriority w:val="59"/>
    <w:rsid w:val="00F6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6B57"/>
    <w:pPr>
      <w:suppressAutoHyphens w:val="0"/>
    </w:pPr>
    <w:rPr>
      <w:rFonts w:ascii="Calibri" w:eastAsia="Droid Sans Fallback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E6A0-9597-45D4-AA70-6C26848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Znamirowska</cp:lastModifiedBy>
  <cp:revision>4</cp:revision>
  <cp:lastPrinted>2022-10-21T09:14:00Z</cp:lastPrinted>
  <dcterms:created xsi:type="dcterms:W3CDTF">2022-10-17T06:57:00Z</dcterms:created>
  <dcterms:modified xsi:type="dcterms:W3CDTF">2022-10-21T11:14:00Z</dcterms:modified>
  <dc:language>pl-PL</dc:language>
</cp:coreProperties>
</file>