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usług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Dowóz dzieci z terenu gminy Szczutowo do szkół w Szczutowie i Gójsku w roku szkolnym 202</w:t>
      </w:r>
      <w:r>
        <w:rPr>
          <w:rFonts w:eastAsia="SimSun" w:cs="Calibri" w:ascii="Calibri" w:hAnsi="Calibri"/>
          <w:b/>
          <w:bCs/>
          <w:color w:val="000000"/>
          <w:kern w:val="2"/>
          <w:sz w:val="22"/>
          <w:szCs w:val="22"/>
          <w:lang w:val="pl-PL" w:eastAsia="zh-CN" w:bidi="hi-IN"/>
        </w:rPr>
        <w:t>2/2023</w:t>
      </w:r>
      <w:r>
        <w:rPr>
          <w:rFonts w:cs="Times New Roman" w:ascii="Calibri" w:hAnsi="Calibri"/>
          <w:sz w:val="24"/>
          <w:szCs w:val="24"/>
        </w:rPr>
        <w:t xml:space="preserve">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1. Oświadczam, że nie podlegam wykluczeniu z po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 xml:space="preserve">stępowania na podstawie art. 108 ust. 1  i  art. 109 ust. 1 pkt 4 ustawy Pzp oraz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2022 r., poz. 835)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LibreOffice/6.3.0.4$Windows_X86_64 LibreOffice_project/057fc023c990d676a43019934386b85b21a9ee99</Application>
  <Pages>2</Pages>
  <Words>356</Words>
  <Characters>2801</Characters>
  <CharactersWithSpaces>3141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2022-07-13T08:02:33Z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