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63500</wp:posOffset>
            </wp:positionV>
            <wp:extent cx="2545080" cy="89344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Zał. nr 7  do SWZ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ind w:left="284" w:hanging="284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spacing w:lineRule="auto" w:line="276" w:before="0" w:after="0"/>
        <w:ind w:left="284" w:hanging="284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spacing w:lineRule="auto" w:line="276" w:before="0" w:after="0"/>
        <w:ind w:left="284" w:hanging="284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spacing w:lineRule="auto" w:line="276" w:before="0" w:after="0"/>
        <w:ind w:left="284" w:hanging="284"/>
        <w:jc w:val="center"/>
        <w:rPr/>
      </w:pPr>
      <w:r>
        <w:rPr>
          <w:rFonts w:cs="Times New Roman"/>
          <w:b/>
          <w:color w:val="000000"/>
        </w:rPr>
        <w:t>U M O W A Nr ……………………………………….</w:t>
      </w:r>
    </w:p>
    <w:p>
      <w:pPr>
        <w:pStyle w:val="Wcicietrecitekstu"/>
        <w:suppressAutoHyphens w:val="false"/>
        <w:spacing w:lineRule="auto" w:line="276" w:before="0" w:after="0"/>
        <w:jc w:val="center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outlineLvl w:val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76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color w:val="000000"/>
        </w:rPr>
        <w:t xml:space="preserve">pomiędzy </w:t>
      </w:r>
      <w:r>
        <w:rPr>
          <w:rFonts w:cs="Times New Roman"/>
          <w:b/>
          <w:color w:val="000000"/>
        </w:rPr>
        <w:t>Gminą Szczutowo</w:t>
      </w:r>
      <w:r>
        <w:rPr>
          <w:rFonts w:cs="Times New Roman"/>
          <w:color w:val="000000"/>
        </w:rPr>
        <w:t>, z siedzibą w Szczutowie przy ul. Lipowej 5A, 09 – 227 Szczutowo, posiadającą NIP 7761619685 reprezentowaną przez: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/>
          <w:b/>
          <w:bCs/>
          <w:iCs/>
          <w:color w:val="000000"/>
        </w:rPr>
        <w:t xml:space="preserve">Wójta Gminy Szczutowo </w:t>
      </w:r>
      <w:r>
        <w:rPr>
          <w:rFonts w:cs="Times New Roman"/>
          <w:iCs/>
          <w:color w:val="000000"/>
        </w:rPr>
        <w:t xml:space="preserve">– Andrzeja Twardowskiego </w:t>
      </w:r>
      <w:r>
        <w:rPr>
          <w:rFonts w:cs="Times New Roman"/>
          <w:color w:val="000000"/>
        </w:rPr>
        <w:t xml:space="preserve">przy kontrasygnacie </w:t>
      </w:r>
      <w:r>
        <w:rPr>
          <w:rFonts w:cs="Times New Roman"/>
          <w:b/>
          <w:color w:val="000000"/>
        </w:rPr>
        <w:t>Skarbnika Gminy</w:t>
      </w:r>
      <w:r>
        <w:rPr>
          <w:rFonts w:cs="Times New Roman"/>
          <w:color w:val="000000"/>
        </w:rPr>
        <w:t xml:space="preserve"> – Hanny Domagalskiej</w:t>
      </w:r>
    </w:p>
    <w:p>
      <w:pPr>
        <w:pStyle w:val="Podpis1"/>
        <w:suppressAutoHyphens w:val="false"/>
        <w:spacing w:lineRule="auto" w:line="276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76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76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lineRule="auto" w:line="276" w:before="0" w:after="0"/>
        <w:rPr/>
      </w:pPr>
      <w:r>
        <w:rPr>
          <w:rFonts w:cs="Times New Roman"/>
          <w:color w:val="000000"/>
        </w:rPr>
        <w:t>reprezentowanym przez:</w:t>
      </w:r>
    </w:p>
    <w:p>
      <w:pPr>
        <w:pStyle w:val="Tekstpodstawowywcity21"/>
        <w:suppressAutoHyphens w:val="false"/>
        <w:spacing w:lineRule="auto" w:line="276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/>
      </w:pPr>
      <w:r>
        <w:rPr>
          <w:rFonts w:cs="Times New Roman"/>
          <w:color w:val="000000"/>
        </w:rPr>
        <w:t>zwanym dalej „</w:t>
      </w:r>
      <w:r>
        <w:rPr>
          <w:rFonts w:cs="Times New Roman"/>
          <w:b/>
          <w:color w:val="000000"/>
        </w:rPr>
        <w:t>Wykonawcą”</w:t>
      </w:r>
      <w:r>
        <w:rPr>
          <w:rFonts w:cs="Times New Roman"/>
          <w:color w:val="000000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wyniku</w:t>
      </w:r>
      <w:r>
        <w:rPr>
          <w:rFonts w:eastAsia="Times New Roman" w:cs="Times New Roman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b/>
        </w:rPr>
        <w:t>pn: „</w:t>
      </w:r>
      <w:r>
        <w:rPr>
          <w:rFonts w:eastAsia="BookAntiqua-Bold;Times New Roman" w:cs="Calibri"/>
          <w:b/>
          <w:bCs/>
          <w:i/>
          <w:color w:val="000000"/>
          <w:kern w:val="2"/>
          <w:sz w:val="24"/>
          <w:szCs w:val="24"/>
          <w:lang w:val="pl-PL" w:eastAsia="zh-CN" w:bidi="hi-IN"/>
        </w:rPr>
        <w:t>Przebudowa drogi gminnej Podlesie - Blinno</w:t>
      </w:r>
      <w:r>
        <w:rPr>
          <w:rFonts w:eastAsia="Calibri" w:cs="Calibri"/>
          <w:b/>
          <w:bCs/>
          <w:i/>
          <w:color w:val="000000"/>
          <w:kern w:val="0"/>
          <w:sz w:val="24"/>
          <w:szCs w:val="24"/>
          <w:lang w:val="pl-PL" w:eastAsia="en-US" w:bidi="ar-SA"/>
        </w:rPr>
        <w:t>”</w:t>
      </w:r>
      <w:r>
        <w:rPr>
          <w:rFonts w:cs="Times New Roman"/>
          <w:color w:val="000000"/>
        </w:rPr>
        <w:t xml:space="preserve"> została zawarta  umowa </w:t>
      </w:r>
      <w:r>
        <w:rPr>
          <w:rFonts w:eastAsia="Times New Roman" w:cs="Times New Roman"/>
        </w:rPr>
        <w:t>o następującej treści:</w:t>
      </w:r>
    </w:p>
    <w:p>
      <w:pPr>
        <w:pStyle w:val="Normal"/>
        <w:spacing w:lineRule="auto" w:line="276" w:before="171" w:after="171"/>
        <w:jc w:val="center"/>
        <w:rPr/>
      </w:pPr>
      <w:r>
        <w:rPr>
          <w:rFonts w:eastAsia="Times New Roman" w:cs="Times New Roman"/>
          <w:b/>
          <w:lang w:eastAsia="pl-PL"/>
        </w:rPr>
        <w:t>§1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1. Przedmiotem umowy jest realizacja robót budowlanych w ramach zadania inwestycyjnego pn: </w:t>
      </w:r>
      <w:r>
        <w:rPr>
          <w:rFonts w:eastAsia="Times New Roman" w:cs="Times New Roman"/>
          <w:b/>
          <w:i/>
          <w:lang w:eastAsia="pl-PL"/>
        </w:rPr>
        <w:t>„</w:t>
      </w:r>
      <w:r>
        <w:rPr>
          <w:rFonts w:eastAsia="BookAntiqua-Bold;Times New Roman" w:cs="Calibri"/>
          <w:b/>
          <w:bCs/>
          <w:i/>
          <w:color w:val="000000"/>
          <w:kern w:val="2"/>
          <w:sz w:val="24"/>
          <w:szCs w:val="24"/>
          <w:lang w:val="pl-PL" w:eastAsia="zh-CN" w:bidi="hi-IN"/>
        </w:rPr>
        <w:t>Przebudowa drogi gminnej Podlesie - Blinno</w:t>
      </w:r>
      <w:r>
        <w:rPr>
          <w:rFonts w:eastAsia="Calibri" w:cs="Calibri"/>
          <w:b/>
          <w:bCs/>
          <w:i/>
          <w:color w:val="000000"/>
          <w:kern w:val="0"/>
          <w:sz w:val="24"/>
          <w:szCs w:val="24"/>
          <w:lang w:val="pl-PL" w:eastAsia="en-US" w:bidi="ar-SA"/>
        </w:rPr>
        <w:t>”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76" w:before="0" w:after="0"/>
        <w:jc w:val="both"/>
        <w:rPr>
          <w:rFonts w:eastAsia="SimSun" w:cs="Times New Roman"/>
          <w:b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2. Roboty związane z realizacją przedmiotu zamówienia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76" w:before="0" w:after="0"/>
        <w:ind w:left="567" w:hanging="567"/>
        <w:jc w:val="both"/>
        <w:rPr/>
      </w:pPr>
      <w:r>
        <w:rPr>
          <w:rFonts w:eastAsia="Times New Roman" w:cs="Times New Roman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76" w:before="231" w:after="231"/>
        <w:jc w:val="center"/>
        <w:rPr/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Wykonawca zobowiązuje się zrealizować Przedmiot zamówienia w terminie   …  </w:t>
      </w:r>
      <w:r>
        <w:rPr>
          <w:rFonts w:eastAsia="Times New Roman" w:cs="Times New Roman"/>
          <w:b/>
          <w:color w:val="000000"/>
          <w:lang w:eastAsia="pl-PL"/>
        </w:rPr>
        <w:t xml:space="preserve">    miesięcy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  <w:lang w:eastAsia="pl-PL"/>
        </w:rPr>
        <w:t xml:space="preserve">2. Przez zakończenie Przedmiotu zamówienia rozumie się pisemne zgłoszenie przez Wykonawcę gotowości do odbioru końcowego i potwierdzenie wykonania wszystkich robót przez inspektora nadzoru. </w:t>
      </w:r>
    </w:p>
    <w:p>
      <w:pPr>
        <w:pStyle w:val="Normal"/>
        <w:spacing w:lineRule="auto" w:line="276" w:before="228" w:after="288"/>
        <w:jc w:val="center"/>
        <w:rPr/>
      </w:pPr>
      <w:r>
        <w:rPr>
          <w:rFonts w:eastAsia="Times New Roman" w:cs="Times New Roman"/>
          <w:b/>
          <w:bCs/>
          <w:lang w:eastAsia="pl-PL"/>
        </w:rPr>
        <w:t>§ 3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2. Wykonawca oświadcza, że posiada konieczne doświadczenie i profesjonalne kwalifikacje niezbędne do prawidłowego wykonania umowy.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lang w:eastAsia="pl-PL"/>
        </w:rPr>
        <w:t>posiadający uprawnienia budowlane do kierowania robotami budowlanymi w specjalności drogowej</w:t>
      </w:r>
      <w:r>
        <w:rPr>
          <w:rFonts w:eastAsia="Times New Roman" w:cs="Times New Roman"/>
          <w:lang w:eastAsia="pl-PL"/>
        </w:rPr>
        <w:t xml:space="preserve"> oraz ważnym zaświadczeniem z Okręgowej Izby Inżynierów Budownictwa  w osobie …………………………………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Zamawiający wymaga codziennej obecności kierownika budowy na terenie prowadzonych robót i nadzorowania wykonywanych prac. 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8. Zamawiający wymaga  zatrudnienia przez Wykonawcę lub zapewnienia takiego zatrudnienia przez podwykonawcę  na podstawie umowy o pracę  w rozumieniu  ustawy z dnia 26 czerwca 1974 r.  Kodeks pracy osób wykonujących czynności w zakresie wszelkich prac budowlanych, w szczególności  roboty  ziemne, przygotowawcze, roboty drogowe  oraz osoby  obsługujące sprzęt użyty  do realizacji zamówienia za wyjątkiem osób  pełniących  samodzielne funkcje  techniczne w budownictwie ( kierownik budowy, kierownik robót).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9. Wykonawca jest obowiązany  przedłożyć  Zamawiającemu  przed  rozpoczęciem realizacji zadania,  lecz  nie później niż w dniu przekazania  placu budowy  wykaz  osób, które będą  wykonywać czynności w zakresie  wszelkich  prac  budowlanych w ramach  przedmiotu  umowy w szczególności  roboty   ziemne, przygotowawcze, roboty drogowe  oraz osoby  obsługujące sprzęt użyty  do realizacji zamówienia wraz z oświadczeniem  Wykonawcy  lub Podwykonawcy 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 w:before="60" w:after="0"/>
        <w:ind w:left="0" w:hanging="0"/>
        <w:contextualSpacing/>
        <w:jc w:val="both"/>
        <w:rPr>
          <w:rFonts w:eastAsia="Times New Roman" w:cs="Times New Roman"/>
          <w:highlight w:val="yellow"/>
        </w:rPr>
      </w:pPr>
      <w:r>
        <w:rPr>
          <w:rFonts w:cs="Times New Roman"/>
          <w:bCs/>
          <w:spacing w:val="-4"/>
          <w:lang w:eastAsia="en-US"/>
        </w:rPr>
        <w:t>Oświadczenie to powinno zawierać w szczególno</w:t>
      </w:r>
      <w:r>
        <w:rPr>
          <w:rFonts w:cs="Times New Roman"/>
          <w:bCs/>
          <w:color w:val="000000"/>
          <w:spacing w:val="-4"/>
          <w:lang w:eastAsia="en-US"/>
        </w:rPr>
        <w:t xml:space="preserve">ści </w:t>
      </w:r>
      <w:r>
        <w:rPr>
          <w:color w:val="000000"/>
          <w:shd w:fill="FFFFFF" w:val="clear"/>
        </w:rPr>
        <w:t xml:space="preserve"> 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lang w:eastAsia="en-US"/>
        </w:rPr>
        <w:t xml:space="preserve">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10 Nieprzedłożenie przez Wykonawcę w terminie  dokumentów , o których mowa w ust. 9  będzie traktowane jako niewypełnienie obowiązku zatrudnienia Pracowników świadczących usługi na podstawie umowy o pracę.</w:t>
      </w:r>
    </w:p>
    <w:p>
      <w:pPr>
        <w:pStyle w:val="Normal"/>
        <w:spacing w:lineRule="auto" w:line="276" w:before="228" w:after="228"/>
        <w:jc w:val="center"/>
        <w:rPr/>
      </w:pPr>
      <w:r>
        <w:rPr>
          <w:rFonts w:eastAsia="Times New Roman" w:cs="Times New Roman"/>
          <w:b/>
          <w:bCs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3. Wykonawca wykona przedmiot umowy z własnych materiałów, maszyn i urządzeń („własnych” w rozumieniu zapewnionych przez Wykonawcę).</w:t>
      </w:r>
    </w:p>
    <w:p>
      <w:pPr>
        <w:pStyle w:val="Normal"/>
        <w:spacing w:lineRule="auto" w:line="276" w:before="117" w:after="117"/>
        <w:jc w:val="center"/>
        <w:rPr/>
      </w:pPr>
      <w:r>
        <w:rPr>
          <w:rFonts w:eastAsia="Times New Roman" w:cs="Times New Roman"/>
          <w:b/>
          <w:bCs/>
          <w:lang w:eastAsia="pl-PL"/>
        </w:rPr>
        <w:t>§ 5</w:t>
      </w:r>
    </w:p>
    <w:p>
      <w:pPr>
        <w:pStyle w:val="Normal"/>
        <w:spacing w:lineRule="auto" w:line="276" w:before="60" w:after="120"/>
        <w:jc w:val="both"/>
        <w:rPr/>
      </w:pPr>
      <w:r>
        <w:rPr>
          <w:rFonts w:eastAsia="Times New Roman" w:cs="Times New Roman"/>
          <w:lang w:eastAsia="pl-PL"/>
        </w:rPr>
        <w:t>1. Wykonawca zobowiązuje się wykonać przedmiot umowy z materiałów dopuszczonych do obrotu i 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76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3. Wykonawca zapewni potrzebne oprzyrządowanie, potencjał ludzki oraz materiały wymagane do zbadania na żądanie Zamawiającego jakości robót wykonanych z materiałów Wykonawcy na terenie robót budowlanych.</w:t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/>
          <w:b/>
          <w:bCs/>
          <w:lang w:eastAsia="pl-PL"/>
        </w:rPr>
        <w:t>§ 6</w:t>
      </w:r>
    </w:p>
    <w:p>
      <w:pPr>
        <w:pStyle w:val="Normal"/>
        <w:spacing w:lineRule="auto" w:line="276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h</w:t>
        <w:br/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lineRule="auto" w:line="276"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276" w:before="231" w:after="231"/>
        <w:contextualSpacing/>
        <w:jc w:val="center"/>
        <w:rPr/>
      </w:pPr>
      <w:r>
        <w:rPr>
          <w:rFonts w:eastAsia="Times New Roman" w:cs="Times New Roman"/>
          <w:b/>
          <w:bCs/>
          <w:lang w:eastAsia="pl-PL"/>
        </w:rPr>
        <w:t>§ 7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Wykonawca zobowiązany jest do załatwienia wszystkich formalności związanych z  </w:t>
      </w:r>
      <w:r>
        <w:rPr>
          <w:rFonts w:eastAsia="Times New Roman" w:cs="Times New Roman"/>
        </w:rPr>
        <w:t>przedmiotem</w:t>
      </w:r>
      <w:r>
        <w:rPr>
          <w:rFonts w:eastAsia="Times New Roman" w:cs="Times New Roman"/>
          <w:lang w:eastAsia="pl-PL"/>
        </w:rPr>
        <w:t xml:space="preserve"> umowy  oraz ponieść wszelkie koszty z nimi związane.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Wykonawca na swój koszt zorganizuje ruch samochodowy i pieszy, zapewni niezbędne dojścia do gospodarstw i posesji.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Wykonawca poniesie koszty związane z odpowiednim oznakowaniem i zabezpieczeniem ruchu zastępczego oraz opłaty związane z usuwaniem kolizji.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Wykonawca wykona i zatwierdzi projekt czasowej organizacji ruchu na swój koszt</w:t>
      </w:r>
      <w:r>
        <w:rPr>
          <w:rFonts w:eastAsia="Times New Roman" w:cs="Times New Roman"/>
          <w:b/>
          <w:lang w:eastAsia="pl-PL"/>
        </w:rPr>
        <w:t>.</w:t>
      </w:r>
    </w:p>
    <w:p>
      <w:pPr>
        <w:pStyle w:val="Normal"/>
        <w:spacing w:lineRule="auto" w:line="276" w:before="60" w:after="0"/>
        <w:jc w:val="both"/>
        <w:rPr/>
      </w:pPr>
      <w:r>
        <w:rPr>
          <w:bCs/>
          <w:iCs/>
        </w:rPr>
        <w:t>7. Wykonawca winien informować</w:t>
      </w:r>
      <w:r>
        <w:rPr>
          <w:rFonts w:cs="Times New Roman"/>
          <w:bCs/>
          <w:iCs/>
        </w:rPr>
        <w:t xml:space="preserve"> Zamawiającego o konieczności wykonania robót dodatkowych lub </w:t>
      </w:r>
      <w:r>
        <w:rPr>
          <w:rFonts w:cs="Times New Roman"/>
        </w:rPr>
        <w:t xml:space="preserve">zamiennych </w:t>
      </w:r>
      <w:r>
        <w:rPr/>
        <w:t xml:space="preserve"> </w:t>
      </w:r>
      <w:r>
        <w:rPr>
          <w:rFonts w:cs="Times New Roman"/>
        </w:rPr>
        <w:t>w terminie 5 dni od daty stwierdzenia konieczności ich wykonani</w:t>
      </w:r>
      <w:r>
        <w:rPr>
          <w:rFonts w:eastAsia="Times New Roman" w:cs="Times New Roman"/>
          <w:lang w:eastAsia="pl-PL"/>
        </w:rPr>
        <w:t>a.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9. Wykonawca zobowiązany jest  do zabezpieczenia i ochrony przed zniszczeniem znajdującego się na budowie i nie podlegającego likwidacji zadrzewienia, skarp i innych elementów zagospodarowania  terenu oraz istniejących instalacji i urządzeń wraz z przywróceniem terenu do stanu pierwotnego,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10. Wykonawca zobowiązany jest do usuwania i pokrywania kosztów kolizji z urządzeniami energetycznymi, telekomunikacyjnymi, oraz wodno-kanalizacyjnymi, zgodnie  z zaleceniami właściwych gestorów sieci , energetycznej, telekomunikacyjnej, sieci wodno-kanalizacyjnej (np. regulacja zasuw) i innych. Wykonawca poniesie  koszty wszelkich odbiorów oraz koszty innych opłat wynikłych w trakcie realizacji umowy.</w:t>
      </w:r>
    </w:p>
    <w:p>
      <w:pPr>
        <w:pStyle w:val="Normal"/>
        <w:widowControl w:val="false"/>
        <w:suppressAutoHyphens w:val="true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12. Wykonawca zapewni na swój koszt obsługę geodezyjną w trakcie realizacji robót przy wytyczaniu terenu robót i dostarczy Zamawiającemu kompletną geodezyjną inwentaryzację powykonawczą w 2 egzemplarzach w dniu odbioru.</w:t>
      </w:r>
    </w:p>
    <w:p>
      <w:pPr>
        <w:pStyle w:val="Normal"/>
        <w:spacing w:lineRule="auto" w:line="276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13. Błędy lub braki w dokumentacji nie zwalniają Wykonawcy z obowiązku poprawnego wykonania pełnego i kompleksowego dzieła w ramach wynagrodzenia określonego w par. 10. Ponadto wykonawca jest zobowiązany do wszelkich napraw urządzeń melioracyjnych nie ujawnionych w projekcie.</w:t>
      </w:r>
    </w:p>
    <w:p>
      <w:pPr>
        <w:pStyle w:val="Normal"/>
        <w:widowControl w:val="false"/>
        <w:suppressAutoHyphens w:val="true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/>
      </w:pPr>
      <w:r>
        <w:rPr>
          <w:rFonts w:eastAsia="Times New Roman" w:cs="Times New Roman"/>
          <w:b/>
          <w:bCs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76" w:before="60" w:after="0"/>
        <w:ind w:left="3" w:hanging="0"/>
        <w:contextualSpacing/>
        <w:rPr>
          <w:rFonts w:eastAsia="Times New Roman" w:cs="Times New Roman"/>
          <w:strike/>
        </w:rPr>
      </w:pPr>
      <w:r>
        <w:rPr>
          <w:rFonts w:eastAsia="Times New Roman" w:cs="Times New Roman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76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276" w:before="174" w:after="174"/>
        <w:jc w:val="center"/>
        <w:rPr/>
      </w:pPr>
      <w:r>
        <w:rPr>
          <w:rFonts w:eastAsia="Times New Roman" w:cs="Times New Roman"/>
          <w:b/>
          <w:bCs/>
          <w:lang w:eastAsia="pl-PL"/>
        </w:rPr>
        <w:t>§ 9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bCs/>
          <w:lang w:eastAsia="pl-PL"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>
      <w:pPr>
        <w:pStyle w:val="Normal"/>
        <w:spacing w:lineRule="auto" w:line="276" w:before="174" w:after="174"/>
        <w:jc w:val="center"/>
        <w:rPr/>
      </w:pPr>
      <w:r>
        <w:rPr>
          <w:rFonts w:eastAsia="Times New Roman" w:cs="Times New Roman"/>
          <w:b/>
          <w:bCs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1.  Strony ustalają, że obowiązującą ich formą wynagrodzenia, zgodnie ze Specyfikacją Warunków Zamówienia oraz ofertą Wykonawcy </w:t>
      </w:r>
      <w:bookmarkStart w:id="0" w:name="_GoBack"/>
      <w:bookmarkEnd w:id="0"/>
      <w:r>
        <w:rPr>
          <w:rFonts w:cs="Times New Roman"/>
          <w:color w:val="000000"/>
        </w:rPr>
        <w:t>jest cena ryczałtowa.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2. Wynagrodzenie, o którym mowa w ust. 1 wyraża się </w:t>
      </w:r>
      <w:r>
        <w:rPr>
          <w:rFonts w:cs="Times New Roman"/>
          <w:b/>
          <w:color w:val="000000"/>
        </w:rPr>
        <w:t>kwotą brutto ………………….. zł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(słownie: …………………………………………………………………………………)</w:t>
      </w:r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3. 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bCs/>
          <w:iCs/>
          <w:color w:val="000000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9. Ryczałt za przedmiot umowy nie ulega zmianie w przypadku przedłużenia terminu realizacji umowy.   </w:t>
      </w:r>
    </w:p>
    <w:p>
      <w:pPr>
        <w:pStyle w:val="Normal"/>
        <w:spacing w:lineRule="auto" w:line="276" w:before="231" w:after="231"/>
        <w:jc w:val="center"/>
        <w:rPr/>
      </w:pPr>
      <w:r>
        <w:rPr>
          <w:rFonts w:eastAsia="Times New Roman" w:cs="Times New Roman"/>
          <w:b/>
          <w:bCs/>
          <w:lang w:eastAsia="pl-PL"/>
        </w:rPr>
        <w:t>§ 11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1.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/>
        <w:t xml:space="preserve">2.  </w:t>
      </w:r>
      <w:r>
        <w:rPr>
          <w:rFonts w:cs="Times New Roman"/>
          <w:color w:val="000000"/>
        </w:rPr>
        <w:t>Termin realizacji faktury – 30 dni od daty wpływu do Zamawiającego.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3. Należność Wykonawcy, wynikająca ze złożonej faktury, będzie przekazana na wskazane przez Wykonawcę konto nr .................................., z zastrzeżeniem poniższych postanowień.</w:t>
      </w:r>
      <w:r>
        <w:rPr/>
        <w:t xml:space="preserve"> </w:t>
      </w:r>
      <w:r>
        <w:rPr>
          <w:rFonts w:cs="Times New Roman"/>
          <w:color w:val="000000"/>
        </w:rPr>
        <w:t>Warunkiem z</w:t>
      </w:r>
      <w:r>
        <w:rPr>
          <w:rFonts w:eastAsia="Times New Roman" w:cs="Times New Roman"/>
          <w:color w:val="000000"/>
        </w:rPr>
        <w:t>apłaty przez zamawiającego  należnego wynagrodzenia za odebrane roboty budowlane jest przedstawienie dowodów zapłaty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</w:rPr>
        <w:t xml:space="preserve"> wymagalnego wynagrodzenia</w:t>
      </w:r>
      <w:r>
        <w:rPr>
          <w:rFonts w:eastAsia="Times New Roman" w:cs="Times New Roman"/>
          <w:lang w:eastAsia="pl-PL"/>
        </w:rPr>
        <w:t>).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4. </w:t>
      </w:r>
      <w:r>
        <w:rPr>
          <w:rFonts w:eastAsia="Times New Roman" w:cs="Times New Roman"/>
          <w:color w:val="000000"/>
        </w:rPr>
        <w:t>W przypadku nieprzedstawienia przez Wykonawcę wszystkich dowodów zapłaty, o których mowa  w ust. 3,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5. </w:t>
      </w:r>
      <w:r>
        <w:rPr>
          <w:rFonts w:eastAsia="Times New Roman" w:cs="Times New Roman"/>
          <w:color w:val="000000"/>
        </w:rPr>
        <w:t>Zam</w:t>
      </w:r>
      <w:r>
        <w:rPr>
          <w:rFonts w:cs="Times New Roman"/>
          <w:color w:val="000000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6. 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7. Bezpośrednia zapłata obejmuje wyłącznie należne wynagrodzenie, bez odsetek, należnych podwykonawcy lub dalszemu podwykonawcy.</w:t>
      </w:r>
    </w:p>
    <w:p>
      <w:pPr>
        <w:pStyle w:val="Divparagraph"/>
        <w:spacing w:lineRule="auto" w:line="276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8.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 xml:space="preserve">9. W przypadku zgłoszenia uwag o których mowa w ust. 8,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10.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spacing w:lineRule="auto" w:line="276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11.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</w:rPr>
        <w:t>12. Zamawiający oświadcza, że jego Numer Identyfikacji Podatkowej jest następujący: 776 16 19 685.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</w:rPr>
        <w:t>13.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</w:rPr>
        <w:t>14.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76" w:before="0" w:after="0"/>
        <w:ind w:left="360" w:hanging="0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276" w:before="0" w:after="0"/>
        <w:jc w:val="center"/>
        <w:rPr/>
      </w:pPr>
      <w:r>
        <w:rPr>
          <w:rFonts w:eastAsia="Times New Roman" w:cs="Times New Roman"/>
          <w:b/>
          <w:lang w:eastAsia="pl-PL"/>
        </w:rPr>
        <w:t>§ 12</w:t>
      </w:r>
    </w:p>
    <w:p>
      <w:pPr>
        <w:pStyle w:val="Normal"/>
        <w:spacing w:lineRule="auto" w:line="276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ustaliły następujące kary umowne: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1.  Za niewykonanie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76" w:before="0" w:afterAutospacing="1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Za niewykonanie w wyznaczonym terminie przez Wykonawcę  zobowiązania z §3 ust. 9 umowy Wykonawca zapłaci Zamawiającemu karę umowną w wysokości 5.000,00 zł.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cs="Times New Roman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276" w:before="231" w:after="171"/>
        <w:jc w:val="center"/>
        <w:rPr/>
      </w:pPr>
      <w:r>
        <w:rPr>
          <w:rFonts w:eastAsia="Times New Roman" w:cs="Times New Roman"/>
          <w:b/>
          <w:lang w:eastAsia="pl-PL"/>
        </w:rPr>
        <w:t>§ 13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lang w:eastAsia="pl-PL"/>
        </w:rPr>
        <w:t>…………. miesięcy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>. Szczegółowe  zasady  określa „</w:t>
      </w:r>
      <w:r>
        <w:rPr>
          <w:rFonts w:eastAsia="Times New Roman" w:cs="Times New Roman"/>
          <w:i/>
          <w:lang w:eastAsia="pl-PL"/>
        </w:rPr>
        <w:t xml:space="preserve"> Karta gwarancji jakości robót  budowlanych</w:t>
      </w:r>
      <w:r>
        <w:rPr>
          <w:rFonts w:eastAsia="Times New Roman" w:cs="Times New Roman"/>
          <w:lang w:eastAsia="pl-PL"/>
        </w:rPr>
        <w:t>”  stanowiąca zał. nr 1 do umowy</w:t>
      </w:r>
      <w:r>
        <w:rPr>
          <w:rFonts w:cs="Arial-BoldMT"/>
          <w:b/>
          <w:bCs/>
        </w:rPr>
        <w:t xml:space="preserve">. </w:t>
      </w:r>
    </w:p>
    <w:p>
      <w:pPr>
        <w:pStyle w:val="Normal"/>
        <w:spacing w:lineRule="auto" w:line="276" w:before="231" w:after="171"/>
        <w:jc w:val="center"/>
        <w:rPr/>
      </w:pPr>
      <w:r>
        <w:rPr>
          <w:rFonts w:eastAsia="Times New Roman" w:cs="Times New Roman"/>
          <w:b/>
          <w:lang w:eastAsia="pl-PL"/>
        </w:rPr>
        <w:t>§ 14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76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76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3.  Pozostałe 30% kwoty o której mowa w ust. 1 zostanie zatrzymane przez Zamawiającego na okres rękojmi o której mowa w § 14 ust. 1  i zwolnione będzie w terminie 15 dni po upływie tego okresu.</w:t>
      </w:r>
    </w:p>
    <w:p>
      <w:pPr>
        <w:pStyle w:val="Normal"/>
        <w:spacing w:lineRule="auto" w:line="276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>5.  W trakcie realizacji umowy Wykonawca może dokonać, z zachowaniem ciągłości zabezpieczenia, zmiany formy zabezpieczenia na jedną lub kilka form, o których mowa w art. 450 ust. 1 ustawy Prawo zamówień publicznych.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>6. Zmiana formy zabezpieczenia należytego wykonania umowy nie wymaga zawarcia aneksu do umowy.</w:t>
      </w:r>
    </w:p>
    <w:p>
      <w:pPr>
        <w:pStyle w:val="Normal"/>
        <w:spacing w:lineRule="auto" w:line="276" w:before="231" w:after="231"/>
        <w:jc w:val="center"/>
        <w:rPr/>
      </w:pPr>
      <w:r>
        <w:rPr>
          <w:rFonts w:eastAsia="Times New Roman" w:cs="Times New Roman"/>
          <w:b/>
          <w:lang w:eastAsia="pl-PL"/>
        </w:rPr>
        <w:t>§ 15</w:t>
      </w:r>
    </w:p>
    <w:p>
      <w:pPr>
        <w:pStyle w:val="Normal"/>
        <w:spacing w:lineRule="auto" w:line="276" w:before="6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jeżeli Wykonawca bez uzasadnionej przyczyny przerwał realizację robót na okres przekraczający 14 dni,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gdy </w:t>
      </w:r>
      <w:r>
        <w:rPr>
          <w:rFonts w:cs="Times New Roman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76" w:before="0" w:after="0"/>
        <w:rPr/>
      </w:pPr>
      <w:r>
        <w:rPr>
          <w:rFonts w:cs="Times New Roman"/>
          <w:color w:val="000000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przejęcie od Wykonawcy pod swój dozór terenu budowy.</w:t>
      </w:r>
    </w:p>
    <w:p>
      <w:pPr>
        <w:pStyle w:val="Normal"/>
        <w:spacing w:lineRule="auto" w:line="276" w:before="231" w:after="231"/>
        <w:jc w:val="center"/>
        <w:rPr/>
      </w:pPr>
      <w:r>
        <w:rPr>
          <w:rFonts w:eastAsia="Times New Roman" w:cs="Times New Roman"/>
          <w:b/>
          <w:bCs/>
          <w:lang w:eastAsia="pl-PL"/>
        </w:rPr>
        <w:t>§ 16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276" w:before="174" w:after="174"/>
        <w:jc w:val="center"/>
        <w:rPr/>
      </w:pPr>
      <w:r>
        <w:rPr>
          <w:rFonts w:eastAsia="Times New Roman" w:cs="Times New Roman"/>
          <w:b/>
          <w:lang w:eastAsia="pl-PL"/>
        </w:rPr>
        <w:t>§ 17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" w:cs="Times New Roman" w:eastAsiaTheme="minorEastAsia"/>
          <w:color w:val="000000"/>
          <w:lang w:eastAsia="pl-PL"/>
        </w:rPr>
        <w:t>2. Zgodnie z art. art. 455 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76" w:before="0" w:after="0"/>
        <w:jc w:val="both"/>
        <w:rPr/>
      </w:pPr>
      <w:r>
        <w:rPr/>
        <w:t>a) Zmiana terminu realizacji przedmiotu umowy w sytuacji:</w:t>
      </w:r>
    </w:p>
    <w:p>
      <w:pPr>
        <w:pStyle w:val="Normal"/>
        <w:spacing w:lineRule="auto" w:line="276" w:before="0" w:after="0"/>
        <w:jc w:val="both"/>
        <w:rPr/>
      </w:pPr>
      <w:r>
        <w:rPr/>
        <w:t>- wystąpienia wydarzeń lub okoliczności uniemożliwiających wykonanie robót bądź w znaczny sposób je spowalniający a w szczególności: niesprzyjające warunki atmosferyczne i klęski żywiołowe.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− </w:t>
      </w:r>
      <w:r>
        <w:rPr/>
        <w:t>wstrzymania budowy przez właściwy organ z przyczyn niezawinionych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76" w:before="0" w:after="0"/>
        <w:jc w:val="both"/>
        <w:rPr/>
      </w:pPr>
      <w:r>
        <w:rPr/>
        <w:t>-  wstrzymania realizacji umowy przez Zmawiającego ze względów technologicznych, administracyjnych, organizacyjnych, ekonomicznych,</w:t>
      </w:r>
    </w:p>
    <w:p>
      <w:pPr>
        <w:pStyle w:val="Normal"/>
        <w:spacing w:lineRule="auto" w:line="276" w:before="0" w:after="0"/>
        <w:jc w:val="both"/>
        <w:rPr/>
      </w:pPr>
      <w:r>
        <w:rPr/>
        <w:t>b) Zmiany osobowe: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− </w:t>
      </w:r>
      <w:r>
        <w:rPr/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76" w:before="0" w:after="0"/>
        <w:jc w:val="both"/>
        <w:rPr/>
      </w:pPr>
      <w:r>
        <w:rPr/>
        <w:t>c) Pozostałe okoliczności powodujące możliwość zmiany umowy: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− </w:t>
      </w:r>
      <w:r>
        <w:rPr/>
        <w:t>siła wyższa uniemożliwiająca wykonanie przedmiotu umowy zgodnie z SWZ;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− </w:t>
      </w:r>
      <w:r>
        <w:rPr/>
        <w:t>zmiany wynagrodzenia Wykonawcy wynikającej ze zmiany przepisów prawa, w tym przepisów dotyczących podatku VAT;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76" w:before="0" w:after="0"/>
        <w:jc w:val="both"/>
        <w:rPr/>
      </w:pPr>
      <w:r>
        <w:rPr/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/>
      </w:pPr>
      <w:r>
        <w:rPr/>
        <w:t xml:space="preserve">- wystąpienie omyłek pisarskich i rachunkowych;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/>
      </w:pPr>
      <w:r>
        <w:rPr/>
        <w:t>- które nie będą w sposób istotny w rozumieniu art. 454 Pzp ingerować w przedmiot umowy;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/>
      </w:pPr>
      <w:r>
        <w:rPr/>
        <w:t xml:space="preserve">−  </w:t>
      </w:r>
      <w:r>
        <w:rPr/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276" w:before="171" w:after="171"/>
        <w:jc w:val="center"/>
        <w:rPr/>
      </w:pPr>
      <w:r>
        <w:rPr>
          <w:rFonts w:eastAsia="Times New Roman" w:cs="Times New Roman"/>
          <w:b/>
          <w:lang w:eastAsia="pl-PL"/>
        </w:rPr>
        <w:t>§ 18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276" w:before="228" w:after="228"/>
        <w:jc w:val="center"/>
        <w:rPr/>
      </w:pPr>
      <w:r>
        <w:rPr>
          <w:rFonts w:eastAsia="Times New Roman" w:cs="Times New Roman"/>
          <w:b/>
          <w:lang w:eastAsia="pl-PL"/>
        </w:rPr>
        <w:t>§ 19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20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276" w:before="231" w:after="231"/>
        <w:jc w:val="center"/>
        <w:rPr/>
      </w:pPr>
      <w:r>
        <w:rPr>
          <w:rFonts w:eastAsia="Times New Roman" w:cs="Times New Roman"/>
          <w:b/>
          <w:bCs/>
          <w:lang w:eastAsia="pl-PL"/>
        </w:rPr>
        <w:t>§ 21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Umowę sporządzono w </w:t>
      </w:r>
      <w:r>
        <w:rPr>
          <w:rFonts w:eastAsia="Times New Roman" w:cs="Times New Roman"/>
          <w:color w:val="000000"/>
          <w:lang w:eastAsia="pl-PL"/>
        </w:rPr>
        <w:t>3 jednobrzmiących egzemplarzach, 1 egzemplarz dla Wykonawcy, 2 egzemplarze dla Zamawiającego.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lang w:eastAsia="pl-PL"/>
        </w:rPr>
        <w:t>ZAMAWIAJĄCY                   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2FC-F40E-455E-985B-DA74CB8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LibreOffice/6.3.0.4$Windows_X86_64 LibreOffice_project/057fc023c990d676a43019934386b85b21a9ee99</Application>
  <Pages>9</Pages>
  <Words>3984</Words>
  <Characters>26180</Characters>
  <CharactersWithSpaces>30323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Administrator</dc:creator>
  <dc:description/>
  <dc:language>pl-PL</dc:language>
  <cp:lastModifiedBy/>
  <cp:lastPrinted>2021-07-02T14:02:38Z</cp:lastPrinted>
  <dcterms:modified xsi:type="dcterms:W3CDTF">2022-01-26T13:38:03Z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