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 xml:space="preserve">pn: </w:t>
      </w:r>
      <w:r>
        <w:rPr>
          <w:rFonts w:eastAsia="Times New Roman" w:cs="Times New Roman"/>
          <w:b/>
          <w:i/>
          <w:lang w:eastAsia="pl-PL"/>
        </w:rPr>
        <w:t xml:space="preserve">„Przebudowa  drogi </w:t>
      </w:r>
      <w:r>
        <w:rPr>
          <w:rFonts w:eastAsia="Times New Roman" w:cs="Times New Roman"/>
          <w:b/>
          <w:i/>
          <w:lang w:eastAsia="pl-PL"/>
        </w:rPr>
        <w:t>Grabal – Cisse (etap III)</w:t>
      </w:r>
      <w:r>
        <w:rPr>
          <w:rFonts w:eastAsia="Times New Roman" w:cs="Times New Roman"/>
          <w:b/>
          <w:i/>
          <w:lang w:eastAsia="pl-PL"/>
        </w:rPr>
        <w:t>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 xml:space="preserve">„Przebudowa  drogi </w:t>
      </w:r>
      <w:r>
        <w:rPr>
          <w:rFonts w:eastAsia="Times New Roman" w:cs="Times New Roman"/>
          <w:b/>
          <w:i/>
          <w:lang w:eastAsia="pl-PL"/>
        </w:rPr>
        <w:t>Grabal – Cisse (etap III)</w:t>
      </w:r>
      <w:r>
        <w:rPr>
          <w:rFonts w:eastAsia="Times New Roman" w:cs="Times New Roman"/>
          <w:b/>
          <w:i/>
          <w:lang w:eastAsia="pl-PL"/>
        </w:rPr>
        <w:t>”</w:t>
      </w:r>
      <w:r>
        <w:rPr>
          <w:rFonts w:eastAsia="Times New Roman" w:cs="Times New Roman"/>
          <w:lang w:eastAsia="pl-PL"/>
        </w:rPr>
        <w:t xml:space="preserve">  </w:t>
      </w:r>
      <w:r>
        <w:rPr>
          <w:rFonts w:eastAsia="Times New Roman" w:cs="Times New Roman"/>
        </w:rPr>
        <w:t xml:space="preserve">stanowiąca  etap 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II  przebudowy drogi.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40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4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360" w:before="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 prawidłowego wykonania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 specjalności drogowej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przygotowawcze, roboty drogowe 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  lecz  nie później niż w dniu przekazania  placu budowy  wykaz  osób, które będą  wykonywać czynności  z zakresie   wszelkich  prace  budowlanych w ramach  przedmiotu  umowy w szczególności  roboty   ziemne, przygotowawcze, roboty drogowe  oraz osoby  obsługujące sprzęt użyty  do realizacji zamówienia wraz z  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>Oświadczenie to powinno zawierać w szczególno</w:t>
      </w:r>
      <w:r>
        <w:rPr>
          <w:rFonts w:cs="Times New Roman"/>
          <w:bCs/>
          <w:color w:val="000000"/>
          <w:spacing w:val="-4"/>
          <w:lang w:eastAsia="en-US"/>
        </w:rPr>
        <w:t xml:space="preserve">ści </w:t>
      </w:r>
      <w:r>
        <w:rPr>
          <w:color w:val="000000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360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 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 zbadania na żądanie Zamawiającego jakości robót wykonanych z materiałów Wykonawcy na terenie robót budowlanych.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contextualSpacing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Wykonawca na swój koszt zorganizuje ruch samochodowy i pieszy, zapewni niezbędne dojścia do gospodarstw i posesji.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Wykonawca wykona i zatwierdzi projekt czasowej organizacji ruchu na swój koszt</w:t>
      </w:r>
      <w:r>
        <w:rPr>
          <w:rFonts w:eastAsia="Times New Roman" w:cs="Times New Roman"/>
          <w:b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bCs/>
          <w:iCs/>
        </w:rPr>
        <w:t>7.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9.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 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/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40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</w:rPr>
        <w:t>jest cena ryczałtowa.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/>
        <w:t xml:space="preserve">3.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color w:val="000000"/>
        </w:rPr>
        <w:t>5.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6.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Bezpośrednia zapłata obejmuje wyłącznie należne wynagrodzenie, bez odsetek, należnych podwykonawcy lub dalszemu podwykonawcy.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14.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40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tLeast" w:line="100" w:before="0" w:after="0"/>
        <w:rPr>
          <w:rFonts w:cs="Arial-BoldMT"/>
          <w:b/>
          <w:b/>
          <w:bCs/>
        </w:rPr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360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40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40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eastAsia="" w:cs="Times New Roman" w:eastAsiaTheme="minorEastAsia"/>
          <w:color w:val="000000"/>
          <w:lang w:eastAsia="pl-PL"/>
        </w:rPr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40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40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40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40" w:before="0" w:after="0"/>
        <w:rPr/>
      </w:pPr>
      <w:r>
        <w:rPr/>
        <w:t>b) Zmiany osobowe: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40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40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9</Pages>
  <Words>4018</Words>
  <Characters>26327</Characters>
  <CharactersWithSpaces>30502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dcterms:modified xsi:type="dcterms:W3CDTF">2021-05-27T11:05:15Z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