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customXml/itemProps4.xml" ContentType="application/vnd.openxmlformats-officedocument.customXml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200" w:line="276" w:lineRule="auto"/>
        <w:ind/>
        <w:rPr/>
      </w:pPr>
      <w:r>
        <w:rPr>
          <w:i/>
          <w:szCs w:val="22"/>
        </w:rPr>
        <w:t xml:space="preserve">Załącznik nr 6 do Zapytania ofertowego</w:t>
      </w:r>
      <w:r/>
    </w:p>
    <w:p>
      <w:pPr>
        <w:pBdr/>
        <w:spacing w:after="160" w:line="276" w:lineRule="auto"/>
        <w:ind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UMOWA Nr FDI.261.3.2026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 w:after="160" w:line="276" w:lineRule="auto"/>
        <w:ind/>
        <w:jc w:val="center"/>
        <w:rPr/>
      </w:pPr>
      <w:r>
        <w:rPr>
          <w:i/>
          <w:szCs w:val="22"/>
        </w:rPr>
        <w:t xml:space="preserve">(wzór)</w:t>
      </w:r>
      <w:r/>
    </w:p>
    <w:p>
      <w:pPr>
        <w:pBdr/>
        <w:spacing w:after="80" w:line="276" w:lineRule="auto"/>
        <w:ind/>
        <w:jc w:val="both"/>
        <w:rPr/>
      </w:pPr>
      <w:r>
        <w:rPr>
          <w:szCs w:val="22"/>
        </w:rPr>
        <w:t xml:space="preserve">zawarta w dniu ………………… 2026 r. w Sanoku pomiędzy:</w:t>
      </w:r>
      <w:r/>
    </w:p>
    <w:p>
      <w:pPr>
        <w:pBdr/>
        <w:spacing w:after="80" w:line="276" w:lineRule="auto"/>
        <w:ind/>
        <w:jc w:val="both"/>
        <w:rPr>
          <w:szCs w:val="22"/>
        </w:rPr>
      </w:pPr>
      <w:r>
        <w:rPr>
          <w:szCs w:val="22"/>
        </w:rPr>
        <w:t xml:space="preserve">Sanockim Przedsiębiorstwem Gospodarki Komunalnej Sp. z o.o. z siedzibą w Sanoku, ul. Jana Pawła II 59, 38-500 Sanok, wpi</w:t>
      </w:r>
      <w:r>
        <w:rPr>
          <w:szCs w:val="22"/>
        </w:rPr>
        <w:t xml:space="preserve">saną do rejestru przedsiębiorców Krajowego Rejestru Sądowego prowadzonego przez Sąd Rejonowy w Rzeszowie, XII Wydział Gospodarczy KRS, pod nr KRS 0000118475, NIP: 687-00-05-556, REGON: 370301150, kapitał zakładowy: 29 485 500,00 zł, reprezentowanym przez: </w:t>
      </w:r>
      <w:r>
        <w:rPr>
          <w:szCs w:val="22"/>
        </w:rPr>
      </w:r>
      <w:r>
        <w:rPr>
          <w:szCs w:val="22"/>
        </w:rPr>
      </w:r>
    </w:p>
    <w:p>
      <w:pPr>
        <w:pBdr/>
        <w:spacing w:after="80" w:line="276" w:lineRule="auto"/>
        <w:ind/>
        <w:jc w:val="both"/>
        <w:rPr>
          <w:szCs w:val="22"/>
        </w:rPr>
      </w:pPr>
      <w:r>
        <w:rPr>
          <w:szCs w:val="22"/>
        </w:rPr>
        <w:t xml:space="preserve">Pana Tomasza Mazurkiewicza – Prezesa Zarządu </w:t>
      </w:r>
      <w:r>
        <w:rPr>
          <w:szCs w:val="22"/>
        </w:rPr>
      </w:r>
      <w:r>
        <w:rPr>
          <w:szCs w:val="22"/>
        </w:rPr>
      </w:r>
    </w:p>
    <w:p>
      <w:pPr>
        <w:pBdr/>
        <w:spacing w:after="80" w:line="276" w:lineRule="auto"/>
        <w:ind/>
        <w:jc w:val="both"/>
        <w:rPr>
          <w:szCs w:val="22"/>
        </w:rPr>
      </w:pPr>
      <w:r>
        <w:rPr>
          <w:szCs w:val="22"/>
        </w:rPr>
        <w:t xml:space="preserve">Panią Annę Kornecką – Wiceprezesa Zarządu </w:t>
      </w:r>
      <w:r>
        <w:rPr>
          <w:szCs w:val="22"/>
        </w:rPr>
      </w:r>
      <w:r>
        <w:rPr>
          <w:szCs w:val="22"/>
        </w:rPr>
      </w:r>
    </w:p>
    <w:p>
      <w:pPr>
        <w:pBdr/>
        <w:spacing w:after="80" w:line="276" w:lineRule="auto"/>
        <w:ind/>
        <w:jc w:val="both"/>
        <w:rPr>
          <w:szCs w:val="22"/>
        </w:rPr>
      </w:pPr>
      <w:r>
        <w:rPr>
          <w:szCs w:val="22"/>
        </w:rPr>
        <w:t xml:space="preserve">zwanym dalej „Zamawiającym”,</w:t>
      </w:r>
      <w:r>
        <w:rPr>
          <w:szCs w:val="22"/>
        </w:rPr>
      </w:r>
      <w:r>
        <w:rPr>
          <w:szCs w:val="22"/>
        </w:rPr>
      </w:r>
    </w:p>
    <w:p>
      <w:pPr>
        <w:pBdr/>
        <w:spacing w:after="80" w:line="276" w:lineRule="auto"/>
        <w:ind/>
        <w:jc w:val="center"/>
        <w:rPr/>
      </w:pPr>
      <w:r>
        <w:rPr>
          <w:szCs w:val="22"/>
        </w:rPr>
        <w:t xml:space="preserve">a</w:t>
      </w:r>
      <w:r/>
    </w:p>
    <w:p>
      <w:pPr>
        <w:pBdr/>
        <w:spacing w:after="120" w:line="276" w:lineRule="auto"/>
        <w:ind/>
        <w:jc w:val="both"/>
        <w:rPr/>
      </w:pPr>
      <w:r>
        <w:rPr>
          <w:szCs w:val="22"/>
        </w:rPr>
        <w:t xml:space="preserve">…………………………………………………………………………………………………………………………………………………………………………, zwanym dalej „Wykonawcą”, łącznie zwanymi „Stronami”.</w:t>
      </w:r>
      <w:r/>
    </w:p>
    <w:p>
      <w:pPr>
        <w:pBdr/>
        <w:spacing w:after="160" w:line="276" w:lineRule="auto"/>
        <w:ind/>
        <w:jc w:val="both"/>
        <w:rPr/>
      </w:pPr>
      <w:r>
        <w:rPr>
          <w:szCs w:val="22"/>
        </w:rPr>
        <w:t xml:space="preserve">Umowa jest rezultatem rozstrzygnięcia postępowania prowadzonego w formie zapytania ofertowego upublicznionego na stronie BIP Zamawiającego, znak FDI.261.3.2026 na podstawie „Regulaminu przeprowadzania postępowań o udzielenie podprogowych zamówie</w:t>
      </w:r>
      <w:r>
        <w:rPr>
          <w:szCs w:val="22"/>
        </w:rPr>
        <w:t xml:space="preserve">ń publicznych” obowiązującego u Zamawiającego oraz „Zasad kwalifikowania wydatków w Przedsięwzięciach realizowanych w ramach Inwestycji C3.1.1 KPO – Załącznik nr 1”. Zamówienie jest współfinansowane ze środków Unii Europejskiej w ramach Krajowego Planu Odb</w:t>
      </w:r>
      <w:r>
        <w:rPr>
          <w:szCs w:val="22"/>
        </w:rPr>
        <w:t xml:space="preserve">udowy i Zwiększania Odporności, Inwestycja C3.1.1 – konkurs grantowy „Cyberbezpieczne Wodociągi” nr KPOD.05.10-CW.01-001/25, w ramach projektu pn. „Poprawa poziomu Cyberbezpieczeństwa w Sanockim Przedsiębiorstwie Gospodarki Komunalnej Sp. z o.o. w Sanoku”.</w:t>
      </w:r>
      <w:r/>
    </w:p>
    <w:p>
      <w:pPr>
        <w:pBdr/>
        <w:spacing w:after="20" w:line="276" w:lineRule="auto"/>
        <w:ind/>
        <w:jc w:val="center"/>
        <w:rPr/>
      </w:pPr>
      <w:r>
        <w:rPr>
          <w:b/>
          <w:szCs w:val="22"/>
        </w:rPr>
        <w:t xml:space="preserve">§ 1</w:t>
      </w:r>
      <w:r/>
    </w:p>
    <w:p>
      <w:pPr>
        <w:pBdr/>
        <w:spacing w:after="120" w:line="276" w:lineRule="auto"/>
        <w:ind/>
        <w:jc w:val="center"/>
        <w:rPr/>
      </w:pPr>
      <w:r>
        <w:rPr>
          <w:b/>
          <w:szCs w:val="22"/>
        </w:rPr>
        <w:t xml:space="preserve">PRZEDMIOT UMOWY</w:t>
      </w:r>
      <w:r/>
    </w:p>
    <w:p>
      <w:pPr>
        <w:pStyle w:val="1130"/>
        <w:numPr>
          <w:ilvl w:val="0"/>
          <w:numId w:val="44"/>
        </w:numPr>
        <w:pBdr/>
        <w:spacing w:after="80" w:line="276" w:lineRule="auto"/>
        <w:ind/>
        <w:jc w:val="both"/>
        <w:rPr>
          <w:szCs w:val="22"/>
        </w:rPr>
      </w:pPr>
      <w:r>
        <w:rPr>
          <w:szCs w:val="22"/>
        </w:rPr>
        <w:t xml:space="preserve">Przedmiotem Umowy jest świadczenie przez Wykonawcę usług obejmujących: </w:t>
      </w:r>
      <w:r>
        <w:rPr>
          <w:szCs w:val="22"/>
        </w:rPr>
      </w:r>
      <w:r>
        <w:rPr>
          <w:szCs w:val="22"/>
        </w:rPr>
      </w:r>
    </w:p>
    <w:p>
      <w:pPr>
        <w:pStyle w:val="1130"/>
        <w:numPr>
          <w:ilvl w:val="1"/>
          <w:numId w:val="44"/>
        </w:numPr>
        <w:pBdr/>
        <w:spacing w:after="80" w:line="276" w:lineRule="auto"/>
        <w:ind/>
        <w:jc w:val="both"/>
        <w:rPr/>
      </w:pPr>
      <w:r>
        <w:rPr>
          <w:szCs w:val="22"/>
        </w:rPr>
        <w:t xml:space="preserve">Audyt zgodności z ustawą o krajowym systemie cyberbezpieczeństwa z uwzględnieniem dyrektywy NIS 2; </w:t>
      </w:r>
      <w:r/>
    </w:p>
    <w:p>
      <w:pPr>
        <w:pStyle w:val="1130"/>
        <w:numPr>
          <w:ilvl w:val="1"/>
          <w:numId w:val="44"/>
        </w:numPr>
        <w:pBdr/>
        <w:spacing w:after="80" w:line="276" w:lineRule="auto"/>
        <w:ind/>
        <w:jc w:val="both"/>
        <w:rPr/>
      </w:pPr>
      <w:r>
        <w:rPr>
          <w:szCs w:val="22"/>
        </w:rPr>
        <w:t xml:space="preserve">Wdrożenie Systemu Zarządzania Bezpieczeństwem Informacji zgodnego z ISO/IEC 27001:2022, obejmującego wymagania w zakresie ciągłości działania wynikające z zabezpieczeń załącznika A do tej normy oraz z ustawy o KSC; </w:t>
      </w:r>
      <w:r/>
    </w:p>
    <w:p>
      <w:pPr>
        <w:pStyle w:val="1130"/>
        <w:numPr>
          <w:ilvl w:val="1"/>
          <w:numId w:val="44"/>
        </w:numPr>
        <w:pBdr/>
        <w:spacing w:after="80" w:line="276" w:lineRule="auto"/>
        <w:ind/>
        <w:jc w:val="both"/>
        <w:rPr/>
      </w:pPr>
      <w:r>
        <w:rPr>
          <w:szCs w:val="22"/>
        </w:rPr>
        <w:t xml:space="preserve">Opracowanie kompletnej dokumentacji, w tym procedur utrzymania oprogramowania komercyjnego i open source; </w:t>
      </w:r>
      <w:r/>
    </w:p>
    <w:p>
      <w:pPr>
        <w:pStyle w:val="1130"/>
        <w:numPr>
          <w:ilvl w:val="1"/>
          <w:numId w:val="44"/>
        </w:numPr>
        <w:pBdr/>
        <w:spacing w:after="80" w:line="276" w:lineRule="auto"/>
        <w:ind/>
        <w:jc w:val="both"/>
        <w:rPr/>
      </w:pPr>
      <w:r>
        <w:rPr>
          <w:szCs w:val="22"/>
        </w:rPr>
        <w:t xml:space="preserve">Testy penetracyjne infrastruktury sieciowej wraz z retestem podatności o ryzyku wysokim i krytycznym oraz aktualizacją analizy ryzyka; </w:t>
      </w:r>
      <w:r/>
    </w:p>
    <w:p>
      <w:pPr>
        <w:pStyle w:val="1130"/>
        <w:numPr>
          <w:ilvl w:val="1"/>
          <w:numId w:val="44"/>
        </w:numPr>
        <w:pBdr/>
        <w:spacing w:after="80" w:line="276" w:lineRule="auto"/>
        <w:ind/>
        <w:jc w:val="both"/>
        <w:rPr/>
      </w:pPr>
      <w:r>
        <w:rPr>
          <w:szCs w:val="22"/>
        </w:rPr>
        <w:t xml:space="preserve">Testy socjotechniczne, symulowany atak edukacyjny oraz ćwiczenie symulacyjne z zakresu reagowania na incydenty i zarządzania kryzysowego; </w:t>
      </w:r>
      <w:r/>
    </w:p>
    <w:p>
      <w:pPr>
        <w:pStyle w:val="1130"/>
        <w:numPr>
          <w:ilvl w:val="1"/>
          <w:numId w:val="44"/>
        </w:numPr>
        <w:pBdr/>
        <w:spacing w:after="80" w:line="276" w:lineRule="auto"/>
        <w:ind/>
        <w:jc w:val="both"/>
        <w:rPr/>
      </w:pPr>
      <w:r>
        <w:rPr>
          <w:szCs w:val="22"/>
        </w:rPr>
        <w:t xml:space="preserve">Wsparcie w pełnieniu funkcji Pełnomocnika ds. SZBI, objęte prawem opcji na zasadach określonych w ust. 5.</w:t>
      </w:r>
      <w:r/>
    </w:p>
    <w:p>
      <w:pPr>
        <w:pBdr/>
        <w:spacing w:after="80" w:line="276" w:lineRule="auto"/>
        <w:ind/>
        <w:jc w:val="both"/>
        <w:rPr/>
      </w:pPr>
      <w:r>
        <w:rPr>
          <w:szCs w:val="22"/>
        </w:rPr>
        <w:t xml:space="preserve">2. Szczegółowy zakres wszystkich Zadań określa pkt IV Zapytania ofertowego (opis przedmiotu zamówienia). Zapytanie ofertowe wraz ze wszys</w:t>
      </w:r>
      <w:r>
        <w:rPr>
          <w:szCs w:val="22"/>
        </w:rPr>
        <w:t xml:space="preserve">tkimi załącznikami stanowi Załącznik nr 1 do Umowy i jej integralną część, a oferta Wykonawcy wraz z wykazem osób – Załącznik nr 2 do Umowy. Ilekroć w Umowie mowa o OPZ, rozumie się przez to opis przedmiotu zamówienia zawarty w pkt IV Zapytania ofertowego.</w:t>
      </w:r>
      <w:r/>
    </w:p>
    <w:p>
      <w:pPr>
        <w:pBdr/>
        <w:spacing w:after="80" w:line="276" w:lineRule="auto"/>
        <w:ind/>
        <w:jc w:val="both"/>
        <w:rPr/>
      </w:pPr>
      <w:r>
        <w:rPr>
          <w:szCs w:val="22"/>
        </w:rPr>
        <w:t xml:space="preserve">3. Wykonawca oświadcza, że posiada doświadczenie, kwalifikac</w:t>
      </w:r>
      <w:r>
        <w:rPr>
          <w:szCs w:val="22"/>
        </w:rPr>
        <w:t xml:space="preserve">je, certyfikaty i zasoby niezbędne do prawidłowego wykonania Umowy i zobowiązuje się wykonać ją z najwyższą starannością wynikającą z zawodowego charakteru działalności (art. 355 § 2 KC), zgodnie z OPZ, obowiązującymi przepisami, normami i aktualną wiedzą.</w:t>
      </w:r>
      <w:r/>
    </w:p>
    <w:p>
      <w:pPr>
        <w:pBdr/>
        <w:spacing w:after="20" w:line="276" w:lineRule="auto"/>
        <w:ind/>
        <w:jc w:val="left"/>
        <w:rPr/>
      </w:pPr>
      <w:r>
        <w:rPr>
          <w:szCs w:val="22"/>
        </w:rPr>
        <w:t xml:space="preserve">4. Przedmiot Umowy zostanie wykonany zgodnie z aktualną dokumentacją konkursu grantowego „Cyberbezpieczne Wodociągi” oraz wymogami umowy o powierzenie grantu, w zakresie mającym zastosowanie do Wykonawcy. </w:t>
      </w:r>
      <w:r/>
    </w:p>
    <w:p>
      <w:pPr>
        <w:pBdr/>
        <w:spacing w:after="20" w:line="276" w:lineRule="auto"/>
        <w:ind/>
        <w:jc w:val="left"/>
        <w:rPr/>
      </w:pPr>
      <w:r>
        <w:rPr>
          <w:szCs w:val="22"/>
        </w:rPr>
        <w:t xml:space="preserve">5. Wsparcie</w:t>
      </w:r>
      <w:r>
        <w:rPr>
          <w:szCs w:val="22"/>
        </w:rPr>
        <w:t xml:space="preserve"> Pełnomocnika ds. SZBI o który mowa </w:t>
      </w:r>
      <w:r>
        <w:rPr>
          <w:b w:val="0"/>
          <w:bCs w:val="0"/>
          <w:szCs w:val="22"/>
        </w:rPr>
        <w:t xml:space="preserve">§1 pkt. 1 lit f </w:t>
      </w:r>
      <w:r>
        <w:rPr>
          <w:szCs w:val="22"/>
        </w:rPr>
        <w:t xml:space="preserve"> </w:t>
      </w:r>
      <w:r>
        <w:rPr>
          <w:szCs w:val="22"/>
        </w:rPr>
        <w:t xml:space="preserve">objęte jest prawem opcji: obejmuje wsparcie w pełnieniu funkcji Pełnomocnika ds. SZBI od dnia aktywowania opcji do dnia 30.12.2026 r., w łącznym wymiarze do 40 godzin (konsultacje w utrzymaniu i doskonaleniu SZBI, asysta przy przeglądzie zarządczy</w:t>
      </w:r>
      <w:r>
        <w:rPr>
          <w:szCs w:val="22"/>
        </w:rPr>
        <w:t xml:space="preserve">m,</w:t>
      </w:r>
      <w:r>
        <w:rPr>
          <w:szCs w:val="22"/>
        </w:rPr>
        <w:t xml:space="preserve"> aktualizacja analizy ryzyka i dokumentacji, wsparcie przy obsłudze incydentów i raportowaniu do właściwego CSIRT). Zamawiający może skorzystać z prawa opcji w terminie do 1 miesiąca od momentu podpisania umowy nie później jednak niż do dnia 31.10.2026 r.,</w:t>
      </w:r>
      <w:r>
        <w:rPr>
          <w:szCs w:val="22"/>
        </w:rPr>
        <w:t xml:space="preserve"> składając Wykonawcy pisemne oświadczenie o aktywowaniu opcji; nieskorzystanie z opcji w całości lub w części nie rodzi po stronie Wykonawcy żadnych roszczeń, a wynagrodzenie za Zadanie 6 przysługuje wyłącznie w przypadku i w zakresie skorzystania z opcji.</w:t>
      </w:r>
      <w:r/>
      <w:r/>
    </w:p>
    <w:p>
      <w:pPr>
        <w:pBdr/>
        <w:spacing w:after="20" w:line="276" w:lineRule="auto"/>
        <w:ind/>
        <w:jc w:val="center"/>
        <w:rPr/>
      </w:pPr>
      <w:r>
        <w:rPr>
          <w:b/>
          <w:szCs w:val="22"/>
        </w:rPr>
        <w:t xml:space="preserve">§ 2</w:t>
      </w:r>
      <w:r/>
    </w:p>
    <w:p>
      <w:pPr>
        <w:pBdr/>
        <w:spacing w:after="120" w:line="276" w:lineRule="auto"/>
        <w:ind/>
        <w:jc w:val="center"/>
        <w:rPr/>
      </w:pPr>
      <w:r>
        <w:rPr>
          <w:b/>
          <w:szCs w:val="22"/>
        </w:rPr>
        <w:t xml:space="preserve">TERMINY REALIZACJI</w:t>
      </w:r>
      <w:r/>
    </w:p>
    <w:p>
      <w:pPr>
        <w:pBdr/>
        <w:spacing w:after="80" w:line="276" w:lineRule="auto"/>
        <w:ind/>
        <w:jc w:val="both"/>
        <w:rPr/>
      </w:pPr>
      <w:r>
        <w:rPr>
          <w:szCs w:val="22"/>
        </w:rPr>
        <w:t xml:space="preserve">1.</w:t>
      </w:r>
      <w:r>
        <w:rPr>
          <w:szCs w:val="22"/>
          <w:highlight w:val="white"/>
        </w:rPr>
        <w:t xml:space="preserve"> </w:t>
      </w:r>
      <w:r>
        <w:rPr>
          <w:szCs w:val="22"/>
          <w:highlight w:val="white"/>
        </w:rPr>
        <w:t xml:space="preserve">Pr</w:t>
      </w:r>
      <w:r>
        <w:rPr>
          <w:szCs w:val="22"/>
          <w:highlight w:val="white"/>
        </w:rPr>
        <w:t xml:space="preserve">zedmiot Umowy zostanie wykonany w terminie do </w:t>
      </w:r>
      <w:r>
        <w:rPr>
          <w:szCs w:val="22"/>
          <w:highlight w:val="none"/>
        </w:rPr>
        <w:t xml:space="preserve">15.12.2026 r. </w:t>
      </w:r>
      <w:r/>
    </w:p>
    <w:p>
      <w:pPr>
        <w:pBdr/>
        <w:spacing w:after="80" w:line="276" w:lineRule="auto"/>
        <w:ind/>
        <w:jc w:val="both"/>
        <w:rPr/>
      </w:pPr>
      <w:r>
        <w:rPr>
          <w:szCs w:val="22"/>
        </w:rPr>
        <w:t xml:space="preserve">2. Za datę wykonania umowy Strony przyjmują datę podpisania przez Zamawiającego protokołu odbioru bez zastrzeżeń.</w:t>
      </w:r>
      <w:r/>
    </w:p>
    <w:p>
      <w:pPr>
        <w:pBdr/>
        <w:spacing w:after="20" w:line="276" w:lineRule="auto"/>
        <w:ind/>
        <w:jc w:val="center"/>
        <w:rPr/>
      </w:pPr>
      <w:r>
        <w:rPr>
          <w:b/>
          <w:szCs w:val="22"/>
        </w:rPr>
        <w:t xml:space="preserve">§ 3</w:t>
      </w:r>
      <w:r/>
    </w:p>
    <w:p>
      <w:pPr>
        <w:pBdr/>
        <w:spacing w:after="120" w:line="276" w:lineRule="auto"/>
        <w:ind/>
        <w:jc w:val="center"/>
        <w:rPr/>
      </w:pPr>
      <w:r>
        <w:rPr>
          <w:b/>
          <w:szCs w:val="22"/>
        </w:rPr>
        <w:t xml:space="preserve">OBOWIĄZKI WYKONAWCY</w:t>
      </w:r>
      <w:r/>
    </w:p>
    <w:p>
      <w:pPr>
        <w:pBdr/>
        <w:spacing w:after="80" w:line="276" w:lineRule="auto"/>
        <w:ind/>
        <w:jc w:val="both"/>
        <w:rPr/>
      </w:pPr>
      <w:r>
        <w:rPr>
          <w:szCs w:val="22"/>
        </w:rPr>
        <w:t xml:space="preserve">1. Wykonawca zrealizuje Umowę osobami wskazanymi w wykazie osób złożonym z ofertą. Zmiana osoby wymaga uprzedniej pisemnej zgody Zamawiającego i jest dopuszczalna wyłącznie na osobę o kwalifikacjach i certyfikatach nie gorszych niż wymagane w postępowaniu.</w:t>
      </w:r>
      <w:r/>
    </w:p>
    <w:p>
      <w:pPr>
        <w:pBdr/>
        <w:spacing w:after="80" w:line="276" w:lineRule="auto"/>
        <w:ind/>
        <w:jc w:val="both"/>
        <w:rPr/>
      </w:pPr>
      <w:r>
        <w:rPr>
          <w:szCs w:val="22"/>
        </w:rPr>
        <w:t xml:space="preserve">2. Przed rozpoczęciem prac Wykonawca: zawrze z Za</w:t>
      </w:r>
      <w:r>
        <w:rPr>
          <w:szCs w:val="22"/>
        </w:rPr>
        <w:t xml:space="preserve">mawiającym umowę o zachowaniu poufności (NDA); zawrze umowę powierzenia przetwarzania danych osobowych zgodną z art. 28 RODO – w zakresie, w jakim realizacja Umowy wiąże się z dostępem do danych osobowych; przedłoży kopię polisy OC obejmującej przedmiot Um</w:t>
      </w:r>
      <w:r>
        <w:rPr>
          <w:szCs w:val="22"/>
        </w:rPr>
        <w:t xml:space="preserve">owy (w tym testy penetracyjne) z sumą gwarancyjną nie niższą niż 1 000 000 zł – przy czym umowy NDA i powierzenia zostaną zawarte według wzorów stanowiących Załączniki nr 7 i 8 do Zapytania ofertowego i utrzyma to ubezpieczenie przez cały okres realizacji.</w:t>
      </w:r>
      <w:r/>
    </w:p>
    <w:p>
      <w:pPr>
        <w:pBdr/>
        <w:spacing w:after="80" w:line="276" w:lineRule="auto"/>
        <w:ind/>
        <w:jc w:val="both"/>
        <w:rPr/>
      </w:pPr>
      <w:r>
        <w:rPr>
          <w:szCs w:val="22"/>
        </w:rPr>
        <w:t xml:space="preserve">3. Wykonawca przeprowadzi prace, w tym testy penetracyjne, w sposób niepowodujący zakłócenia ciągłości świadczenia usług kluczowych Zam</w:t>
      </w:r>
      <w:r>
        <w:rPr>
          <w:szCs w:val="22"/>
        </w:rPr>
        <w:t xml:space="preserve">awiającego; testy w segmentach OT/SCADA oraz testy mogące wpływać na dostępność usług będą każdorazowo uzgadniane z Zamawiającym co do zakresu, metody i terminu. O każdym zdarzeniu mogącym stanowić incydent Wykonawca poinformuje Zamawiającego niezwłocznie.</w:t>
      </w:r>
      <w:r/>
    </w:p>
    <w:p>
      <w:pPr>
        <w:pBdr/>
        <w:spacing w:after="80" w:line="276" w:lineRule="auto"/>
        <w:ind/>
        <w:jc w:val="both"/>
        <w:rPr/>
      </w:pPr>
      <w:r>
        <w:rPr>
          <w:szCs w:val="22"/>
        </w:rPr>
        <w:t xml:space="preserve">4. Dane i materiały pozyskane w toku testów penetracyjnych Wykonawca będzie przechowywał wyłącznie w postaci zaszyfrowanej i trwale usunie je po odbiorze końcowym, co potwierdzi protokołem usunięcia.</w:t>
      </w:r>
      <w:r/>
    </w:p>
    <w:p>
      <w:pPr>
        <w:pBdr/>
        <w:spacing w:after="80" w:line="276" w:lineRule="auto"/>
        <w:ind/>
        <w:jc w:val="both"/>
        <w:rPr/>
      </w:pPr>
      <w:r>
        <w:rPr>
          <w:szCs w:val="22"/>
        </w:rPr>
        <w:t xml:space="preserve">5. W przypadku powierzenia części Umowy podwykonawcy Wykonawca odpowiada za jego działania i zaniechania jak za własne; podwykonawcę i personel podwykonawcy obowiązują wymogi poufności i bezpieczeństwa określone w Umowie i OPZ.</w:t>
      </w:r>
      <w:r/>
    </w:p>
    <w:p>
      <w:pPr>
        <w:pBdr/>
        <w:spacing w:after="20" w:line="276" w:lineRule="auto"/>
        <w:ind/>
        <w:jc w:val="center"/>
        <w:rPr/>
      </w:pPr>
      <w:r>
        <w:rPr>
          <w:b/>
          <w:szCs w:val="22"/>
        </w:rPr>
        <w:t xml:space="preserve">§ 4</w:t>
      </w:r>
      <w:r/>
    </w:p>
    <w:p>
      <w:pPr>
        <w:pBdr/>
        <w:spacing w:after="120" w:line="276" w:lineRule="auto"/>
        <w:ind/>
        <w:jc w:val="center"/>
        <w:rPr/>
      </w:pPr>
      <w:r>
        <w:rPr>
          <w:b/>
          <w:szCs w:val="22"/>
        </w:rPr>
        <w:t xml:space="preserve">OBOWIĄZKI ZAMAWIAJĄCEGO</w:t>
      </w:r>
      <w:r/>
    </w:p>
    <w:p>
      <w:pPr>
        <w:pBdr/>
        <w:spacing w:after="80" w:line="276" w:lineRule="auto"/>
        <w:ind/>
        <w:jc w:val="both"/>
        <w:rPr/>
      </w:pPr>
      <w:r>
        <w:rPr>
          <w:szCs w:val="22"/>
        </w:rPr>
        <w:t xml:space="preserve">1. Zamawiający zapewni współdzia</w:t>
      </w:r>
      <w:r>
        <w:rPr>
          <w:szCs w:val="22"/>
        </w:rPr>
        <w:t xml:space="preserve">łanie niezbędne do realizacji Umowy, w szczególności: udostępni dokumenty i informacje, zapewni dostępy do systemów w uzgodnionym zakresie oraz udział personelu w wywiadach i warsztatach, a także zapłaci wynagrodzenie za należycie wykonany przedmiot Umowy.</w:t>
      </w:r>
      <w:r/>
    </w:p>
    <w:p>
      <w:pPr>
        <w:pBdr/>
        <w:spacing w:after="80" w:line="276" w:lineRule="auto"/>
        <w:ind/>
        <w:jc w:val="both"/>
        <w:rPr/>
      </w:pPr>
      <w:r>
        <w:rPr>
          <w:szCs w:val="22"/>
        </w:rPr>
        <w:t xml:space="preserve">2. Wykonawca nie ponosi odpowiedzialności za skutki niedostarczenia przez Zamawiającego – pomimo wezwania – informacji lub dokumentów niezbędnych do realizacji Umowy albo dostarczenia informacji niezgodnych ze stanem faktycznym.</w:t>
      </w:r>
      <w:r/>
    </w:p>
    <w:p>
      <w:pPr>
        <w:pBdr/>
        <w:spacing w:after="20" w:line="276" w:lineRule="auto"/>
        <w:ind/>
        <w:jc w:val="center"/>
        <w:rPr/>
      </w:pPr>
      <w:r>
        <w:rPr>
          <w:b/>
          <w:szCs w:val="22"/>
        </w:rPr>
        <w:t xml:space="preserve">§ 5</w:t>
      </w:r>
      <w:r/>
    </w:p>
    <w:p>
      <w:pPr>
        <w:pBdr/>
        <w:spacing w:after="120" w:line="276" w:lineRule="auto"/>
        <w:ind/>
        <w:jc w:val="center"/>
        <w:rPr/>
      </w:pPr>
      <w:r>
        <w:rPr>
          <w:b/>
          <w:szCs w:val="22"/>
        </w:rPr>
        <w:t xml:space="preserve">ODBIORY</w:t>
      </w:r>
      <w:r/>
    </w:p>
    <w:p>
      <w:pPr>
        <w:pBdr/>
        <w:spacing w:after="80" w:line="276" w:lineRule="auto"/>
        <w:ind/>
        <w:jc w:val="both"/>
        <w:rPr/>
      </w:pPr>
      <w:r>
        <w:rPr>
          <w:szCs w:val="22"/>
        </w:rPr>
        <w:t xml:space="preserve">1. Odbiory nastąpią na podstawie protokołu odbioru, po przekazaniu kompletnych produktów danego określonych w pkt IV Zapytania ofertowego.</w:t>
      </w:r>
      <w:r/>
    </w:p>
    <w:p>
      <w:pPr>
        <w:pBdr/>
        <w:spacing w:after="80" w:line="276" w:lineRule="auto"/>
        <w:ind/>
        <w:jc w:val="both"/>
        <w:rPr/>
      </w:pPr>
      <w:r>
        <w:rPr>
          <w:szCs w:val="22"/>
        </w:rPr>
        <w:t xml:space="preserve">2. Zamawiający zgłosi uwagi do przekazanych produktów w terminie 14 dni roboczych od ich otrzymania; Wykonawca uwzględni uwagi i przekaże poprawione produkty w terminie 7 dni roboczych od otrzymania uwag. Procedura p</w:t>
      </w:r>
      <w:r>
        <w:rPr>
          <w:szCs w:val="22"/>
        </w:rPr>
        <w:t xml:space="preserve">odlega powtórzeniu do usunięcia wszystkich zastrzeżeń; okresu usuwania zastrzeżeń nie wlicza się do terminu, o którym mowa w § 2, jeżeli zastrzeżenia nie wynikały z przyczyn leżących po stronie Wykonawcy, w pozostałych przypadkach zwłoka obciąża Wykonawcę.</w:t>
      </w:r>
      <w:r/>
    </w:p>
    <w:p>
      <w:pPr>
        <w:pBdr/>
        <w:spacing w:after="80" w:line="276" w:lineRule="auto"/>
        <w:ind/>
        <w:jc w:val="both"/>
        <w:rPr/>
      </w:pPr>
      <w:r>
        <w:rPr>
          <w:szCs w:val="22"/>
        </w:rPr>
        <w:t xml:space="preserve">3. Dokumentacja zostanie przekazana w języku polskim, w wersji edytowalnej (DOCX) i PDF; raport z testów penetracyjny</w:t>
      </w:r>
      <w:r>
        <w:rPr>
          <w:szCs w:val="22"/>
        </w:rPr>
        <w:t xml:space="preserve">ch dodatkowo w formie prezentacji wyników dla kierownictwa. Produktami podlegającymi odbiorowi są: raport z kampanii socjotechnicznej oraz raport z ćwiczenia symulacyjnego. Wykonanie zadania o </w:t>
      </w:r>
      <w:r>
        <w:rPr>
          <w:szCs w:val="22"/>
        </w:rPr>
        <w:t xml:space="preserve">który mowa </w:t>
      </w:r>
      <w:r>
        <w:rPr>
          <w:b w:val="0"/>
          <w:bCs w:val="0"/>
          <w:szCs w:val="22"/>
        </w:rPr>
        <w:t xml:space="preserve">§1 pkt. 1 lit f </w:t>
      </w:r>
      <w:r>
        <w:rPr>
          <w:szCs w:val="22"/>
        </w:rPr>
        <w:t xml:space="preserve"> potwierdzane jest zestawieniem zrealizowanych godzin </w:t>
      </w:r>
      <w:r>
        <w:rPr>
          <w:szCs w:val="22"/>
        </w:rPr>
        <w:t xml:space="preserve">wsparcia, zatwierdzanym przez Zamawiającego po zakończeniu okresu świadczenia wsparcia. Wykonawca zapewni wsparcie poaudytowe – odpowiedzi i wyjaśnienia dotyczące raportów – przez co najmniej 1 miesiąc od przekazania danego raportu, w ramach wynagrodzenia.</w:t>
      </w:r>
      <w:r/>
    </w:p>
    <w:p>
      <w:pPr>
        <w:pBdr/>
        <w:spacing w:after="20" w:line="276" w:lineRule="auto"/>
        <w:ind/>
        <w:jc w:val="center"/>
        <w:rPr/>
      </w:pPr>
      <w:r>
        <w:rPr>
          <w:b/>
          <w:szCs w:val="22"/>
        </w:rPr>
        <w:t xml:space="preserve">§ 6</w:t>
      </w:r>
      <w:r/>
    </w:p>
    <w:p>
      <w:pPr>
        <w:pBdr/>
        <w:spacing w:after="120" w:line="276" w:lineRule="auto"/>
        <w:ind/>
        <w:jc w:val="center"/>
        <w:rPr/>
      </w:pPr>
      <w:r>
        <w:rPr>
          <w:b/>
          <w:szCs w:val="22"/>
        </w:rPr>
        <w:t xml:space="preserve">WYNAGRODZENIE I PŁATNOŚCI</w:t>
      </w:r>
      <w:r/>
    </w:p>
    <w:p>
      <w:pPr>
        <w:pBdr/>
        <w:spacing w:after="80" w:line="276" w:lineRule="auto"/>
        <w:ind/>
        <w:jc w:val="both"/>
        <w:rPr/>
      </w:pPr>
      <w:r>
        <w:rPr>
          <w:szCs w:val="22"/>
        </w:rPr>
        <w:t xml:space="preserve">1. Za wykonanie przedmiotu Umowy Wykonawcy przysługuje wynagrodzenie w łącznej wysokości: netto …………………</w:t>
      </w:r>
      <w:r>
        <w:rPr>
          <w:szCs w:val="22"/>
        </w:rPr>
        <w:t xml:space="preserve"> zł, VAT ………………… zł,  zgodnie z ofertą Wykonawcy.</w:t>
      </w:r>
      <w:r/>
    </w:p>
    <w:p>
      <w:pPr>
        <w:pBdr/>
        <w:spacing w:after="80" w:line="276" w:lineRule="auto"/>
        <w:ind/>
        <w:jc w:val="both"/>
        <w:rPr/>
      </w:pPr>
      <w:r>
        <w:rPr>
          <w:szCs w:val="22"/>
        </w:rPr>
        <w:t xml:space="preserve">2. Wynagrodzenie obejmuje wszystkie koszty wykonania Umowy, w tym retest podatności, wsparcie poaudytowe, przeniesienie praw autorskich oraz szkolenia, i nie podlega podwyższeniu.</w:t>
      </w:r>
      <w:r/>
    </w:p>
    <w:p>
      <w:pPr>
        <w:pBdr/>
        <w:spacing w:after="20" w:line="276" w:lineRule="auto"/>
        <w:ind/>
        <w:rPr>
          <w:bCs/>
          <w:szCs w:val="22"/>
        </w:rPr>
      </w:pPr>
      <w:r>
        <w:rPr>
          <w:bCs/>
          <w:szCs w:val="22"/>
        </w:rPr>
        <w:t xml:space="preserve">3.</w:t>
      </w:r>
      <w:r>
        <w:rPr>
          <w:bCs/>
          <w:szCs w:val="22"/>
        </w:rPr>
        <w:t xml:space="preserve"> Płatności następują na podstawie prawidłowo wystawionej faktury (w tym ustrukturyzowanej w KSeF), w terminie do 7 dni od jej doręczenia, przelewem na rachunek Wykonawcy wskazany na fakturze, znajdujący</w:t>
      </w:r>
      <w:r>
        <w:rPr>
          <w:bCs/>
          <w:szCs w:val="22"/>
        </w:rPr>
        <w:t xml:space="preserve"> się w wykazie podatników VAT. Wykonawca zobowiązany jest wystawić fakturę w terminach umożliwiających dokonanie zapłaty i rozliczenie Projektu grantowego przez Zamawiającego do dnia 31 grudnia 2026 r. Zamawiający nie udziela zaliczek.</w:t>
      </w:r>
      <w:r>
        <w:rPr>
          <w:bCs/>
          <w:szCs w:val="22"/>
        </w:rPr>
      </w:r>
      <w:r>
        <w:rPr>
          <w:bCs/>
          <w:szCs w:val="22"/>
        </w:rPr>
      </w:r>
    </w:p>
    <w:p>
      <w:pPr>
        <w:pBdr/>
        <w:spacing w:after="20" w:line="276" w:lineRule="auto"/>
        <w:ind/>
        <w:jc w:val="center"/>
        <w:rPr/>
      </w:pPr>
      <w:r>
        <w:rPr>
          <w:b/>
          <w:szCs w:val="22"/>
        </w:rPr>
        <w:t xml:space="preserve">§ 7</w:t>
      </w:r>
      <w:r/>
    </w:p>
    <w:p>
      <w:pPr>
        <w:pBdr/>
        <w:spacing w:after="120" w:line="276" w:lineRule="auto"/>
        <w:ind/>
        <w:jc w:val="center"/>
        <w:rPr/>
      </w:pPr>
      <w:r>
        <w:rPr>
          <w:b/>
          <w:szCs w:val="22"/>
        </w:rPr>
        <w:t xml:space="preserve">PRAWA AUTORSKIE</w:t>
      </w:r>
      <w:r/>
    </w:p>
    <w:p>
      <w:pPr>
        <w:pBdr/>
        <w:spacing w:after="80" w:line="276" w:lineRule="auto"/>
        <w:ind/>
        <w:jc w:val="both"/>
        <w:rPr/>
      </w:pPr>
      <w:r>
        <w:rPr>
          <w:szCs w:val="22"/>
        </w:rPr>
        <w:t xml:space="preserve">1. Z chwilą podpisania protokołu odbioru danego Zadania i zapłaty wynagrodzenia za to Zadanie Wykonawca przenosi na Zamawiającego, w ramach wynagrodzenia, autorskie prawa majątkowe </w:t>
      </w:r>
      <w:r>
        <w:rPr>
          <w:szCs w:val="22"/>
        </w:rPr>
        <w:t xml:space="preserve">do utworów powstałych w wykonaniu Umowy (raportów, dokumentacji, procedur, materiałów szkoleniowych) na polach eksploatacji obejmujących: utrwalanie i zwielokrotnianie dowolną techniką, wprowadzanie do pamięci komputera i sieci wewnętrznych, udostępnianie </w:t>
      </w:r>
      <w:r>
        <w:rPr>
          <w:szCs w:val="22"/>
        </w:rPr>
        <w:t xml:space="preserve">podmiotom uprawnionym do kontroli Projektu, publiczne udostępnianie w zakresie wymaganym przepisami prawa oraz dokonywanie zmian i opracowań na potrzeby własne Zamawiającego, wraz z prawem zezwalania na wykonywanie zależnych praw autorskich w tym zakresie.</w:t>
      </w:r>
      <w:r/>
    </w:p>
    <w:p>
      <w:pPr>
        <w:pBdr/>
        <w:spacing w:after="80" w:line="276" w:lineRule="auto"/>
        <w:ind/>
        <w:jc w:val="both"/>
        <w:rPr/>
      </w:pPr>
      <w:r>
        <w:rPr>
          <w:szCs w:val="22"/>
        </w:rPr>
        <w:t xml:space="preserve">2. Wykonawca oświadcza, że utwory nie będą naruszać praw osób trzecich, a w pr</w:t>
      </w:r>
      <w:r>
        <w:rPr>
          <w:szCs w:val="22"/>
        </w:rPr>
        <w:t xml:space="preserve">zypadku wykorzystania elementów standardowych lub wzorcowych – że przysługują mu prawa umożliwiające przeniesienie, o którym mowa w ust. 1, albo udzieli Zamawiającemu licencji niewyłącznej, nieograniczonej w czasie, z prawem modyfikacji na potrzeby własne.</w:t>
      </w:r>
      <w:r/>
    </w:p>
    <w:p>
      <w:pPr>
        <w:pBdr/>
        <w:spacing w:after="20" w:line="276" w:lineRule="auto"/>
        <w:ind/>
        <w:jc w:val="center"/>
        <w:rPr/>
      </w:pPr>
      <w:r>
        <w:rPr>
          <w:b/>
          <w:szCs w:val="22"/>
        </w:rPr>
        <w:t xml:space="preserve">§ 8</w:t>
      </w:r>
      <w:r/>
    </w:p>
    <w:p>
      <w:pPr>
        <w:pBdr/>
        <w:spacing w:after="120" w:line="276" w:lineRule="auto"/>
        <w:ind/>
        <w:jc w:val="center"/>
        <w:rPr/>
      </w:pPr>
      <w:r>
        <w:rPr>
          <w:b/>
          <w:szCs w:val="22"/>
        </w:rPr>
        <w:t xml:space="preserve">KARY UMOWNE</w:t>
      </w:r>
      <w:r/>
    </w:p>
    <w:p>
      <w:pPr>
        <w:pBdr/>
        <w:spacing w:after="80" w:line="276" w:lineRule="auto"/>
        <w:ind/>
        <w:jc w:val="both"/>
        <w:rPr/>
      </w:pPr>
      <w:r>
        <w:rPr>
          <w:szCs w:val="22"/>
        </w:rPr>
        <w:t xml:space="preserve">1. Wykonawca zapłaci Zamawiającemu kary umo</w:t>
      </w:r>
      <w:r>
        <w:rPr>
          <w:szCs w:val="22"/>
        </w:rPr>
        <w:t xml:space="preserve">wne: za zwłokę w wykonaniu danego Zadania – 0,5% wynagrodzenia brutto za to Zadanie za każdy rozpoczęty dzień zwłoki; za zwłokę w usunięciu zastrzeżeń z odbioru albo w przeprowadzeniu retestu – 0,5% wynagrodzenia brutto za dane Zadanie za każdy rozpoczęty </w:t>
      </w:r>
      <w:r>
        <w:rPr>
          <w:szCs w:val="22"/>
        </w:rPr>
        <w:t xml:space="preserve">dzień zwłoki; za odstąpienie od Umowy przez Zamawiającego z przyczyn leżących po stronie Wykonawcy – 20% łącznego wynagrodzenia brutto; za naruszenie obowiązku poufności lub obowiązków, o których mowa w § 3 ust. 4 – 10 000 zł za każdy przypadek naruszenia.</w:t>
      </w:r>
      <w:r/>
    </w:p>
    <w:p>
      <w:pPr>
        <w:pBdr/>
        <w:spacing w:after="80" w:line="276" w:lineRule="auto"/>
        <w:ind/>
        <w:jc w:val="both"/>
        <w:rPr/>
      </w:pPr>
      <w:r>
        <w:rPr>
          <w:szCs w:val="22"/>
        </w:rPr>
        <w:t xml:space="preserve">2. Łączna wysokość kar umownych nie przekroczy 30% łącznego wynagrodzenia brutto. Zamawiający może dochodzić odszkodowania przenoszącego wysokość zastrzeżonych kar na zasadach ogólnych. Kary mogą być potrącane z wynagrodzenia Wykonawcy.</w:t>
      </w:r>
      <w:r/>
    </w:p>
    <w:p>
      <w:pPr>
        <w:pBdr/>
        <w:spacing w:after="20" w:line="276" w:lineRule="auto"/>
        <w:ind/>
        <w:jc w:val="center"/>
        <w:rPr/>
      </w:pPr>
      <w:r>
        <w:rPr>
          <w:b/>
          <w:szCs w:val="22"/>
        </w:rPr>
        <w:t xml:space="preserve">§ 9</w:t>
      </w:r>
      <w:r/>
    </w:p>
    <w:p>
      <w:pPr>
        <w:pBdr/>
        <w:spacing w:after="120" w:line="276" w:lineRule="auto"/>
        <w:ind/>
        <w:jc w:val="center"/>
        <w:rPr/>
      </w:pPr>
      <w:r>
        <w:rPr>
          <w:b/>
          <w:szCs w:val="22"/>
        </w:rPr>
        <w:t xml:space="preserve">ODSTĄPIENIE OD UMOWY</w:t>
      </w:r>
      <w:r/>
    </w:p>
    <w:p>
      <w:pPr>
        <w:pBdr/>
        <w:spacing w:after="80" w:line="276" w:lineRule="auto"/>
        <w:ind/>
        <w:jc w:val="both"/>
        <w:rPr/>
      </w:pPr>
      <w:r>
        <w:rPr>
          <w:szCs w:val="22"/>
        </w:rPr>
        <w:t xml:space="preserve">1. Zamawiający może odstąpić od Umowy, jeżeli Wykonawca rażąco narusza jej postanowienia, wykonuje </w:t>
      </w:r>
      <w:r>
        <w:rPr>
          <w:szCs w:val="22"/>
        </w:rPr>
        <w:t xml:space="preserve">Umowę wadliwie, niezgodnie z ofertą lub po bezskutecznym upływie dodatkowego 7-dniowego terminu wyznaczonego w wezwaniu do prawidłowego wykonywania Umowy; oświadczenie o odstąpieniu może zostać złożone w terminie 30 dni od upływu terminu dodatkowego.</w:t>
      </w:r>
      <w:r/>
    </w:p>
    <w:p>
      <w:pPr>
        <w:pBdr/>
        <w:spacing w:after="80" w:line="276" w:lineRule="auto"/>
        <w:ind/>
        <w:jc w:val="both"/>
        <w:rPr/>
      </w:pPr>
      <w:r>
        <w:rPr>
          <w:szCs w:val="22"/>
        </w:rPr>
        <w:t xml:space="preserve">2. Zamawiający może odstąpić od Umowy ze skutkiem natychmiastowym w przypadku zwłoki Wykonawcy w wykonaniu któregokolwiek Zadania przekraczającej 21 dni.</w:t>
      </w:r>
      <w:r/>
    </w:p>
    <w:p>
      <w:pPr>
        <w:pBdr/>
        <w:spacing w:after="80" w:line="276" w:lineRule="auto"/>
        <w:ind/>
        <w:jc w:val="both"/>
        <w:rPr/>
      </w:pPr>
      <w:r>
        <w:rPr>
          <w:szCs w:val="22"/>
        </w:rPr>
        <w:t xml:space="preserve">3. Odstąpienie wymaga formy pisemnej pod rygorem nieważności i może dotyczyć całości Umowy albo poszczególnych Zadań; w razie odstąpienia częściowego Strony zachowują świadczenia dotyczące Zadań odebranych.</w:t>
      </w:r>
      <w:r/>
    </w:p>
    <w:p>
      <w:pPr>
        <w:pBdr/>
        <w:spacing w:after="20" w:line="276" w:lineRule="auto"/>
        <w:ind/>
        <w:jc w:val="center"/>
        <w:rPr/>
      </w:pPr>
      <w:r>
        <w:rPr>
          <w:b/>
          <w:szCs w:val="22"/>
        </w:rPr>
        <w:t xml:space="preserve">§ 10</w:t>
      </w:r>
      <w:r/>
    </w:p>
    <w:p>
      <w:pPr>
        <w:pBdr/>
        <w:spacing w:after="120" w:line="276" w:lineRule="auto"/>
        <w:ind/>
        <w:jc w:val="center"/>
        <w:rPr/>
      </w:pPr>
      <w:r>
        <w:rPr>
          <w:b/>
          <w:szCs w:val="22"/>
        </w:rPr>
        <w:t xml:space="preserve">SIŁA WYŻSZA</w:t>
      </w:r>
      <w:r/>
    </w:p>
    <w:p>
      <w:pPr>
        <w:pBdr/>
        <w:spacing w:after="80" w:line="276" w:lineRule="auto"/>
        <w:ind/>
        <w:jc w:val="both"/>
        <w:rPr/>
      </w:pPr>
      <w:r>
        <w:rPr>
          <w:szCs w:val="22"/>
        </w:rPr>
        <w:t xml:space="preserve">1. Żadna ze Stron nie odpowiada za niewykonanie lub nienależyte wykonanie Umowy spowodowane siłą wyższą, tj. zdarzeniem zewnętrznym, nagłym, niemożliwym do przewidzenia i zapobieżenia mimo należytej</w:t>
      </w:r>
      <w:r>
        <w:rPr>
          <w:szCs w:val="22"/>
        </w:rPr>
        <w:t xml:space="preserve"> staranności. Strona dotknięta siłą wyższą niezwłocznie zawiadomi o niej drugą Stronę wraz z dokumentacją oraz przystąpi do usuwania skutków; jeżeli stan ten trwa dłużej niż 14 dni, Strony podejmą negocjacje co do dalszej realizacji albo rozwiązania Umowy.</w:t>
      </w:r>
      <w:r/>
    </w:p>
    <w:p>
      <w:pPr>
        <w:pBdr/>
        <w:spacing w:after="20" w:line="276" w:lineRule="auto"/>
        <w:ind/>
        <w:jc w:val="center"/>
        <w:rPr/>
      </w:pPr>
      <w:r>
        <w:rPr>
          <w:b/>
          <w:szCs w:val="22"/>
        </w:rPr>
        <w:t xml:space="preserve">§ 11</w:t>
      </w:r>
      <w:r/>
    </w:p>
    <w:p>
      <w:pPr>
        <w:pBdr/>
        <w:spacing w:after="120" w:line="276" w:lineRule="auto"/>
        <w:ind/>
        <w:jc w:val="center"/>
        <w:rPr/>
      </w:pPr>
      <w:r>
        <w:rPr>
          <w:b/>
          <w:szCs w:val="22"/>
        </w:rPr>
        <w:t xml:space="preserve">FINANSOWANIE ZE ŚRODKÓW KPO – KONTROLA I ARCHIWIZACJA</w:t>
      </w:r>
      <w:r/>
    </w:p>
    <w:p>
      <w:pPr>
        <w:pBdr/>
        <w:spacing w:after="80" w:line="276" w:lineRule="auto"/>
        <w:ind/>
        <w:jc w:val="both"/>
        <w:rPr/>
      </w:pPr>
      <w:r>
        <w:rPr>
          <w:szCs w:val="22"/>
        </w:rPr>
        <w:t xml:space="preserve">1. Wykonawca przyjmuje do wiadomości, że zamówienie jest współfinansowane ze środków KPO, i zobowiązuje się poddać kontroli w zakresie realizacji Umowy prowadzonej przez Zamawiającego, Centrum Projektów Polska Cyfrowa, Naukową i Akademicką </w:t>
      </w:r>
      <w:r>
        <w:rPr>
          <w:szCs w:val="22"/>
        </w:rPr>
        <w:t xml:space="preserve">Sieć Komputerową – Państwowy Instytut Badawczy oraz inne podmioty uprawnione do kontroli i audytu Projektu grantowego na podstawie przepisów prawa lub dokumentacji konkursowej, w tym udostępnić dokumenty związane z realizacją Umowy oraz udzielać wyjaśnień.</w:t>
      </w:r>
      <w:r/>
    </w:p>
    <w:p>
      <w:pPr>
        <w:pBdr/>
        <w:spacing w:after="80" w:line="276" w:lineRule="auto"/>
        <w:ind/>
        <w:jc w:val="both"/>
        <w:rPr/>
      </w:pPr>
      <w:r>
        <w:rPr>
          <w:szCs w:val="22"/>
        </w:rPr>
        <w:t xml:space="preserve">2. Wykonawca będzie przechowywał</w:t>
      </w:r>
      <w:r>
        <w:rPr>
          <w:szCs w:val="22"/>
        </w:rPr>
        <w:t xml:space="preserve"> dokumentację związaną z realizacją Umowy w sposób zapewniający jej dostępność, poufność i integralność co najmniej przez okres przechowywania dokumentacji Projektu grantowego wymagany umową o powierzenie grantu, o którym Zamawiający poinformuje Wykonawcę.</w:t>
      </w:r>
      <w:r/>
    </w:p>
    <w:p>
      <w:pPr>
        <w:pBdr/>
        <w:spacing w:after="80" w:line="276" w:lineRule="auto"/>
        <w:ind/>
        <w:jc w:val="both"/>
        <w:rPr/>
      </w:pPr>
      <w:r>
        <w:rPr>
          <w:szCs w:val="22"/>
        </w:rPr>
        <w:t xml:space="preserve">3. Wykonawca zobowiązuje się do współpracy z Zamawiającym przy rozliczeniu wydatku, w tym do dostarczania dokumentów i oświadczeń niezbędnych do wykazania kwalifikowalności wydatków.</w:t>
      </w:r>
      <w:r/>
    </w:p>
    <w:p>
      <w:pPr>
        <w:pBdr/>
        <w:spacing w:after="20" w:line="276" w:lineRule="auto"/>
        <w:ind/>
        <w:jc w:val="center"/>
        <w:rPr/>
      </w:pPr>
      <w:r>
        <w:rPr>
          <w:b/>
          <w:szCs w:val="22"/>
        </w:rPr>
        <w:t xml:space="preserve">§ 12</w:t>
      </w:r>
      <w:r/>
    </w:p>
    <w:p>
      <w:pPr>
        <w:pBdr/>
        <w:spacing w:after="120" w:line="276" w:lineRule="auto"/>
        <w:ind/>
        <w:jc w:val="center"/>
        <w:rPr/>
      </w:pPr>
      <w:r>
        <w:rPr>
          <w:b/>
          <w:szCs w:val="22"/>
        </w:rPr>
        <w:t xml:space="preserve">POUFNOŚĆ I DANE OSOBOWE</w:t>
      </w:r>
      <w:r/>
    </w:p>
    <w:p>
      <w:pPr>
        <w:pBdr/>
        <w:spacing w:after="80" w:line="276" w:lineRule="auto"/>
        <w:ind/>
        <w:jc w:val="both"/>
        <w:rPr/>
      </w:pPr>
      <w:r>
        <w:rPr>
          <w:szCs w:val="22"/>
        </w:rPr>
        <w:t xml:space="preserve">1. Nieza</w:t>
      </w:r>
      <w:r>
        <w:rPr>
          <w:szCs w:val="22"/>
        </w:rPr>
        <w:t xml:space="preserve">leżnie od odrębnej umowy NDA, Wykonawca zobowiązuje się zachować w poufności wszelkie informacje pozyskane w związku z realizacją Umowy, w tym wyniki audytu i testów oraz treść raportów, bezterminowo, oraz wykorzystywać je wyłącznie w celu wykonania Umowy.</w:t>
      </w:r>
      <w:r/>
    </w:p>
    <w:p>
      <w:pPr>
        <w:pStyle w:val="1156"/>
        <w:pBdr/>
        <w:spacing/>
        <w:ind/>
        <w:rPr/>
      </w:pPr>
      <w:r>
        <w:t xml:space="preserve">2. Klauzula informacyjn</w:t>
      </w:r>
      <w:r>
        <w:t xml:space="preserve">a dotycząca przetwarzania przez Zamawiającego danych osobowych osób działających w imieniu Wykonawcy zawarta jest w pkt XII Zapytania ofertowego (Załącznik nr 1 do Umowy). Odbiorcami danych – w związku z finansowaniem ze środków KPO – mogą być CPPC, NASK-P</w:t>
      </w:r>
      <w:r>
        <w:t xml:space="preserve">IB oraz inne podmioty uprawnione do kontroli i audytu Projektu; wobec danych przekazywanych do CPPC zastosowanie ma odrębna klauzula informacyjna CPPC (Załącznik nr 3 do Umowy). Każda ze Stron przekaże treść właściwej klauzuli osobom, których dane udostępn</w:t>
      </w:r>
      <w:r>
        <w:t xml:space="preserve">ia drugiej Stronie. Dane będą przechowywane nie krócej niż przez okres przechowywania dokumentacji Projektu grantowego. Powierzenie przetwarzania danych osobowych następuje na podstawie odrębnej umowy powierzenia (art. 28 RODO), o której mowa w § 3 ust. 2.</w:t>
      </w:r>
      <w:r/>
    </w:p>
    <w:p>
      <w:pPr>
        <w:pBdr/>
        <w:spacing w:after="20" w:line="276" w:lineRule="auto"/>
        <w:ind/>
        <w:jc w:val="center"/>
        <w:rPr/>
      </w:pPr>
      <w:r>
        <w:rPr>
          <w:b/>
          <w:szCs w:val="22"/>
        </w:rPr>
        <w:t xml:space="preserve">§ 13</w:t>
      </w:r>
      <w:r/>
    </w:p>
    <w:p>
      <w:pPr>
        <w:pBdr/>
        <w:spacing w:after="120" w:line="276" w:lineRule="auto"/>
        <w:ind/>
        <w:jc w:val="center"/>
        <w:rPr/>
      </w:pPr>
      <w:r>
        <w:rPr>
          <w:b/>
          <w:szCs w:val="22"/>
        </w:rPr>
        <w:t xml:space="preserve">ZMIANY UMOWY</w:t>
      </w:r>
      <w:r/>
    </w:p>
    <w:p>
      <w:pPr>
        <w:pBdr/>
        <w:spacing w:after="80" w:line="276" w:lineRule="auto"/>
        <w:ind/>
        <w:jc w:val="both"/>
        <w:rPr/>
      </w:pPr>
      <w:r>
        <w:rPr>
          <w:szCs w:val="22"/>
        </w:rPr>
        <w:t xml:space="preserve">1. Zmiany Umowy wymagają formy pisemnej pod rygorem nieważności. Dopuszcza się zmianę: terminów realizacji – w przypadku siły wyższej, opóźnienia współdz</w:t>
      </w:r>
      <w:r>
        <w:rPr>
          <w:szCs w:val="22"/>
        </w:rPr>
        <w:t xml:space="preserve">iałania Zamawiającego lub zmiany harmonogramu Projektu grantowego, o czas trwania przeszkody; osób realizujących Umowę – na warunkach § 3 ust. 1; zakresu – w przypadku zmiany przepisów prawa mających wpływ na przedmiot Umowy, bez zwiększenia wynagrodzenia.</w:t>
      </w:r>
      <w:r/>
    </w:p>
    <w:p>
      <w:pPr>
        <w:pBdr/>
        <w:spacing w:after="20" w:line="276" w:lineRule="auto"/>
        <w:ind/>
        <w:jc w:val="center"/>
        <w:rPr/>
      </w:pPr>
      <w:r>
        <w:rPr>
          <w:b/>
          <w:szCs w:val="22"/>
        </w:rPr>
        <w:t xml:space="preserve">§ 14</w:t>
      </w:r>
      <w:r/>
    </w:p>
    <w:p>
      <w:pPr>
        <w:pBdr/>
        <w:spacing w:after="120" w:line="276" w:lineRule="auto"/>
        <w:ind/>
        <w:jc w:val="center"/>
        <w:rPr/>
      </w:pPr>
      <w:r>
        <w:rPr>
          <w:b/>
          <w:szCs w:val="22"/>
        </w:rPr>
        <w:t xml:space="preserve">POSTANOWIENIA KOŃCOWE</w:t>
      </w:r>
      <w:r/>
    </w:p>
    <w:p>
      <w:pPr>
        <w:pBdr/>
        <w:spacing w:after="80" w:line="276" w:lineRule="auto"/>
        <w:ind/>
        <w:jc w:val="both"/>
        <w:rPr/>
      </w:pPr>
      <w:r>
        <w:rPr>
          <w:szCs w:val="22"/>
        </w:rPr>
        <w:t xml:space="preserve">1. W sprawach nieuregulowanych stosuje się przepisy Kodeksu cywilnego, ustawy o prawie autorskim i p</w:t>
      </w:r>
      <w:r>
        <w:rPr>
          <w:szCs w:val="22"/>
        </w:rPr>
        <w:t xml:space="preserve">rawach pokrewnych oraz RODO. Spory rozstrzyga sąd właściwy dla siedziby Zamawiającego. Umowę sporządzono w dwóch jednobrzmiących egzemplarzach, po jednym dla każdej ze Stron, albo zawarto w formie elektronicznej z kwalifikowanymi podpisami elektronicznymi.</w:t>
      </w:r>
      <w:r/>
    </w:p>
    <w:p>
      <w:pPr>
        <w:pBdr/>
        <w:spacing/>
        <w:ind/>
        <w:rPr/>
      </w:pPr>
      <w:r>
        <w:t xml:space="preserve">2. Załączniki stanowiące integralną część Umowy: </w:t>
        <w:br/>
        <w:t xml:space="preserve">1) Zapytanie ofertowe wraz z załącznikami, </w:t>
        <w:br/>
        <w:t xml:space="preserve">2) Oferta Wykonawcy wraz z wykazem osób i wykazem usług; </w:t>
        <w:br/>
        <w:t xml:space="preserve">3) Klauzula informacyjna KPO (CPPC) – Załą</w:t>
      </w:r>
      <w:r>
        <w:t xml:space="preserve">cznik nr 6 do Zapytania; </w:t>
        <w:br/>
        <w:t xml:space="preserve">4) Umowa o zachowaniu poufności (NDA), zawarta według wzoru z Załącznika nr 7 do Zapytania</w:t>
        <w:br/>
        <w:t xml:space="preserve">5) Umowa powierzenia przetwarzania danych osobowych, zawarta według wzoru z Załącznika nr 8 do Zapytania – po jej zawarciu, jeżeli dotyczy.</w:t>
      </w:r>
      <w:r/>
    </w:p>
    <w:p>
      <w:pPr>
        <w:pBdr/>
        <w:spacing w:after="240" w:line="276" w:lineRule="auto"/>
        <w:ind/>
        <w:jc w:val="both"/>
        <w:rPr/>
      </w:pPr>
      <w:r/>
      <w:r/>
    </w:p>
    <w:p>
      <w:pPr>
        <w:pBdr/>
        <w:spacing w:after="40" w:line="276" w:lineRule="auto"/>
        <w:ind/>
        <w:rPr/>
      </w:pPr>
      <w:r>
        <w:rPr>
          <w:b/>
          <w:szCs w:val="22"/>
        </w:rPr>
        <w:t xml:space="preserve">ZAMAWIAJĄCY:                                                                WYKONAWCA:</w:t>
      </w:r>
      <w:r/>
    </w:p>
    <w:p>
      <w:pPr>
        <w:pBdr/>
        <w:spacing w:after="120" w:line="276" w:lineRule="auto"/>
        <w:ind/>
        <w:rPr/>
      </w:pPr>
      <w:r>
        <w:rPr>
          <w:szCs w:val="22"/>
        </w:rPr>
        <w:t xml:space="preserve">……………………………………                                              ……………………………………</w:t>
      </w:r>
      <w:r/>
    </w:p>
    <w:sectPr>
      <w:headerReference w:type="default" r:id="rId9"/>
      <w:headerReference w:type="first" r:id="rId10"/>
      <w:footerReference w:type="default" r:id="rId11"/>
      <w:footerReference w:type="even" r:id="rId12"/>
      <w:footerReference w:type="first" r:id="rId13"/>
      <w:footnotePr/>
      <w:endnotePr/>
      <w:type w:val="continuous"/>
      <w:pgSz w:h="16838" w:orient="portrait" w:w="11906"/>
      <w:pgMar w:top="1922" w:right="1416" w:bottom="1446" w:left="1134" w:header="283" w:footer="192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Bookman Old Style">
    <w:panose1 w:val="0205060405050502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23"/>
      <w:pBdr/>
      <w:tabs>
        <w:tab w:val="right" w:leader="none" w:pos="9720"/>
      </w:tabs>
      <w:spacing/>
      <w:ind/>
      <w:jc w:val="center"/>
      <w:rPr>
        <w:rFonts w:asciiTheme="minorHAnsi" w:hAnsiTheme="minorHAnsi" w:cstheme="minorHAnsi"/>
        <w:color w:val="646464"/>
        <w:sz w:val="10"/>
        <w:szCs w:val="10"/>
      </w:rPr>
    </w:pPr>
    <w:r>
      <w:rPr>
        <w:rFonts w:asciiTheme="minorHAnsi" w:hAnsiTheme="minorHAnsi" w:cstheme="minorHAnsi"/>
        <w:color w:val="474747"/>
        <w:sz w:val="10"/>
        <w:szCs w:val="10"/>
        <w:lang w:eastAsia="pl-PL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434840" cy="335280"/>
              <wp:effectExtent l="0" t="0" r="0" b="7620"/>
              <wp:docPr id="4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rcRect l="0" t="0" r="23015" b="2221"/>
                      <a:stretch/>
                    </pic:blipFill>
                    <pic:spPr bwMode="auto">
                      <a:xfrm>
                        <a:off x="0" y="0"/>
                        <a:ext cx="4434840" cy="335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3" o:spid="_x0000_s3" type="#_x0000_t75" style="width:349.20pt;height:26.40pt;mso-wrap-distance-left:0.00pt;mso-wrap-distance-top:0.00pt;mso-wrap-distance-right:0.00pt;mso-wrap-distance-bottom:0.00pt;z-index:1;" stroked="f">
              <v:imagedata r:id="rId1" o:title="" croptop="0f" cropleft="0f" cropbottom="1456f" cropright="15083f"/>
              <o:lock v:ext="edit" rotation="t"/>
            </v:shape>
          </w:pict>
        </mc:Fallback>
      </mc:AlternateContent>
    </w:r>
    <w:r>
      <w:rPr>
        <w:rFonts w:asciiTheme="minorHAnsi" w:hAnsiTheme="minorHAnsi" w:cstheme="minorHAnsi"/>
        <w:color w:val="646464"/>
        <w:sz w:val="10"/>
        <w:szCs w:val="10"/>
      </w:rPr>
    </w:r>
    <w:r>
      <w:rPr>
        <w:rFonts w:asciiTheme="minorHAnsi" w:hAnsiTheme="minorHAnsi" w:cstheme="minorHAnsi"/>
        <w:color w:val="646464"/>
        <w:sz w:val="10"/>
        <w:szCs w:val="10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23"/>
      <w:framePr w:hAnchor="margin" w:vAnchor="text" w:wrap="around" w:xAlign="center" w:y="1"/>
      <w:pBdr/>
      <w:spacing/>
      <w:ind/>
      <w:rPr>
        <w:rStyle w:val="1126"/>
      </w:rPr>
    </w:pPr>
    <w:r>
      <w:rPr>
        <w:rStyle w:val="1126"/>
      </w:rPr>
      <w:fldChar w:fldCharType="begin"/>
    </w:r>
    <w:r>
      <w:rPr>
        <w:rStyle w:val="1126"/>
      </w:rPr>
      <w:instrText xml:space="preserve">PAGE  </w:instrText>
    </w:r>
    <w:r>
      <w:rPr>
        <w:rStyle w:val="1126"/>
      </w:rPr>
      <w:fldChar w:fldCharType="separate"/>
    </w:r>
    <w:r>
      <w:rPr>
        <w:rStyle w:val="1126"/>
      </w:rPr>
      <w:t xml:space="preserve">2</w:t>
    </w:r>
    <w:r>
      <w:rPr>
        <w:rStyle w:val="1126"/>
      </w:rPr>
      <w:fldChar w:fldCharType="end"/>
    </w:r>
    <w:r>
      <w:rPr>
        <w:rStyle w:val="1126"/>
      </w:rPr>
    </w:r>
    <w:r>
      <w:rPr>
        <w:rStyle w:val="1126"/>
      </w:rPr>
    </w:r>
  </w:p>
  <w:p>
    <w:pPr>
      <w:pStyle w:val="1123"/>
      <w:pBdr/>
      <w:spacing/>
      <w:ind/>
      <w:rPr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23"/>
      <w:pBdr/>
      <w:tabs>
        <w:tab w:val="right" w:leader="none" w:pos="9720"/>
      </w:tabs>
      <w:spacing/>
      <w:ind/>
      <w:rPr>
        <w:rFonts w:asciiTheme="minorHAnsi" w:hAnsiTheme="minorHAnsi" w:cstheme="minorHAnsi"/>
        <w:color w:val="646464"/>
        <w:sz w:val="10"/>
        <w:szCs w:val="10"/>
      </w:rPr>
    </w:pPr>
    <w:r>
      <w:rPr>
        <w:rFonts w:asciiTheme="minorHAnsi" w:hAnsiTheme="minorHAnsi" w:cstheme="minorHAnsi"/>
        <w:color w:val="474747"/>
        <w:sz w:val="10"/>
        <w:szCs w:val="10"/>
        <w:lang w:eastAsia="pl-PL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6704" behindDoc="0" locked="0" layoutInCell="1" allowOverlap="1">
              <wp:simplePos x="0" y="0"/>
              <wp:positionH relativeFrom="column">
                <wp:posOffset>2781300</wp:posOffset>
              </wp:positionH>
              <wp:positionV relativeFrom="paragraph">
                <wp:posOffset>40640</wp:posOffset>
              </wp:positionV>
              <wp:extent cx="3676650" cy="275590"/>
              <wp:effectExtent l="0" t="0" r="0" b="0"/>
              <wp:wrapSquare wrapText="bothSides"/>
              <wp:docPr id="5" name="Pictur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Picture 3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3676650" cy="2755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4" o:spid="_x0000_s4" type="#_x0000_t75" style="position:absolute;z-index:251656704;o:allowoverlap:true;o:allowincell:true;mso-position-horizontal-relative:text;margin-left:219.00pt;mso-position-horizontal:absolute;mso-position-vertical-relative:text;margin-top:3.20pt;mso-position-vertical:absolute;width:289.50pt;height:21.70pt;mso-wrap-distance-left:9.00pt;mso-wrap-distance-top:0.00pt;mso-wrap-distance-right:9.00pt;mso-wrap-distance-bottom:0.00pt;z-index:1;" stroked="false">
              <w10:wrap type="square"/>
              <v:imagedata r:id="rId1" o:title=""/>
              <o:lock v:ext="edit" rotation="t"/>
            </v:shape>
          </w:pict>
        </mc:Fallback>
      </mc:AlternateContent>
    </w:r>
    <w:r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>
      <w:rPr>
        <w:rFonts w:asciiTheme="minorHAnsi" w:hAnsiTheme="minorHAnsi" w:cstheme="minorHAnsi"/>
        <w:color w:val="646464"/>
        <w:sz w:val="10"/>
        <w:szCs w:val="10"/>
      </w:rPr>
      <w:br/>
      <w:t xml:space="preserve">ul. Spokojna 13A, 01-044 Warszawa | infolinia: +48 223152340 | e-mail: cppc@cppc.gov.pl</w:t>
    </w:r>
    <w:r>
      <w:rPr>
        <w:rFonts w:asciiTheme="minorHAnsi" w:hAnsiTheme="minorHAnsi" w:cstheme="minorHAnsi"/>
        <w:sz w:val="10"/>
        <w:szCs w:val="10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752" behindDoc="1" locked="0" layoutInCell="0" allowOverlap="1">
              <wp:simplePos x="0" y="0"/>
              <wp:positionH relativeFrom="margin">
                <wp:posOffset>-768350</wp:posOffset>
              </wp:positionH>
              <wp:positionV relativeFrom="margin">
                <wp:posOffset>6109335</wp:posOffset>
              </wp:positionV>
              <wp:extent cx="6120130" cy="2679065"/>
              <wp:effectExtent l="0" t="0" r="0" b="6985"/>
              <wp:wrapNone/>
              <wp:docPr id="6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2"/>
                      <a:stretch/>
                    </pic:blipFill>
                    <pic:spPr bwMode="auto">
                      <a:xfrm>
                        <a:off x="0" y="0"/>
                        <a:ext cx="6120130" cy="267906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5" o:spid="_x0000_s5" type="#_x0000_t75" style="position:absolute;z-index:-251658752;o:allowoverlap:true;o:allowincell:false;mso-position-horizontal-relative:margin;margin-left:-60.50pt;mso-position-horizontal:absolute;mso-position-vertical-relative:margin;margin-top:481.05pt;mso-position-vertical:absolute;width:481.90pt;height:210.95pt;mso-wrap-distance-left:9.00pt;mso-wrap-distance-top:0.00pt;mso-wrap-distance-right:9.00pt;mso-wrap-distance-bottom:0.00pt;z-index:1;" stroked="false">
              <v:imagedata r:id="rId2" o:title=""/>
              <o:lock v:ext="edit" rotation="t"/>
            </v:shape>
          </w:pict>
        </mc:Fallback>
      </mc:AlternateContent>
    </w:r>
    <w:r>
      <w:rPr>
        <w:rFonts w:asciiTheme="minorHAnsi" w:hAnsiTheme="minorHAnsi" w:cstheme="minorHAnsi"/>
        <w:color w:val="646464"/>
        <w:sz w:val="10"/>
        <w:szCs w:val="10"/>
      </w:rPr>
    </w:r>
    <w:r>
      <w:rPr>
        <w:rFonts w:asciiTheme="minorHAnsi" w:hAnsiTheme="minorHAnsi" w:cstheme="minorHAnsi"/>
        <w:color w:val="646464"/>
        <w:sz w:val="10"/>
        <w:szCs w:val="1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22"/>
      <w:pBdr/>
      <w:spacing/>
      <w:ind/>
      <w:rPr/>
    </w:pPr>
    <w:r>
      <w:rPr>
        <w:rFonts w:asciiTheme="minorHAnsi" w:hAnsiTheme="minorHAnsi" w:cstheme="minorHAnsi"/>
        <w:color w:val="646464"/>
        <w:sz w:val="10"/>
        <w:szCs w:val="10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7728" behindDoc="1" locked="0" layoutInCell="1" allowOverlap="1">
              <wp:simplePos x="0" y="0"/>
              <wp:positionH relativeFrom="margin">
                <wp:align>center</wp:align>
              </wp:positionH>
              <wp:positionV relativeFrom="margin">
                <wp:posOffset>4107815</wp:posOffset>
              </wp:positionV>
              <wp:extent cx="7513200" cy="4305600"/>
              <wp:effectExtent l="0" t="0" r="0" b="0"/>
              <wp:wrapNone/>
              <wp:docPr id="1" name="Obraz 2" descr="Obraz zawierający Czcionka, Grafika, design&#10;&#10;Zawartość wygenerowana przez AI może być niepoprawna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97487058" name="Obraz 2" descr="Obraz zawierający Czcionka, Grafika, design&#10;&#10;Zawartość wygenerowana przez AI może być niepoprawna.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>
                        <a:alphaModFix amt="20000"/>
                      </a:blip>
                      <a:srcRect l="1626" t="7757" r="71865" b="41400"/>
                      <a:stretch/>
                    </pic:blipFill>
                    <pic:spPr bwMode="auto">
                      <a:xfrm>
                        <a:off x="0" y="0"/>
                        <a:ext cx="7513200" cy="430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-251657728;o:allowoverlap:true;o:allowincell:true;mso-position-horizontal-relative:margin;mso-position-horizontal:center;mso-position-vertical-relative:margin;margin-top:323.45pt;mso-position-vertical:absolute;width:591.59pt;height:339.02pt;mso-wrap-distance-left:9.00pt;mso-wrap-distance-top:0.00pt;mso-wrap-distance-right:9.00pt;mso-wrap-distance-bottom:0.00pt;z-index:1;" stroked="f">
              <v:imagedata r:id="rId1" o:title="" croptop="5084f" cropleft="1066f" cropbottom="27132f" cropright="47097f"/>
              <o:lock v:ext="edit" rotation="t"/>
            </v:shape>
          </w:pict>
        </mc:Fallback>
      </mc:AlternateContent>
    </w:r>
    <w:r>
      <mc:AlternateContent>
        <mc:Choice Requires="wpg">
          <w:drawing>
            <wp:inline xmlns:wp="http://schemas.openxmlformats.org/drawingml/2006/wordprocessingDrawing" distT="0" distB="0" distL="0" distR="0">
              <wp:extent cx="1928267" cy="557100"/>
              <wp:effectExtent l="0" t="0" r="0" b="0"/>
              <wp:docPr id="2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47000015" name="Obraz 3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2"/>
                      <a:srcRect l="0" t="1669" r="0" b="1668"/>
                      <a:stretch/>
                    </pic:blipFill>
                    <pic:spPr bwMode="auto">
                      <a:xfrm>
                        <a:off x="0" y="0"/>
                        <a:ext cx="1928267" cy="557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width:151.83pt;height:43.87pt;mso-wrap-distance-left:0.00pt;mso-wrap-distance-top:0.00pt;mso-wrap-distance-right:0.00pt;mso-wrap-distance-bottom:0.00pt;z-index:1;" stroked="f">
              <v:imagedata r:id="rId2" o:title="" croptop="1094f" cropleft="0f" cropbottom="1093f" cropright="0f"/>
              <o:lock v:ext="edit" rotation="t"/>
            </v:shape>
          </w:pict>
        </mc:Fallback>
      </mc:AlternateContent>
    </w:r>
    <w:r/>
  </w:p>
  <w:p>
    <w:pPr>
      <w:pStyle w:val="1122"/>
      <w:pBdr/>
      <w:spacing w:after="0"/>
      <w:ind/>
      <w:jc w:val="center"/>
      <w:rPr>
        <w:i/>
        <w:iCs/>
        <w:sz w:val="14"/>
        <w:szCs w:val="16"/>
      </w:rPr>
    </w:pPr>
    <w:r>
      <w:rPr>
        <w:i/>
        <w:iCs/>
        <w:sz w:val="14"/>
        <w:szCs w:val="16"/>
      </w:rPr>
      <w:t xml:space="preserve">Poprawa poziomu Cyberbezpieczeństwa w Sanockim Przedsiębiorstwie Gospodarki Komunalnej Sp. z o.o. w Sanoku</w:t>
    </w:r>
    <w:r>
      <w:rPr>
        <w:i/>
        <w:iCs/>
        <w:sz w:val="14"/>
        <w:szCs w:val="1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0" cy="19050"/>
              <wp:effectExtent l="0" t="0" r="0" b="0"/>
              <wp:docPr id="3" name="_x0000_i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0" cy="19050"/>
                      </a:xfrm>
                      <a:prstGeom prst="rect">
                        <a:avLst/>
                      </a:prstGeom>
                      <a:solidFill>
                        <a:srgbClr val="A0A0A0"/>
                      </a:solidFill>
                      <a:ln>
                        <a:noFill/>
                      </a:ln>
                    </wps:spPr>
                    <wps:bodyPr rot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shape 2" o:spid="_x0000_s2" o:spt="1" type="#_x0000_t1" style="width:0.00pt;height:1.50pt;mso-wrap-distance-left:0.00pt;mso-wrap-distance-top:0.00pt;mso-wrap-distance-right:0.00pt;mso-wrap-distance-bottom:0.00pt;visibility:visible;" fillcolor="#A0A0A0" stroked="f"/>
          </w:pict>
        </mc:Fallback>
      </mc:AlternateContent>
    </w:r>
    <w:r>
      <w:rPr>
        <w:i/>
        <w:iCs/>
        <w:sz w:val="14"/>
        <w:szCs w:val="16"/>
      </w:rPr>
    </w:r>
    <w:r>
      <w:rPr>
        <w:i/>
        <w:iCs/>
        <w:sz w:val="14"/>
        <w:szCs w:val="16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22"/>
      <w:pBdr/>
      <w:tabs>
        <w:tab w:val="left" w:leader="none" w:pos="3686"/>
      </w:tabs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3200B"/>
    <w:lvl w:ilvl="0">
      <w:isLgl w:val="false"/>
      <w:lvlJc w:val="left"/>
      <w:lvlText w:val="%1."/>
      <w:numFmt w:val="decimal"/>
      <w:pPr>
        <w:pBdr/>
        <w:spacing/>
        <w:ind w:hanging="360" w:left="786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506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226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946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66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86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106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826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546"/>
      </w:pPr>
      <w:rPr/>
      <w:start w:val="1"/>
      <w:suff w:val="tab"/>
    </w:lvl>
  </w:abstractNum>
  <w:abstractNum w:abstractNumId="1">
    <w:nsid w:val="02733326"/>
    <w:lvl w:ilvl="0">
      <w:isLgl w:val="false"/>
      <w:lvlJc w:val="left"/>
      <w:lvlText w:val=""/>
      <w:numFmt w:val="bullet"/>
      <w:pPr>
        <w:pBdr/>
        <w:spacing/>
        <w:ind w:hanging="360" w:left="2487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3207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3927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4647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5367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6087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6807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7527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8247"/>
      </w:pPr>
      <w:rPr>
        <w:rFonts w:hint="default" w:ascii="Wingdings" w:hAnsi="Wingdings"/>
      </w:rPr>
      <w:start w:val="1"/>
      <w:suff w:val="tab"/>
    </w:lvl>
  </w:abstractNum>
  <w:abstractNum w:abstractNumId="2">
    <w:nsid w:val="06A514DE"/>
    <w:lvl w:ilvl="0">
      <w:isLgl w:val="false"/>
      <w:lvlJc w:val="left"/>
      <w:lvlText w:val=""/>
      <w:numFmt w:val="bullet"/>
      <w:pPr>
        <w:pBdr/>
        <w:spacing/>
        <w:ind w:hanging="360" w:left="25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32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39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46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54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61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68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75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8280"/>
      </w:pPr>
      <w:rPr>
        <w:rFonts w:hint="default" w:ascii="Wingdings" w:hAnsi="Wingdings"/>
      </w:rPr>
      <w:start w:val="1"/>
      <w:suff w:val="tab"/>
    </w:lvl>
  </w:abstractNum>
  <w:abstractNum w:abstractNumId="3">
    <w:nsid w:val="0C176DD7"/>
    <w:lvl w:ilvl="0">
      <w:isLgl w:val="false"/>
      <w:lvlJc w:val="left"/>
      <w:lvlText w:val="%1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1">
      <w:isLgl w:val="false"/>
      <w:lvlJc w:val="left"/>
      <w:lvlText w:val="%1.%2"/>
      <w:numFmt w:val="decimal"/>
      <w:pPr>
        <w:pBdr/>
        <w:spacing/>
        <w:ind w:hanging="360" w:left="1571"/>
      </w:pPr>
      <w:rPr>
        <w:rFonts w:hint="default"/>
      </w:rPr>
      <w:start w:val="1"/>
      <w:suff w:val="tab"/>
    </w:lvl>
    <w:lvl w:ilvl="2">
      <w:isLgl w:val="false"/>
      <w:lvlJc w:val="left"/>
      <w:lvlText w:val="%1.%2.%3"/>
      <w:numFmt w:val="decimal"/>
      <w:pPr>
        <w:pBdr/>
        <w:spacing/>
        <w:ind w:hanging="720" w:left="3142"/>
      </w:pPr>
      <w:rPr>
        <w:rFonts w:hint="default"/>
      </w:rPr>
      <w:start w:val="1"/>
      <w:suff w:val="tab"/>
    </w:lvl>
    <w:lvl w:ilvl="3">
      <w:isLgl w:val="false"/>
      <w:lvlJc w:val="left"/>
      <w:lvlText w:val="%1.%2.%3.%4"/>
      <w:numFmt w:val="decimal"/>
      <w:pPr>
        <w:pBdr/>
        <w:spacing/>
        <w:ind w:hanging="720" w:left="4353"/>
      </w:pPr>
      <w:rPr>
        <w:rFonts w:hint="default"/>
      </w:rPr>
      <w:start w:val="1"/>
      <w:suff w:val="tab"/>
    </w:lvl>
    <w:lvl w:ilvl="4">
      <w:isLgl w:val="false"/>
      <w:lvlJc w:val="left"/>
      <w:lvlText w:val="%1.%2.%3.%4.%5"/>
      <w:numFmt w:val="decimal"/>
      <w:pPr>
        <w:pBdr/>
        <w:spacing/>
        <w:ind w:hanging="1080" w:left="5924"/>
      </w:pPr>
      <w:rPr>
        <w:rFonts w:hint="default"/>
      </w:rPr>
      <w:start w:val="1"/>
      <w:suff w:val="tab"/>
    </w:lvl>
    <w:lvl w:ilvl="5">
      <w:isLgl w:val="false"/>
      <w:lvlJc w:val="left"/>
      <w:lvlText w:val="%1.%2.%3.%4.%5.%6"/>
      <w:numFmt w:val="decimal"/>
      <w:pPr>
        <w:pBdr/>
        <w:spacing/>
        <w:ind w:hanging="1080" w:left="7135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"/>
      <w:numFmt w:val="decimal"/>
      <w:pPr>
        <w:pBdr/>
        <w:spacing/>
        <w:ind w:hanging="1440" w:left="8706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spacing/>
        <w:ind w:hanging="1440" w:left="9917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spacing/>
        <w:ind w:hanging="1800" w:left="11488"/>
      </w:pPr>
      <w:rPr>
        <w:rFonts w:hint="default"/>
      </w:rPr>
      <w:start w:val="1"/>
      <w:suff w:val="tab"/>
    </w:lvl>
  </w:abstractNum>
  <w:abstractNum w:abstractNumId="4">
    <w:nsid w:val="0C6C2AAF"/>
    <w:lvl w:ilvl="0">
      <w:isLgl w:val="false"/>
      <w:lvlJc w:val="left"/>
      <w:lvlText w:val="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5">
    <w:nsid w:val="0EAA4A86"/>
    <w:lvl w:ilvl="0">
      <w:isLgl w:val="false"/>
      <w:lvlJc w:val="left"/>
      <w:lvlText w:val=""/>
      <w:numFmt w:val="bullet"/>
      <w:pPr>
        <w:pBdr/>
        <w:spacing/>
        <w:ind w:hanging="360" w:left="2563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3283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4003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4723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5443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6163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6883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7603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8323"/>
      </w:pPr>
      <w:rPr>
        <w:rFonts w:hint="default" w:ascii="Wingdings" w:hAnsi="Wingdings"/>
      </w:rPr>
      <w:start w:val="1"/>
      <w:suff w:val="tab"/>
    </w:lvl>
  </w:abstractNum>
  <w:abstractNum w:abstractNumId="6">
    <w:nsid w:val="0F141803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7">
    <w:nsid w:val="132944D7"/>
    <w:lvl w:ilvl="0">
      <w:isLgl w:val="false"/>
      <w:lvlJc w:val="left"/>
      <w:lvlText w:val="%1"/>
      <w:numFmt w:val="decimal"/>
      <w:pPr>
        <w:pBdr/>
        <w:spacing/>
        <w:ind w:hanging="360" w:left="360"/>
      </w:pPr>
      <w:rPr>
        <w:rFonts w:hint="default"/>
      </w:rPr>
      <w:start w:val="4"/>
      <w:suff w:val="tab"/>
    </w:lvl>
    <w:lvl w:ilvl="1">
      <w:isLgl w:val="false"/>
      <w:lvlJc w:val="left"/>
      <w:lvlText w:val="%1.%2"/>
      <w:numFmt w:val="decimal"/>
      <w:pPr>
        <w:pBdr/>
        <w:spacing/>
        <w:ind w:hanging="360" w:left="1506"/>
      </w:pPr>
      <w:rPr>
        <w:rFonts w:hint="default"/>
      </w:rPr>
      <w:start w:val="1"/>
      <w:suff w:val="tab"/>
    </w:lvl>
    <w:lvl w:ilvl="2">
      <w:isLgl w:val="false"/>
      <w:lvlJc w:val="left"/>
      <w:lvlText w:val="%1.%2.%3"/>
      <w:numFmt w:val="decimal"/>
      <w:pPr>
        <w:pBdr/>
        <w:spacing/>
        <w:ind w:hanging="720" w:left="3012"/>
      </w:pPr>
      <w:rPr>
        <w:rFonts w:hint="default"/>
      </w:rPr>
      <w:start w:val="1"/>
      <w:suff w:val="tab"/>
    </w:lvl>
    <w:lvl w:ilvl="3">
      <w:isLgl w:val="false"/>
      <w:lvlJc w:val="left"/>
      <w:lvlText w:val="%1.%2.%3.%4"/>
      <w:numFmt w:val="decimal"/>
      <w:pPr>
        <w:pBdr/>
        <w:spacing/>
        <w:ind w:hanging="720" w:left="4158"/>
      </w:pPr>
      <w:rPr>
        <w:rFonts w:hint="default"/>
      </w:rPr>
      <w:start w:val="1"/>
      <w:suff w:val="tab"/>
    </w:lvl>
    <w:lvl w:ilvl="4">
      <w:isLgl w:val="false"/>
      <w:lvlJc w:val="left"/>
      <w:lvlText w:val="%1.%2.%3.%4.%5"/>
      <w:numFmt w:val="decimal"/>
      <w:pPr>
        <w:pBdr/>
        <w:spacing/>
        <w:ind w:hanging="1080" w:left="5664"/>
      </w:pPr>
      <w:rPr>
        <w:rFonts w:hint="default"/>
      </w:rPr>
      <w:start w:val="1"/>
      <w:suff w:val="tab"/>
    </w:lvl>
    <w:lvl w:ilvl="5">
      <w:isLgl w:val="false"/>
      <w:lvlJc w:val="left"/>
      <w:lvlText w:val="%1.%2.%3.%4.%5.%6"/>
      <w:numFmt w:val="decimal"/>
      <w:pPr>
        <w:pBdr/>
        <w:spacing/>
        <w:ind w:hanging="1080" w:left="681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"/>
      <w:numFmt w:val="decimal"/>
      <w:pPr>
        <w:pBdr/>
        <w:spacing/>
        <w:ind w:hanging="1440" w:left="8316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spacing/>
        <w:ind w:hanging="1440" w:left="9462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spacing/>
        <w:ind w:hanging="1800" w:left="10968"/>
      </w:pPr>
      <w:rPr>
        <w:rFonts w:hint="default"/>
      </w:rPr>
      <w:start w:val="1"/>
      <w:suff w:val="tab"/>
    </w:lvl>
  </w:abstractNum>
  <w:abstractNum w:abstractNumId="8">
    <w:nsid w:val="14246C0F"/>
    <w:lvl w:ilvl="0">
      <w:isLgl w:val="false"/>
      <w:lvlJc w:val="left"/>
      <w:lvlText w:val="%1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1">
      <w:isLgl w:val="false"/>
      <w:lvlJc w:val="left"/>
      <w:lvlText w:val="%1.%2"/>
      <w:numFmt w:val="decimal"/>
      <w:pPr>
        <w:pBdr/>
        <w:spacing/>
        <w:ind w:hanging="360" w:left="1571"/>
      </w:pPr>
      <w:rPr>
        <w:rFonts w:hint="default"/>
      </w:rPr>
      <w:start w:val="1"/>
      <w:suff w:val="tab"/>
    </w:lvl>
    <w:lvl w:ilvl="2">
      <w:isLgl w:val="false"/>
      <w:lvlJc w:val="left"/>
      <w:lvlText w:val="%1.%2.%3"/>
      <w:numFmt w:val="decimal"/>
      <w:pPr>
        <w:pBdr/>
        <w:spacing/>
        <w:ind w:hanging="720" w:left="3142"/>
      </w:pPr>
      <w:rPr>
        <w:rFonts w:hint="default"/>
      </w:rPr>
      <w:start w:val="1"/>
      <w:suff w:val="tab"/>
    </w:lvl>
    <w:lvl w:ilvl="3">
      <w:isLgl w:val="false"/>
      <w:lvlJc w:val="left"/>
      <w:lvlText w:val="%1.%2.%3.%4"/>
      <w:numFmt w:val="decimal"/>
      <w:pPr>
        <w:pBdr/>
        <w:spacing/>
        <w:ind w:hanging="720" w:left="4353"/>
      </w:pPr>
      <w:rPr>
        <w:rFonts w:hint="default"/>
      </w:rPr>
      <w:start w:val="1"/>
      <w:suff w:val="tab"/>
    </w:lvl>
    <w:lvl w:ilvl="4">
      <w:isLgl w:val="false"/>
      <w:lvlJc w:val="left"/>
      <w:lvlText w:val="%1.%2.%3.%4.%5"/>
      <w:numFmt w:val="decimal"/>
      <w:pPr>
        <w:pBdr/>
        <w:spacing/>
        <w:ind w:hanging="1080" w:left="5924"/>
      </w:pPr>
      <w:rPr>
        <w:rFonts w:hint="default"/>
      </w:rPr>
      <w:start w:val="1"/>
      <w:suff w:val="tab"/>
    </w:lvl>
    <w:lvl w:ilvl="5">
      <w:isLgl w:val="false"/>
      <w:lvlJc w:val="left"/>
      <w:lvlText w:val="%1.%2.%3.%4.%5.%6"/>
      <w:numFmt w:val="decimal"/>
      <w:pPr>
        <w:pBdr/>
        <w:spacing/>
        <w:ind w:hanging="1080" w:left="7135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"/>
      <w:numFmt w:val="decimal"/>
      <w:pPr>
        <w:pBdr/>
        <w:spacing/>
        <w:ind w:hanging="1440" w:left="8706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spacing/>
        <w:ind w:hanging="1440" w:left="9917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spacing/>
        <w:ind w:hanging="1800" w:left="11488"/>
      </w:pPr>
      <w:rPr>
        <w:rFonts w:hint="default"/>
      </w:rPr>
      <w:start w:val="1"/>
      <w:suff w:val="tab"/>
    </w:lvl>
  </w:abstractNum>
  <w:abstractNum w:abstractNumId="9">
    <w:nsid w:val="14437652"/>
    <w:lvl w:ilvl="0">
      <w:isLgl w:val="false"/>
      <w:lvlJc w:val="left"/>
      <w:lvlText w:val="%1"/>
      <w:numFmt w:val="decimal"/>
      <w:pPr>
        <w:pBdr/>
        <w:spacing/>
        <w:ind w:hanging="360" w:left="360"/>
      </w:pPr>
      <w:rPr>
        <w:rFonts w:hint="default"/>
      </w:rPr>
      <w:start w:val="2"/>
      <w:suff w:val="tab"/>
    </w:lvl>
    <w:lvl w:ilvl="1">
      <w:isLgl w:val="false"/>
      <w:lvlJc w:val="left"/>
      <w:lvlText w:val="%1.%2"/>
      <w:numFmt w:val="decimal"/>
      <w:pPr>
        <w:pBdr/>
        <w:spacing/>
        <w:ind w:hanging="360" w:left="1571"/>
      </w:pPr>
      <w:rPr>
        <w:rFonts w:hint="default"/>
      </w:rPr>
      <w:start w:val="1"/>
      <w:suff w:val="tab"/>
    </w:lvl>
    <w:lvl w:ilvl="2">
      <w:isLgl w:val="false"/>
      <w:lvlJc w:val="left"/>
      <w:lvlText w:val="%1.%2.%3"/>
      <w:numFmt w:val="decimal"/>
      <w:pPr>
        <w:pBdr/>
        <w:spacing/>
        <w:ind w:hanging="720" w:left="3142"/>
      </w:pPr>
      <w:rPr>
        <w:rFonts w:hint="default"/>
      </w:rPr>
      <w:start w:val="1"/>
      <w:suff w:val="tab"/>
    </w:lvl>
    <w:lvl w:ilvl="3">
      <w:isLgl w:val="false"/>
      <w:lvlJc w:val="left"/>
      <w:lvlText w:val="%1.%2.%3.%4"/>
      <w:numFmt w:val="decimal"/>
      <w:pPr>
        <w:pBdr/>
        <w:spacing/>
        <w:ind w:hanging="720" w:left="4353"/>
      </w:pPr>
      <w:rPr>
        <w:rFonts w:hint="default"/>
      </w:rPr>
      <w:start w:val="1"/>
      <w:suff w:val="tab"/>
    </w:lvl>
    <w:lvl w:ilvl="4">
      <w:isLgl w:val="false"/>
      <w:lvlJc w:val="left"/>
      <w:lvlText w:val="%1.%2.%3.%4.%5"/>
      <w:numFmt w:val="decimal"/>
      <w:pPr>
        <w:pBdr/>
        <w:spacing/>
        <w:ind w:hanging="1080" w:left="5924"/>
      </w:pPr>
      <w:rPr>
        <w:rFonts w:hint="default"/>
      </w:rPr>
      <w:start w:val="1"/>
      <w:suff w:val="tab"/>
    </w:lvl>
    <w:lvl w:ilvl="5">
      <w:isLgl w:val="false"/>
      <w:lvlJc w:val="left"/>
      <w:lvlText w:val="%1.%2.%3.%4.%5.%6"/>
      <w:numFmt w:val="decimal"/>
      <w:pPr>
        <w:pBdr/>
        <w:spacing/>
        <w:ind w:hanging="1080" w:left="7135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"/>
      <w:numFmt w:val="decimal"/>
      <w:pPr>
        <w:pBdr/>
        <w:spacing/>
        <w:ind w:hanging="1440" w:left="8706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spacing/>
        <w:ind w:hanging="1440" w:left="9917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spacing/>
        <w:ind w:hanging="1800" w:left="11488"/>
      </w:pPr>
      <w:rPr>
        <w:rFonts w:hint="default"/>
      </w:rPr>
      <w:start w:val="1"/>
      <w:suff w:val="tab"/>
    </w:lvl>
  </w:abstractNum>
  <w:abstractNum w:abstractNumId="10">
    <w:nsid w:val="14D901E5"/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</w:rPr>
      <w:start w:val="4"/>
      <w:suff w:val="tab"/>
    </w:lvl>
    <w:lvl w:ilvl="1">
      <w:isLgl w:val="false"/>
      <w:lvlJc w:val="left"/>
      <w:lvlText w:val="%1.%2."/>
      <w:numFmt w:val="decimal"/>
      <w:pPr>
        <w:pBdr/>
        <w:spacing/>
        <w:ind w:hanging="720" w:left="720"/>
      </w:pPr>
      <w:rPr>
        <w:rFonts w:hint="default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720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800" w:left="180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1800"/>
      </w:pPr>
      <w:rPr>
        <w:rFonts w:hint="default"/>
      </w:rPr>
      <w:start w:val="1"/>
      <w:suff w:val="tab"/>
    </w:lvl>
  </w:abstractNum>
  <w:abstractNum w:abstractNumId="11">
    <w:nsid w:val="1A9B5AF8"/>
    <w:lvl w:ilvl="0">
      <w:isLgl w:val="false"/>
      <w:lvlJc w:val="left"/>
      <w:lvlText w:val=""/>
      <w:numFmt w:val="bullet"/>
      <w:pPr>
        <w:pBdr/>
        <w:spacing/>
        <w:ind w:hanging="360" w:left="1429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49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69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89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09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29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49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69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89"/>
      </w:pPr>
      <w:rPr>
        <w:rFonts w:hint="default" w:ascii="Wingdings" w:hAnsi="Wingdings"/>
      </w:rPr>
      <w:start w:val="1"/>
      <w:suff w:val="tab"/>
    </w:lvl>
  </w:abstractNum>
  <w:abstractNum w:abstractNumId="12">
    <w:nsid w:val="1F286B55"/>
    <w:lvl w:ilvl="0">
      <w:isLgl w:val="false"/>
      <w:lvlJc w:val="left"/>
      <w:lvlText w:val=""/>
      <w:numFmt w:val="bullet"/>
      <w:pPr>
        <w:pBdr/>
        <w:spacing/>
        <w:ind w:hanging="360" w:left="144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6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8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60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2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4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6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8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200"/>
      </w:pPr>
      <w:rPr>
        <w:rFonts w:hint="default" w:ascii="Wingdings" w:hAnsi="Wingdings"/>
      </w:rPr>
      <w:start w:val="1"/>
      <w:suff w:val="tab"/>
    </w:lvl>
  </w:abstractNum>
  <w:abstractNum w:abstractNumId="13">
    <w:nsid w:val="279245C6"/>
    <w:lvl w:ilvl="0">
      <w:isLgl w:val="false"/>
      <w:lvlJc w:val="left"/>
      <w:lvlText w:val="%1."/>
      <w:numFmt w:val="decimal"/>
      <w:pPr>
        <w:pBdr/>
        <w:spacing/>
        <w:ind w:hanging="360" w:left="108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14">
    <w:nsid w:val="27D13D7B"/>
    <w:lvl w:ilvl="0">
      <w:isLgl w:val="false"/>
      <w:lvlJc w:val="left"/>
      <w:lvlText w:val=""/>
      <w:numFmt w:val="bullet"/>
      <w:pPr>
        <w:pBdr/>
        <w:spacing/>
        <w:ind w:hanging="360" w:left="180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52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324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96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68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40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612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84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560"/>
      </w:pPr>
      <w:rPr>
        <w:rFonts w:hint="default" w:ascii="Wingdings" w:hAnsi="Wingdings"/>
      </w:rPr>
      <w:start w:val="1"/>
      <w:suff w:val="tab"/>
    </w:lvl>
  </w:abstractNum>
  <w:abstractNum w:abstractNumId="15">
    <w:nsid w:val="29084AED"/>
    <w:lvl w:ilvl="0">
      <w:isLgl w:val="false"/>
      <w:lvlJc w:val="left"/>
      <w:lvlText w:val="%1."/>
      <w:numFmt w:val="decimal"/>
      <w:pPr>
        <w:pBdr/>
        <w:spacing/>
        <w:ind w:hanging="360" w:left="1080"/>
      </w:pPr>
      <w:rPr>
        <w:b w:val="0"/>
        <w:bCs/>
        <w:sz w:val="22"/>
        <w:szCs w:val="22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16">
    <w:nsid w:val="4A304C70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i w:val="0"/>
        <w:iCs w:val="0"/>
      </w:rPr>
      <w:start w:val="1"/>
      <w:suff w:val="tab"/>
    </w:lvl>
    <w:lvl w:ilvl="1">
      <w:isLgl w:val="false"/>
      <w:lvlJc w:val="left"/>
      <w:lvlText w:val=""/>
      <w:numFmt w:val="bullet"/>
      <w:pPr>
        <w:pBdr/>
        <w:spacing/>
        <w:ind w:hanging="360" w:left="1440"/>
      </w:pPr>
      <w:rPr>
        <w:rFonts w:hint="default" w:ascii="Symbol" w:hAnsi="Symbol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7">
    <w:nsid w:val="4DBF6D3A"/>
    <w:lvl w:ilvl="0">
      <w:isLgl w:val="false"/>
      <w:lvlJc w:val="left"/>
      <w:lvlText w:val=""/>
      <w:numFmt w:val="bullet"/>
      <w:pPr>
        <w:pBdr/>
        <w:spacing/>
        <w:ind w:hanging="360" w:left="2563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3283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4003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4723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5443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6163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6883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7603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8323"/>
      </w:pPr>
      <w:rPr>
        <w:rFonts w:hint="default" w:ascii="Wingdings" w:hAnsi="Wingdings"/>
      </w:rPr>
      <w:start w:val="1"/>
      <w:suff w:val="tab"/>
    </w:lvl>
  </w:abstractNum>
  <w:abstractNum w:abstractNumId="18">
    <w:nsid w:val="508B2A51"/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</w:rPr>
      <w:start w:val="4"/>
      <w:suff w:val="tab"/>
    </w:lvl>
    <w:lvl w:ilvl="1">
      <w:isLgl w:val="false"/>
      <w:lvlJc w:val="left"/>
      <w:lvlText w:val="%1.%2."/>
      <w:numFmt w:val="decimal"/>
      <w:pPr>
        <w:pBdr/>
        <w:spacing/>
        <w:ind w:hanging="720" w:left="1440"/>
      </w:pPr>
      <w:rPr>
        <w:rFonts w:hint="default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2160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1080" w:left="3240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3960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440" w:left="504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576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800" w:left="684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7560"/>
      </w:pPr>
      <w:rPr>
        <w:rFonts w:hint="default"/>
      </w:rPr>
      <w:start w:val="1"/>
      <w:suff w:val="tab"/>
    </w:lvl>
  </w:abstractNum>
  <w:abstractNum w:abstractNumId="19">
    <w:nsid w:val="52F8432B"/>
    <w:lvl w:ilvl="0">
      <w:isLgl w:val="false"/>
      <w:lvlJc w:val="left"/>
      <w:lvlText w:val=""/>
      <w:numFmt w:val="bullet"/>
      <w:pPr>
        <w:pBdr/>
        <w:spacing/>
        <w:ind w:hanging="360" w:left="2563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3283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4003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4723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5443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6163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6883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7603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8323"/>
      </w:pPr>
      <w:rPr>
        <w:rFonts w:hint="default" w:ascii="Wingdings" w:hAnsi="Wingdings"/>
      </w:rPr>
      <w:start w:val="1"/>
      <w:suff w:val="tab"/>
    </w:lvl>
  </w:abstractNum>
  <w:abstractNum w:abstractNumId="20">
    <w:nsid w:val="539826BD"/>
    <w:lvl w:ilvl="0">
      <w:isLgl w:val="false"/>
      <w:lvlJc w:val="left"/>
      <w:lvlText w:val="%1."/>
      <w:numFmt w:val="decimal"/>
      <w:pPr>
        <w:pBdr/>
        <w:spacing/>
        <w:ind w:hanging="360" w:left="108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21">
    <w:nsid w:val="53D8536F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2">
    <w:nsid w:val="55224A43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i w:val="0"/>
        <w:iCs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3">
    <w:nsid w:val="56B76C20"/>
    <w:lvl w:ilvl="0">
      <w:isLgl w:val="false"/>
      <w:lvlJc w:val="left"/>
      <w:lvlText w:val=""/>
      <w:numFmt w:val="bullet"/>
      <w:pPr>
        <w:pBdr/>
        <w:spacing/>
        <w:ind w:hanging="360" w:left="1429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49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69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89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09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29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49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69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89"/>
      </w:pPr>
      <w:rPr>
        <w:rFonts w:hint="default" w:ascii="Wingdings" w:hAnsi="Wingdings"/>
      </w:rPr>
      <w:start w:val="1"/>
      <w:suff w:val="tab"/>
    </w:lvl>
  </w:abstractNum>
  <w:abstractNum w:abstractNumId="24">
    <w:nsid w:val="59CD6159"/>
    <w:lvl w:ilvl="0">
      <w:isLgl w:val="false"/>
      <w:lvlJc w:val="left"/>
      <w:lvlText w:val=""/>
      <w:numFmt w:val="bullet"/>
      <w:pPr>
        <w:pBdr/>
        <w:spacing/>
        <w:ind w:hanging="360" w:left="1429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49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69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89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09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29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49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69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89"/>
      </w:pPr>
      <w:rPr>
        <w:rFonts w:hint="default" w:ascii="Wingdings" w:hAnsi="Wingdings"/>
      </w:rPr>
      <w:start w:val="1"/>
      <w:suff w:val="tab"/>
    </w:lvl>
  </w:abstractNum>
  <w:abstractNum w:abstractNumId="25">
    <w:nsid w:val="5BCB3F0D"/>
    <w:lvl w:ilvl="0">
      <w:isLgl w:val="false"/>
      <w:lvlJc w:val="left"/>
      <w:lvlText w:val=""/>
      <w:numFmt w:val="bullet"/>
      <w:pPr>
        <w:pBdr/>
        <w:spacing/>
        <w:ind w:hanging="360" w:left="180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52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324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96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68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40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612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84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560"/>
      </w:pPr>
      <w:rPr>
        <w:rFonts w:hint="default" w:ascii="Wingdings" w:hAnsi="Wingdings"/>
      </w:rPr>
      <w:start w:val="1"/>
      <w:suff w:val="tab"/>
    </w:lvl>
  </w:abstractNum>
  <w:abstractNum w:abstractNumId="26">
    <w:nsid w:val="5C7664C8"/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  <w:b/>
      </w:rPr>
      <w:start w:val="5"/>
      <w:suff w:val="tab"/>
    </w:lvl>
    <w:lvl w:ilvl="1">
      <w:isLgl w:val="false"/>
      <w:lvlJc w:val="left"/>
      <w:lvlText w:val="%2)"/>
      <w:numFmt w:val="lowerLetter"/>
      <w:pPr>
        <w:pBdr/>
        <w:spacing/>
        <w:ind w:hanging="360" w:left="1211"/>
      </w:pPr>
      <w:rPr/>
      <w:start w:val="1"/>
      <w:suff w:val="tab"/>
    </w:lvl>
    <w:lvl w:ilvl="2">
      <w:isLgl w:val="false"/>
      <w:lvlJc w:val="left"/>
      <w:lvlText w:val=""/>
      <w:numFmt w:val="bullet"/>
      <w:pPr>
        <w:pBdr/>
        <w:spacing/>
        <w:ind w:hanging="360" w:left="1505"/>
      </w:pPr>
      <w:rPr>
        <w:rFonts w:hint="default" w:ascii="Symbol" w:hAnsi="Symbol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648" w:left="1728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792" w:left="2232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936" w:left="2736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080" w:left="324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224" w:left="3744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440" w:left="4320"/>
      </w:pPr>
      <w:rPr>
        <w:rFonts w:hint="default"/>
      </w:rPr>
      <w:start w:val="1"/>
      <w:suff w:val="tab"/>
    </w:lvl>
  </w:abstractNum>
  <w:abstractNum w:abstractNumId="27">
    <w:nsid w:val="639A5BC0"/>
    <w:lvl w:ilvl="0">
      <w:isLgl w:val="false"/>
      <w:lvlJc w:val="left"/>
      <w:lvlText w:val="%1."/>
      <w:numFmt w:val="decimal"/>
      <w:pPr>
        <w:pBdr/>
        <w:spacing/>
        <w:ind w:hanging="360" w:left="108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28">
    <w:nsid w:val="64346A03"/>
    <w:lvl w:ilvl="0">
      <w:isLgl w:val="false"/>
      <w:lvlJc w:val="left"/>
      <w:lvlText w:val="%1."/>
      <w:numFmt w:val="upperRoman"/>
      <w:pPr>
        <w:pBdr/>
        <w:spacing/>
        <w:ind w:hanging="720" w:left="7667"/>
      </w:pPr>
      <w:rPr>
        <w:rFonts w:hint="default"/>
        <w:b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9">
    <w:nsid w:val="65E97AF7"/>
    <w:lvl w:ilvl="0">
      <w:isLgl w:val="false"/>
      <w:lvlJc w:val="left"/>
      <w:lvlText w:val=""/>
      <w:numFmt w:val="bullet"/>
      <w:pPr>
        <w:pBdr/>
        <w:spacing/>
        <w:ind w:hanging="360" w:left="1429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49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69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89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09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29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49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69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89"/>
      </w:pPr>
      <w:rPr>
        <w:rFonts w:hint="default" w:ascii="Wingdings" w:hAnsi="Wingdings"/>
      </w:rPr>
      <w:start w:val="1"/>
      <w:suff w:val="tab"/>
    </w:lvl>
  </w:abstractNum>
  <w:abstractNum w:abstractNumId="30">
    <w:nsid w:val="66081F62"/>
    <w:lvl w:ilvl="0">
      <w:isLgl w:val="false"/>
      <w:lvlJc w:val="left"/>
      <w:lvlText w:val=""/>
      <w:numFmt w:val="bullet"/>
      <w:pPr>
        <w:pBdr/>
        <w:spacing/>
        <w:ind w:hanging="360" w:left="1429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49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69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89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09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29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49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69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89"/>
      </w:pPr>
      <w:rPr>
        <w:rFonts w:hint="default" w:ascii="Wingdings" w:hAnsi="Wingdings"/>
      </w:rPr>
      <w:start w:val="1"/>
      <w:suff w:val="tab"/>
    </w:lvl>
  </w:abstractNum>
  <w:abstractNum w:abstractNumId="31">
    <w:nsid w:val="69DF4E79"/>
    <w:lvl w:ilvl="0">
      <w:isLgl w:val="false"/>
      <w:lvlJc w:val="left"/>
      <w:lvlText w:val="%1"/>
      <w:numFmt w:val="decimal"/>
      <w:pPr>
        <w:pBdr/>
        <w:spacing/>
        <w:ind w:hanging="360" w:left="360"/>
      </w:pPr>
      <w:rPr>
        <w:rFonts w:hint="default"/>
      </w:rPr>
      <w:start w:val="3"/>
      <w:suff w:val="tab"/>
    </w:lvl>
    <w:lvl w:ilvl="1">
      <w:isLgl w:val="false"/>
      <w:lvlJc w:val="left"/>
      <w:lvlText w:val="%1.%2"/>
      <w:numFmt w:val="decimal"/>
      <w:pPr>
        <w:pBdr/>
        <w:spacing/>
        <w:ind w:hanging="360" w:left="1571"/>
      </w:pPr>
      <w:rPr>
        <w:rFonts w:hint="default"/>
      </w:rPr>
      <w:start w:val="1"/>
      <w:suff w:val="tab"/>
    </w:lvl>
    <w:lvl w:ilvl="2">
      <w:isLgl w:val="false"/>
      <w:lvlJc w:val="left"/>
      <w:lvlText w:val="%1.%2.%3"/>
      <w:numFmt w:val="decimal"/>
      <w:pPr>
        <w:pBdr/>
        <w:spacing/>
        <w:ind w:hanging="720" w:left="3142"/>
      </w:pPr>
      <w:rPr>
        <w:rFonts w:hint="default"/>
      </w:rPr>
      <w:start w:val="1"/>
      <w:suff w:val="tab"/>
    </w:lvl>
    <w:lvl w:ilvl="3">
      <w:isLgl w:val="false"/>
      <w:lvlJc w:val="left"/>
      <w:lvlText w:val="%1.%2.%3.%4"/>
      <w:numFmt w:val="decimal"/>
      <w:pPr>
        <w:pBdr/>
        <w:spacing/>
        <w:ind w:hanging="720" w:left="4353"/>
      </w:pPr>
      <w:rPr>
        <w:rFonts w:hint="default"/>
      </w:rPr>
      <w:start w:val="1"/>
      <w:suff w:val="tab"/>
    </w:lvl>
    <w:lvl w:ilvl="4">
      <w:isLgl w:val="false"/>
      <w:lvlJc w:val="left"/>
      <w:lvlText w:val="%1.%2.%3.%4.%5"/>
      <w:numFmt w:val="decimal"/>
      <w:pPr>
        <w:pBdr/>
        <w:spacing/>
        <w:ind w:hanging="1080" w:left="5924"/>
      </w:pPr>
      <w:rPr>
        <w:rFonts w:hint="default"/>
      </w:rPr>
      <w:start w:val="1"/>
      <w:suff w:val="tab"/>
    </w:lvl>
    <w:lvl w:ilvl="5">
      <w:isLgl w:val="false"/>
      <w:lvlJc w:val="left"/>
      <w:lvlText w:val="%1.%2.%3.%4.%5.%6"/>
      <w:numFmt w:val="decimal"/>
      <w:pPr>
        <w:pBdr/>
        <w:spacing/>
        <w:ind w:hanging="1080" w:left="7135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"/>
      <w:numFmt w:val="decimal"/>
      <w:pPr>
        <w:pBdr/>
        <w:spacing/>
        <w:ind w:hanging="1440" w:left="8706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spacing/>
        <w:ind w:hanging="1440" w:left="9917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spacing/>
        <w:ind w:hanging="1800" w:left="11488"/>
      </w:pPr>
      <w:rPr>
        <w:rFonts w:hint="default"/>
      </w:rPr>
      <w:start w:val="1"/>
      <w:suff w:val="tab"/>
    </w:lvl>
  </w:abstractNum>
  <w:abstractNum w:abstractNumId="32">
    <w:nsid w:val="6A6A402E"/>
    <w:lvl w:ilvl="0">
      <w:isLgl w:val="false"/>
      <w:lvlJc w:val="left"/>
      <w:lvlText w:val="%1"/>
      <w:numFmt w:val="decimal"/>
      <w:pPr>
        <w:pBdr/>
        <w:spacing/>
        <w:ind w:hanging="360" w:left="360"/>
      </w:pPr>
      <w:rPr>
        <w:rFonts w:hint="default"/>
      </w:rPr>
      <w:start w:val="3"/>
      <w:suff w:val="tab"/>
    </w:lvl>
    <w:lvl w:ilvl="1">
      <w:isLgl w:val="false"/>
      <w:lvlJc w:val="left"/>
      <w:lvlText w:val="%1.%2"/>
      <w:numFmt w:val="decimal"/>
      <w:pPr>
        <w:pBdr/>
        <w:spacing/>
        <w:ind w:hanging="360" w:left="1080"/>
      </w:pPr>
      <w:rPr>
        <w:rFonts w:hint="default"/>
      </w:rPr>
      <w:start w:val="1"/>
      <w:suff w:val="tab"/>
    </w:lvl>
    <w:lvl w:ilvl="2">
      <w:isLgl w:val="false"/>
      <w:lvlJc w:val="left"/>
      <w:lvlText w:val="%1.%2.%3"/>
      <w:numFmt w:val="decimal"/>
      <w:pPr>
        <w:pBdr/>
        <w:spacing/>
        <w:ind w:hanging="720" w:left="2160"/>
      </w:pPr>
      <w:rPr>
        <w:rFonts w:hint="default"/>
      </w:rPr>
      <w:start w:val="1"/>
      <w:suff w:val="tab"/>
    </w:lvl>
    <w:lvl w:ilvl="3">
      <w:isLgl w:val="false"/>
      <w:lvlJc w:val="left"/>
      <w:lvlText w:val="%1.%2.%3.%4"/>
      <w:numFmt w:val="decimal"/>
      <w:pPr>
        <w:pBdr/>
        <w:spacing/>
        <w:ind w:hanging="720" w:left="2880"/>
      </w:pPr>
      <w:rPr>
        <w:rFonts w:hint="default"/>
      </w:rPr>
      <w:start w:val="1"/>
      <w:suff w:val="tab"/>
    </w:lvl>
    <w:lvl w:ilvl="4">
      <w:isLgl w:val="false"/>
      <w:lvlJc w:val="left"/>
      <w:lvlText w:val="%1.%2.%3.%4.%5"/>
      <w:numFmt w:val="decimal"/>
      <w:pPr>
        <w:pBdr/>
        <w:spacing/>
        <w:ind w:hanging="1080" w:left="3960"/>
      </w:pPr>
      <w:rPr>
        <w:rFonts w:hint="default"/>
      </w:rPr>
      <w:start w:val="1"/>
      <w:suff w:val="tab"/>
    </w:lvl>
    <w:lvl w:ilvl="5">
      <w:isLgl w:val="false"/>
      <w:lvlJc w:val="left"/>
      <w:lvlText w:val="%1.%2.%3.%4.%5.%6"/>
      <w:numFmt w:val="decimal"/>
      <w:pPr>
        <w:pBdr/>
        <w:spacing/>
        <w:ind w:hanging="1080" w:left="468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"/>
      <w:numFmt w:val="decimal"/>
      <w:pPr>
        <w:pBdr/>
        <w:spacing/>
        <w:ind w:hanging="1440" w:left="576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spacing/>
        <w:ind w:hanging="1440" w:left="648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spacing/>
        <w:ind w:hanging="1800" w:left="7560"/>
      </w:pPr>
      <w:rPr>
        <w:rFonts w:hint="default"/>
      </w:rPr>
      <w:start w:val="1"/>
      <w:suff w:val="tab"/>
    </w:lvl>
  </w:abstractNum>
  <w:abstractNum w:abstractNumId="33">
    <w:nsid w:val="6A7D067D"/>
    <w:lvl w:ilvl="0">
      <w:isLgl w:val="false"/>
      <w:lvlJc w:val="left"/>
      <w:lvlText w:val="%1."/>
      <w:numFmt w:val="decimal"/>
      <w:pPr>
        <w:pBdr/>
        <w:spacing/>
        <w:ind w:hanging="360" w:left="1146"/>
      </w:pPr>
      <w:rPr>
        <w:sz w:val="22"/>
        <w:szCs w:val="22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34">
    <w:nsid w:val="6A9D59D5"/>
    <w:lvl w:ilvl="0">
      <w:isLgl w:val="false"/>
      <w:lvlJc w:val="left"/>
      <w:lvlText w:val="%1."/>
      <w:numFmt w:val="decimal"/>
      <w:pPr>
        <w:pBdr/>
        <w:spacing/>
        <w:ind w:hanging="360" w:left="1080"/>
      </w:pPr>
      <w:rPr>
        <w:rFonts w:ascii="Arial" w:hAnsi="Arial" w:eastAsia="Times New Roman" w:cs="Arial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35">
    <w:nsid w:val="6C500C40"/>
    <w:lvl w:ilvl="0">
      <w:isLgl w:val="false"/>
      <w:lvlJc w:val="left"/>
      <w:lvlText w:val="%1"/>
      <w:numFmt w:val="decimal"/>
      <w:pPr>
        <w:pBdr/>
        <w:spacing/>
        <w:ind w:hanging="360" w:left="360"/>
      </w:pPr>
      <w:rPr>
        <w:rFonts w:hint="default"/>
        <w:b w:val="0"/>
        <w:color w:val="auto"/>
      </w:rPr>
      <w:start w:val="6"/>
      <w:suff w:val="tab"/>
    </w:lvl>
    <w:lvl w:ilvl="1">
      <w:isLgl w:val="false"/>
      <w:lvlJc w:val="left"/>
      <w:lvlText w:val="%1.%2"/>
      <w:numFmt w:val="decimal"/>
      <w:pPr>
        <w:pBdr/>
        <w:spacing/>
        <w:ind w:hanging="360" w:left="1571"/>
      </w:pPr>
      <w:rPr>
        <w:rFonts w:hint="default"/>
        <w:b w:val="0"/>
        <w:color w:val="auto"/>
      </w:rPr>
      <w:start w:val="1"/>
      <w:suff w:val="tab"/>
    </w:lvl>
    <w:lvl w:ilvl="2">
      <w:isLgl w:val="false"/>
      <w:lvlJc w:val="left"/>
      <w:lvlText w:val="%1.%2.%3"/>
      <w:numFmt w:val="decimal"/>
      <w:pPr>
        <w:pBdr/>
        <w:spacing/>
        <w:ind w:hanging="720" w:left="3142"/>
      </w:pPr>
      <w:rPr>
        <w:rFonts w:hint="default"/>
        <w:b w:val="0"/>
        <w:color w:val="auto"/>
      </w:rPr>
      <w:start w:val="1"/>
      <w:suff w:val="tab"/>
    </w:lvl>
    <w:lvl w:ilvl="3">
      <w:isLgl w:val="false"/>
      <w:lvlJc w:val="left"/>
      <w:lvlText w:val="%1.%2.%3.%4"/>
      <w:numFmt w:val="decimal"/>
      <w:pPr>
        <w:pBdr/>
        <w:spacing/>
        <w:ind w:hanging="720" w:left="4353"/>
      </w:pPr>
      <w:rPr>
        <w:rFonts w:hint="default"/>
        <w:b w:val="0"/>
        <w:color w:val="auto"/>
      </w:rPr>
      <w:start w:val="1"/>
      <w:suff w:val="tab"/>
    </w:lvl>
    <w:lvl w:ilvl="4">
      <w:isLgl w:val="false"/>
      <w:lvlJc w:val="left"/>
      <w:lvlText w:val="%1.%2.%3.%4.%5"/>
      <w:numFmt w:val="decimal"/>
      <w:pPr>
        <w:pBdr/>
        <w:spacing/>
        <w:ind w:hanging="1080" w:left="5924"/>
      </w:pPr>
      <w:rPr>
        <w:rFonts w:hint="default"/>
        <w:b w:val="0"/>
        <w:color w:val="auto"/>
      </w:rPr>
      <w:start w:val="1"/>
      <w:suff w:val="tab"/>
    </w:lvl>
    <w:lvl w:ilvl="5">
      <w:isLgl w:val="false"/>
      <w:lvlJc w:val="left"/>
      <w:lvlText w:val="%1.%2.%3.%4.%5.%6"/>
      <w:numFmt w:val="decimal"/>
      <w:pPr>
        <w:pBdr/>
        <w:spacing/>
        <w:ind w:hanging="1080" w:left="7135"/>
      </w:pPr>
      <w:rPr>
        <w:rFonts w:hint="default"/>
        <w:b w:val="0"/>
        <w:color w:val="auto"/>
      </w:rPr>
      <w:start w:val="1"/>
      <w:suff w:val="tab"/>
    </w:lvl>
    <w:lvl w:ilvl="6">
      <w:isLgl w:val="false"/>
      <w:lvlJc w:val="left"/>
      <w:lvlText w:val="%1.%2.%3.%4.%5.%6.%7"/>
      <w:numFmt w:val="decimal"/>
      <w:pPr>
        <w:pBdr/>
        <w:spacing/>
        <w:ind w:hanging="1440" w:left="8706"/>
      </w:pPr>
      <w:rPr>
        <w:rFonts w:hint="default"/>
        <w:b w:val="0"/>
        <w:color w:val="auto"/>
      </w:rPr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spacing/>
        <w:ind w:hanging="1440" w:left="9917"/>
      </w:pPr>
      <w:rPr>
        <w:rFonts w:hint="default"/>
        <w:b w:val="0"/>
        <w:color w:val="auto"/>
      </w:rPr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spacing/>
        <w:ind w:hanging="1800" w:left="11488"/>
      </w:pPr>
      <w:rPr>
        <w:rFonts w:hint="default"/>
        <w:b w:val="0"/>
        <w:color w:val="auto"/>
      </w:rPr>
      <w:start w:val="1"/>
      <w:suff w:val="tab"/>
    </w:lvl>
  </w:abstractNum>
  <w:abstractNum w:abstractNumId="36">
    <w:nsid w:val="6D59421C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ascii="Arial" w:hAnsi="Arial" w:eastAsia="Times New Roman" w:cs="Arial"/>
        <w:i w:val="0"/>
        <w:iCs w:val="0"/>
        <w:color w:val="auto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7">
    <w:nsid w:val="71F93285"/>
    <w:lvl w:ilvl="0">
      <w:isLgl w:val="false"/>
      <w:lvlJc w:val="left"/>
      <w:lvlText w:val=""/>
      <w:numFmt w:val="bullet"/>
      <w:pPr>
        <w:pBdr/>
        <w:spacing/>
        <w:ind w:hanging="360" w:left="1429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49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69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89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09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29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49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69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89"/>
      </w:pPr>
      <w:rPr>
        <w:rFonts w:hint="default" w:ascii="Wingdings" w:hAnsi="Wingdings"/>
      </w:rPr>
      <w:start w:val="1"/>
      <w:suff w:val="tab"/>
    </w:lvl>
  </w:abstractNum>
  <w:abstractNum w:abstractNumId="38">
    <w:nsid w:val="7376361A"/>
    <w:lvl w:ilvl="0">
      <w:isLgl w:val="false"/>
      <w:lvlJc w:val="left"/>
      <w:lvlText w:val=""/>
      <w:numFmt w:val="bullet"/>
      <w:pPr>
        <w:pBdr/>
        <w:spacing/>
        <w:ind w:hanging="360" w:left="180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52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324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96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68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40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612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84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560"/>
      </w:pPr>
      <w:rPr>
        <w:rFonts w:hint="default" w:ascii="Wingdings" w:hAnsi="Wingdings"/>
      </w:rPr>
      <w:start w:val="1"/>
      <w:suff w:val="tab"/>
    </w:lvl>
  </w:abstractNum>
  <w:abstractNum w:abstractNumId="39">
    <w:nsid w:val="743612F9"/>
    <w:lvl w:ilvl="0">
      <w:isLgl w:val="false"/>
      <w:lvlJc w:val="left"/>
      <w:lvlText w:val="%1."/>
      <w:numFmt w:val="decimal"/>
      <w:pPr>
        <w:pBdr/>
        <w:spacing/>
        <w:ind w:hanging="360" w:left="108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40">
    <w:nsid w:val="74E6671C"/>
    <w:lvl w:ilvl="0">
      <w:isLgl w:val="false"/>
      <w:lvlJc w:val="left"/>
      <w:lvlText w:val=""/>
      <w:numFmt w:val="bullet"/>
      <w:pPr>
        <w:pBdr/>
        <w:spacing/>
        <w:ind w:hanging="360" w:left="144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6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8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60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2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4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6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8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200"/>
      </w:pPr>
      <w:rPr>
        <w:rFonts w:hint="default" w:ascii="Wingdings" w:hAnsi="Wingdings"/>
      </w:rPr>
      <w:start w:val="1"/>
      <w:suff w:val="tab"/>
    </w:lvl>
  </w:abstractNum>
  <w:abstractNum w:abstractNumId="41">
    <w:nsid w:val="77222203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2">
    <w:nsid w:val="7982537B"/>
    <w:lvl w:ilvl="0">
      <w:isLgl w:val="false"/>
      <w:lvlJc w:val="left"/>
      <w:lvlText w:val="%1."/>
      <w:numFmt w:val="decimal"/>
      <w:pPr>
        <w:pBdr/>
        <w:spacing/>
        <w:ind w:hanging="360" w:left="786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506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226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946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66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86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106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826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546"/>
      </w:pPr>
      <w:rPr/>
      <w:start w:val="1"/>
      <w:suff w:val="tab"/>
    </w:lvl>
  </w:abstractNum>
  <w:abstractNum w:abstractNumId="43">
    <w:nsid w:val="7CC601E9"/>
    <w:lvl w:ilvl="0">
      <w:isLgl w:val="false"/>
      <w:lvlJc w:val="left"/>
      <w:lvlText w:val="%1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1">
      <w:isLgl w:val="false"/>
      <w:lvlJc w:val="left"/>
      <w:lvlText w:val="%1.%2"/>
      <w:numFmt w:val="decimal"/>
      <w:pPr>
        <w:pBdr/>
        <w:spacing/>
        <w:ind w:hanging="360" w:left="1352"/>
      </w:pPr>
      <w:rPr>
        <w:rFonts w:hint="default"/>
      </w:rPr>
      <w:start w:val="1"/>
      <w:suff w:val="tab"/>
    </w:lvl>
    <w:lvl w:ilvl="2">
      <w:isLgl w:val="false"/>
      <w:lvlJc w:val="left"/>
      <w:lvlText w:val="%1.%2.%3"/>
      <w:numFmt w:val="decimal"/>
      <w:pPr>
        <w:pBdr/>
        <w:spacing/>
        <w:ind w:hanging="720" w:left="2160"/>
      </w:pPr>
      <w:rPr>
        <w:rFonts w:hint="default"/>
      </w:rPr>
      <w:start w:val="1"/>
      <w:suff w:val="tab"/>
    </w:lvl>
    <w:lvl w:ilvl="3">
      <w:isLgl w:val="false"/>
      <w:lvlJc w:val="left"/>
      <w:lvlText w:val="%1.%2.%3.%4"/>
      <w:numFmt w:val="decimal"/>
      <w:pPr>
        <w:pBdr/>
        <w:spacing/>
        <w:ind w:hanging="720" w:left="2880"/>
      </w:pPr>
      <w:rPr>
        <w:rFonts w:hint="default"/>
      </w:rPr>
      <w:start w:val="1"/>
      <w:suff w:val="tab"/>
    </w:lvl>
    <w:lvl w:ilvl="4">
      <w:isLgl w:val="false"/>
      <w:lvlJc w:val="left"/>
      <w:lvlText w:val="%1.%2.%3.%4.%5"/>
      <w:numFmt w:val="decimal"/>
      <w:pPr>
        <w:pBdr/>
        <w:spacing/>
        <w:ind w:hanging="1080" w:left="3960"/>
      </w:pPr>
      <w:rPr>
        <w:rFonts w:hint="default"/>
      </w:rPr>
      <w:start w:val="1"/>
      <w:suff w:val="tab"/>
    </w:lvl>
    <w:lvl w:ilvl="5">
      <w:isLgl w:val="false"/>
      <w:lvlJc w:val="left"/>
      <w:lvlText w:val="%1.%2.%3.%4.%5.%6"/>
      <w:numFmt w:val="decimal"/>
      <w:pPr>
        <w:pBdr/>
        <w:spacing/>
        <w:ind w:hanging="1080" w:left="468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"/>
      <w:numFmt w:val="decimal"/>
      <w:pPr>
        <w:pBdr/>
        <w:spacing/>
        <w:ind w:hanging="1440" w:left="576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spacing/>
        <w:ind w:hanging="1440" w:left="648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spacing/>
        <w:ind w:hanging="1800" w:left="7560"/>
      </w:pPr>
      <w:rPr>
        <w:rFonts w:hint="default"/>
      </w:rPr>
      <w:start w:val="1"/>
      <w:suff w:val="tab"/>
    </w:lvl>
  </w:abstractNum>
  <w:abstractNum w:abstractNumId="44">
    <w:nsid w:val="77222203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34"/>
  </w:num>
  <w:num w:numId="2">
    <w:abstractNumId w:val="28"/>
  </w:num>
  <w:num w:numId="3">
    <w:abstractNumId w:val="0"/>
  </w:num>
  <w:num w:numId="4">
    <w:abstractNumId w:val="13"/>
  </w:num>
  <w:num w:numId="5">
    <w:abstractNumId w:val="27"/>
  </w:num>
  <w:num w:numId="6">
    <w:abstractNumId w:val="15"/>
  </w:num>
  <w:num w:numId="7">
    <w:abstractNumId w:val="20"/>
  </w:num>
  <w:num w:numId="8">
    <w:abstractNumId w:val="39"/>
  </w:num>
  <w:num w:numId="9">
    <w:abstractNumId w:val="33"/>
  </w:num>
  <w:num w:numId="10">
    <w:abstractNumId w:val="22"/>
  </w:num>
  <w:num w:numId="11">
    <w:abstractNumId w:val="36"/>
  </w:num>
  <w:num w:numId="12">
    <w:abstractNumId w:val="12"/>
  </w:num>
  <w:num w:numId="13">
    <w:abstractNumId w:val="21"/>
  </w:num>
  <w:num w:numId="14">
    <w:abstractNumId w:val="26"/>
  </w:num>
  <w:num w:numId="15">
    <w:abstractNumId w:val="32"/>
  </w:num>
  <w:num w:numId="16">
    <w:abstractNumId w:val="8"/>
  </w:num>
  <w:num w:numId="17">
    <w:abstractNumId w:val="35"/>
  </w:num>
  <w:num w:numId="18">
    <w:abstractNumId w:val="31"/>
  </w:num>
  <w:num w:numId="19">
    <w:abstractNumId w:val="3"/>
  </w:num>
  <w:num w:numId="20">
    <w:abstractNumId w:val="9"/>
  </w:num>
  <w:num w:numId="21">
    <w:abstractNumId w:val="7"/>
  </w:num>
  <w:num w:numId="22">
    <w:abstractNumId w:val="43"/>
  </w:num>
  <w:num w:numId="23">
    <w:abstractNumId w:val="24"/>
  </w:num>
  <w:num w:numId="24">
    <w:abstractNumId w:val="29"/>
  </w:num>
  <w:num w:numId="25">
    <w:abstractNumId w:val="30"/>
  </w:num>
  <w:num w:numId="26">
    <w:abstractNumId w:val="6"/>
  </w:num>
  <w:num w:numId="27">
    <w:abstractNumId w:val="37"/>
  </w:num>
  <w:num w:numId="28">
    <w:abstractNumId w:val="23"/>
  </w:num>
  <w:num w:numId="29">
    <w:abstractNumId w:val="11"/>
  </w:num>
  <w:num w:numId="30">
    <w:abstractNumId w:val="25"/>
  </w:num>
  <w:num w:numId="31">
    <w:abstractNumId w:val="14"/>
  </w:num>
  <w:num w:numId="32">
    <w:abstractNumId w:val="2"/>
  </w:num>
  <w:num w:numId="33">
    <w:abstractNumId w:val="4"/>
  </w:num>
  <w:num w:numId="34">
    <w:abstractNumId w:val="5"/>
  </w:num>
  <w:num w:numId="35">
    <w:abstractNumId w:val="1"/>
  </w:num>
  <w:num w:numId="36">
    <w:abstractNumId w:val="19"/>
  </w:num>
  <w:num w:numId="37">
    <w:abstractNumId w:val="17"/>
  </w:num>
  <w:num w:numId="38">
    <w:abstractNumId w:val="16"/>
  </w:num>
  <w:num w:numId="39">
    <w:abstractNumId w:val="38"/>
  </w:num>
  <w:num w:numId="40">
    <w:abstractNumId w:val="18"/>
  </w:num>
  <w:num w:numId="41">
    <w:abstractNumId w:val="10"/>
  </w:num>
  <w:num w:numId="42">
    <w:abstractNumId w:val="42"/>
  </w:num>
  <w:num w:numId="43">
    <w:abstractNumId w:val="40"/>
  </w:num>
  <w:num w:numId="44">
    <w:abstractNumId w:val="41"/>
  </w:num>
  <w:num w:numId="45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dit="forms" w:formatting="1" w:enforcement="0"/>
  <w:defaultTabStop w:val="709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sz w:val="24"/>
        <w:szCs w:val="24"/>
        <w:lang w:val="pl-PL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932" w:default="1">
    <w:name w:val="Normal"/>
    <w:qFormat/>
    <w:pPr>
      <w:pBdr/>
      <w:spacing w:after="360" w:before="360" w:line="360" w:lineRule="auto"/>
      <w:ind/>
    </w:pPr>
    <w:rPr>
      <w:rFonts w:ascii="Arial" w:hAnsi="Arial"/>
      <w:sz w:val="22"/>
    </w:rPr>
  </w:style>
  <w:style w:type="paragraph" w:styleId="933">
    <w:name w:val="Heading 1"/>
    <w:basedOn w:val="932"/>
    <w:next w:val="932"/>
    <w:link w:val="1129"/>
    <w:qFormat/>
    <w:pPr>
      <w:keepNext w:val="true"/>
      <w:keepLines w:val="true"/>
      <w:pBdr/>
      <w:spacing w:line="276" w:lineRule="auto"/>
      <w:ind/>
      <w:outlineLvl w:val="0"/>
    </w:pPr>
    <w:rPr>
      <w:rFonts w:eastAsiaTheme="majorEastAsia" w:cstheme="majorBidi"/>
      <w:b/>
      <w:bCs/>
      <w:sz w:val="26"/>
      <w:szCs w:val="28"/>
    </w:rPr>
  </w:style>
  <w:style w:type="paragraph" w:styleId="934">
    <w:name w:val="Heading 2"/>
    <w:basedOn w:val="932"/>
    <w:next w:val="932"/>
    <w:link w:val="1142"/>
    <w:unhideWhenUsed/>
    <w:qFormat/>
    <w:pPr>
      <w:keepNext w:val="true"/>
      <w:keepLines w:val="true"/>
      <w:pBdr/>
      <w:spacing w:line="276" w:lineRule="auto"/>
      <w:ind/>
      <w:outlineLvl w:val="1"/>
    </w:pPr>
    <w:rPr>
      <w:rFonts w:eastAsiaTheme="majorEastAsia" w:cstheme="majorBidi"/>
      <w:b/>
      <w:szCs w:val="26"/>
    </w:rPr>
  </w:style>
  <w:style w:type="paragraph" w:styleId="935">
    <w:name w:val="Heading 3"/>
    <w:basedOn w:val="932"/>
    <w:next w:val="932"/>
    <w:link w:val="1155"/>
    <w:semiHidden/>
    <w:unhideWhenUsed/>
    <w:qFormat/>
    <w:pPr>
      <w:keepNext w:val="true"/>
      <w:keepLines w:val="true"/>
      <w:pBdr/>
      <w:spacing w:after="0" w:before="40"/>
      <w:ind/>
      <w:outlineLvl w:val="2"/>
    </w:pPr>
    <w:rPr>
      <w:rFonts w:asciiTheme="majorHAnsi" w:hAnsiTheme="majorHAnsi" w:eastAsiaTheme="majorEastAsia" w:cstheme="majorBidi"/>
      <w:color w:val="1f4d78" w:themeColor="accent1" w:themeShade="7F"/>
      <w:sz w:val="24"/>
    </w:rPr>
  </w:style>
  <w:style w:type="paragraph" w:styleId="936">
    <w:name w:val="Heading 4"/>
    <w:basedOn w:val="932"/>
    <w:next w:val="932"/>
    <w:link w:val="1084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eastAsia="Arial" w:cs="Arial"/>
      <w:i/>
      <w:iCs/>
      <w:color w:val="2e74b5" w:themeColor="accent1" w:themeShade="BF"/>
    </w:rPr>
  </w:style>
  <w:style w:type="paragraph" w:styleId="937">
    <w:name w:val="Heading 5"/>
    <w:basedOn w:val="932"/>
    <w:next w:val="932"/>
    <w:link w:val="1085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eastAsia="Arial" w:cs="Arial"/>
      <w:color w:val="2e74b5" w:themeColor="accent1" w:themeShade="BF"/>
    </w:rPr>
  </w:style>
  <w:style w:type="paragraph" w:styleId="938">
    <w:name w:val="Heading 6"/>
    <w:basedOn w:val="932"/>
    <w:next w:val="932"/>
    <w:link w:val="1086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eastAsia="Arial" w:cs="Arial"/>
      <w:i/>
      <w:iCs/>
      <w:color w:val="595959" w:themeColor="text1" w:themeTint="A6"/>
    </w:rPr>
  </w:style>
  <w:style w:type="paragraph" w:styleId="939">
    <w:name w:val="Heading 7"/>
    <w:basedOn w:val="932"/>
    <w:next w:val="932"/>
    <w:link w:val="1087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eastAsia="Arial" w:cs="Arial"/>
      <w:color w:val="595959" w:themeColor="text1" w:themeTint="A6"/>
    </w:rPr>
  </w:style>
  <w:style w:type="paragraph" w:styleId="940">
    <w:name w:val="Heading 8"/>
    <w:basedOn w:val="932"/>
    <w:next w:val="932"/>
    <w:link w:val="1088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eastAsia="Arial" w:cs="Arial"/>
      <w:i/>
      <w:iCs/>
      <w:color w:val="272727" w:themeColor="text1" w:themeTint="D8"/>
    </w:rPr>
  </w:style>
  <w:style w:type="paragraph" w:styleId="941">
    <w:name w:val="Heading 9"/>
    <w:basedOn w:val="932"/>
    <w:next w:val="932"/>
    <w:link w:val="1089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eastAsia="Arial" w:cs="Arial"/>
      <w:i/>
      <w:iCs/>
      <w:color w:val="272727" w:themeColor="text1" w:themeTint="D8"/>
    </w:rPr>
  </w:style>
  <w:style w:type="character" w:styleId="942" w:default="1">
    <w:name w:val="Default Paragraph Font"/>
    <w:uiPriority w:val="1"/>
    <w:unhideWhenUsed/>
    <w:pPr>
      <w:pBdr/>
      <w:spacing/>
      <w:ind/>
    </w:pPr>
  </w:style>
  <w:style w:type="table" w:styleId="943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44" w:default="1">
    <w:name w:val="No List"/>
    <w:uiPriority w:val="99"/>
    <w:semiHidden/>
    <w:unhideWhenUsed/>
    <w:pPr>
      <w:pBdr/>
      <w:spacing/>
      <w:ind/>
    </w:pPr>
  </w:style>
  <w:style w:type="character" w:styleId="945" w:customStyle="1">
    <w:name w:val="Heading 4 Char"/>
    <w:basedOn w:val="942"/>
    <w:uiPriority w:val="9"/>
    <w:pPr>
      <w:pBdr/>
      <w:spacing/>
      <w:ind/>
    </w:pPr>
    <w:rPr>
      <w:rFonts w:ascii="Arial" w:hAnsi="Arial" w:eastAsia="Arial" w:cs="Arial"/>
      <w:i/>
      <w:iCs/>
      <w:color w:val="2e74b5" w:themeColor="accent1" w:themeShade="BF"/>
    </w:rPr>
  </w:style>
  <w:style w:type="character" w:styleId="946" w:customStyle="1">
    <w:name w:val="Heading 5 Char"/>
    <w:basedOn w:val="942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</w:rPr>
  </w:style>
  <w:style w:type="character" w:styleId="947" w:customStyle="1">
    <w:name w:val="Heading 6 Char"/>
    <w:basedOn w:val="942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48" w:customStyle="1">
    <w:name w:val="Heading 7 Char"/>
    <w:basedOn w:val="942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49" w:customStyle="1">
    <w:name w:val="Heading 8 Char"/>
    <w:basedOn w:val="94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50" w:customStyle="1">
    <w:name w:val="Heading 9 Char"/>
    <w:basedOn w:val="94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51" w:customStyle="1">
    <w:name w:val="Title Char"/>
    <w:basedOn w:val="942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952" w:customStyle="1">
    <w:name w:val="Subtitle Char"/>
    <w:basedOn w:val="942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53" w:customStyle="1">
    <w:name w:val="Quote Char"/>
    <w:basedOn w:val="94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954" w:customStyle="1">
    <w:name w:val="Intense Quote Char"/>
    <w:basedOn w:val="942"/>
    <w:uiPriority w:val="30"/>
    <w:pPr>
      <w:pBdr/>
      <w:spacing/>
      <w:ind/>
    </w:pPr>
    <w:rPr>
      <w:i/>
      <w:iCs/>
      <w:color w:val="2e74b5" w:themeColor="accent1" w:themeShade="BF"/>
    </w:rPr>
  </w:style>
  <w:style w:type="character" w:styleId="955" w:customStyle="1">
    <w:name w:val="Footnote Text Char"/>
    <w:basedOn w:val="942"/>
    <w:uiPriority w:val="99"/>
    <w:semiHidden/>
    <w:pPr>
      <w:pBdr/>
      <w:spacing/>
      <w:ind/>
    </w:pPr>
    <w:rPr>
      <w:sz w:val="20"/>
      <w:szCs w:val="20"/>
    </w:rPr>
  </w:style>
  <w:style w:type="table" w:styleId="956" w:customStyle="1">
    <w:name w:val="Table Grid Light"/>
    <w:basedOn w:val="943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>
    <w:name w:val="Plain Table 1"/>
    <w:basedOn w:val="943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>
    <w:name w:val="Plain Table 2"/>
    <w:basedOn w:val="943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>
    <w:name w:val="Plain Table 3"/>
    <w:basedOn w:val="943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>
    <w:name w:val="Plain Table 4"/>
    <w:basedOn w:val="943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>
    <w:name w:val="Plain Table 5"/>
    <w:basedOn w:val="943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>
    <w:name w:val="Grid Table 1 Light"/>
    <w:basedOn w:val="943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 w:customStyle="1">
    <w:name w:val="Grid Table 1 Light - Accent 1"/>
    <w:basedOn w:val="943"/>
    <w:uiPriority w:val="99"/>
    <w:pPr>
      <w:pBdr/>
      <w:spacing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 w:customStyle="1">
    <w:name w:val="Grid Table 1 Light - Accent 2"/>
    <w:basedOn w:val="943"/>
    <w:uiPriority w:val="99"/>
    <w:pPr>
      <w:pBdr/>
      <w:spacing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 w:customStyle="1">
    <w:name w:val="Grid Table 1 Light - Accent 3"/>
    <w:basedOn w:val="943"/>
    <w:uiPriority w:val="99"/>
    <w:pPr>
      <w:pBdr/>
      <w:spacing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 w:customStyle="1">
    <w:name w:val="Grid Table 1 Light - Accent 4"/>
    <w:basedOn w:val="943"/>
    <w:uiPriority w:val="99"/>
    <w:pPr>
      <w:pBdr/>
      <w:spacing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 w:customStyle="1">
    <w:name w:val="Grid Table 1 Light - Accent 5"/>
    <w:basedOn w:val="943"/>
    <w:uiPriority w:val="99"/>
    <w:pPr>
      <w:pBdr/>
      <w:spacing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 w:customStyle="1">
    <w:name w:val="Grid Table 1 Light - Accent 6"/>
    <w:basedOn w:val="943"/>
    <w:uiPriority w:val="99"/>
    <w:pPr>
      <w:pBdr/>
      <w:spacing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>
    <w:name w:val="Grid Table 2"/>
    <w:basedOn w:val="943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 w:customStyle="1">
    <w:name w:val="Grid Table 2 - Accent 1"/>
    <w:basedOn w:val="943"/>
    <w:uiPriority w:val="99"/>
    <w:pPr>
      <w:pBdr/>
      <w:spacing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 w:customStyle="1">
    <w:name w:val="Grid Table 2 - Accent 2"/>
    <w:basedOn w:val="943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 w:customStyle="1">
    <w:name w:val="Grid Table 2 - Accent 3"/>
    <w:basedOn w:val="943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 w:customStyle="1">
    <w:name w:val="Grid Table 2 - Accent 4"/>
    <w:basedOn w:val="943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4" w:customStyle="1">
    <w:name w:val="Grid Table 2 - Accent 5"/>
    <w:basedOn w:val="943"/>
    <w:uiPriority w:val="99"/>
    <w:pPr>
      <w:pBdr/>
      <w:spacing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5" w:customStyle="1">
    <w:name w:val="Grid Table 2 - Accent 6"/>
    <w:basedOn w:val="943"/>
    <w:uiPriority w:val="99"/>
    <w:pPr>
      <w:pBdr/>
      <w:spacing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6">
    <w:name w:val="Grid Table 3"/>
    <w:basedOn w:val="943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7" w:customStyle="1">
    <w:name w:val="Grid Table 3 - Accent 1"/>
    <w:basedOn w:val="943"/>
    <w:uiPriority w:val="99"/>
    <w:pPr>
      <w:pBdr/>
      <w:spacing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8" w:customStyle="1">
    <w:name w:val="Grid Table 3 - Accent 2"/>
    <w:basedOn w:val="943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9" w:customStyle="1">
    <w:name w:val="Grid Table 3 - Accent 3"/>
    <w:basedOn w:val="943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0" w:customStyle="1">
    <w:name w:val="Grid Table 3 - Accent 4"/>
    <w:basedOn w:val="943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1" w:customStyle="1">
    <w:name w:val="Grid Table 3 - Accent 5"/>
    <w:basedOn w:val="943"/>
    <w:uiPriority w:val="99"/>
    <w:pPr>
      <w:pBdr/>
      <w:spacing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2" w:customStyle="1">
    <w:name w:val="Grid Table 3 - Accent 6"/>
    <w:basedOn w:val="943"/>
    <w:uiPriority w:val="99"/>
    <w:pPr>
      <w:pBdr/>
      <w:spacing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3">
    <w:name w:val="Grid Table 4"/>
    <w:basedOn w:val="943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4" w:customStyle="1">
    <w:name w:val="Grid Table 4 - Accent 1"/>
    <w:basedOn w:val="943"/>
    <w:uiPriority w:val="59"/>
    <w:pPr>
      <w:pBdr/>
      <w:spacing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68a2d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5" w:customStyle="1">
    <w:name w:val="Grid Table 4 - Accent 2"/>
    <w:basedOn w:val="943"/>
    <w:uiPriority w:val="5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6" w:customStyle="1">
    <w:name w:val="Grid Table 4 - Accent 3"/>
    <w:basedOn w:val="943"/>
    <w:uiPriority w:val="5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7" w:customStyle="1">
    <w:name w:val="Grid Table 4 - Accent 4"/>
    <w:basedOn w:val="943"/>
    <w:uiPriority w:val="5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8" w:customStyle="1">
    <w:name w:val="Grid Table 4 - Accent 5"/>
    <w:basedOn w:val="943"/>
    <w:uiPriority w:val="59"/>
    <w:pPr>
      <w:pBdr/>
      <w:spacing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9" w:customStyle="1">
    <w:name w:val="Grid Table 4 - Accent 6"/>
    <w:basedOn w:val="943"/>
    <w:uiPriority w:val="5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0">
    <w:name w:val="Grid Table 5 Dark"/>
    <w:basedOn w:val="943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1" w:customStyle="1">
    <w:name w:val="Grid Table 5 Dark- Accent 1"/>
    <w:basedOn w:val="943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2" w:customStyle="1">
    <w:name w:val="Grid Table 5 Dark - Accent 2"/>
    <w:basedOn w:val="943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3" w:customStyle="1">
    <w:name w:val="Grid Table 5 Dark - Accent 3"/>
    <w:basedOn w:val="943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4" w:customStyle="1">
    <w:name w:val="Grid Table 5 Dark- Accent 4"/>
    <w:basedOn w:val="943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5" w:customStyle="1">
    <w:name w:val="Grid Table 5 Dark - Accent 5"/>
    <w:basedOn w:val="943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6" w:customStyle="1">
    <w:name w:val="Grid Table 5 Dark - Accent 6"/>
    <w:basedOn w:val="943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7">
    <w:name w:val="Grid Table 6 Colorful"/>
    <w:basedOn w:val="943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8" w:customStyle="1">
    <w:name w:val="Grid Table 6 Colorful - Accent 1"/>
    <w:basedOn w:val="943"/>
    <w:uiPriority w:val="99"/>
    <w:pPr>
      <w:pBdr/>
      <w:spacing/>
      <w:ind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9" w:customStyle="1">
    <w:name w:val="Grid Table 6 Colorful - Accent 2"/>
    <w:basedOn w:val="943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0" w:customStyle="1">
    <w:name w:val="Grid Table 6 Colorful - Accent 3"/>
    <w:basedOn w:val="943"/>
    <w:uiPriority w:val="99"/>
    <w:pPr>
      <w:pBdr/>
      <w:spacing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1" w:customStyle="1">
    <w:name w:val="Grid Table 6 Colorful - Accent 4"/>
    <w:basedOn w:val="943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2" w:customStyle="1">
    <w:name w:val="Grid Table 6 Colorful - Accent 5"/>
    <w:basedOn w:val="943"/>
    <w:uiPriority w:val="99"/>
    <w:pPr>
      <w:pBdr/>
      <w:spacing/>
      <w:ind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3" w:customStyle="1">
    <w:name w:val="Grid Table 6 Colorful - Accent 6"/>
    <w:basedOn w:val="943"/>
    <w:uiPriority w:val="99"/>
    <w:pPr>
      <w:pBdr/>
      <w:spacing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4">
    <w:name w:val="Grid Table 7 Colorful"/>
    <w:basedOn w:val="943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5" w:customStyle="1">
    <w:name w:val="Grid Table 7 Colorful - Accent 1"/>
    <w:basedOn w:val="943"/>
    <w:uiPriority w:val="99"/>
    <w:pPr>
      <w:pBdr/>
      <w:spacing/>
      <w:ind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cccea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cccea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6" w:customStyle="1">
    <w:name w:val="Grid Table 7 Colorful - Accent 2"/>
    <w:basedOn w:val="943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7" w:customStyle="1">
    <w:name w:val="Grid Table 7 Colorful - Accent 3"/>
    <w:basedOn w:val="943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8" w:customStyle="1">
    <w:name w:val="Grid Table 7 Colorful - Accent 4"/>
    <w:basedOn w:val="943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9" w:customStyle="1">
    <w:name w:val="Grid Table 7 Colorful - Accent 5"/>
    <w:basedOn w:val="943"/>
    <w:uiPriority w:val="99"/>
    <w:pPr>
      <w:pBdr/>
      <w:spacing/>
      <w:ind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5afdd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5afdd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0" w:customStyle="1">
    <w:name w:val="Grid Table 7 Colorful - Accent 6"/>
    <w:basedOn w:val="943"/>
    <w:uiPriority w:val="99"/>
    <w:pPr>
      <w:pBdr/>
      <w:spacing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1">
    <w:name w:val="List Table 1 Light"/>
    <w:basedOn w:val="943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2" w:customStyle="1">
    <w:name w:val="List Table 1 Light - Accent 1"/>
    <w:basedOn w:val="943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3" w:customStyle="1">
    <w:name w:val="List Table 1 Light - Accent 2"/>
    <w:basedOn w:val="943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4" w:customStyle="1">
    <w:name w:val="List Table 1 Light - Accent 3"/>
    <w:basedOn w:val="943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5" w:customStyle="1">
    <w:name w:val="List Table 1 Light - Accent 4"/>
    <w:basedOn w:val="943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6" w:customStyle="1">
    <w:name w:val="List Table 1 Light - Accent 5"/>
    <w:basedOn w:val="943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7" w:customStyle="1">
    <w:name w:val="List Table 1 Light - Accent 6"/>
    <w:basedOn w:val="943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8">
    <w:name w:val="List Table 2"/>
    <w:basedOn w:val="943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9" w:customStyle="1">
    <w:name w:val="List Table 2 - Accent 1"/>
    <w:basedOn w:val="943"/>
    <w:uiPriority w:val="99"/>
    <w:pPr>
      <w:pBdr/>
      <w:spacing/>
      <w:ind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0" w:customStyle="1">
    <w:name w:val="List Table 2 - Accent 2"/>
    <w:basedOn w:val="943"/>
    <w:uiPriority w:val="9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1" w:customStyle="1">
    <w:name w:val="List Table 2 - Accent 3"/>
    <w:basedOn w:val="943"/>
    <w:uiPriority w:val="9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2" w:customStyle="1">
    <w:name w:val="List Table 2 - Accent 4"/>
    <w:basedOn w:val="943"/>
    <w:uiPriority w:val="9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3" w:customStyle="1">
    <w:name w:val="List Table 2 - Accent 5"/>
    <w:basedOn w:val="943"/>
    <w:uiPriority w:val="99"/>
    <w:pPr>
      <w:pBdr/>
      <w:spacing/>
      <w:ind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4" w:customStyle="1">
    <w:name w:val="List Table 2 - Accent 6"/>
    <w:basedOn w:val="943"/>
    <w:uiPriority w:val="9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5">
    <w:name w:val="List Table 3"/>
    <w:basedOn w:val="943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6" w:customStyle="1">
    <w:name w:val="List Table 3 - Accent 1"/>
    <w:basedOn w:val="943"/>
    <w:uiPriority w:val="99"/>
    <w:pPr>
      <w:pBdr/>
      <w:spacing/>
      <w:ind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7" w:customStyle="1">
    <w:name w:val="List Table 3 - Accent 2"/>
    <w:basedOn w:val="943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8" w:customStyle="1">
    <w:name w:val="List Table 3 - Accent 3"/>
    <w:basedOn w:val="943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9" w:customStyle="1">
    <w:name w:val="List Table 3 - Accent 4"/>
    <w:basedOn w:val="943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0" w:customStyle="1">
    <w:name w:val="List Table 3 - Accent 5"/>
    <w:basedOn w:val="943"/>
    <w:uiPriority w:val="99"/>
    <w:pPr>
      <w:pBdr/>
      <w:spacing/>
      <w:ind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1" w:customStyle="1">
    <w:name w:val="List Table 3 - Accent 6"/>
    <w:basedOn w:val="943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2">
    <w:name w:val="List Table 4"/>
    <w:basedOn w:val="943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3" w:customStyle="1">
    <w:name w:val="List Table 4 - Accent 1"/>
    <w:basedOn w:val="943"/>
    <w:uiPriority w:val="99"/>
    <w:pPr>
      <w:pBdr/>
      <w:spacing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4" w:customStyle="1">
    <w:name w:val="List Table 4 - Accent 2"/>
    <w:basedOn w:val="943"/>
    <w:uiPriority w:val="9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5" w:customStyle="1">
    <w:name w:val="List Table 4 - Accent 3"/>
    <w:basedOn w:val="943"/>
    <w:uiPriority w:val="9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6" w:customStyle="1">
    <w:name w:val="List Table 4 - Accent 4"/>
    <w:basedOn w:val="943"/>
    <w:uiPriority w:val="9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7" w:customStyle="1">
    <w:name w:val="List Table 4 - Accent 5"/>
    <w:basedOn w:val="943"/>
    <w:uiPriority w:val="99"/>
    <w:pPr>
      <w:pBdr/>
      <w:spacing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8" w:customStyle="1">
    <w:name w:val="List Table 4 - Accent 6"/>
    <w:basedOn w:val="943"/>
    <w:uiPriority w:val="9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9">
    <w:name w:val="List Table 5 Dark"/>
    <w:basedOn w:val="943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0" w:customStyle="1">
    <w:name w:val="List Table 5 Dark - Accent 1"/>
    <w:basedOn w:val="943"/>
    <w:uiPriority w:val="99"/>
    <w:pPr>
      <w:pBdr/>
      <w:spacing/>
      <w:ind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1" w:customStyle="1">
    <w:name w:val="List Table 5 Dark - Accent 2"/>
    <w:basedOn w:val="943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2" w:customStyle="1">
    <w:name w:val="List Table 5 Dark - Accent 3"/>
    <w:basedOn w:val="943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3" w:customStyle="1">
    <w:name w:val="List Table 5 Dark - Accent 4"/>
    <w:basedOn w:val="943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4" w:customStyle="1">
    <w:name w:val="List Table 5 Dark - Accent 5"/>
    <w:basedOn w:val="943"/>
    <w:uiPriority w:val="99"/>
    <w:pPr>
      <w:pBdr/>
      <w:spacing/>
      <w:ind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5" w:customStyle="1">
    <w:name w:val="List Table 5 Dark - Accent 6"/>
    <w:basedOn w:val="943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6">
    <w:name w:val="List Table 6 Colorful"/>
    <w:basedOn w:val="943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7" w:customStyle="1">
    <w:name w:val="List Table 6 Colorful - Accent 1"/>
    <w:basedOn w:val="943"/>
    <w:uiPriority w:val="99"/>
    <w:pPr>
      <w:pBdr/>
      <w:spacing/>
      <w:ind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8" w:customStyle="1">
    <w:name w:val="List Table 6 Colorful - Accent 2"/>
    <w:basedOn w:val="943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9" w:customStyle="1">
    <w:name w:val="List Table 6 Colorful - Accent 3"/>
    <w:basedOn w:val="943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0" w:customStyle="1">
    <w:name w:val="List Table 6 Colorful - Accent 4"/>
    <w:basedOn w:val="943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1" w:customStyle="1">
    <w:name w:val="List Table 6 Colorful - Accent 5"/>
    <w:basedOn w:val="943"/>
    <w:uiPriority w:val="99"/>
    <w:pPr>
      <w:pBdr/>
      <w:spacing/>
      <w:ind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2" w:customStyle="1">
    <w:name w:val="List Table 6 Colorful - Accent 6"/>
    <w:basedOn w:val="943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3">
    <w:name w:val="List Table 7 Colorful"/>
    <w:basedOn w:val="943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4" w:customStyle="1">
    <w:name w:val="List Table 7 Colorful - Accent 1"/>
    <w:basedOn w:val="943"/>
    <w:uiPriority w:val="99"/>
    <w:pPr>
      <w:pBdr/>
      <w:spacing/>
      <w:ind/>
    </w:pPr>
    <w:tblPr>
      <w:tblStyleRowBandSize w:val="1"/>
      <w:tblStyleColBandSize w:val="1"/>
      <w:tblBorders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5b9bd5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5b9bd5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5" w:customStyle="1">
    <w:name w:val="List Table 7 Colorful - Accent 2"/>
    <w:basedOn w:val="943"/>
    <w:uiPriority w:val="99"/>
    <w:pPr>
      <w:pBdr/>
      <w:spacing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6" w:customStyle="1">
    <w:name w:val="List Table 7 Colorful - Accent 3"/>
    <w:basedOn w:val="943"/>
    <w:uiPriority w:val="99"/>
    <w:pPr>
      <w:pBdr/>
      <w:spacing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7" w:customStyle="1">
    <w:name w:val="List Table 7 Colorful - Accent 4"/>
    <w:basedOn w:val="943"/>
    <w:uiPriority w:val="99"/>
    <w:pPr>
      <w:pBdr/>
      <w:spacing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8" w:customStyle="1">
    <w:name w:val="List Table 7 Colorful - Accent 5"/>
    <w:basedOn w:val="943"/>
    <w:uiPriority w:val="99"/>
    <w:pPr>
      <w:pBdr/>
      <w:spacing/>
      <w:ind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8da9db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8da9db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9" w:customStyle="1">
    <w:name w:val="List Table 7 Colorful - Accent 6"/>
    <w:basedOn w:val="943"/>
    <w:uiPriority w:val="99"/>
    <w:pPr>
      <w:pBdr/>
      <w:spacing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0" w:customStyle="1">
    <w:name w:val="Lined - Accent"/>
    <w:basedOn w:val="943"/>
    <w:uiPriority w:val="99"/>
    <w:pPr>
      <w:pBdr/>
      <w:spacing/>
      <w:ind/>
    </w:pPr>
    <w:rPr>
      <w:color w:val="404040"/>
      <w:sz w:val="20"/>
      <w:szCs w:val="20"/>
      <w:lang w:eastAsia="pl-PL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1" w:customStyle="1">
    <w:name w:val="Lined - Accent 1"/>
    <w:basedOn w:val="943"/>
    <w:uiPriority w:val="99"/>
    <w:pPr>
      <w:pBdr/>
      <w:spacing/>
      <w:ind/>
    </w:pPr>
    <w:rPr>
      <w:color w:val="404040"/>
      <w:sz w:val="20"/>
      <w:szCs w:val="20"/>
      <w:lang w:eastAsia="pl-PL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2" w:customStyle="1">
    <w:name w:val="Lined - Accent 2"/>
    <w:basedOn w:val="943"/>
    <w:uiPriority w:val="99"/>
    <w:pPr>
      <w:pBdr/>
      <w:spacing/>
      <w:ind/>
    </w:pPr>
    <w:rPr>
      <w:color w:val="404040"/>
      <w:sz w:val="20"/>
      <w:szCs w:val="20"/>
      <w:lang w:eastAsia="pl-PL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3" w:customStyle="1">
    <w:name w:val="Lined - Accent 3"/>
    <w:basedOn w:val="943"/>
    <w:uiPriority w:val="99"/>
    <w:pPr>
      <w:pBdr/>
      <w:spacing/>
      <w:ind/>
    </w:pPr>
    <w:rPr>
      <w:color w:val="404040"/>
      <w:sz w:val="20"/>
      <w:szCs w:val="20"/>
      <w:lang w:eastAsia="pl-PL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4" w:customStyle="1">
    <w:name w:val="Lined - Accent 4"/>
    <w:basedOn w:val="943"/>
    <w:uiPriority w:val="99"/>
    <w:pPr>
      <w:pBdr/>
      <w:spacing/>
      <w:ind/>
    </w:pPr>
    <w:rPr>
      <w:color w:val="404040"/>
      <w:sz w:val="20"/>
      <w:szCs w:val="20"/>
      <w:lang w:eastAsia="pl-PL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5" w:customStyle="1">
    <w:name w:val="Lined - Accent 5"/>
    <w:basedOn w:val="943"/>
    <w:uiPriority w:val="99"/>
    <w:pPr>
      <w:pBdr/>
      <w:spacing/>
      <w:ind/>
    </w:pPr>
    <w:rPr>
      <w:color w:val="404040"/>
      <w:sz w:val="20"/>
      <w:szCs w:val="20"/>
      <w:lang w:eastAsia="pl-PL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6" w:customStyle="1">
    <w:name w:val="Lined - Accent 6"/>
    <w:basedOn w:val="943"/>
    <w:uiPriority w:val="99"/>
    <w:pPr>
      <w:pBdr/>
      <w:spacing/>
      <w:ind/>
    </w:pPr>
    <w:rPr>
      <w:color w:val="404040"/>
      <w:sz w:val="20"/>
      <w:szCs w:val="20"/>
      <w:lang w:eastAsia="pl-PL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7" w:customStyle="1">
    <w:name w:val="Bordered &amp; Lined - Accent"/>
    <w:basedOn w:val="943"/>
    <w:uiPriority w:val="99"/>
    <w:pPr>
      <w:pBdr/>
      <w:spacing/>
      <w:ind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8" w:customStyle="1">
    <w:name w:val="Bordered &amp; Lined - Accent 1"/>
    <w:basedOn w:val="943"/>
    <w:uiPriority w:val="99"/>
    <w:pPr>
      <w:pBdr/>
      <w:spacing/>
      <w:ind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9" w:customStyle="1">
    <w:name w:val="Bordered &amp; Lined - Accent 2"/>
    <w:basedOn w:val="943"/>
    <w:uiPriority w:val="99"/>
    <w:pPr>
      <w:pBdr/>
      <w:spacing/>
      <w:ind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0" w:customStyle="1">
    <w:name w:val="Bordered &amp; Lined - Accent 3"/>
    <w:basedOn w:val="943"/>
    <w:uiPriority w:val="99"/>
    <w:pPr>
      <w:pBdr/>
      <w:spacing/>
      <w:ind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1" w:customStyle="1">
    <w:name w:val="Bordered &amp; Lined - Accent 4"/>
    <w:basedOn w:val="943"/>
    <w:uiPriority w:val="99"/>
    <w:pPr>
      <w:pBdr/>
      <w:spacing/>
      <w:ind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2" w:customStyle="1">
    <w:name w:val="Bordered &amp; Lined - Accent 5"/>
    <w:basedOn w:val="943"/>
    <w:uiPriority w:val="99"/>
    <w:pPr>
      <w:pBdr/>
      <w:spacing/>
      <w:ind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3" w:customStyle="1">
    <w:name w:val="Bordered &amp; Lined - Accent 6"/>
    <w:basedOn w:val="943"/>
    <w:uiPriority w:val="99"/>
    <w:pPr>
      <w:pBdr/>
      <w:spacing/>
      <w:ind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4" w:customStyle="1">
    <w:name w:val="Bordered"/>
    <w:basedOn w:val="943"/>
    <w:uiPriority w:val="99"/>
    <w:pPr>
      <w:pBdr/>
      <w:spacing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5" w:customStyle="1">
    <w:name w:val="Bordered - Accent 1"/>
    <w:basedOn w:val="943"/>
    <w:uiPriority w:val="99"/>
    <w:pPr>
      <w:pBdr/>
      <w:spacing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6" w:customStyle="1">
    <w:name w:val="Bordered - Accent 2"/>
    <w:basedOn w:val="943"/>
    <w:uiPriority w:val="99"/>
    <w:pPr>
      <w:pBdr/>
      <w:spacing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7" w:customStyle="1">
    <w:name w:val="Bordered - Accent 3"/>
    <w:basedOn w:val="943"/>
    <w:uiPriority w:val="99"/>
    <w:pPr>
      <w:pBdr/>
      <w:spacing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8" w:customStyle="1">
    <w:name w:val="Bordered - Accent 4"/>
    <w:basedOn w:val="943"/>
    <w:uiPriority w:val="99"/>
    <w:pPr>
      <w:pBdr/>
      <w:spacing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9" w:customStyle="1">
    <w:name w:val="Bordered - Accent 5"/>
    <w:basedOn w:val="943"/>
    <w:uiPriority w:val="99"/>
    <w:pPr>
      <w:pBdr/>
      <w:spacing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0" w:customStyle="1">
    <w:name w:val="Bordered - Accent 6"/>
    <w:basedOn w:val="943"/>
    <w:uiPriority w:val="99"/>
    <w:pPr>
      <w:pBdr/>
      <w:spacing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081" w:customStyle="1">
    <w:name w:val="Heading 1 Char"/>
    <w:basedOn w:val="942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40"/>
      <w:szCs w:val="40"/>
    </w:rPr>
  </w:style>
  <w:style w:type="character" w:styleId="1082" w:customStyle="1">
    <w:name w:val="Heading 2 Char"/>
    <w:basedOn w:val="942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32"/>
      <w:szCs w:val="32"/>
    </w:rPr>
  </w:style>
  <w:style w:type="character" w:styleId="1083" w:customStyle="1">
    <w:name w:val="Heading 3 Char"/>
    <w:basedOn w:val="942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28"/>
      <w:szCs w:val="28"/>
    </w:rPr>
  </w:style>
  <w:style w:type="character" w:styleId="1084" w:customStyle="1">
    <w:name w:val="Nagłówek 4 Znak"/>
    <w:basedOn w:val="942"/>
    <w:link w:val="936"/>
    <w:uiPriority w:val="9"/>
    <w:pPr>
      <w:pBdr/>
      <w:spacing/>
      <w:ind/>
    </w:pPr>
    <w:rPr>
      <w:rFonts w:ascii="Arial" w:hAnsi="Arial" w:eastAsia="Arial" w:cs="Arial"/>
      <w:i/>
      <w:iCs/>
      <w:color w:val="2e74b5" w:themeColor="accent1" w:themeShade="BF"/>
    </w:rPr>
  </w:style>
  <w:style w:type="character" w:styleId="1085" w:customStyle="1">
    <w:name w:val="Nagłówek 5 Znak"/>
    <w:basedOn w:val="942"/>
    <w:link w:val="937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</w:rPr>
  </w:style>
  <w:style w:type="character" w:styleId="1086" w:customStyle="1">
    <w:name w:val="Nagłówek 6 Znak"/>
    <w:basedOn w:val="942"/>
    <w:link w:val="938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087" w:customStyle="1">
    <w:name w:val="Nagłówek 7 Znak"/>
    <w:basedOn w:val="942"/>
    <w:link w:val="939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088" w:customStyle="1">
    <w:name w:val="Nagłówek 8 Znak"/>
    <w:basedOn w:val="942"/>
    <w:link w:val="94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089" w:customStyle="1">
    <w:name w:val="Nagłówek 9 Znak"/>
    <w:basedOn w:val="942"/>
    <w:link w:val="94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090">
    <w:name w:val="Title"/>
    <w:basedOn w:val="932"/>
    <w:next w:val="932"/>
    <w:link w:val="1091"/>
    <w:uiPriority w:val="10"/>
    <w:qFormat/>
    <w:pPr>
      <w:pBdr/>
      <w:spacing w:after="80" w:line="240" w:lineRule="auto"/>
      <w:ind/>
      <w:contextualSpacing w:val="true"/>
    </w:pPr>
    <w:rPr>
      <w:rFonts w:eastAsia="Arial" w:cs="Arial"/>
      <w:spacing w:val="-10"/>
      <w:sz w:val="56"/>
      <w:szCs w:val="56"/>
    </w:rPr>
  </w:style>
  <w:style w:type="character" w:styleId="1091" w:customStyle="1">
    <w:name w:val="Tytuł Znak"/>
    <w:basedOn w:val="942"/>
    <w:link w:val="1090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092">
    <w:name w:val="Subtitle"/>
    <w:basedOn w:val="932"/>
    <w:next w:val="932"/>
    <w:link w:val="1093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093" w:customStyle="1">
    <w:name w:val="Podtytuł Znak"/>
    <w:basedOn w:val="942"/>
    <w:link w:val="1092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094">
    <w:name w:val="Quote"/>
    <w:basedOn w:val="932"/>
    <w:next w:val="932"/>
    <w:link w:val="1095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095" w:customStyle="1">
    <w:name w:val="Cytat Znak"/>
    <w:basedOn w:val="942"/>
    <w:link w:val="1094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096">
    <w:name w:val="Intense Emphasis"/>
    <w:basedOn w:val="942"/>
    <w:uiPriority w:val="21"/>
    <w:qFormat/>
    <w:pPr>
      <w:pBdr/>
      <w:spacing/>
      <w:ind/>
    </w:pPr>
    <w:rPr>
      <w:i/>
      <w:iCs/>
      <w:color w:val="2e74b5" w:themeColor="accent1" w:themeShade="BF"/>
    </w:rPr>
  </w:style>
  <w:style w:type="paragraph" w:styleId="1097">
    <w:name w:val="Intense Quote"/>
    <w:basedOn w:val="932"/>
    <w:next w:val="932"/>
    <w:link w:val="1098"/>
    <w:uiPriority w:val="30"/>
    <w:qFormat/>
    <w:pPr>
      <w:pBdr>
        <w:top w:val="single" w:color="2e74b5" w:themeColor="accent1" w:themeShade="BF" w:sz="4" w:space="10"/>
        <w:bottom w:val="single" w:color="2e74b5" w:themeColor="accent1" w:themeShade="BF" w:sz="4" w:space="10"/>
      </w:pBdr>
      <w:spacing/>
      <w:ind w:right="864" w:left="864"/>
      <w:jc w:val="center"/>
    </w:pPr>
    <w:rPr>
      <w:i/>
      <w:iCs/>
      <w:color w:val="2e74b5" w:themeColor="accent1" w:themeShade="BF"/>
    </w:rPr>
  </w:style>
  <w:style w:type="character" w:styleId="1098" w:customStyle="1">
    <w:name w:val="Cytat intensywny Znak"/>
    <w:basedOn w:val="942"/>
    <w:link w:val="1097"/>
    <w:uiPriority w:val="30"/>
    <w:pPr>
      <w:pBdr/>
      <w:spacing/>
      <w:ind/>
    </w:pPr>
    <w:rPr>
      <w:i/>
      <w:iCs/>
      <w:color w:val="2e74b5" w:themeColor="accent1" w:themeShade="BF"/>
    </w:rPr>
  </w:style>
  <w:style w:type="character" w:styleId="1099">
    <w:name w:val="Intense Reference"/>
    <w:basedOn w:val="942"/>
    <w:uiPriority w:val="32"/>
    <w:qFormat/>
    <w:pPr>
      <w:pBdr/>
      <w:spacing/>
      <w:ind/>
    </w:pPr>
    <w:rPr>
      <w:b/>
      <w:bCs/>
      <w:smallCaps/>
      <w:color w:val="2e74b5" w:themeColor="accent1" w:themeShade="BF"/>
      <w:spacing w:val="5"/>
    </w:rPr>
  </w:style>
  <w:style w:type="character" w:styleId="1100">
    <w:name w:val="Subtle Emphasis"/>
    <w:basedOn w:val="94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101">
    <w:name w:val="Emphasis"/>
    <w:basedOn w:val="942"/>
    <w:uiPriority w:val="20"/>
    <w:qFormat/>
    <w:pPr>
      <w:pBdr/>
      <w:spacing/>
      <w:ind/>
    </w:pPr>
    <w:rPr>
      <w:i/>
      <w:iCs/>
    </w:rPr>
  </w:style>
  <w:style w:type="character" w:styleId="1102">
    <w:name w:val="Subtle Reference"/>
    <w:basedOn w:val="94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103">
    <w:name w:val="Book Title"/>
    <w:basedOn w:val="942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104" w:customStyle="1">
    <w:name w:val="Header Char"/>
    <w:basedOn w:val="942"/>
    <w:uiPriority w:val="99"/>
    <w:pPr>
      <w:pBdr/>
      <w:spacing/>
      <w:ind/>
    </w:pPr>
  </w:style>
  <w:style w:type="character" w:styleId="1105" w:customStyle="1">
    <w:name w:val="Footer Char"/>
    <w:basedOn w:val="942"/>
    <w:uiPriority w:val="99"/>
    <w:pPr>
      <w:pBdr/>
      <w:spacing/>
      <w:ind/>
    </w:pPr>
  </w:style>
  <w:style w:type="paragraph" w:styleId="1106">
    <w:name w:val="Caption"/>
    <w:basedOn w:val="932"/>
    <w:next w:val="932"/>
    <w:uiPriority w:val="35"/>
    <w:unhideWhenUsed/>
    <w:qFormat/>
    <w:pPr>
      <w:pBdr/>
      <w:spacing w:after="200" w:line="240" w:lineRule="auto"/>
      <w:ind/>
    </w:pPr>
    <w:rPr>
      <w:i/>
      <w:iCs/>
      <w:color w:val="44546a" w:themeColor="text2"/>
      <w:sz w:val="18"/>
      <w:szCs w:val="18"/>
    </w:rPr>
  </w:style>
  <w:style w:type="paragraph" w:styleId="1107">
    <w:name w:val="footnote text"/>
    <w:basedOn w:val="932"/>
    <w:link w:val="1108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108" w:customStyle="1">
    <w:name w:val="Tekst przypisu dolnego Znak"/>
    <w:basedOn w:val="942"/>
    <w:link w:val="1107"/>
    <w:uiPriority w:val="99"/>
    <w:semiHidden/>
    <w:pPr>
      <w:pBdr/>
      <w:spacing/>
      <w:ind/>
    </w:pPr>
    <w:rPr>
      <w:sz w:val="20"/>
      <w:szCs w:val="20"/>
    </w:rPr>
  </w:style>
  <w:style w:type="character" w:styleId="1109">
    <w:name w:val="footnote reference"/>
    <w:basedOn w:val="942"/>
    <w:uiPriority w:val="99"/>
    <w:semiHidden/>
    <w:unhideWhenUsed/>
    <w:pPr>
      <w:pBdr/>
      <w:spacing/>
      <w:ind/>
    </w:pPr>
    <w:rPr>
      <w:vertAlign w:val="superscript"/>
    </w:rPr>
  </w:style>
  <w:style w:type="character" w:styleId="1110" w:customStyle="1">
    <w:name w:val="Endnote Text Char"/>
    <w:basedOn w:val="942"/>
    <w:uiPriority w:val="99"/>
    <w:semiHidden/>
    <w:pPr>
      <w:pBdr/>
      <w:spacing/>
      <w:ind/>
    </w:pPr>
    <w:rPr>
      <w:sz w:val="20"/>
      <w:szCs w:val="20"/>
    </w:rPr>
  </w:style>
  <w:style w:type="paragraph" w:styleId="1111">
    <w:name w:val="toc 1"/>
    <w:basedOn w:val="932"/>
    <w:next w:val="932"/>
    <w:uiPriority w:val="39"/>
    <w:unhideWhenUsed/>
    <w:pPr>
      <w:pBdr/>
      <w:spacing w:after="100"/>
      <w:ind/>
    </w:pPr>
  </w:style>
  <w:style w:type="paragraph" w:styleId="1112">
    <w:name w:val="toc 2"/>
    <w:basedOn w:val="932"/>
    <w:next w:val="932"/>
    <w:uiPriority w:val="39"/>
    <w:unhideWhenUsed/>
    <w:pPr>
      <w:pBdr/>
      <w:spacing w:after="100"/>
      <w:ind w:left="220"/>
    </w:pPr>
  </w:style>
  <w:style w:type="paragraph" w:styleId="1113">
    <w:name w:val="toc 3"/>
    <w:basedOn w:val="932"/>
    <w:next w:val="932"/>
    <w:uiPriority w:val="39"/>
    <w:unhideWhenUsed/>
    <w:pPr>
      <w:pBdr/>
      <w:spacing w:after="100"/>
      <w:ind w:left="440"/>
    </w:pPr>
  </w:style>
  <w:style w:type="paragraph" w:styleId="1114">
    <w:name w:val="toc 4"/>
    <w:basedOn w:val="932"/>
    <w:next w:val="932"/>
    <w:uiPriority w:val="39"/>
    <w:unhideWhenUsed/>
    <w:pPr>
      <w:pBdr/>
      <w:spacing w:after="100"/>
      <w:ind w:left="660"/>
    </w:pPr>
  </w:style>
  <w:style w:type="paragraph" w:styleId="1115">
    <w:name w:val="toc 5"/>
    <w:basedOn w:val="932"/>
    <w:next w:val="932"/>
    <w:uiPriority w:val="39"/>
    <w:unhideWhenUsed/>
    <w:pPr>
      <w:pBdr/>
      <w:spacing w:after="100"/>
      <w:ind w:left="880"/>
    </w:pPr>
  </w:style>
  <w:style w:type="paragraph" w:styleId="1116">
    <w:name w:val="toc 6"/>
    <w:basedOn w:val="932"/>
    <w:next w:val="932"/>
    <w:uiPriority w:val="39"/>
    <w:unhideWhenUsed/>
    <w:pPr>
      <w:pBdr/>
      <w:spacing w:after="100"/>
      <w:ind w:left="1100"/>
    </w:pPr>
  </w:style>
  <w:style w:type="paragraph" w:styleId="1117">
    <w:name w:val="toc 7"/>
    <w:basedOn w:val="932"/>
    <w:next w:val="932"/>
    <w:uiPriority w:val="39"/>
    <w:unhideWhenUsed/>
    <w:pPr>
      <w:pBdr/>
      <w:spacing w:after="100"/>
      <w:ind w:left="1320"/>
    </w:pPr>
  </w:style>
  <w:style w:type="paragraph" w:styleId="1118">
    <w:name w:val="toc 8"/>
    <w:basedOn w:val="932"/>
    <w:next w:val="932"/>
    <w:uiPriority w:val="39"/>
    <w:unhideWhenUsed/>
    <w:pPr>
      <w:pBdr/>
      <w:spacing w:after="100"/>
      <w:ind w:left="1540"/>
    </w:pPr>
  </w:style>
  <w:style w:type="paragraph" w:styleId="1119">
    <w:name w:val="toc 9"/>
    <w:basedOn w:val="932"/>
    <w:next w:val="932"/>
    <w:uiPriority w:val="39"/>
    <w:unhideWhenUsed/>
    <w:pPr>
      <w:pBdr/>
      <w:spacing w:after="100"/>
      <w:ind w:left="1760"/>
    </w:pPr>
  </w:style>
  <w:style w:type="paragraph" w:styleId="1120">
    <w:name w:val="TOC Heading"/>
    <w:uiPriority w:val="39"/>
    <w:unhideWhenUsed/>
    <w:pPr>
      <w:pBdr/>
      <w:spacing/>
      <w:ind/>
    </w:pPr>
  </w:style>
  <w:style w:type="paragraph" w:styleId="1121">
    <w:name w:val="table of figures"/>
    <w:basedOn w:val="932"/>
    <w:next w:val="932"/>
    <w:uiPriority w:val="99"/>
    <w:unhideWhenUsed/>
    <w:pPr>
      <w:pBdr/>
      <w:spacing w:after="0"/>
      <w:ind/>
    </w:pPr>
  </w:style>
  <w:style w:type="paragraph" w:styleId="1122">
    <w:name w:val="Header"/>
    <w:basedOn w:val="932"/>
    <w:link w:val="1141"/>
    <w:uiPriority w:val="99"/>
    <w:pPr>
      <w:pBdr/>
      <w:tabs>
        <w:tab w:val="center" w:leader="none" w:pos="4536"/>
        <w:tab w:val="right" w:leader="none" w:pos="9072"/>
      </w:tabs>
      <w:spacing/>
      <w:ind/>
    </w:pPr>
  </w:style>
  <w:style w:type="paragraph" w:styleId="1123">
    <w:name w:val="Footer"/>
    <w:basedOn w:val="932"/>
    <w:link w:val="1139"/>
    <w:uiPriority w:val="99"/>
    <w:pPr>
      <w:pBdr/>
      <w:tabs>
        <w:tab w:val="center" w:leader="none" w:pos="4536"/>
        <w:tab w:val="right" w:leader="none" w:pos="9072"/>
      </w:tabs>
      <w:spacing/>
      <w:ind/>
    </w:pPr>
  </w:style>
  <w:style w:type="paragraph" w:styleId="1124">
    <w:name w:val="Document Map"/>
    <w:basedOn w:val="932"/>
    <w:semiHidden/>
    <w:pPr>
      <w:pBdr/>
      <w:shd w:val="clear" w:color="auto" w:fill="000080"/>
      <w:spacing/>
      <w:ind/>
    </w:pPr>
    <w:rPr>
      <w:rFonts w:ascii="Tahoma" w:hAnsi="Tahoma" w:cs="Tahoma"/>
      <w:sz w:val="20"/>
      <w:szCs w:val="20"/>
    </w:rPr>
  </w:style>
  <w:style w:type="paragraph" w:styleId="1125">
    <w:name w:val="Balloon Text"/>
    <w:basedOn w:val="932"/>
    <w:semiHidden/>
    <w:pPr>
      <w:pBdr/>
      <w:spacing/>
      <w:ind/>
    </w:pPr>
    <w:rPr>
      <w:rFonts w:ascii="Tahoma" w:hAnsi="Tahoma" w:cs="Tahoma"/>
      <w:sz w:val="16"/>
      <w:szCs w:val="16"/>
    </w:rPr>
  </w:style>
  <w:style w:type="character" w:styleId="1126">
    <w:name w:val="page number"/>
    <w:basedOn w:val="942"/>
    <w:pPr>
      <w:pBdr/>
      <w:spacing/>
      <w:ind/>
    </w:pPr>
  </w:style>
  <w:style w:type="character" w:styleId="1127">
    <w:name w:val="Strong"/>
    <w:uiPriority w:val="22"/>
    <w:pPr>
      <w:pBdr/>
      <w:spacing/>
      <w:ind/>
    </w:pPr>
    <w:rPr>
      <w:b/>
      <w:bCs/>
    </w:rPr>
  </w:style>
  <w:style w:type="table" w:styleId="1128">
    <w:name w:val="Table Grid"/>
    <w:basedOn w:val="943"/>
    <w:uiPriority w:val="3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129" w:customStyle="1">
    <w:name w:val="Nagłówek 1 Znak"/>
    <w:basedOn w:val="942"/>
    <w:link w:val="933"/>
    <w:pPr>
      <w:pBdr/>
      <w:spacing/>
      <w:ind/>
    </w:pPr>
    <w:rPr>
      <w:rFonts w:eastAsiaTheme="majorEastAsia" w:cstheme="majorBidi"/>
      <w:b/>
      <w:bCs/>
      <w:sz w:val="26"/>
      <w:szCs w:val="28"/>
    </w:rPr>
  </w:style>
  <w:style w:type="paragraph" w:styleId="1130">
    <w:name w:val="List Paragraph"/>
    <w:basedOn w:val="932"/>
    <w:link w:val="1144"/>
    <w:uiPriority w:val="34"/>
    <w:qFormat/>
    <w:pPr>
      <w:pBdr/>
      <w:spacing/>
      <w:ind w:left="720"/>
      <w:contextualSpacing w:val="true"/>
    </w:pPr>
  </w:style>
  <w:style w:type="character" w:styleId="1131">
    <w:name w:val="Hyperlink"/>
    <w:basedOn w:val="942"/>
    <w:unhideWhenUsed/>
    <w:pPr>
      <w:pBdr/>
      <w:spacing/>
      <w:ind/>
    </w:pPr>
    <w:rPr>
      <w:color w:val="0563c1" w:themeColor="hyperlink"/>
      <w:u w:val="single"/>
    </w:rPr>
  </w:style>
  <w:style w:type="character" w:styleId="1132">
    <w:name w:val="annotation reference"/>
    <w:basedOn w:val="942"/>
    <w:unhideWhenUsed/>
    <w:pPr>
      <w:pBdr/>
      <w:spacing/>
      <w:ind/>
    </w:pPr>
    <w:rPr>
      <w:sz w:val="16"/>
      <w:szCs w:val="16"/>
    </w:rPr>
  </w:style>
  <w:style w:type="paragraph" w:styleId="1133">
    <w:name w:val="annotation text"/>
    <w:basedOn w:val="932"/>
    <w:link w:val="1134"/>
    <w:unhideWhenUsed/>
    <w:pPr>
      <w:pBdr/>
      <w:spacing/>
      <w:ind/>
    </w:pPr>
    <w:rPr>
      <w:sz w:val="20"/>
      <w:szCs w:val="20"/>
    </w:rPr>
  </w:style>
  <w:style w:type="character" w:styleId="1134" w:customStyle="1">
    <w:name w:val="Tekst komentarza Znak"/>
    <w:basedOn w:val="942"/>
    <w:link w:val="1133"/>
    <w:pPr>
      <w:pBdr/>
      <w:spacing/>
      <w:ind/>
    </w:pPr>
    <w:rPr>
      <w:lang w:val="pl-PL" w:eastAsia="pl-PL"/>
    </w:rPr>
  </w:style>
  <w:style w:type="paragraph" w:styleId="1135">
    <w:name w:val="annotation subject"/>
    <w:basedOn w:val="1133"/>
    <w:next w:val="1133"/>
    <w:link w:val="1136"/>
    <w:semiHidden/>
    <w:unhideWhenUsed/>
    <w:pPr>
      <w:pBdr/>
      <w:spacing/>
      <w:ind/>
    </w:pPr>
    <w:rPr>
      <w:b/>
      <w:bCs/>
    </w:rPr>
  </w:style>
  <w:style w:type="character" w:styleId="1136" w:customStyle="1">
    <w:name w:val="Temat komentarza Znak"/>
    <w:basedOn w:val="1134"/>
    <w:link w:val="1135"/>
    <w:semiHidden/>
    <w:pPr>
      <w:pBdr/>
      <w:spacing/>
      <w:ind/>
    </w:pPr>
    <w:rPr>
      <w:b/>
      <w:bCs/>
      <w:lang w:val="pl-PL" w:eastAsia="pl-PL"/>
    </w:rPr>
  </w:style>
  <w:style w:type="paragraph" w:styleId="1137">
    <w:name w:val="Revision"/>
    <w:hidden/>
    <w:uiPriority w:val="99"/>
    <w:semiHidden/>
    <w:pPr>
      <w:pBdr/>
      <w:spacing/>
      <w:ind/>
    </w:pPr>
    <w:rPr>
      <w:lang w:eastAsia="pl-PL"/>
    </w:rPr>
  </w:style>
  <w:style w:type="character" w:styleId="1138">
    <w:name w:val="Placeholder Text"/>
    <w:basedOn w:val="942"/>
    <w:uiPriority w:val="99"/>
    <w:semiHidden/>
    <w:pPr>
      <w:pBdr/>
      <w:spacing/>
      <w:ind/>
    </w:pPr>
    <w:rPr>
      <w:color w:val="808080"/>
    </w:rPr>
  </w:style>
  <w:style w:type="character" w:styleId="1139" w:customStyle="1">
    <w:name w:val="Stopka Znak"/>
    <w:basedOn w:val="942"/>
    <w:link w:val="1123"/>
    <w:uiPriority w:val="99"/>
    <w:pPr>
      <w:pBdr/>
      <w:spacing/>
      <w:ind/>
    </w:pPr>
    <w:rPr>
      <w:sz w:val="24"/>
      <w:szCs w:val="24"/>
      <w:lang w:eastAsia="pl-PL"/>
    </w:rPr>
  </w:style>
  <w:style w:type="character" w:styleId="1140">
    <w:name w:val="FollowedHyperlink"/>
    <w:basedOn w:val="942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1141" w:customStyle="1">
    <w:name w:val="Nagłówek Znak"/>
    <w:basedOn w:val="942"/>
    <w:link w:val="1122"/>
    <w:uiPriority w:val="99"/>
    <w:pPr>
      <w:pBdr/>
      <w:spacing/>
      <w:ind/>
    </w:pPr>
  </w:style>
  <w:style w:type="character" w:styleId="1142" w:customStyle="1">
    <w:name w:val="Nagłówek 2 Znak"/>
    <w:basedOn w:val="942"/>
    <w:link w:val="934"/>
    <w:pPr>
      <w:pBdr/>
      <w:spacing/>
      <w:ind/>
    </w:pPr>
    <w:rPr>
      <w:rFonts w:eastAsiaTheme="majorEastAsia" w:cstheme="majorBidi"/>
      <w:b/>
      <w:szCs w:val="26"/>
    </w:rPr>
  </w:style>
  <w:style w:type="paragraph" w:styleId="1143">
    <w:name w:val="Normal (Web)"/>
    <w:basedOn w:val="932"/>
    <w:semiHidden/>
    <w:unhideWhenUsed/>
    <w:pPr>
      <w:pBdr/>
      <w:spacing/>
      <w:ind/>
    </w:pPr>
    <w:rPr>
      <w:rFonts w:ascii="Times New Roman" w:hAnsi="Times New Roman"/>
    </w:rPr>
  </w:style>
  <w:style w:type="character" w:styleId="1144" w:customStyle="1">
    <w:name w:val="Akapit z listą Znak"/>
    <w:link w:val="1130"/>
    <w:uiPriority w:val="34"/>
    <w:qFormat/>
    <w:pPr>
      <w:pBdr/>
      <w:spacing/>
      <w:ind/>
    </w:pPr>
  </w:style>
  <w:style w:type="paragraph" w:styleId="1145">
    <w:name w:val="No Spacing"/>
    <w:pPr>
      <w:widowControl w:val="false"/>
      <w:pBdr/>
      <w:spacing/>
      <w:ind/>
    </w:pPr>
    <w:rPr>
      <w:rFonts w:ascii="Bookman Old Style" w:hAnsi="Bookman Old Style"/>
      <w:lang w:eastAsia="pl-PL"/>
    </w:rPr>
  </w:style>
  <w:style w:type="paragraph" w:styleId="1146" w:customStyle="1">
    <w:name w:val="Standard"/>
    <w:pPr>
      <w:widowControl w:val="false"/>
      <w:pBdr/>
      <w:spacing/>
      <w:ind/>
    </w:pPr>
    <w:rPr>
      <w:rFonts w:ascii="Bookman Old Style" w:hAnsi="Bookman Old Style"/>
      <w:lang w:eastAsia="pl-PL"/>
    </w:rPr>
  </w:style>
  <w:style w:type="paragraph" w:styleId="1147" w:customStyle="1">
    <w:name w:val="Style58"/>
    <w:basedOn w:val="1146"/>
    <w:pPr>
      <w:pBdr/>
      <w:spacing/>
      <w:ind/>
    </w:pPr>
  </w:style>
  <w:style w:type="character" w:styleId="1148" w:customStyle="1">
    <w:name w:val="Font Style67"/>
    <w:pPr>
      <w:pBdr/>
      <w:spacing/>
      <w:ind/>
    </w:pPr>
    <w:rPr>
      <w:rFonts w:hint="default" w:ascii="Bookman Old Style" w:hAnsi="Bookman Old Style" w:cs="Bookman Old Style"/>
      <w:sz w:val="22"/>
      <w:szCs w:val="22"/>
    </w:rPr>
  </w:style>
  <w:style w:type="character" w:styleId="1149" w:customStyle="1">
    <w:name w:val="Font Style78"/>
    <w:pPr>
      <w:pBdr/>
      <w:spacing/>
      <w:ind/>
    </w:pPr>
    <w:rPr>
      <w:rFonts w:hint="default" w:ascii="Bookman Old Style" w:hAnsi="Bookman Old Style" w:cs="Bookman Old Style"/>
      <w:b/>
      <w:bCs/>
      <w:sz w:val="22"/>
      <w:szCs w:val="22"/>
    </w:rPr>
  </w:style>
  <w:style w:type="character" w:styleId="1150" w:customStyle="1">
    <w:name w:val="Font Style81"/>
    <w:pPr>
      <w:pBdr/>
      <w:spacing/>
      <w:ind/>
    </w:pPr>
    <w:rPr>
      <w:rFonts w:hint="default" w:ascii="Bookman Old Style" w:hAnsi="Bookman Old Style" w:cs="Bookman Old Style"/>
      <w:b/>
      <w:bCs/>
      <w:sz w:val="26"/>
      <w:szCs w:val="26"/>
    </w:rPr>
  </w:style>
  <w:style w:type="paragraph" w:styleId="1151">
    <w:name w:val="endnote text"/>
    <w:basedOn w:val="932"/>
    <w:link w:val="1152"/>
    <w:semiHidden/>
    <w:unhideWhenUsed/>
    <w:pPr>
      <w:pBdr/>
      <w:spacing w:after="0" w:before="0" w:line="240" w:lineRule="auto"/>
      <w:ind/>
    </w:pPr>
    <w:rPr>
      <w:sz w:val="20"/>
      <w:szCs w:val="20"/>
    </w:rPr>
  </w:style>
  <w:style w:type="character" w:styleId="1152" w:customStyle="1">
    <w:name w:val="Tekst przypisu końcowego Znak"/>
    <w:basedOn w:val="942"/>
    <w:link w:val="1151"/>
    <w:semiHidden/>
    <w:pPr>
      <w:pBdr/>
      <w:spacing/>
      <w:ind/>
    </w:pPr>
    <w:rPr>
      <w:sz w:val="20"/>
      <w:szCs w:val="20"/>
    </w:rPr>
  </w:style>
  <w:style w:type="character" w:styleId="1153">
    <w:name w:val="endnote reference"/>
    <w:basedOn w:val="942"/>
    <w:semiHidden/>
    <w:unhideWhenUsed/>
    <w:pPr>
      <w:pBdr/>
      <w:spacing/>
      <w:ind/>
    </w:pPr>
    <w:rPr>
      <w:vertAlign w:val="superscript"/>
    </w:rPr>
  </w:style>
  <w:style w:type="character" w:styleId="1154">
    <w:name w:val="Unresolved Mention"/>
    <w:basedOn w:val="942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  <w:style w:type="character" w:styleId="1155" w:customStyle="1">
    <w:name w:val="Nagłówek 3 Znak"/>
    <w:basedOn w:val="942"/>
    <w:link w:val="935"/>
    <w:semiHidden/>
    <w:pPr>
      <w:pBdr/>
      <w:spacing/>
      <w:ind/>
    </w:pPr>
    <w:rPr>
      <w:rFonts w:asciiTheme="majorHAnsi" w:hAnsiTheme="majorHAnsi" w:eastAsiaTheme="majorEastAsia" w:cstheme="majorBidi"/>
      <w:color w:val="1f4d78" w:themeColor="accent1" w:themeShade="7F"/>
    </w:rPr>
  </w:style>
  <w:style w:type="paragraph" w:styleId="1156" w:customStyle="1">
    <w:name w:val="Styl1"/>
    <w:basedOn w:val="932"/>
    <w:link w:val="1157"/>
    <w:qFormat/>
    <w:pPr>
      <w:pBdr/>
      <w:spacing w:after="80" w:line="276" w:lineRule="auto"/>
      <w:ind/>
      <w:jc w:val="both"/>
    </w:pPr>
    <w:rPr>
      <w:szCs w:val="22"/>
    </w:rPr>
  </w:style>
  <w:style w:type="character" w:styleId="1157" w:customStyle="1">
    <w:name w:val="Styl1 Znak"/>
    <w:basedOn w:val="942"/>
    <w:link w:val="1156"/>
    <w:pPr>
      <w:pBdr/>
      <w:spacing/>
      <w:ind/>
    </w:pPr>
    <w:rPr>
      <w:rFonts w:ascii="Arial" w:hAnsi="Arial"/>
      <w:sz w:val="22"/>
      <w:szCs w:val="22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customXml" Target="../customXml/item1.xml" /><Relationship Id="rId15" Type="http://schemas.openxmlformats.org/officeDocument/2006/relationships/customXml" Target="../customXml/item2.xml" /><Relationship Id="rId16" Type="http://schemas.openxmlformats.org/officeDocument/2006/relationships/customXml" Target="../customXml/item3.xml" /><Relationship Id="rId17" Type="http://schemas.openxmlformats.org/officeDocument/2006/relationships/customXml" Target="../customXml/item4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Relationship Id="rId1" Type="http://schemas.openxmlformats.org/officeDocument/2006/relationships/image" Target="media/image4.jpg"/><Relationship Id="rId2" Type="http://schemas.openxmlformats.org/officeDocument/2006/relationships/image" Target="media/image5.png"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8E4BE26503C343A8433A76FA809E23" ma:contentTypeVersion="14" ma:contentTypeDescription="Utwórz nowy dokument." ma:contentTypeScope="" ma:versionID="21a724006d980a96f91a89b99e038d28">
  <xsd:schema xmlns:xsd="http://www.w3.org/2001/XMLSchema" xmlns:xs="http://www.w3.org/2001/XMLSchema" xmlns:p="http://schemas.microsoft.com/office/2006/metadata/properties" xmlns:ns2="0dd89f5d-ed21-4c6e-8756-c49d8958fa2c" xmlns:ns3="fee5f0c2-8058-4274-a625-611a6a34604d" targetNamespace="http://schemas.microsoft.com/office/2006/metadata/properties" ma:root="true" ma:fieldsID="380269fbde29fba79be040f86ba3cfaa" ns2:_="" ns3:_="">
    <xsd:import namespace="0dd89f5d-ed21-4c6e-8756-c49d8958fa2c"/>
    <xsd:import namespace="fee5f0c2-8058-4274-a625-611a6a3460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89f5d-ed21-4c6e-8756-c49d8958fa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5f0c2-8058-4274-a625-611a6a3460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8e31eb5-e8b2-4cf5-919b-bc2624734d0e}" ma:internalName="TaxCatchAll" ma:showField="CatchAllData" ma:web="fee5f0c2-8058-4274-a625-611a6a346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This value indicates the number of saves or revisions. The application is responsible for updating this value after each revision.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5f0c2-8058-4274-a625-611a6a34604d" xsi:nil="true"/>
    <lcf76f155ced4ddcb4097134ff3c332f xmlns="0dd89f5d-ed21-4c6e-8756-c49d8958fa2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368902-15A0-4705-9842-267C45A4C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89f5d-ed21-4c6e-8756-c49d8958fa2c"/>
    <ds:schemaRef ds:uri="fee5f0c2-8058-4274-a625-611a6a346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www.w3.org/2001/XMLSchema-instance"/>
  </ds:schemaRefs>
</ds:datastoreItem>
</file>

<file path=customXml/itemProps3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fee5f0c2-8058-4274-a625-611a6a34604d"/>
    <ds:schemaRef ds:uri="0dd89f5d-ed21-4c6e-8756-c49d8958fa2c"/>
    <ds:schemaRef ds:uri="http://www.w3.org/2001/XMLSchema-instan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ONLYOFFICE/9.1.0.167</Application>
  <DocSecurity>0</DocSecurity>
  <ScaleCrop>0</ScaleCrop>
  <HeadingPairs>
    <vt:vector size="0" baseType="variant"/>
  </HeadingPairs>
  <TitlesOfParts>
    <vt:vector size="0" baseType="lpstr"/>
  </TitlesOfParts>
  <Company>MRR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Soon</dc:creator>
  <cp:revision>37</cp:revision>
  <dcterms:created xsi:type="dcterms:W3CDTF">2026-05-26T07:24:00Z</dcterms:created>
  <dcterms:modified xsi:type="dcterms:W3CDTF">2026-08-16T18:31:36Z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0x010100D98E4BE26503C343A8433A76FA809E23</vt:lpwstr>
  </property>
  <property fmtid="{D5CDD505-2E9C-101B-9397-08002B2CF9AE}" pid="3" name="MediaServiceImageTags">
    <vt:lpwstr/>
  </property>
</Properties>
</file>