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0B" w:rsidRDefault="006B76B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                                                                                                            OPIS TECHNICZNY                                                                                   </w:t>
      </w:r>
      <w:r w:rsidR="00E6434C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   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Załącznik nr 1</w:t>
      </w:r>
    </w:p>
    <w:p w:rsidR="00A1310B" w:rsidRDefault="006B76B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DLA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FABRYCZNIE NOWEGO ŚREDNIEGO SAMOCHODU RATOWNICZO – GAŚNICZEGO Z NAPĘDEM 4X4 </w:t>
      </w:r>
    </w:p>
    <w:p w:rsidR="00A1310B" w:rsidRDefault="00A1310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right" w:pos="8953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"/>
        <w:tblW w:w="1513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"/>
        <w:gridCol w:w="6795"/>
        <w:gridCol w:w="3825"/>
        <w:gridCol w:w="4005"/>
      </w:tblGrid>
      <w:tr w:rsidR="00A1310B">
        <w:trPr>
          <w:trHeight w:val="567"/>
        </w:trPr>
        <w:tc>
          <w:tcPr>
            <w:tcW w:w="510" w:type="dxa"/>
            <w:shd w:val="clear" w:color="auto" w:fill="F2F2F2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795" w:type="dxa"/>
            <w:shd w:val="clear" w:color="auto" w:fill="F2F2F2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PODSTAWOWE WYMAGANIA, JAKIE POWINIEN SPEŁNIAĆ OFEROWANY POJAZD</w:t>
            </w:r>
          </w:p>
        </w:tc>
        <w:tc>
          <w:tcPr>
            <w:tcW w:w="3825" w:type="dxa"/>
            <w:shd w:val="clear" w:color="auto" w:fill="F2F2F2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005" w:type="dxa"/>
            <w:shd w:val="clear" w:color="auto" w:fill="F2F2F2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PROPOZYCJE WYKONAWCY</w:t>
            </w: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79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Podstawowe wymagania, jakie powinien spełniać oferowany samochód</w:t>
            </w:r>
          </w:p>
        </w:tc>
        <w:tc>
          <w:tcPr>
            <w:tcW w:w="382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00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Podwozie z kabiną</w:t>
            </w: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Musi spełniać wymagania polskich przepisów o ruchu drogowym, z uwzględnieniem wymagań dotyczących pojazdów uprzywilejowanych, zgodnie z ustawą z dnia 20 czerwca 1997r.„Prawo o ruchu drogowym”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Dz.U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 z 2021 r. poz. 450 z 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późn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 zm.), wraz z przepisami wykona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wczymi.</w:t>
            </w:r>
          </w:p>
          <w:p w:rsidR="00A1310B" w:rsidRDefault="006B76B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Rozporządzenia Ministra Spraw Wewnętrznych i Administracji z dnia 20 czerwca 2007 r. w sprawie wykazu wyrobów służących zapewnieniu zasad bezpieczeństwa publicznego lub ochronie zdrowia i życia oraz mienia, a także zasad wydawania dopuszczenia tych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wyrobów do użytkowania (Dz. U. Nr 143, poz. 1002, z 2010 r. nr 85 poz. 553 oraz z 2018 r. poz. 984)</w:t>
            </w:r>
          </w:p>
          <w:p w:rsidR="00A1310B" w:rsidRDefault="006B76B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Rozporządzenia Ministrów: Spraw Wewnętrznych, Obrony Narodowej, Finansów oraz Sprawiedliwości z dnia 22 marca 2019 r. w sprawie warunków technicznych pojaz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dów specjalnych i pojazdów używanych do celów specjalnych Policji, Agencji Bezpieczeństwa Wewnętrznego, Agencji Wywiadu, Służby Kontrwywiadu Wojskowego, Służby Wywiadu Wojskowego, Centralnego Biura Antykorupcyjnego, Straży Granicznej, kontroli skarbowej, S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łużby Celnej, Służby Więziennej i straży pożarnej (Dz. U. 2019 poz.594).</w:t>
            </w:r>
          </w:p>
          <w:p w:rsidR="00A1310B" w:rsidRDefault="006B76B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Samochód musi być oznakowany numerami operacyjnymi zgodnie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br/>
              <w:t xml:space="preserve">z zarządzeniem nr 1 Komendanta Głównego Państwowej Straży Pożarnej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z dnia 24 stycznia 2020 r. w sprawie gospodarki transportowej w jednostkach organizacyjnych Państwowej Straży Pożarnej.</w:t>
            </w:r>
          </w:p>
          <w:p w:rsidR="00A1310B" w:rsidRDefault="006B76B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Musi posiadać ważne świadectwo dopuszczenia wydane przez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CNBOP-PIB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br/>
              <w:t>w Józefowie k/Otwocka. Na dzień składania ofert dostarczyć do dokume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ntacji przetargowej kopię aktualnego świadectwa. </w:t>
            </w:r>
          </w:p>
          <w:p w:rsidR="00A1310B" w:rsidRDefault="006B76B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Musi posiadać aktualne świadectwo homologacji podwozia lub świadectwo zgodności WE zgodnie z odrębnymi przepisami krajowymi odnoszącymi się do prawa o ruchu drogowym. W przypadku, gdy przekroczone zostaną w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arunki zabudowy określone przez producenta podwozia wymagane jest świadectwo homologacji typu pojazdu kompletnego oraz zgoda producenta podwozia na wykonanie zabudowy. Urządzenia i podzespoły zamontowane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br/>
              <w:t>w pojeździe powinny spełniać wymagania odrębnych pr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zepisów krajowych i/lub międzynarodowych.</w:t>
            </w:r>
          </w:p>
          <w:p w:rsidR="00A1310B" w:rsidRDefault="006B76B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Musi spełniać wymagania ogólne i szczegółowe zgodnie z normą PN-EN 1846-1 i 1846-2 </w:t>
            </w:r>
          </w:p>
          <w:p w:rsidR="00A1310B" w:rsidRDefault="006B76BA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77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Pojazd oraz podwozie fabrycznie nowe, </w:t>
            </w:r>
            <w:r w:rsidR="00F97676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rok produkcji podwozia min. 2025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silnik, podwozie i kabina tego samego producenta.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77"/>
              </w:tabs>
              <w:ind w:left="397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679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Samochód musi spełniać wymagania dla klasy średniej M (wg PN-EN 1846-1)</w:t>
            </w: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6795" w:type="dxa"/>
            <w:tcBorders>
              <w:bottom w:val="single" w:sz="4" w:space="0" w:color="000000"/>
            </w:tcBorders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Samochód kategorii 2 - uterenowionej (wg PN-EN 1846-1) 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tcBorders>
              <w:bottom w:val="single" w:sz="4" w:space="0" w:color="000000"/>
            </w:tcBorders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397"/>
        </w:trPr>
        <w:tc>
          <w:tcPr>
            <w:tcW w:w="510" w:type="dxa"/>
            <w:shd w:val="clear" w:color="auto" w:fill="F2F2F2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795" w:type="dxa"/>
            <w:shd w:val="clear" w:color="auto" w:fill="F2F2F2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Podwozie z kabiną</w:t>
            </w:r>
          </w:p>
        </w:tc>
        <w:tc>
          <w:tcPr>
            <w:tcW w:w="3825" w:type="dxa"/>
            <w:shd w:val="clear" w:color="auto" w:fill="F2F2F2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005" w:type="dxa"/>
            <w:shd w:val="clear" w:color="auto" w:fill="F2F2F2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Podwozie z kabiną</w:t>
            </w: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79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Maksymalna masa rzeczywista (MMR)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samochodu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gotowego do akcji ratowniczo – gaśniczej nie może przekroczyć 16 000 kg</w:t>
            </w:r>
          </w:p>
        </w:tc>
        <w:tc>
          <w:tcPr>
            <w:tcW w:w="382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Podać wartość</w:t>
            </w:r>
          </w:p>
        </w:tc>
        <w:tc>
          <w:tcPr>
            <w:tcW w:w="400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Pojazd gotowy do akcji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(pojazd z załogą, pełnymi zbiornikami, zabudową i wyposażeniem) powinien mieć:</w:t>
            </w:r>
          </w:p>
          <w:p w:rsidR="00A1310B" w:rsidRDefault="006B76B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Kąt natarcia: min. 23º,</w:t>
            </w:r>
          </w:p>
          <w:p w:rsidR="00A1310B" w:rsidRDefault="006B76B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Kąt zejścia: min. 23º,</w:t>
            </w:r>
          </w:p>
          <w:p w:rsidR="00A1310B" w:rsidRDefault="006B76B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Prześwit pod osiami: min. 250 mm,</w:t>
            </w:r>
          </w:p>
          <w:p w:rsidR="00A1310B" w:rsidRDefault="006B76B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Wysokość całkowita pojazdu: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. 3400 mm (z drabiną dwuprzęsłową) </w:t>
            </w:r>
          </w:p>
          <w:p w:rsidR="00A1310B" w:rsidRDefault="006B76BA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Długość całkowita: max 8500 mm 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ind w:left="72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Podać wartości</w:t>
            </w:r>
          </w:p>
        </w:tc>
        <w:tc>
          <w:tcPr>
            <w:tcW w:w="400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Zawieszenie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mechaniczne na przedniej i tylnej osi, musi być dostosowane do maksymalnej masy rzeczywistej pojazdu. 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DMC podwozia pojazdu nie mniejsza niż 18000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Rezerwa masy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pojazdu gotowego do akcji ratowniczo – gaśniczej (pojazd z załogą, pełnymi zbiornikami, zabudową i wyposażeniem) w stosunku do dopuszczalnej masy całkowitej pojazdu określonej przez producenta (liczone do tzw. DMC technicznej) min. 8%. Nie dopuszcza się m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niejszej wartości z uwagi na działania pojazdu w trudnych warunkach terenowych.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Podać wartość</w:t>
            </w:r>
          </w:p>
        </w:tc>
        <w:tc>
          <w:tcPr>
            <w:tcW w:w="400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679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Układ napędowy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pojazdu składa się z:</w:t>
            </w:r>
          </w:p>
          <w:p w:rsidR="00A1310B" w:rsidRDefault="006B76B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stałego napędu na wszystkie osie, </w:t>
            </w:r>
          </w:p>
          <w:p w:rsidR="00A1310B" w:rsidRDefault="006B76B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możliwość blokady mechanizmów osi przedniej i tylnej</w:t>
            </w:r>
          </w:p>
          <w:p w:rsidR="00A1310B" w:rsidRDefault="006B76B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możliwość blokady międzyosiowej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bookmarkStart w:id="0" w:name="_heading=h.e9bo5x27vy7e" w:colFirst="0" w:colLast="0"/>
            <w:bookmarkEnd w:id="0"/>
          </w:p>
        </w:tc>
        <w:tc>
          <w:tcPr>
            <w:tcW w:w="382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Należy podać rodzaj napędu.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Parametr punktowany przy ocenie ofert (kryterium parametry techniczne):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- brak możliwości odłączenia osi przedniej (stały napęd 4x4) – 0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pkt</w:t>
            </w:r>
            <w:proofErr w:type="spellEnd"/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- możliwości odłączenia osi przedniej (napęd rozłączany 4x4) – 5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400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567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679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Koła i ogumienie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: ogumienie z bieżnikiem uniwersalnym (szosowo-terenowym) dostosowanym do różnych warunków atmosferycznych (wielosezonowe). Na osi przedniej ogumienie pojedyncze min. 385mm szerokości, na osi tylnej koła bliźniacze. Ogumienie osi kierowanej powinno mieć wi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ększy rozmiar od osi tylnej. Wartości nominalne ciśnienia w ogumieniu trwale umieszczone nad kołami.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shd w:val="clear" w:color="auto" w:fill="auto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6795" w:type="dxa"/>
            <w:shd w:val="clear" w:color="auto" w:fill="FFFFFF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Silnik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o zapłonie samoczynnym przystosowanym do ciągłej pracy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Minimalna moc silnika: 235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Silnik spełniający normy czystości spalin EURO 6.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Silnik pojazdu przystosowany do ciągłej pracy, bez uzupełnienia cieczy chłodzącej, oleju oraz przekraczania dopuszczalnych parametrów pracy (np. temperatury) w czasie postoju min. 4 godz.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Podstawowa obsługa silnika możliwa bez podnoszenia kabiny.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Skrzynia biegów automatyczna.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Ponadto pojazd wyposażony w </w:t>
            </w:r>
          </w:p>
          <w:p w:rsidR="00A1310B" w:rsidRDefault="006B76BA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hamulce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bębnowe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na wszystkich osiach</w:t>
            </w:r>
          </w:p>
          <w:p w:rsidR="00A1310B" w:rsidRDefault="006B76BA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system ABS, ESP 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72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Należy podać markę, model i typ podwozia oraz typ i moc nominalną silnika.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Parametr mocy nominalnej silnika jest parametrem punktowanym przy ocenie ofert (kryterium parametry techniczne):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Punktacja przyznana przez Zamawiającego: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za min. moc silnika 210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0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pkt</w:t>
            </w:r>
            <w:proofErr w:type="spellEnd"/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210-230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5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pkt</w:t>
            </w:r>
            <w:proofErr w:type="spellEnd"/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powyżej 230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10 pkt. 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Należy podać rodzaj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oraz typ zastosowanej skrzyni biegów (oznaczenie producenta)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Parametr punktowany przy ocenie ofert (kryterium parametry techniczne):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bookmarkStart w:id="1" w:name="_heading=h.7vt9klei5e6u" w:colFirst="0" w:colLast="0"/>
            <w:bookmarkEnd w:id="1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- skrzynia biegów manualna – 0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pkt</w:t>
            </w:r>
            <w:proofErr w:type="spellEnd"/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- skrzynia biegów zautomatyzowana – 5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pkt</w:t>
            </w:r>
            <w:proofErr w:type="spellEnd"/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- skrzynia biegów automatyczna – 10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400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679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Kabina fabrycznie czterodrzwiowa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, jednomodułowa, na bazie jednej płyty podłogowej, zawieszona pneumatycznie, zapewniająca dostęp do silnika, 6-osobowa, w układzie miejsc 1 + 1 + 4 (siedzenia przodem do kierunku jazdy). Podłoga kabiny w wykonaniu antypoślizgowym.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u w:val="single"/>
              </w:rPr>
              <w:t>Kabina wyposażona minimum w: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indywidualne oświetlenie do czytania mapy dla pozycji dowódcy,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fabryczny układ klimatyzacji kabiny,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kierownicę regulowaną w 2-ch płaszczyznach,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niezależny układ ogrzewania i wentylacji, umożliwiający ogrzewanie kabiny przy wyłą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czonym silniku,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fabryczny radioodtwarzacz wraz z instalacją głośnikową,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boczne szyby z przodu i z tyłu elektrycznie podnoszone i opuszczane,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kabina wyposażona w bezwładnościowe pasy bezpieczeństwa dla każdego członka załogi,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fotel dla kierowcy z zawieszeni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em pneumatycznym i regulacją wysokości, odległości i pochylenia oparcia,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wszystkie fotele wyposażone w zagłówki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siedzenia pokryte materiałem łatwo zmywalnym, odpornym na rozdarcie i ścieranie,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tylne siedzisko z możliwością przewożenia 4 szt. aparatów powietrznych w kabinie pojazdu wg rozwiązania technicznego umożliwiającego: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1021" w:hanging="378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   - jednoczesne przewożenie aparatów z różnego rodzajami butli;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1021" w:hanging="378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 xml:space="preserve">   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- odblokowanie każdego aparatu indywidualnie (dźwign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ia odblokowująca o konstrukcji uniemożliwiającej przypadkowe odblokowanie np. w czasie hamowania pojazdu),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1021" w:hanging="378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  - sposób mocowania winien zapewnić możliwość założenia aparatu bez konieczności jego wcześniejszego wypinania (dot. czterech aparatów dla załogi),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1021" w:hanging="378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  - między uchwytami na aparaty powietrzne zamontowane uchwyty do przewożenia butli zapasowych z systemem zapięcia uniemożliwiającego przypadkowego wypadnięcia butli np. w czasie hamowania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dodatkowy schowek na sprzęt w skrzyni pod fotelami załogi,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luster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ka zewnętrzne, boczne elektrycznie sterowane i ogrzewane,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lusterko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rampowe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krawężnikowe z prawej strony,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lusterko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rampowe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dojazdowe, przednie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szperacz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pogorzeliskowy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z gniazdem oraz uchwytem zamocowanym z przodu pojazdu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sterowanie autopompą, zraszaczam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 podwozia, oświetleniem skrytek i pola pracy oraz falą świetlną poprzez panel z wyświetlaczem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LCD 4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”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z poziomu kierowcy,  wraz z informacją na nim o otwartych/zamkniętych roletach, podestach, skrzyni na dachu i wysuniętym maszcie oświetleniowym, podpiętym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systemem ładowania, rozłożonej drabinie do wejścia na dach, a także informacji o załączonej autopompie oraz jej obrotach czy ilości środków gaśniczych i ciśnienia roboczego,</w:t>
            </w:r>
            <w:r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 xml:space="preserve"> 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dodatkowo między fotelem kierowcy oraz dowódcy zamontowana skrzynia zamykana na dokumentację operacyjną,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w przedziale załogowym zamontowany regał kabinowy na podręczny sprzęt załogi wraz z podświetleniem nocnym w kolorze czerwonym. Ostateczna koncepcja wykonania regału zostanie ustalona z użytkownikiem na etapie realizacji zamówienia. 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uchwyty na hełmy dla do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wódcy i kierowcy przymocowane do regału kabinowego,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wyprowadzona instalacja oraz montaż ładowarek radiotelefonów i latarek kątowych dostarczonych przez użytkownika na regale kabinowym i płycie między kierowcą i dowódcą,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oświetlenie kabiny powinno być uruch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amiane automatycznie po otwarciu drzwi tej części kabiny. Powinna istnieć możliwość włączenia oświetlenia kabiny, gdy drzwi są zamknięte. Drzwi kabiny zamykane kluczem, wszystkie zamki otwierane tym samym kluczem. 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informację o włączonym/wyłączonym ogrzewa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niu przedziału autopompy,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przygotowana instalacja pod radiotelefon przewoźny zamontowany przez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Wykonawcę, spełniający minimalne wymagania techniczno-funkcjonalne określone w załączniku nr 3 (w przypadku systemu Tetra – w załączniku nr 6) do instrukcji stan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owiącej załącznik do rozkazu nr 8 Komendanta Głównego PSP z dnia 5 kwietnia 2019 r. w sprawie wprowadzenia nowych zasad organizacji łączności radiowej. Samochód wyposażony w instalacj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ę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antenową wraz z anteną. Radiotelefon zasilany oddzielną przetwornicą na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pięcia. W przedziale autopompy zainstalowany dodatkowy głośnik z mikrofonem współpracujący z radiostacją samochodową, umożliwiające prowadzenie korespondencji z przedziału autopompy,</w:t>
            </w:r>
          </w:p>
          <w:p w:rsidR="00A1310B" w:rsidRDefault="006B76B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kamerę cofania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643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2.9.</w:t>
            </w:r>
          </w:p>
        </w:tc>
        <w:tc>
          <w:tcPr>
            <w:tcW w:w="679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Kolorystyka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:</w:t>
            </w:r>
          </w:p>
          <w:p w:rsidR="00A1310B" w:rsidRDefault="006B76BA">
            <w:pPr>
              <w:pStyle w:val="normal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podwozie – czarne (dopuszcza się kolor ciemnoszary, w przypadku gdy jest to fabryczny kolor producenta podwozia), </w:t>
            </w:r>
          </w:p>
          <w:p w:rsidR="00A1310B" w:rsidRDefault="006B76BA">
            <w:pPr>
              <w:pStyle w:val="normal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błotniki przednie, tylne i zderzaki – białe,</w:t>
            </w:r>
          </w:p>
          <w:p w:rsidR="00A1310B" w:rsidRDefault="006B76BA">
            <w:pPr>
              <w:pStyle w:val="normal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kabina, zabudowa – czerwone RAL3000,</w:t>
            </w:r>
          </w:p>
          <w:p w:rsidR="00A1310B" w:rsidRDefault="006B76BA">
            <w:pPr>
              <w:pStyle w:val="normal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drzwi żaluzjowe w kolorze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grafitowym,</w:t>
            </w:r>
          </w:p>
          <w:p w:rsidR="00A1310B" w:rsidRDefault="006B76BA">
            <w:pPr>
              <w:pStyle w:val="normal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boczne ścian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zabudow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y posiadają taśmy odblaskowe zwiększające widoczność pojazdu (poziome i pionowe). </w:t>
            </w:r>
          </w:p>
          <w:p w:rsidR="00A1310B" w:rsidRDefault="006B76BA">
            <w:pPr>
              <w:pStyle w:val="normal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oznakowanie pojazdów numerami operacyjnymi zgodnie z wykazem dostarczonym przez zamawiającego,</w:t>
            </w:r>
          </w:p>
          <w:p w:rsidR="00A1310B" w:rsidRDefault="006B76BA">
            <w:pPr>
              <w:pStyle w:val="normal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po obu stronach na kabinie załogi logo jednostki według projektu przekazanego przez zamawiającego na etapie realizacji zamówienia,</w:t>
            </w:r>
          </w:p>
          <w:p w:rsidR="00A1310B" w:rsidRDefault="006B76BA">
            <w:pPr>
              <w:pStyle w:val="normal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naklejki odblaskowe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raz informujące o dofinansowaniach według projektu przekazanego przez zamawiającego na etapie realizacji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zamówienia</w:t>
            </w:r>
          </w:p>
          <w:p w:rsidR="00A1310B" w:rsidRDefault="006B76BA">
            <w:pPr>
              <w:pStyle w:val="normal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podwozie zabezpieczone przed korozją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ind w:left="36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Wszelkie funkcje wszystkich układów i urządzeń pojazdu muszą zachować swoje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właściwości pracy w temperaturach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otoczenia: od - 25ºC  do + 50º C.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873"/>
                <w:tab w:val="left" w:pos="6513"/>
                <w:tab w:val="left" w:pos="8514"/>
                <w:tab w:val="left" w:pos="14691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2.11.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Wylot spalin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nie może być skierowany na stanowisko obsługi poszczególnych urządzeń pojazdu oraz powinien być umieszczony między osiami i skierowany w lewo.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2.12.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Pojemność zbiornika paliwa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min. 150 litrów powinna zapewniać - przejazd min 300 km lub 4 godz. pracę autopompy.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Zbiornik paliwa zlokalizowany poza obrysem zabudowy i zabezpieczony przed dostępem osób postronnych.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13"/>
                <w:tab w:val="left" w:pos="10395"/>
                <w:tab w:val="left" w:pos="14730"/>
              </w:tabs>
              <w:ind w:left="161" w:hanging="161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2.13.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Pojazd wyposażony w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zaczep holowniczy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ze złączami elektrycznymi i pneumatycznymi. Zaczep służący do holowania przyczep o dopuszczalnej masie całkowitej min. 10 t. Zaczep posiadający homologację oraz certyfikat dopuszczenia. </w:t>
            </w: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2.14.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Pojazd wyposażony w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belkę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przeciwnajazdową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z hakiem 3.5t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zamontowaną z tyłu pojazdu oraz gniazdem elektrycznym 12V (miejsce montażu gniazda do uzgodnienia z Zamawiającym).</w:t>
            </w: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2.15.</w:t>
            </w:r>
          </w:p>
        </w:tc>
        <w:tc>
          <w:tcPr>
            <w:tcW w:w="679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Pojazd wyposażony w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standardowe wyposażenie podwozia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(klin pod koła, zestaw narzędzi samochodowych, klucze do kół, podnośnik hydrauliczny, trójkąt ostrzegawczy, apteczkę samochodową, gaśnicę proszkową 2kg oraz kamizelkę ostrzegawczą) 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2.15.</w:t>
            </w:r>
          </w:p>
        </w:tc>
        <w:tc>
          <w:tcPr>
            <w:tcW w:w="6795" w:type="dxa"/>
            <w:tcBorders>
              <w:bottom w:val="single" w:sz="4" w:space="0" w:color="000000"/>
            </w:tcBorders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9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Zaczepy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do mocowania lin do wyciągania samochodu z przodu i z tyłu, dostosowane do masy własnej pojazdu.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9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tcBorders>
              <w:bottom w:val="single" w:sz="4" w:space="0" w:color="000000"/>
            </w:tcBorders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tcBorders>
              <w:bottom w:val="single" w:sz="4" w:space="0" w:color="000000"/>
            </w:tcBorders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2.16.</w:t>
            </w:r>
          </w:p>
        </w:tc>
        <w:tc>
          <w:tcPr>
            <w:tcW w:w="6795" w:type="dxa"/>
            <w:tcBorders>
              <w:bottom w:val="single" w:sz="4" w:space="0" w:color="000000"/>
            </w:tcBorders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9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Przystawka odbioru mocy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przystosowana do długiej pracy, z sygnalizacją włączenia w kabinie kierowcy. Możliwość Załączania/Wyłączania przystawki z poziomu przedziału autopompy na panelu sterowniczym.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tcBorders>
              <w:bottom w:val="single" w:sz="4" w:space="0" w:color="000000"/>
            </w:tcBorders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tcBorders>
              <w:bottom w:val="single" w:sz="4" w:space="0" w:color="000000"/>
            </w:tcBorders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2.17.</w:t>
            </w:r>
          </w:p>
        </w:tc>
        <w:tc>
          <w:tcPr>
            <w:tcW w:w="6795" w:type="dxa"/>
            <w:tcBorders>
              <w:bottom w:val="single" w:sz="4" w:space="0" w:color="000000"/>
            </w:tcBorders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9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Instalacja pneumatyczna pojazdu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zapewniająca możliwość wyjazdu w ciągu 60s, od chwili uruchomienia silnika samochodu, jednocześnie musi być zapewnione prawidłowe funkcjonowanie hamulców. Pojazd wyposażony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br/>
              <w:t>w osuszacz powietrza w układzie pneumatycznym.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tcBorders>
              <w:bottom w:val="single" w:sz="4" w:space="0" w:color="000000"/>
            </w:tcBorders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2.18.</w:t>
            </w:r>
          </w:p>
        </w:tc>
        <w:tc>
          <w:tcPr>
            <w:tcW w:w="6795" w:type="dxa"/>
            <w:tcBorders>
              <w:bottom w:val="single" w:sz="4" w:space="0" w:color="000000"/>
            </w:tcBorders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9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Pojazd wyposażony dodatkowo w:</w:t>
            </w:r>
          </w:p>
          <w:p w:rsidR="00A1310B" w:rsidRDefault="006B76B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światła do jazdy dziennej LED,</w:t>
            </w:r>
          </w:p>
          <w:p w:rsidR="00A1310B" w:rsidRDefault="006B76B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światła mijania w technologii LED z możliwością automatycznego włączenia po uruchomienia sygnalizacji pojazdu uprzywilejowanego,</w:t>
            </w:r>
          </w:p>
          <w:p w:rsidR="00A1310B" w:rsidRDefault="006B76B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owiewka przeciwsłoneczna zamontowana w górnej części kabiny nad p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rzednią szybą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9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tcBorders>
              <w:bottom w:val="single" w:sz="4" w:space="0" w:color="000000"/>
            </w:tcBorders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tcBorders>
              <w:bottom w:val="single" w:sz="4" w:space="0" w:color="000000"/>
            </w:tcBorders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397"/>
        </w:trPr>
        <w:tc>
          <w:tcPr>
            <w:tcW w:w="510" w:type="dxa"/>
            <w:shd w:val="clear" w:color="auto" w:fill="F2F2F2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95" w:type="dxa"/>
            <w:shd w:val="clear" w:color="auto" w:fill="F2F2F2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Instalacja elektryczna oraz ostrzegawcza</w:t>
            </w:r>
          </w:p>
        </w:tc>
        <w:tc>
          <w:tcPr>
            <w:tcW w:w="3825" w:type="dxa"/>
            <w:shd w:val="clear" w:color="auto" w:fill="F2F2F2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F2F2F2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Instalacja elektryczna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oraz ostrzegawcza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pojazdu składa się z </w:t>
            </w:r>
          </w:p>
          <w:p w:rsidR="00A1310B" w:rsidRDefault="006B76B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Oświetlenia ostrzegawczego </w:t>
            </w:r>
          </w:p>
          <w:p w:rsidR="00A1310B" w:rsidRDefault="006B76B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Sygnalizacji dźwiękowej</w:t>
            </w:r>
          </w:p>
          <w:p w:rsidR="00A1310B" w:rsidRDefault="006B76B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Akumulatorów oraz alternatora do ich ładowania podczas jazdy</w:t>
            </w:r>
          </w:p>
          <w:p w:rsidR="00A1310B" w:rsidRDefault="006B76B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Systemu  ładowania pojazdu podczas postoju</w:t>
            </w:r>
          </w:p>
          <w:p w:rsidR="00A1310B" w:rsidRDefault="006B76B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Instalacji przeznaczonej do ładowania wyposażenia dodatkowego (wewnątrz kabiny)</w:t>
            </w:r>
          </w:p>
          <w:p w:rsidR="00A1310B" w:rsidRDefault="006B76B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Oświetlenia zewnętrznego</w:t>
            </w:r>
          </w:p>
          <w:p w:rsidR="00A1310B" w:rsidRDefault="006B76B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 xml:space="preserve">Oświetlenia wewnętrznego </w:t>
            </w:r>
          </w:p>
          <w:p w:rsidR="00A1310B" w:rsidRDefault="006B76BA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Zamontowany uchwyt na reflektor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pogorzeliskowy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na belce reflektorów dalekosiężnych/ lub atrapie przedniej wraz z wyprowadzonym gniazdem napięciowym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br/>
            </w: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Urządzenia sygnalizacyjno-ostrzegawcze świetlne i dźwiękowe pojazdu uprzywilejowanego: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A1310B" w:rsidRDefault="006B76B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niska belka sygnalizacyjna z transparentną pokrywą oraz modułami LED na całej długości belki, zamontowana na dachu kabiny kierowcy oraz zabezpieczona przed przypadkowym uszkodzeniem,</w:t>
            </w:r>
          </w:p>
          <w:p w:rsidR="00A1310B" w:rsidRDefault="006B76B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w tylnej części zabudowy zamontowane oświetlenie ostrzegawcze na górnych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narożnikach zabudowy (wbudowane w obrys zabudowy), widoczne zarówno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br/>
              <w:t>z tyłu jak i boków pojazdu,</w:t>
            </w:r>
          </w:p>
          <w:p w:rsidR="00A1310B" w:rsidRDefault="006B76B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cztery lampy sygnalizacyjne niebieskie wykonane w technologii LED, zamontowane z przodu pojazdu na pokrywie silnika, na wysokości lusterka wstecznego samochodu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osobowego oraz dwie identyczne lampy sygnalizacyjne z przodu pojazdu na owiewkach bocznych,</w:t>
            </w:r>
          </w:p>
          <w:p w:rsidR="00A1310B" w:rsidRDefault="006B76B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po jednej lampie sygnalizacyjnej umieszczonej po obu stronach pojazdu na zabudowie,</w:t>
            </w:r>
          </w:p>
          <w:p w:rsidR="00A1310B" w:rsidRDefault="006B76B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urządzenie dźwiękowe (min. 4 modulowanych tonów + „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airhorn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”) wyposażone w funkc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ję megafonu oraz tryb nocny.</w:t>
            </w:r>
            <w:r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 xml:space="preserve"> </w:t>
            </w:r>
          </w:p>
          <w:p w:rsidR="00A1310B" w:rsidRDefault="006B76B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wzmacniacz o mocy min. 200W wraz z dwoma głośnikami o mocy 100W. Głośniki zamontowane w zderzaku zabezpieczone dodatkowo przed uszkodzeniem mechanicznym. Miejsce zamocowania sterownika i mikrofonu w kabinie zapewniające łatwy dostęp dla kierowcy oraz dowód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cy. Mocowanie w/w osprzętu w kabinie powinno uwzględnić zakrycie śrub mocujących.</w:t>
            </w:r>
          </w:p>
          <w:p w:rsidR="00A1310B" w:rsidRDefault="006B76B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zestaw żółtych lamp na tylnej ścianie zabudowy do kierowanie ruchem pojazdów wykonanych w technologii LED , sterowanym z poziomu zarówno przedziału autopompy jak i poziomu ki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erowcy</w:t>
            </w:r>
          </w:p>
          <w:p w:rsidR="00A1310B" w:rsidRDefault="006B76B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sygnalizacja świetlna i dźwiękowa włączonego biegu wstecznego,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          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z możliwością ręcznego odłączenia sygnału dźwiękowego. Po uruchomieniu biegu wstecznego powinno uruchomić się dodatkowo oświetlenie robocze wokół pojazdu. Z tyłu pojaz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du zamontowana kamera cofania z podglądem na wyświetlaczu fa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brycznym radia w pojeździe.</w:t>
            </w:r>
          </w:p>
          <w:p w:rsidR="00A1310B" w:rsidRDefault="006B76B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dodatkowy pneumatyczny sygnał dźwiękowy z możliwością sterowania przez kierowcę oraz dowódcę.</w:t>
            </w:r>
          </w:p>
          <w:p w:rsidR="00A1310B" w:rsidRDefault="006B76BA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Montaż sygnałów dźwiękowych typu Martin Horn dostarczonych przez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żytkowni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ka. Miejsce oraz sposób montażu do ustalenia z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żytkownikiem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br/>
              <w:t>w trakcie realizacji zamówienia.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36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Instalacja elektryczna jednoprzewodowa 24 V, z biegunem ujemnym na masie wyposażona w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główny wyłącznik prądu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zlokalizowany z lewej strony pojazdu, umożliwiający odłączenie akumulatorów od wszystkich systemów elektrycznych (z wyjątkiem tych, które wymagają stałego zasilania). Moc alternatora (min. 100 A) i pojemność akumulatorów (min. 175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Ah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) musi zapewnić pełne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zapotrzebowanie na energię elektryczną przy jej maksymalnym obciążeniu.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Układ prostowniczy do ładowania akumulatorów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z zewnętrznego źródła 230V oraz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sprężonego powietrza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do uzupełnienia układu pneumatycznego pojazdu z sieci stacjonarnej. System powinien być kompletny, gotowy do ładowania akumulatorów bez użycia zewnętrznych układów prostowniczych. W kabinie kierowcy sygnalizacja wizualna podłączenia instalacji do zewnętrz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nego źródła. Przewód automatycznie odłącza się w momencie uruchomienia samochodu. Wtyczka z przewodem elektrycznym i pneumatycznym o długości min. 10m.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br/>
              <w:t>Gniazdo do ładowania akumulatorów oraz uzupełnienia powietrza z źródła zewnętrznego umieszczone po lewej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stronie pojazdu.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Oświetlenie zewnętrzne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Pojazd powinien posiadać oświetlenie typu LED pola pracy wokół samochodu zapewniające oświetlenie w warunkach słabej widoczności oraz oświetlenie powierzchni dachu roboczego.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Dodatkowe światło zamontowane na kabinie pojazdu po obu stronach.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Oświetlenie zewnętrzne uruchamiane w kabinie kierowcy.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br/>
              <w:t>Oświetlenie obrysowe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/ostrzegawcze otwartych podestów typu LED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873"/>
                <w:tab w:val="left" w:pos="6513"/>
                <w:tab w:val="left" w:pos="8514"/>
                <w:tab w:val="left" w:pos="14691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3.7.</w:t>
            </w:r>
          </w:p>
        </w:tc>
        <w:tc>
          <w:tcPr>
            <w:tcW w:w="6795" w:type="dxa"/>
            <w:tcBorders>
              <w:bottom w:val="single" w:sz="4" w:space="0" w:color="000000"/>
            </w:tcBorders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Oświetlenie wewnętrzne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: Skrytki na sprzęt, przedział autopompy muszą być wyposażone w oświetlenie wewnętrzne włączane automatycznie po otwarciu skrytki. Główny wyłącznik oświetlenia skrytek powinien być zainstalowany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br/>
              <w:t>w kabinie kierowcy. Ww. oświetlenie wykonane w technologii p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asków LED.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tcBorders>
              <w:bottom w:val="single" w:sz="4" w:space="0" w:color="000000"/>
            </w:tcBorders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tcBorders>
              <w:bottom w:val="single" w:sz="4" w:space="0" w:color="000000"/>
            </w:tcBorders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3.8.</w:t>
            </w:r>
          </w:p>
        </w:tc>
        <w:tc>
          <w:tcPr>
            <w:tcW w:w="6795" w:type="dxa"/>
            <w:tcBorders>
              <w:bottom w:val="single" w:sz="4" w:space="0" w:color="000000"/>
            </w:tcBorders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Oświetlenie dalekosiężne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na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przodzie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kabiny samochodu (nad pokrywą silnika) zlokalizowane 4 halogeny dalekosiężne zamocowane na belce.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825" w:type="dxa"/>
            <w:tcBorders>
              <w:bottom w:val="single" w:sz="4" w:space="0" w:color="000000"/>
            </w:tcBorders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tcBorders>
              <w:bottom w:val="single" w:sz="4" w:space="0" w:color="000000"/>
            </w:tcBorders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397"/>
        </w:trPr>
        <w:tc>
          <w:tcPr>
            <w:tcW w:w="510" w:type="dxa"/>
            <w:shd w:val="clear" w:color="auto" w:fill="F2F2F2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795" w:type="dxa"/>
            <w:shd w:val="clear" w:color="auto" w:fill="F2F2F2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Zabudowa pożarnicza:</w:t>
            </w:r>
          </w:p>
        </w:tc>
        <w:tc>
          <w:tcPr>
            <w:tcW w:w="3825" w:type="dxa"/>
            <w:shd w:val="clear" w:color="auto" w:fill="F2F2F2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005" w:type="dxa"/>
            <w:shd w:val="clear" w:color="auto" w:fill="F2F2F2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Zabudowa pożarnicza:</w:t>
            </w:r>
          </w:p>
        </w:tc>
      </w:tr>
      <w:tr w:rsidR="00A1310B">
        <w:trPr>
          <w:trHeight w:val="442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Rama p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ośrednia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wykonana ze stali konstrukcyjnej zgodnej z wytycznymi producenta podwozia. Rama powinna być wyposażona w elementy amortyzujące.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42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Zabudowa samonośna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wykonana w całości z materiałów odpornych na korozję. Szkielet z profili aluminiowych skręcany za pomocą metalowych elementów złącznych, poszycia z aluminium, elementy wykończeniowe z tworzyw sztucznych wykonanych metodą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termoformingu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. Podłoga skrytek wyko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ńczona gładką blachą kwasoodporną bez progu. Aluminiowy system mocowania półek w skrytkach sprzętowych umożliwia płynną regulację wysokości. Wyklucza się inne stale bez względu na rodzaj zabezpieczenia antykorozyjnego.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Dach zabudowy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w formie podestu roboczego, w wykonaniu antypoślizgowym z zamontowanymi uchwytami na sprzęt. Krawędzie dachu zabezpieczone balustradą o wysokości nie mniejszej niż 350 mm zintegrowaną z zabudową z zamontowanymi lampami roboczymi.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br/>
              <w:t>Na dachu znajduje się sys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tem mocowania oraz łatwego zdejmowania drabiny strażackiej 2-przęsłowej z podporami, posiadającą aktualne Świadectwo Dopuszczenia CNBOP o długości nie mniejszej niż 8,0m (w pozycji rozłożonej). Drabina dostarczona zostanie przez użytkownika.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br/>
              <w:t>Dodatkowo na 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achu pojazdu zamontowana skrzynia na sprzęt wykonana z blachy aluminiowej. Skrzynia musi posiadać oświetlenie LED odporne na warunki atmosferyczne oraz zabezpieczone przed uszkodzeniem mechanicznym (np. siatką ze stali) 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Aluminiowa drabina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wejścia na dach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umieszczona na tylnej ścianie zabudowy po prawej stronie (od strony chodnika) umożliwiająca bezpieczne wejście na dach.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Drabina powinna być rozkładana i nachylona pod kątem w stosunku do ściany tylnej zabudowy, co ma ułatwić bezpieczne wcho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dzenie na dach pojazdu. Stopnie drabiny w wykonaniu antypoślizgowym. W pobliżu górnej części drabiny zamocowany uchwyt(y) ułatwiające wchodzenie. 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510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4.5.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Podesty robocze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zamontowane wzdłuż zabudowy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wyposażone w siłowniki gazowe wspomagające ich otwieranie/zamykanie. Podesty powinny być zabezpieczone dodatkowymi zamkami przed niepożądanym otwarciem                 w przypadku awarii siłowników. Uchylenie (niedomknięcie) lub wysunięcie podestów i żalu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zji musi być sygnalizowane w kabinie kierowcy. Zewnętrzna krawędź podestów tworząca równą linię po rozłożeniu. Podesty wyposażone          w pomarańczowe oświetlenie ostrzegawcze LED.</w:t>
            </w: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4.6.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Boczne skrytki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w układzie 3+3+1 zamykane żaluzjami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bryzgo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- i pyłoszczelnymi wspomaganymi systemem sprężynowym wykonane z materiałów odpornych na korozję, wyposażone w zamki zamykane na klucz, jeden klucz powinien pasować do wszystkich zamków. Zamknięcia żaluzji typu rur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kowego, wyposażone w taśmy ułatwiające zamykanie. 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4.7.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Aranżacja skrytek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powinna być wykonana w sposób ergonomiczny umożliwiający jego późniejszą modyfikację przez użytkownika końcowego. Zastosowane półki sprzętowe wykonane z aluminium, z możliwością regulacji wysokości półek. Głębokość każdej skrytki nie powinna być mniejsza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niż 550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. Półki wykonane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br/>
              <w:t>z gładkiej blachy aluminiowej.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4.8.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Przedział sprzętowy za kabiną pojazdu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, dostępny od strony kierowcy z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miejscem na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pionową ściankę </w:t>
            </w:r>
            <w:hyperlink r:id="rId8">
              <w:r>
                <w:rPr>
                  <w:rFonts w:ascii="Arial Narrow" w:eastAsia="Arial Narrow" w:hAnsi="Arial Narrow" w:cs="Arial Narrow"/>
                  <w:color w:val="1155CC"/>
                  <w:sz w:val="22"/>
                  <w:szCs w:val="22"/>
                  <w:u w:val="single"/>
                </w:rPr>
                <w:t>m.in</w:t>
              </w:r>
            </w:hyperlink>
            <w:r>
              <w:rPr>
                <w:rFonts w:ascii="Arial Narrow" w:eastAsia="Arial Narrow" w:hAnsi="Arial Narrow" w:cs="Arial Narrow"/>
                <w:sz w:val="22"/>
                <w:szCs w:val="22"/>
              </w:rPr>
              <w:t>. na sprzęt burzący, wysuwaną na lewą stronę pojazdu.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4.9.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Zabudowa wyposażona w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cztery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szuflady-tace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wysuwane przeznaczone do transportu</w:t>
            </w:r>
          </w:p>
          <w:p w:rsidR="00A1310B" w:rsidRDefault="006B76B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Średniego zestawu narzędzi hydraulicznych</w:t>
            </w:r>
          </w:p>
          <w:p w:rsidR="00A1310B" w:rsidRDefault="006B76B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Pompy szlamowej,</w:t>
            </w:r>
          </w:p>
          <w:p w:rsidR="00A1310B" w:rsidRDefault="006B76B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Pompy pływającej,</w:t>
            </w:r>
          </w:p>
          <w:p w:rsidR="00A1310B" w:rsidRDefault="006B76BA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Agregatu prądotwórczego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Szuflady i wysuwane tace muszą się automatycznie blokować w pozycji zamkniętej i całkowicie otwartej oraz posiadać zabezpieczenie przed całkowitym wyciągnięciem (wypadnięciem z prowadnic). Uchwyty, klamki wszystkich urządzeń samochodu, drzwi żaluzjowych, s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zuflad, tac, muszą być tak skonstruowane, aby umożliwiały ich obsługę w rękawicach.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Miejsce montażu szuflad do uzgodnienia na etapie produkcji pojazdu.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br/>
              <w:t>Dodatkowo zamontowany w zabudowie pożarniczej panel sanitarny na wysuwanej szufladzie.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4.10.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Maksymalna wysokość górnej krawędzi półki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(po wysunięciu lub rozłożeniu) lub szuflady w położeniu roboczym nie wyżej niż 1850mm od poziomu terenu. Jeśli wysokość półki lub szuflady od poziomu gruntu przekracza 1850mm konieczne jest zainstalowanie podestów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umożliwiających łatwy dostęp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do sprzętu, przy czym otwarcie lub wysunięcie podestów musi być sygnalizowane w kabinie kierowcy. Powierzchnia platform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i podestu roboczego wykonana w technologii antypoślizgowej.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89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4.11.</w:t>
            </w:r>
          </w:p>
        </w:tc>
        <w:tc>
          <w:tcPr>
            <w:tcW w:w="679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Zabudowa powinna posiadać min. sześć plastikowych skrzyne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k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na wyposażenie bez stałego miejsca.</w:t>
            </w: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4.12.</w:t>
            </w:r>
          </w:p>
        </w:tc>
        <w:tc>
          <w:tcPr>
            <w:tcW w:w="679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Wewnątrz zabudowy powinien być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zamontowany zamykany pojemnik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przeznaczony na sorbent. Pojemnik zlokalizowany w miejscu  łatwego dostępu, wyposażony w niezbędne uchwyty transportowe.  </w:t>
            </w: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4.13.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Konstrukcja skrytek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zapewniająca odprowadzenie wody z ich wnętrza poprzez kanały technologiczne.</w:t>
            </w: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4.14.</w:t>
            </w:r>
          </w:p>
        </w:tc>
        <w:tc>
          <w:tcPr>
            <w:tcW w:w="6795" w:type="dxa"/>
            <w:tcBorders>
              <w:bottom w:val="single" w:sz="4" w:space="0" w:color="000000"/>
            </w:tcBorders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Elementy wystające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w tym szuflady, podesty i wysuwane tace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w pozycji otwartej powyżej 250 mm poza obrys pojazdu muszą posiadać oznakowanie ostrzegawcze.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tcBorders>
              <w:bottom w:val="single" w:sz="4" w:space="0" w:color="000000"/>
            </w:tcBorders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tcBorders>
              <w:bottom w:val="single" w:sz="4" w:space="0" w:color="000000"/>
            </w:tcBorders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4.15.</w:t>
            </w:r>
          </w:p>
        </w:tc>
        <w:tc>
          <w:tcPr>
            <w:tcW w:w="6795" w:type="dxa"/>
            <w:tcBorders>
              <w:bottom w:val="single" w:sz="4" w:space="0" w:color="000000"/>
            </w:tcBorders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Sprzęt powinien być rozmieszczony grupowo w zależności od przeznaczenia z zachowaniem ergonomii.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tcBorders>
              <w:bottom w:val="single" w:sz="4" w:space="0" w:color="000000"/>
            </w:tcBorders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288"/>
        </w:trPr>
        <w:tc>
          <w:tcPr>
            <w:tcW w:w="51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795" w:type="dxa"/>
            <w:tcBorders>
              <w:bottom w:val="single" w:sz="4" w:space="0" w:color="000000"/>
            </w:tcBorders>
            <w:shd w:val="clear" w:color="auto" w:fill="F2F2F2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Układ wodno-pianowy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tcBorders>
              <w:bottom w:val="single" w:sz="4" w:space="0" w:color="000000"/>
            </w:tcBorders>
            <w:shd w:val="clear" w:color="auto" w:fill="F2F2F2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Pojazd wyposażony w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układ wodno-pianowy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składający się z:</w:t>
            </w:r>
          </w:p>
          <w:p w:rsidR="00A1310B" w:rsidRDefault="006B76BA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Zbiornik środków gaśniczych</w:t>
            </w:r>
          </w:p>
          <w:p w:rsidR="00A1310B" w:rsidRDefault="006B76BA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Autopompy</w:t>
            </w:r>
          </w:p>
          <w:p w:rsidR="00A1310B" w:rsidRDefault="006B76BA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Dozownik środka pianotwórczego </w:t>
            </w:r>
          </w:p>
          <w:p w:rsidR="00A1310B" w:rsidRDefault="006B76BA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Zwijadło szybkiego natarcia</w:t>
            </w:r>
          </w:p>
          <w:p w:rsidR="00A1310B" w:rsidRDefault="006B76BA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System zraszania podwozia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Zbiornik wody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wykonany z materiału kompozytowego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, usytuowany wzdłuż zabudowy, wyposażony w oprzyrządowanie umożliwiające jego bezpieczną eksploatację, z układem zabezpieczającym przed wypływem wody w czasie jazdy. Zbiornik powinien:</w:t>
            </w:r>
          </w:p>
          <w:p w:rsidR="00A1310B" w:rsidRDefault="006B76BA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3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posiadać właz rewizyjny,</w:t>
            </w:r>
          </w:p>
          <w:p w:rsidR="00A1310B" w:rsidRDefault="006B76BA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30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wyposażony w falochrony,</w:t>
            </w:r>
          </w:p>
          <w:p w:rsidR="00A1310B" w:rsidRDefault="006B76BA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pojemność min.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4000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l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(+/- 2%),</w:t>
            </w:r>
          </w:p>
          <w:p w:rsidR="00A1310B" w:rsidRDefault="006B76BA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konstrukcja zbiornika nie może wychodzić powyżej powierzchni roboczej dachu</w:t>
            </w:r>
          </w:p>
          <w:p w:rsidR="00A1310B" w:rsidRDefault="006B76BA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zamocowany bezpośrednio do ramy pomocniczej za pomocą połączeń śrubowych</w:t>
            </w:r>
          </w:p>
          <w:p w:rsidR="00A1310B" w:rsidRDefault="006B76BA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posiadać dwie nasad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 DN75 (po 1 z każdej strony tylnej części pojazdu) zabezpieczone przed przedostaniem się zanieczyszczeń i zawory służące do napełniania z hydrantu. Układ napełniania zbiornika z automatycznym zaworem odcinającym z możliwością ręcznego przesterowania zawor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u odcinającego w celu dopełnienia zbiornika. 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Zbiornik środka pianotwórczego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wykonany z materiału z jakiego wykonano zbiornik na wodę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i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pojemności min. 10 % pojemności zbiornika wody oraz:</w:t>
            </w:r>
          </w:p>
          <w:p w:rsidR="00A1310B" w:rsidRDefault="006B76BA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powinien być odporny na działanie dopuszczonych do stosowania środków pianotwórczych,</w:t>
            </w:r>
          </w:p>
          <w:p w:rsidR="00A1310B" w:rsidRDefault="006B76BA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powinienem być wyposażony w oprzyrządowanie zapewniające jego bezpieczną eksploatację,</w:t>
            </w:r>
          </w:p>
          <w:p w:rsidR="00A1310B" w:rsidRDefault="006B76BA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napełnianie zbiornika powinno być możliwe z poziomu terenu i z dachu pojazdu poprze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z nasady.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 xml:space="preserve">Należy podać rzeczywiste (deklarowane) parametry w odniesieniu do wymagań minimalnych oraz zastosowaną technikę (materiały) wykonania zbiornika na wodę i środek pianotwórczy. 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Parametr punktowany przy ocenie ofert (kryterium parametry techniczne):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zbiornik z materiałów kompozytowych - 5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pkt</w:t>
            </w:r>
            <w:proofErr w:type="spellEnd"/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 xml:space="preserve">zbiornik ze stali nierdzewnej - 0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pkt</w:t>
            </w:r>
            <w:proofErr w:type="spellEnd"/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Parametry potwierdzone w świadectwie dopuszczenia (przy odbiorze pojazdu).</w:t>
            </w: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5.4.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Autopompa dwuzakresowa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wy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konana ze stopów lekkich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zlokalizowana z tyłu pojazdu o wydajności:</w:t>
            </w:r>
          </w:p>
          <w:p w:rsidR="00A1310B" w:rsidRDefault="006B76B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min. 2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4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00 l/min przy ciśnieniu 0,8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MPa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( +/- 1% ) i głębokości ssania 1,5 m,</w:t>
            </w:r>
          </w:p>
          <w:p w:rsidR="00A1310B" w:rsidRDefault="006B76B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min.  4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0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0 l/min. przy ciśnieniu 4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MPa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. 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9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Autopompa zamocowana do ramy pomocniczej pojazdu, zabezpieczona od strony stanowiska obsługi dopasowaną osłoną chroniącą główne elementy pompy i układu z zamontowanym panelem kontrolno-sterującym i wskaźnikami. Ponadto od spodu autopompa musi być zabezpiec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zona przed uszkodzeniami osłoną wykonaną z blachy aluminiowej. Autopompa musi umożliwić jednoczesne podanie wody lub wodnego roztworu środka pianotwórczego do minimum dwóch nasad tłocznych 75, wysokociśnieniowej linii szybkiego natarcia, działka wodno-pian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owego, instalacji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zraszaczowej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. 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Podać wartości</w:t>
            </w: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5.5.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Autopompa umożliwia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podawanie wody ze zbiornika samochodu</w:t>
            </w: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5.6.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Autopompa musi być wyposażona w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urządzenie odpowietrzające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umożliwiające zassanie wody:</w:t>
            </w:r>
          </w:p>
          <w:p w:rsidR="00A1310B" w:rsidRDefault="006B76BA">
            <w:pPr>
              <w:pStyle w:val="normal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z głębokości 1,5m w czasie do 30s,</w:t>
            </w:r>
          </w:p>
          <w:p w:rsidR="00A1310B" w:rsidRDefault="006B76BA">
            <w:pPr>
              <w:pStyle w:val="normal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z głębokości 7,5m w czasie do 60s.</w:t>
            </w: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5.7.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Przystawka odbioru mocy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przystosowana do długiej pracy, z sygnalizacją włączenia w kabinie kierowcy.</w:t>
            </w: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5.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8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Układ wodno-pianowy wyposażony w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dozownik środka pianotwórczego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umożliwiający uzyskanie stężeń w zakresie 3% - 6%, w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pełnym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zakresie pracy autopompy. Autopompa wyposażo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na w system sterowania umożliwiający regulację automatyczną i ręczną ciśnienia pracy.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5.9.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Układ wodno-pianowy zabudowany w taki sposób aby parametry autopompy przy zasilaniu ze zbiornika samochodu były nie mniejsze niż przy zasilaniu ze zbiornika zewnętrznego dla głębokości ssania 1,5 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. Wszystkie nasady układu wodno-pianowego powinny być wypos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ażone w pokrywy nasad zabezpieczone przed zgubieniem, np. poprzez mocowanie łańcuszkiem.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5.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10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Wszystkie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elementy układu wodno-pianowego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muszą być odporne na korozję     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działanie dopuszczonych do stosowania środków pianotwórczych                           i modyfikatorów. Konstrukcja układu wodno-pianowego powinna umożliwić jego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 xml:space="preserve">całkowite odwodnienie przy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użyciu co najwyżej dwóch zaworów.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5.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11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Przedział autopompy wyposażony w autonomiczny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system ogrzewania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działający niezależnie od pracy silnika, skutecznie zabezpieczający układ wodno-pianowy przed zamarzaniem w temperaturze do -25°C, działający niezależnie od pracy silnika.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Dodatkowo autopompa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wyposażona w wewnętrzne kanały grzewcze, umożliwiające ogrzewanie płaszczem wodnym z układu chłodzenia silnika pojazdu, z możliwością wyłączenia w okresie letnim (zabezpieczenie przed rozmrożeniem) oraz zapewniający dogrzanie autopompy do właściwej tempera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tury pracy jeszcze w trakcie dojazdu do miejsca prowadzenia działań ratowniczo-gaśniczych.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5.1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Samochód musi być wyposażony w co najmniej jedną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wysokociśnieniową linię szybkiego natarcia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o długości węża min. 60 m na zwijadle, zakończoną prądownicą wodno-pianową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. Zainstalowana prądownica w linii szybkiego natarcia powinna posiadać: płynną regulację kąta rozproszenia strumienia wodnego, zawór zamknięcia/otwarcia przepływu wody oraz szybkozł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ącze umożliwiające podpięcie innych urządzeń. Napęd zwijadła elektryczny i ręczny (korba umożliwiająca zwijanie węża).</w:t>
            </w: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5.13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Linia szybkiego natarcia umożliwia podawanie wody lub piany gaśniczej bez względu na stopień rozwinięcia węża. Zwijadło wyposażone w regulowany hamulec bębna. Dodatkowo musi istnieć możliwość przedmuchu zwijadła za pomocą sprężonego powietrza. Zwijadło zam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ontowane w tylnej skrytce nad panelem sterującym autopompą pożarniczą.</w:t>
            </w: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5.14.</w:t>
            </w:r>
          </w:p>
        </w:tc>
        <w:tc>
          <w:tcPr>
            <w:tcW w:w="679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Przygotowana instalacja wodno-pianowa zasilająca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działko wodno-pianowe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(bez montażu działka na dachu pojazdu) zakończona odpowiednią nasadą i zaślepiona pokrywą. 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5.15.</w:t>
            </w:r>
          </w:p>
        </w:tc>
        <w:tc>
          <w:tcPr>
            <w:tcW w:w="679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Pojazd musi być wyposażony w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system dysz dolnych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, (minimum 4 dysze) do podawania wody w czasie jazdy:</w:t>
            </w:r>
          </w:p>
          <w:p w:rsidR="00A1310B" w:rsidRDefault="006B76BA">
            <w:pPr>
              <w:pStyle w:val="normal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min. dwie dysze zamontowane z przodu pojazdu;</w:t>
            </w:r>
          </w:p>
          <w:p w:rsidR="00A1310B" w:rsidRDefault="006B76BA">
            <w:pPr>
              <w:pStyle w:val="normal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min. dwie dysze zamontowane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między kołami pojazdu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;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System powinien być wyposażony w zawory odcinające dla dysz przednich i bocznych. Sterowanie z kabiny kierowcy.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5.16.</w:t>
            </w:r>
          </w:p>
        </w:tc>
        <w:tc>
          <w:tcPr>
            <w:tcW w:w="679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W przedziale autopompy muszą znajdować się co najmniej następujące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urządzenia kontrolno-sterownicze pracy pompy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: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A1310B" w:rsidRDefault="006B76BA">
            <w:pPr>
              <w:pStyle w:val="normal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manowakuometr,</w:t>
            </w:r>
          </w:p>
          <w:p w:rsidR="00A1310B" w:rsidRDefault="006B76BA">
            <w:pPr>
              <w:pStyle w:val="normal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manometr</w:t>
            </w:r>
          </w:p>
          <w:p w:rsidR="00A1310B" w:rsidRDefault="006B76BA">
            <w:pPr>
              <w:pStyle w:val="normal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pulpit sterowniczy pompy (wyklucza się rozwiązanie z elektronicznym wyświetlaczem LCD/LED, itp.) zawierający </w:t>
            </w:r>
            <w:hyperlink r:id="rId9">
              <w:r>
                <w:rPr>
                  <w:rFonts w:ascii="Arial Narrow" w:eastAsia="Arial Narrow" w:hAnsi="Arial Narrow" w:cs="Arial Narrow"/>
                  <w:color w:val="1155CC"/>
                  <w:sz w:val="22"/>
                  <w:szCs w:val="22"/>
                  <w:u w:val="single"/>
                </w:rPr>
                <w:t>m.in</w:t>
              </w:r>
            </w:hyperlink>
            <w:r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  <w:p w:rsidR="00A1310B" w:rsidRDefault="006B76BA">
            <w:pPr>
              <w:pStyle w:val="normal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33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wyłącznik awaryjny silnika pojazdu</w:t>
            </w:r>
          </w:p>
          <w:p w:rsidR="00A1310B" w:rsidRDefault="006B76BA">
            <w:pPr>
              <w:pStyle w:val="normal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33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wskaźnik poziomu wody i środka pianotwórczego w zbiorniku, </w:t>
            </w:r>
          </w:p>
          <w:p w:rsidR="00A1310B" w:rsidRDefault="006B76BA">
            <w:pPr>
              <w:pStyle w:val="normal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33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wskaźnik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lub kontrolka temperatury cieczy chłodzącej silnik lub wskaźnik awarii silnika,</w:t>
            </w:r>
          </w:p>
          <w:p w:rsidR="00A1310B" w:rsidRDefault="006B76BA">
            <w:pPr>
              <w:pStyle w:val="normal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33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regulator prędkości obrotowej silnika napędzającego pompę,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Ponadto na stanowisku obsługi musi znajdować się schemat układu wodno-pianowego oraz oznaczenie zaworów. Wszystkie urządzenia kontrolno-sterownicze powinny być widoczne i dostępne z miejsca obsługi pompy (dotyczy to również sterowania dozownikiem i urządze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niem odpowietrzającym, jeśli są sterowane ręcznie). Wszystkie urządzenia sterowania i kontroli powinny być oznaczone znormalizowanymi symbolami (piktogramami) lub inną tabliczką informacyjną, jeśli symbol nie istnieje. Dźwignie i pokrętła wszystkich zaworó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w, w tym również odwadniających powinny być łatwo dostępne, a ich obsługa powinna być możliwa bez wchodzenia pod samochód.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br/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br/>
              <w:t>W kabinie kierowcy powinny znajdować się następujące urządzenia kontrolno-pomiarowe:</w:t>
            </w:r>
          </w:p>
          <w:p w:rsidR="00A1310B" w:rsidRDefault="006B76B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wskaźnik ciśnienia,</w:t>
            </w:r>
          </w:p>
          <w:p w:rsidR="00A1310B" w:rsidRDefault="006B76B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wskaźnik poziomu wody i śro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dka pianotwórczego w zbiorniku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9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W przypadku umieszczenia w przedziale autopompy wyłącznika do uruchamiania silnika samochodu, uruchomienie silnika powinno być możliwe tylko dla neutralnego położenia dźwigni zmiany biegów.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5.17.</w:t>
            </w:r>
          </w:p>
        </w:tc>
        <w:tc>
          <w:tcPr>
            <w:tcW w:w="679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Autopompa zlokalizowana z tyłu pojazdu w obudowanym przedziale, zamykanym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drzwiami tylu klapo-żaluzja.</w:t>
            </w: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5.18</w:t>
            </w:r>
          </w:p>
        </w:tc>
        <w:tc>
          <w:tcPr>
            <w:tcW w:w="6795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 wlocie ssawnym pompy musi być zamontowany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element zabezpieczający przed przedostaniem się do pompy zanieczyszczeń stałych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zarówno przy ssaniu ze zbiornika zewnętrznego jak i dla zbiornika własnego pojazdu, gwarantujący bezpieczną eksploatację pompy.</w:t>
            </w: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397"/>
        </w:trPr>
        <w:tc>
          <w:tcPr>
            <w:tcW w:w="51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679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Wyposażenie dodatkowe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397"/>
        </w:trPr>
        <w:tc>
          <w:tcPr>
            <w:tcW w:w="51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679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Wyciągarka o napędzie elektrycznym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i sile uciągu min.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8000 kg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z liną o długości co najmniej 2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5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 wychodząca z przodu pojazdu. 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yciągarka wyposażona w układ sterowania, rolkową prowadnicę liny oraz pokrowiec lub osłonę kompozytową.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397"/>
        </w:trPr>
        <w:tc>
          <w:tcPr>
            <w:tcW w:w="51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6.2.</w:t>
            </w:r>
          </w:p>
        </w:tc>
        <w:tc>
          <w:tcPr>
            <w:tcW w:w="679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Wysuwany pneumatycznie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maszt oświetleniowy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sterowany za pomocą przewodowego pilota o łącznej mocy strumienia świetlnego min. 30.000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lm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Najaśnice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wykonane w technologii LED zasilane na stałe z instalacji elektrycznej samochodu. Stopień ochrony masztu i reflektorów min. IP55. Umiejscowienie masztu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nie powinno kolidować z drabiną oraz działkiem wodno-pianowym. Wysokość masztu po rozłożeniu od podłoża, na którym stoi pojazd, do oprawy czołowej reflektorów ustawionych poziomo nie mniejsza niż 5m. Maszt rozkładany z pomocą powietrza z układu pneumatyczn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ego pojazdu. Działanie masztu powinno odbywać się bez nagłych skoków podczas ruchu do góry i do dołu. Złożenie masztu powinno nastąpić bez konieczności ręcznego wspomagania. Przewody elektryczne zasilające reflektory nie powinny kolidować z ruchami telesko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pów. Mostek z reflektorami powinien obracać się wokół osi pionowej o kąt, co najmniej 175º w obie strony. Sterowanie obrotem reflektorów wokół osi pionowej oraz zmianą ich kąta pochylenia powinno być możliwe ze stanowiska obsługi masztu.  W kabinie kierowc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y powinna znajdować się lampka ostrzegawcza, informująca       o wysunięciu masztu.   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 Narrow" w:eastAsia="Arial Narrow" w:hAnsi="Arial Narrow" w:cs="Arial Narrow"/>
                <w:color w:val="00B0F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B0F0"/>
                <w:sz w:val="22"/>
                <w:szCs w:val="22"/>
              </w:rPr>
              <w:br/>
            </w:r>
          </w:p>
        </w:tc>
      </w:tr>
      <w:tr w:rsidR="00A1310B">
        <w:trPr>
          <w:trHeight w:val="397"/>
        </w:trPr>
        <w:tc>
          <w:tcPr>
            <w:tcW w:w="51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6.3.</w:t>
            </w:r>
          </w:p>
        </w:tc>
        <w:tc>
          <w:tcPr>
            <w:tcW w:w="679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Dodatkowo wyprowadzone jedno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szybkozłącze z powietrzem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w okolicy panelu sanitarnego do podłączenia węża pneumatycznego.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 Narrow" w:eastAsia="Arial Narrow" w:hAnsi="Arial Narrow" w:cs="Arial Narrow"/>
                <w:color w:val="00B0F0"/>
                <w:sz w:val="22"/>
                <w:szCs w:val="22"/>
              </w:rPr>
            </w:pPr>
          </w:p>
        </w:tc>
      </w:tr>
      <w:tr w:rsidR="00A1310B">
        <w:trPr>
          <w:trHeight w:val="397"/>
        </w:trPr>
        <w:tc>
          <w:tcPr>
            <w:tcW w:w="51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6.4.</w:t>
            </w:r>
          </w:p>
        </w:tc>
        <w:tc>
          <w:tcPr>
            <w:tcW w:w="679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Dodatkowo zamontowana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przetwornica napięcia 24VDC/230VAC 2500W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. Uruchomienie przetwornicy po włączniku zabudowanym razem z urządzeniem       w zabudowie pożarniczej pojazdu. Miejsce montażu przetwornicy wraz                    z włącznikiem do ustalenia z Zamawiającym na etapie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produkcji pojazdu.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 Narrow" w:eastAsia="Arial Narrow" w:hAnsi="Arial Narrow" w:cs="Arial Narrow"/>
                <w:color w:val="00B0F0"/>
                <w:sz w:val="22"/>
                <w:szCs w:val="22"/>
              </w:rPr>
            </w:pPr>
          </w:p>
        </w:tc>
      </w:tr>
      <w:tr w:rsidR="00A1310B">
        <w:trPr>
          <w:trHeight w:val="397"/>
        </w:trPr>
        <w:tc>
          <w:tcPr>
            <w:tcW w:w="51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6.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679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Zabudowa pojazdu wyposażona w dodatkowe mocowania na sprzęt i wyposażenie zgodnie z specyfikacją zamawiającego w formie stałych uchwytów, stojaków, mocowań zabezpieczających. Dokł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adne rozmieszczenie sprzętu oraz oklejenie pojazdu muszą zostać uzgodnione z zamawiającym na etapie realizacji zamówienia.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397"/>
        </w:trPr>
        <w:tc>
          <w:tcPr>
            <w:tcW w:w="510" w:type="dxa"/>
            <w:shd w:val="clear" w:color="auto" w:fill="E7E6E6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6795" w:type="dxa"/>
            <w:shd w:val="clear" w:color="auto" w:fill="E7E6E6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3825" w:type="dxa"/>
            <w:shd w:val="clear" w:color="auto" w:fill="E7E6E6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E7E6E6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9" w:right="7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Minimalna gwarancja na zabudowę: 24 miesięcy</w:t>
            </w:r>
          </w:p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9" w:right="7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Minimalna gwarancja na podwozie: 24 miesiące</w:t>
            </w: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yellow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7.2.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9" w:right="72"/>
              <w:jc w:val="both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Minimum jeden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punkt serwisowy nadwozia</w:t>
            </w: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yellow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7.3.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9" w:right="7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Minimum jeden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punkt serwisowy podwozia</w:t>
            </w: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yellow"/>
              </w:rPr>
            </w:pPr>
          </w:p>
        </w:tc>
      </w:tr>
      <w:tr w:rsidR="00A1310B">
        <w:trPr>
          <w:trHeight w:val="475"/>
        </w:trPr>
        <w:tc>
          <w:tcPr>
            <w:tcW w:w="510" w:type="dxa"/>
            <w:vAlign w:val="center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3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95" w:type="dxa"/>
          </w:tcPr>
          <w:p w:rsidR="00A1310B" w:rsidRDefault="006B76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9" w:right="7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Wykonawca obowiązany jest do dostarczenia wraz z pojazdem:</w:t>
            </w:r>
          </w:p>
          <w:p w:rsidR="00A1310B" w:rsidRDefault="006B76BA">
            <w:pPr>
              <w:pStyle w:val="normal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instrukcji obsługi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w języku polskim do podwozia samochodu, zabudowy pożarniczej i zainstalowanych urządzeń i wyposażenia,</w:t>
            </w:r>
          </w:p>
          <w:p w:rsidR="00A1310B" w:rsidRDefault="006B76BA">
            <w:pPr>
              <w:pStyle w:val="normal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dokumentacji niezbędne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j do zarejestrowania pojazdu jako „samochód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specjalny”, wynikającej z ustawy „Prawo o ruchu drogowym”.</w:t>
            </w:r>
          </w:p>
          <w:p w:rsidR="00A1310B" w:rsidRDefault="006B76BA">
            <w:pPr>
              <w:pStyle w:val="normal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instrukcje obsługi urządzeń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i sprzętu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zamontowanego w pojeździe, wszystkie w języku polskim.</w:t>
            </w:r>
          </w:p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7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</w:tcPr>
          <w:p w:rsidR="00A1310B" w:rsidRDefault="00A131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A1310B" w:rsidRDefault="00A1310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A1310B" w:rsidSect="00A1310B">
      <w:footerReference w:type="even" r:id="rId10"/>
      <w:footerReference w:type="default" r:id="rId11"/>
      <w:pgSz w:w="16834" w:h="11907" w:orient="landscape"/>
      <w:pgMar w:top="709" w:right="2410" w:bottom="426" w:left="1134" w:header="709" w:footer="316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6BA" w:rsidRDefault="006B76BA" w:rsidP="00A1310B">
      <w:r>
        <w:separator/>
      </w:r>
    </w:p>
  </w:endnote>
  <w:endnote w:type="continuationSeparator" w:id="0">
    <w:p w:rsidR="006B76BA" w:rsidRDefault="006B76BA" w:rsidP="00A1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10B" w:rsidRDefault="00A1310B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 w:rsidR="006B76BA"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:rsidR="00A1310B" w:rsidRDefault="00A1310B">
    <w:pPr>
      <w:pStyle w:val="normal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10B" w:rsidRDefault="00A1310B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 w:rsidR="006B76BA">
      <w:rPr>
        <w:rFonts w:ascii="Arial" w:eastAsia="Arial" w:hAnsi="Arial" w:cs="Arial"/>
        <w:color w:val="000000"/>
        <w:sz w:val="24"/>
        <w:szCs w:val="24"/>
      </w:rPr>
      <w:instrText>PAGE</w:instrText>
    </w:r>
    <w:r w:rsidR="00F97676"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E6434C">
      <w:rPr>
        <w:rFonts w:ascii="Arial" w:eastAsia="Arial" w:hAnsi="Arial" w:cs="Arial"/>
        <w:noProof/>
        <w:color w:val="000000"/>
        <w:sz w:val="24"/>
        <w:szCs w:val="24"/>
      </w:rPr>
      <w:t>1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:rsidR="00A1310B" w:rsidRDefault="00A1310B">
    <w:pPr>
      <w:pStyle w:val="normal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6BA" w:rsidRDefault="006B76BA" w:rsidP="00A1310B">
      <w:r>
        <w:separator/>
      </w:r>
    </w:p>
  </w:footnote>
  <w:footnote w:type="continuationSeparator" w:id="0">
    <w:p w:rsidR="006B76BA" w:rsidRDefault="006B76BA" w:rsidP="00A13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E39"/>
    <w:multiLevelType w:val="multilevel"/>
    <w:tmpl w:val="B0CE79B6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8EA25CD"/>
    <w:multiLevelType w:val="multilevel"/>
    <w:tmpl w:val="B4BC32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53E1DC1"/>
    <w:multiLevelType w:val="multilevel"/>
    <w:tmpl w:val="67106426"/>
    <w:lvl w:ilvl="0">
      <w:start w:val="1"/>
      <w:numFmt w:val="bullet"/>
      <w:lvlText w:val="o"/>
      <w:lvlJc w:val="left"/>
      <w:pPr>
        <w:ind w:left="734" w:hanging="359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5FB5FEF"/>
    <w:multiLevelType w:val="multilevel"/>
    <w:tmpl w:val="4FCEFEC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16752BB5"/>
    <w:multiLevelType w:val="multilevel"/>
    <w:tmpl w:val="F9501CF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F251249"/>
    <w:multiLevelType w:val="multilevel"/>
    <w:tmpl w:val="3C026E9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2B79709F"/>
    <w:multiLevelType w:val="multilevel"/>
    <w:tmpl w:val="C74A065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2CA1A89"/>
    <w:multiLevelType w:val="multilevel"/>
    <w:tmpl w:val="66AC527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F1D7A8E"/>
    <w:multiLevelType w:val="multilevel"/>
    <w:tmpl w:val="E89664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46772DE"/>
    <w:multiLevelType w:val="multilevel"/>
    <w:tmpl w:val="1E3C5C2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C372D3E"/>
    <w:multiLevelType w:val="multilevel"/>
    <w:tmpl w:val="B28E97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4D125E89"/>
    <w:multiLevelType w:val="multilevel"/>
    <w:tmpl w:val="667C31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4D161834"/>
    <w:multiLevelType w:val="multilevel"/>
    <w:tmpl w:val="7D36174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59B9667D"/>
    <w:multiLevelType w:val="multilevel"/>
    <w:tmpl w:val="1B40C554"/>
    <w:lvl w:ilvl="0">
      <w:start w:val="1"/>
      <w:numFmt w:val="bullet"/>
      <w:lvlText w:val="o"/>
      <w:lvlJc w:val="left"/>
      <w:pPr>
        <w:ind w:left="643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51054CC"/>
    <w:multiLevelType w:val="multilevel"/>
    <w:tmpl w:val="DC3EF63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66F34526"/>
    <w:multiLevelType w:val="multilevel"/>
    <w:tmpl w:val="E9B0ACE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69647AF7"/>
    <w:multiLevelType w:val="multilevel"/>
    <w:tmpl w:val="3B56D0F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794E0565"/>
    <w:multiLevelType w:val="multilevel"/>
    <w:tmpl w:val="5E044A2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numFmt w:val="bullet"/>
      <w:lvlText w:val="•"/>
      <w:lvlJc w:val="left"/>
      <w:pPr>
        <w:ind w:left="1770" w:hanging="690"/>
      </w:pPr>
      <w:rPr>
        <w:rFonts w:ascii="Arial Narrow" w:eastAsia="Arial Narrow" w:hAnsi="Arial Narrow" w:cs="Arial Narro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AEB55B1"/>
    <w:multiLevelType w:val="multilevel"/>
    <w:tmpl w:val="6DA6F4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7"/>
  </w:num>
  <w:num w:numId="12">
    <w:abstractNumId w:val="9"/>
  </w:num>
  <w:num w:numId="13">
    <w:abstractNumId w:val="2"/>
  </w:num>
  <w:num w:numId="14">
    <w:abstractNumId w:val="12"/>
  </w:num>
  <w:num w:numId="15">
    <w:abstractNumId w:val="1"/>
  </w:num>
  <w:num w:numId="16">
    <w:abstractNumId w:val="5"/>
  </w:num>
  <w:num w:numId="17">
    <w:abstractNumId w:val="15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10B"/>
    <w:rsid w:val="006B76BA"/>
    <w:rsid w:val="00A1310B"/>
    <w:rsid w:val="00E6434C"/>
    <w:rsid w:val="00F9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Standardowy1"/>
    <w:next w:val="NormalnyStandardowy1"/>
    <w:rsid w:val="00A1310B"/>
    <w:pPr>
      <w:keepNext/>
      <w:jc w:val="center"/>
    </w:pPr>
    <w:rPr>
      <w:rFonts w:ascii="Arial" w:hAnsi="Arial" w:cs="Arial"/>
      <w:b/>
    </w:rPr>
  </w:style>
  <w:style w:type="paragraph" w:styleId="Nagwek2">
    <w:name w:val="heading 2"/>
    <w:basedOn w:val="NormalnyStandardowy1"/>
    <w:next w:val="NormalnyStandardowy1"/>
    <w:rsid w:val="00A1310B"/>
    <w:pPr>
      <w:keepNext/>
      <w:spacing w:line="240" w:lineRule="atLeast"/>
      <w:ind w:left="1872" w:hanging="1546"/>
      <w:jc w:val="right"/>
      <w:outlineLvl w:val="1"/>
    </w:pPr>
    <w:rPr>
      <w:rFonts w:ascii="Arial" w:hAnsi="Arial"/>
      <w:b/>
      <w:i/>
    </w:rPr>
  </w:style>
  <w:style w:type="paragraph" w:styleId="Nagwek3">
    <w:name w:val="heading 3"/>
    <w:basedOn w:val="normal"/>
    <w:next w:val="normal"/>
    <w:rsid w:val="00A131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A131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A131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A1310B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A1310B"/>
  </w:style>
  <w:style w:type="table" w:customStyle="1" w:styleId="TableNormal">
    <w:name w:val="TableNormal"/>
    <w:rsid w:val="00A131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A1310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Standardowy1">
    <w:name w:val="Normalny;Standardowy1"/>
    <w:rsid w:val="00A1310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ekstpodstawowywcity3">
    <w:name w:val="Body Text Indent 3"/>
    <w:basedOn w:val="NormalnyStandardowy1"/>
    <w:rsid w:val="00A1310B"/>
    <w:pPr>
      <w:overflowPunct w:val="0"/>
      <w:autoSpaceDE w:val="0"/>
      <w:autoSpaceDN w:val="0"/>
      <w:adjustRightInd w:val="0"/>
      <w:spacing w:line="240" w:lineRule="atLeast"/>
      <w:ind w:left="214" w:hanging="214"/>
      <w:textAlignment w:val="baseline"/>
    </w:pPr>
    <w:rPr>
      <w:noProof/>
      <w:szCs w:val="20"/>
    </w:rPr>
  </w:style>
  <w:style w:type="paragraph" w:styleId="Stopka">
    <w:name w:val="footer"/>
    <w:basedOn w:val="NormalnyStandardowy1"/>
    <w:rsid w:val="00A1310B"/>
    <w:rPr>
      <w:rFonts w:ascii="Arial" w:hAnsi="Arial"/>
      <w:szCs w:val="20"/>
    </w:rPr>
  </w:style>
  <w:style w:type="paragraph" w:styleId="Nagwek">
    <w:name w:val="header"/>
    <w:basedOn w:val="NormalnyStandardowy1"/>
    <w:rsid w:val="00A1310B"/>
    <w:pPr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Tekstpodstawowywcity2">
    <w:name w:val="Body Text Indent 2"/>
    <w:basedOn w:val="NormalnyStandardowy1"/>
    <w:rsid w:val="00A1310B"/>
    <w:pPr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sz w:val="20"/>
      <w:szCs w:val="20"/>
    </w:rPr>
  </w:style>
  <w:style w:type="paragraph" w:styleId="Tekstpodstawowy2">
    <w:name w:val="Body Text 2"/>
    <w:basedOn w:val="NormalnyStandardowy1"/>
    <w:rsid w:val="00A1310B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noProof/>
      <w:sz w:val="20"/>
      <w:szCs w:val="20"/>
    </w:rPr>
  </w:style>
  <w:style w:type="character" w:styleId="Numerstrony">
    <w:name w:val="page number"/>
    <w:basedOn w:val="Domylnaczcionkaakapitu"/>
    <w:rsid w:val="00A1310B"/>
    <w:rPr>
      <w:w w:val="100"/>
      <w:position w:val="-1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Standardowy1"/>
    <w:rsid w:val="00A1310B"/>
    <w:pPr>
      <w:spacing w:line="240" w:lineRule="atLeast"/>
      <w:ind w:left="45"/>
      <w:jc w:val="both"/>
    </w:pPr>
    <w:rPr>
      <w:rFonts w:ascii="Arial" w:hAnsi="Arial"/>
    </w:rPr>
  </w:style>
  <w:style w:type="paragraph" w:styleId="Tekstpodstawowy">
    <w:name w:val="Body Text"/>
    <w:basedOn w:val="NormalnyStandardowy1"/>
    <w:rsid w:val="00A1310B"/>
    <w:pPr>
      <w:spacing w:after="120"/>
    </w:pPr>
  </w:style>
  <w:style w:type="paragraph" w:customStyle="1" w:styleId="StandardowyStandardowy1">
    <w:name w:val="Standardowy.Standardowy1"/>
    <w:rsid w:val="00A1310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customStyle="1" w:styleId="ZnakZnakZnakZnakZnakZnakZnakZnak">
    <w:name w:val="Znak Znak Znak Znak Znak Znak Znak Znak"/>
    <w:basedOn w:val="NormalnyStandardowy1"/>
    <w:rsid w:val="00A1310B"/>
  </w:style>
  <w:style w:type="paragraph" w:styleId="Tekstdymka">
    <w:name w:val="Balloon Text"/>
    <w:basedOn w:val="NormalnyStandardowy1"/>
    <w:rsid w:val="00A1310B"/>
    <w:rPr>
      <w:rFonts w:ascii="Tahoma" w:hAnsi="Tahoma" w:cs="Tahoma"/>
      <w:sz w:val="16"/>
      <w:szCs w:val="16"/>
    </w:rPr>
  </w:style>
  <w:style w:type="paragraph" w:styleId="Zwykytekst">
    <w:name w:val="Plain Text"/>
    <w:basedOn w:val="NormalnyStandardowy1"/>
    <w:qFormat/>
    <w:rsid w:val="00A1310B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rsid w:val="00A1310B"/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paragraph" w:styleId="Bezodstpw">
    <w:name w:val="No Spacing"/>
    <w:rsid w:val="00A1310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styleId="Odwoaniedokomentarza">
    <w:name w:val="annotation reference"/>
    <w:qFormat/>
    <w:rsid w:val="00A1310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Standardowy1"/>
    <w:qFormat/>
    <w:rsid w:val="00A1310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A1310B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sid w:val="00A1310B"/>
    <w:rPr>
      <w:b/>
      <w:bCs/>
    </w:rPr>
  </w:style>
  <w:style w:type="character" w:customStyle="1" w:styleId="TematkomentarzaZnak">
    <w:name w:val="Temat komentarza Znak"/>
    <w:rsid w:val="00A1310B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kstpodstawowywcity2Znak">
    <w:name w:val="Tekst podstawowy wcięty 2 Znak"/>
    <w:rsid w:val="00A1310B"/>
    <w:rPr>
      <w:noProof/>
      <w:w w:val="100"/>
      <w:position w:val="-1"/>
      <w:effect w:val="none"/>
      <w:vertAlign w:val="baseline"/>
      <w:cs w:val="0"/>
      <w:em w:val="none"/>
    </w:rPr>
  </w:style>
  <w:style w:type="character" w:customStyle="1" w:styleId="TekstpodstawowywcityZnak">
    <w:name w:val="Tekst podstawowy wcięty Znak"/>
    <w:rsid w:val="00A1310B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sid w:val="00A1310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prawka">
    <w:name w:val="Revision"/>
    <w:rsid w:val="00A1310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odtytu">
    <w:name w:val="Subtitle"/>
    <w:basedOn w:val="normal"/>
    <w:next w:val="normal"/>
    <w:rsid w:val="00A131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131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/oPqv7SUvKufiUrbgJTVQcWKKA==">CgMxLjAyDmguZTlibzV4Mjd2eTdlMg5oLjd2dDlrbGVpNWU2dTgAciExZkJxd3B4d2dJem5hZDFpSXU4WDcwX1dqSkpwSWtlMFc=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4671</Words>
  <Characters>28028</Characters>
  <Application>Microsoft Office Word</Application>
  <DocSecurity>0</DocSecurity>
  <Lines>233</Lines>
  <Paragraphs>65</Paragraphs>
  <ScaleCrop>false</ScaleCrop>
  <Company/>
  <LinksUpToDate>false</LinksUpToDate>
  <CharactersWithSpaces>32634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KWPSP Lublin</dc:creator>
  <cp:lastModifiedBy>DominikaM</cp:lastModifiedBy>
  <cp:revision>3</cp:revision>
  <cp:lastPrinted>2025-09-01T10:35:00Z</cp:lastPrinted>
  <dcterms:created xsi:type="dcterms:W3CDTF">2023-04-20T12:18:00Z</dcterms:created>
  <dcterms:modified xsi:type="dcterms:W3CDTF">2025-09-01T10:35:00Z</dcterms:modified>
</cp:coreProperties>
</file>