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CF" w:rsidRPr="00BB69CF" w:rsidRDefault="00BB69CF" w:rsidP="00404791">
      <w:pPr>
        <w:autoSpaceDE w:val="0"/>
        <w:autoSpaceDN w:val="0"/>
        <w:adjustRightInd w:val="0"/>
        <w:spacing w:after="0"/>
        <w:jc w:val="center"/>
        <w:rPr>
          <w:rFonts w:ascii="Times New Roman" w:eastAsia="Calibri" w:hAnsi="Times New Roman" w:cs="Times New Roman"/>
          <w:b/>
          <w:bCs/>
          <w:sz w:val="24"/>
          <w:szCs w:val="24"/>
          <w:lang w:eastAsia="pl-PL"/>
        </w:rPr>
      </w:pPr>
      <w:bookmarkStart w:id="0" w:name="_GoBack"/>
      <w:bookmarkEnd w:id="0"/>
      <w:r w:rsidRPr="00BB69CF">
        <w:rPr>
          <w:rFonts w:ascii="Times New Roman" w:eastAsia="Calibri" w:hAnsi="Times New Roman" w:cs="Times New Roman"/>
          <w:b/>
          <w:bCs/>
          <w:sz w:val="24"/>
          <w:szCs w:val="24"/>
          <w:lang w:eastAsia="pl-PL"/>
        </w:rPr>
        <w:t xml:space="preserve">Uchwała </w:t>
      </w:r>
      <w:r w:rsidR="00404791">
        <w:rPr>
          <w:rFonts w:ascii="Times New Roman" w:eastAsia="Calibri" w:hAnsi="Times New Roman" w:cs="Times New Roman"/>
          <w:b/>
          <w:bCs/>
          <w:sz w:val="24"/>
          <w:szCs w:val="24"/>
          <w:lang w:eastAsia="pl-PL"/>
        </w:rPr>
        <w:t>N</w:t>
      </w:r>
      <w:r w:rsidRPr="00BB69CF">
        <w:rPr>
          <w:rFonts w:ascii="Times New Roman" w:eastAsia="Calibri" w:hAnsi="Times New Roman" w:cs="Times New Roman"/>
          <w:b/>
          <w:bCs/>
          <w:sz w:val="24"/>
          <w:szCs w:val="24"/>
          <w:lang w:eastAsia="pl-PL"/>
        </w:rPr>
        <w:t xml:space="preserve">r </w:t>
      </w:r>
      <w:r w:rsidR="009325E3">
        <w:rPr>
          <w:rFonts w:ascii="Times New Roman" w:eastAsia="Calibri" w:hAnsi="Times New Roman" w:cs="Times New Roman"/>
          <w:b/>
          <w:bCs/>
          <w:sz w:val="24"/>
          <w:szCs w:val="24"/>
          <w:lang w:eastAsia="pl-PL"/>
        </w:rPr>
        <w:t xml:space="preserve">31 </w:t>
      </w:r>
      <w:r w:rsidRPr="00BB69CF">
        <w:rPr>
          <w:rFonts w:ascii="Times New Roman" w:eastAsia="Calibri" w:hAnsi="Times New Roman" w:cs="Times New Roman"/>
          <w:b/>
          <w:bCs/>
          <w:sz w:val="24"/>
          <w:szCs w:val="24"/>
          <w:lang w:eastAsia="pl-PL"/>
        </w:rPr>
        <w:t>- 201</w:t>
      </w:r>
      <w:r w:rsidR="00B861C4">
        <w:rPr>
          <w:rFonts w:ascii="Times New Roman" w:eastAsia="Calibri" w:hAnsi="Times New Roman" w:cs="Times New Roman"/>
          <w:b/>
          <w:bCs/>
          <w:sz w:val="24"/>
          <w:szCs w:val="24"/>
          <w:lang w:eastAsia="pl-PL"/>
        </w:rPr>
        <w:t>6</w:t>
      </w:r>
      <w:r w:rsidRPr="00BB69CF">
        <w:rPr>
          <w:rFonts w:ascii="Times New Roman" w:eastAsia="Calibri" w:hAnsi="Times New Roman" w:cs="Times New Roman"/>
          <w:b/>
          <w:bCs/>
          <w:sz w:val="24"/>
          <w:szCs w:val="24"/>
          <w:lang w:eastAsia="pl-PL"/>
        </w:rPr>
        <w:t>/201</w:t>
      </w:r>
      <w:r w:rsidR="00B861C4">
        <w:rPr>
          <w:rFonts w:ascii="Times New Roman" w:eastAsia="Calibri" w:hAnsi="Times New Roman" w:cs="Times New Roman"/>
          <w:b/>
          <w:bCs/>
          <w:sz w:val="24"/>
          <w:szCs w:val="24"/>
          <w:lang w:eastAsia="pl-PL"/>
        </w:rPr>
        <w:t>7</w:t>
      </w:r>
    </w:p>
    <w:p w:rsidR="00BB69CF" w:rsidRPr="00BB69CF" w:rsidRDefault="00BB69CF" w:rsidP="00404791">
      <w:pPr>
        <w:autoSpaceDE w:val="0"/>
        <w:autoSpaceDN w:val="0"/>
        <w:adjustRightInd w:val="0"/>
        <w:spacing w:after="0"/>
        <w:jc w:val="center"/>
        <w:rPr>
          <w:rFonts w:ascii="Times New Roman" w:eastAsia="Calibri" w:hAnsi="Times New Roman" w:cs="Times New Roman"/>
          <w:b/>
          <w:bCs/>
          <w:sz w:val="24"/>
          <w:szCs w:val="24"/>
          <w:lang w:eastAsia="pl-PL"/>
        </w:rPr>
      </w:pPr>
      <w:r w:rsidRPr="00BB69CF">
        <w:rPr>
          <w:rFonts w:ascii="Times New Roman" w:eastAsia="Calibri" w:hAnsi="Times New Roman" w:cs="Times New Roman"/>
          <w:b/>
          <w:bCs/>
          <w:sz w:val="24"/>
          <w:szCs w:val="24"/>
          <w:lang w:eastAsia="pl-PL"/>
        </w:rPr>
        <w:t>Senatu Szkoły Głównej Gospodarstwa Wiejskiego w Warszawie</w:t>
      </w:r>
    </w:p>
    <w:p w:rsidR="00BB69CF" w:rsidRPr="00BB69CF" w:rsidRDefault="00BB69CF" w:rsidP="00404791">
      <w:pPr>
        <w:autoSpaceDE w:val="0"/>
        <w:autoSpaceDN w:val="0"/>
        <w:adjustRightInd w:val="0"/>
        <w:spacing w:after="0"/>
        <w:jc w:val="center"/>
        <w:rPr>
          <w:rFonts w:ascii="Times New Roman" w:eastAsia="Calibri" w:hAnsi="Times New Roman" w:cs="Times New Roman"/>
          <w:b/>
          <w:bCs/>
          <w:sz w:val="24"/>
          <w:szCs w:val="24"/>
          <w:lang w:eastAsia="pl-PL"/>
        </w:rPr>
      </w:pPr>
      <w:r w:rsidRPr="00BB69CF">
        <w:rPr>
          <w:rFonts w:ascii="Times New Roman" w:eastAsia="Calibri" w:hAnsi="Times New Roman" w:cs="Times New Roman"/>
          <w:b/>
          <w:bCs/>
          <w:sz w:val="24"/>
          <w:szCs w:val="24"/>
          <w:lang w:eastAsia="pl-PL"/>
        </w:rPr>
        <w:t xml:space="preserve">z dnia </w:t>
      </w:r>
      <w:r w:rsidR="00404791">
        <w:rPr>
          <w:rFonts w:ascii="Times New Roman" w:eastAsia="Calibri" w:hAnsi="Times New Roman" w:cs="Times New Roman"/>
          <w:b/>
          <w:bCs/>
          <w:sz w:val="24"/>
          <w:szCs w:val="24"/>
          <w:lang w:eastAsia="pl-PL"/>
        </w:rPr>
        <w:t>19 grudnia</w:t>
      </w:r>
      <w:r>
        <w:rPr>
          <w:rFonts w:ascii="Times New Roman" w:eastAsia="Calibri" w:hAnsi="Times New Roman" w:cs="Times New Roman"/>
          <w:b/>
          <w:bCs/>
          <w:sz w:val="24"/>
          <w:szCs w:val="24"/>
          <w:lang w:eastAsia="pl-PL"/>
        </w:rPr>
        <w:t xml:space="preserve"> 201</w:t>
      </w:r>
      <w:r w:rsidR="00B861C4">
        <w:rPr>
          <w:rFonts w:ascii="Times New Roman" w:eastAsia="Calibri" w:hAnsi="Times New Roman" w:cs="Times New Roman"/>
          <w:b/>
          <w:bCs/>
          <w:sz w:val="24"/>
          <w:szCs w:val="24"/>
          <w:lang w:eastAsia="pl-PL"/>
        </w:rPr>
        <w:t>6</w:t>
      </w:r>
      <w:r>
        <w:rPr>
          <w:rFonts w:ascii="Times New Roman" w:eastAsia="Calibri" w:hAnsi="Times New Roman" w:cs="Times New Roman"/>
          <w:b/>
          <w:bCs/>
          <w:sz w:val="24"/>
          <w:szCs w:val="24"/>
          <w:lang w:eastAsia="pl-PL"/>
        </w:rPr>
        <w:t xml:space="preserve"> r.</w:t>
      </w:r>
    </w:p>
    <w:p w:rsidR="00BB69CF" w:rsidRPr="00BB69CF" w:rsidRDefault="00E43AFD" w:rsidP="00404791">
      <w:pPr>
        <w:autoSpaceDE w:val="0"/>
        <w:autoSpaceDN w:val="0"/>
        <w:adjustRightInd w:val="0"/>
        <w:spacing w:after="0"/>
        <w:jc w:val="center"/>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w sprawie</w:t>
      </w:r>
      <w:r w:rsidR="000373DA">
        <w:rPr>
          <w:rFonts w:ascii="Times New Roman" w:eastAsia="Calibri" w:hAnsi="Times New Roman" w:cs="Times New Roman"/>
          <w:b/>
          <w:sz w:val="24"/>
          <w:szCs w:val="24"/>
          <w:lang w:eastAsia="pl-PL"/>
        </w:rPr>
        <w:t xml:space="preserve"> </w:t>
      </w:r>
      <w:r w:rsidR="00BB69CF" w:rsidRPr="00BB69CF">
        <w:rPr>
          <w:rFonts w:ascii="Times New Roman" w:eastAsia="Calibri" w:hAnsi="Times New Roman" w:cs="Times New Roman"/>
          <w:b/>
          <w:sz w:val="24"/>
          <w:szCs w:val="24"/>
          <w:lang w:eastAsia="pl-PL"/>
        </w:rPr>
        <w:t>zmian</w:t>
      </w:r>
      <w:r w:rsidR="00D5522A">
        <w:rPr>
          <w:rFonts w:ascii="Times New Roman" w:eastAsia="Calibri" w:hAnsi="Times New Roman" w:cs="Times New Roman"/>
          <w:b/>
          <w:sz w:val="24"/>
          <w:szCs w:val="24"/>
          <w:lang w:eastAsia="pl-PL"/>
        </w:rPr>
        <w:t xml:space="preserve"> w  Statucie</w:t>
      </w:r>
      <w:r w:rsidR="00BB69CF" w:rsidRPr="00BB69CF">
        <w:rPr>
          <w:rFonts w:ascii="Times New Roman" w:eastAsia="Calibri" w:hAnsi="Times New Roman" w:cs="Times New Roman"/>
          <w:b/>
          <w:sz w:val="24"/>
          <w:szCs w:val="24"/>
          <w:lang w:eastAsia="pl-PL"/>
        </w:rPr>
        <w:t xml:space="preserve"> Szkoły Głównej Gospodarstwa W</w:t>
      </w:r>
      <w:r w:rsidR="00BB69CF">
        <w:rPr>
          <w:rFonts w:ascii="Times New Roman" w:eastAsia="Calibri" w:hAnsi="Times New Roman" w:cs="Times New Roman"/>
          <w:b/>
          <w:sz w:val="24"/>
          <w:szCs w:val="24"/>
          <w:lang w:eastAsia="pl-PL"/>
        </w:rPr>
        <w:t xml:space="preserve">iejskiego </w:t>
      </w:r>
      <w:r w:rsidR="00BB69CF">
        <w:rPr>
          <w:rFonts w:ascii="Times New Roman" w:eastAsia="Calibri" w:hAnsi="Times New Roman" w:cs="Times New Roman"/>
          <w:b/>
          <w:sz w:val="24"/>
          <w:szCs w:val="24"/>
          <w:lang w:eastAsia="pl-PL"/>
        </w:rPr>
        <w:br/>
      </w:r>
      <w:r w:rsidR="00BB69CF" w:rsidRPr="00BB69CF">
        <w:rPr>
          <w:rFonts w:ascii="Times New Roman" w:eastAsia="Calibri" w:hAnsi="Times New Roman" w:cs="Times New Roman"/>
          <w:b/>
          <w:sz w:val="24"/>
          <w:szCs w:val="24"/>
          <w:lang w:eastAsia="pl-PL"/>
        </w:rPr>
        <w:t>w Warszawie</w:t>
      </w:r>
    </w:p>
    <w:p w:rsidR="00BB69CF" w:rsidRPr="00BB69CF" w:rsidRDefault="00BB69CF" w:rsidP="00BB69CF">
      <w:pPr>
        <w:autoSpaceDE w:val="0"/>
        <w:autoSpaceDN w:val="0"/>
        <w:adjustRightInd w:val="0"/>
        <w:spacing w:after="0"/>
        <w:jc w:val="center"/>
        <w:rPr>
          <w:rFonts w:ascii="Times New Roman" w:eastAsia="Calibri" w:hAnsi="Times New Roman" w:cs="Times New Roman"/>
          <w:sz w:val="24"/>
          <w:szCs w:val="24"/>
          <w:lang w:eastAsia="pl-PL"/>
        </w:rPr>
      </w:pPr>
    </w:p>
    <w:p w:rsidR="00BB69CF" w:rsidRPr="001957E3" w:rsidRDefault="00BB69CF" w:rsidP="001957E3">
      <w:pPr>
        <w:autoSpaceDE w:val="0"/>
        <w:autoSpaceDN w:val="0"/>
        <w:adjustRightInd w:val="0"/>
        <w:spacing w:after="0"/>
        <w:ind w:firstLine="708"/>
        <w:jc w:val="both"/>
        <w:rPr>
          <w:rFonts w:ascii="Times New Roman" w:eastAsia="Calibri" w:hAnsi="Times New Roman" w:cs="Times New Roman"/>
          <w:sz w:val="24"/>
          <w:szCs w:val="24"/>
          <w:lang w:eastAsia="pl-PL"/>
        </w:rPr>
      </w:pPr>
      <w:r w:rsidRPr="001957E3">
        <w:rPr>
          <w:rFonts w:ascii="Times New Roman" w:eastAsia="Calibri" w:hAnsi="Times New Roman" w:cs="Times New Roman"/>
          <w:sz w:val="24"/>
          <w:szCs w:val="24"/>
          <w:lang w:eastAsia="pl-PL"/>
        </w:rPr>
        <w:t>Na podstawie art. 59 w związku z art. 56 ust. 1 i 2 ustawy z dnia 27 lipca 2005 r. Prawo o szkolnictwie wyższym (Dz. U. z 201</w:t>
      </w:r>
      <w:r w:rsidR="00B861C4" w:rsidRPr="001957E3">
        <w:rPr>
          <w:rFonts w:ascii="Times New Roman" w:eastAsia="Calibri" w:hAnsi="Times New Roman" w:cs="Times New Roman"/>
          <w:sz w:val="24"/>
          <w:szCs w:val="24"/>
          <w:lang w:eastAsia="pl-PL"/>
        </w:rPr>
        <w:t>6</w:t>
      </w:r>
      <w:r w:rsidRPr="001957E3">
        <w:rPr>
          <w:rFonts w:ascii="Times New Roman" w:eastAsia="Calibri" w:hAnsi="Times New Roman" w:cs="Times New Roman"/>
          <w:sz w:val="24"/>
          <w:szCs w:val="24"/>
          <w:lang w:eastAsia="pl-PL"/>
        </w:rPr>
        <w:t xml:space="preserve"> r. poz. </w:t>
      </w:r>
      <w:r w:rsidR="00B861C4" w:rsidRPr="001957E3">
        <w:rPr>
          <w:rFonts w:ascii="Times New Roman" w:eastAsia="Calibri" w:hAnsi="Times New Roman" w:cs="Times New Roman"/>
          <w:sz w:val="24"/>
          <w:szCs w:val="24"/>
          <w:lang w:eastAsia="pl-PL"/>
        </w:rPr>
        <w:t>1842</w:t>
      </w:r>
      <w:r w:rsidRPr="001957E3">
        <w:rPr>
          <w:rFonts w:ascii="Times New Roman" w:eastAsia="Calibri" w:hAnsi="Times New Roman" w:cs="Times New Roman"/>
          <w:sz w:val="24"/>
          <w:szCs w:val="24"/>
          <w:lang w:eastAsia="pl-PL"/>
        </w:rPr>
        <w:t>) oraz § 60 pkt 1 Statutu Szkoły Głównej Gospodarstwa Wiejskiego w War</w:t>
      </w:r>
      <w:r w:rsidR="0087561B" w:rsidRPr="001957E3">
        <w:rPr>
          <w:rFonts w:ascii="Times New Roman" w:eastAsia="Calibri" w:hAnsi="Times New Roman" w:cs="Times New Roman"/>
          <w:sz w:val="24"/>
          <w:szCs w:val="24"/>
          <w:lang w:eastAsia="pl-PL"/>
        </w:rPr>
        <w:t>szawie</w:t>
      </w:r>
      <w:r w:rsidRPr="001957E3">
        <w:rPr>
          <w:rFonts w:ascii="Times New Roman" w:eastAsia="Calibri" w:hAnsi="Times New Roman" w:cs="Times New Roman"/>
          <w:sz w:val="24"/>
          <w:szCs w:val="24"/>
          <w:lang w:eastAsia="pl-PL"/>
        </w:rPr>
        <w:t>, Senat Szkoły Głównej Gospodarstwa Wiejskiego w Warszawie uchwala, co następuje:</w:t>
      </w:r>
    </w:p>
    <w:p w:rsidR="00BB69CF" w:rsidRPr="001957E3" w:rsidRDefault="00BB69CF" w:rsidP="001957E3">
      <w:pPr>
        <w:spacing w:after="0"/>
        <w:rPr>
          <w:rFonts w:ascii="Times New Roman" w:eastAsia="Calibri" w:hAnsi="Times New Roman" w:cs="Times New Roman"/>
          <w:sz w:val="24"/>
          <w:szCs w:val="24"/>
          <w:lang w:eastAsia="pl-PL"/>
        </w:rPr>
      </w:pPr>
    </w:p>
    <w:p w:rsidR="00BB69CF" w:rsidRPr="001957E3" w:rsidRDefault="00BB69CF" w:rsidP="001957E3">
      <w:pPr>
        <w:spacing w:after="0"/>
        <w:jc w:val="center"/>
        <w:rPr>
          <w:rFonts w:ascii="Times New Roman" w:eastAsia="Calibri" w:hAnsi="Times New Roman" w:cs="Times New Roman"/>
          <w:sz w:val="24"/>
          <w:szCs w:val="24"/>
          <w:lang w:eastAsia="pl-PL"/>
        </w:rPr>
      </w:pPr>
      <w:r w:rsidRPr="001957E3">
        <w:rPr>
          <w:rFonts w:ascii="Times New Roman" w:eastAsia="Calibri" w:hAnsi="Times New Roman" w:cs="Times New Roman"/>
          <w:sz w:val="24"/>
          <w:szCs w:val="24"/>
          <w:lang w:eastAsia="pl-PL"/>
        </w:rPr>
        <w:t>§ 1</w:t>
      </w:r>
    </w:p>
    <w:p w:rsidR="00BB69CF" w:rsidRPr="001957E3" w:rsidRDefault="00E53F96" w:rsidP="001957E3">
      <w:pPr>
        <w:spacing w:after="0"/>
        <w:jc w:val="both"/>
        <w:rPr>
          <w:rFonts w:ascii="Times New Roman" w:eastAsia="Calibri" w:hAnsi="Times New Roman" w:cs="Times New Roman"/>
          <w:sz w:val="24"/>
          <w:szCs w:val="24"/>
        </w:rPr>
      </w:pPr>
      <w:r w:rsidRPr="001957E3">
        <w:rPr>
          <w:rFonts w:ascii="Times New Roman" w:eastAsia="Calibri" w:hAnsi="Times New Roman" w:cs="Times New Roman"/>
          <w:sz w:val="24"/>
          <w:szCs w:val="24"/>
        </w:rPr>
        <w:t xml:space="preserve">Po przyjęciu uchwałą </w:t>
      </w:r>
      <w:r w:rsidR="009C06A0" w:rsidRPr="001957E3">
        <w:rPr>
          <w:rFonts w:ascii="Times New Roman" w:eastAsia="Calibri" w:hAnsi="Times New Roman" w:cs="Times New Roman"/>
          <w:sz w:val="24"/>
          <w:szCs w:val="24"/>
        </w:rPr>
        <w:t xml:space="preserve">nr 27 - 2016/2017 Senatu Szkoły Głównej Gospodarstwa Wiejskiego </w:t>
      </w:r>
      <w:r w:rsidR="009C06A0" w:rsidRPr="001957E3">
        <w:rPr>
          <w:rFonts w:ascii="Times New Roman" w:eastAsia="Calibri" w:hAnsi="Times New Roman" w:cs="Times New Roman"/>
          <w:sz w:val="24"/>
          <w:szCs w:val="24"/>
        </w:rPr>
        <w:br/>
        <w:t xml:space="preserve">w Warszawie z dnia 28 listopada 2016 roku projektu zmian w Statucie Szkoły Głównej Gospodarstwa Wiejskiego w Warszawie </w:t>
      </w:r>
      <w:r w:rsidRPr="001957E3">
        <w:rPr>
          <w:rFonts w:ascii="Times New Roman" w:eastAsia="Calibri" w:hAnsi="Times New Roman" w:cs="Times New Roman"/>
          <w:sz w:val="24"/>
          <w:szCs w:val="24"/>
        </w:rPr>
        <w:t>oraz po zapoznaniu się z dotyczącymi tego projektu opiniami Senackiej Komisji ds. Statutu i Struktury i działających</w:t>
      </w:r>
      <w:r w:rsidR="00D6177E" w:rsidRPr="001957E3">
        <w:rPr>
          <w:rFonts w:ascii="Times New Roman" w:eastAsia="Calibri" w:hAnsi="Times New Roman" w:cs="Times New Roman"/>
          <w:sz w:val="24"/>
          <w:szCs w:val="24"/>
        </w:rPr>
        <w:t xml:space="preserve"> w SGGW związków zawodowych</w:t>
      </w:r>
      <w:r w:rsidRPr="001957E3">
        <w:rPr>
          <w:rFonts w:ascii="Times New Roman" w:eastAsia="Calibri" w:hAnsi="Times New Roman" w:cs="Times New Roman"/>
          <w:sz w:val="24"/>
          <w:szCs w:val="24"/>
        </w:rPr>
        <w:t xml:space="preserve"> </w:t>
      </w:r>
      <w:r w:rsidR="00D6177E" w:rsidRPr="001957E3">
        <w:rPr>
          <w:rFonts w:ascii="Times New Roman" w:eastAsia="Calibri" w:hAnsi="Times New Roman" w:cs="Times New Roman"/>
          <w:sz w:val="24"/>
          <w:szCs w:val="24"/>
        </w:rPr>
        <w:t>w</w:t>
      </w:r>
      <w:r w:rsidR="00BB69CF" w:rsidRPr="001957E3">
        <w:rPr>
          <w:rFonts w:ascii="Times New Roman" w:eastAsia="Calibri" w:hAnsi="Times New Roman" w:cs="Times New Roman"/>
          <w:sz w:val="24"/>
          <w:szCs w:val="24"/>
        </w:rPr>
        <w:t xml:space="preserve"> Statucie Szkoły G</w:t>
      </w:r>
      <w:r w:rsidR="000373DA" w:rsidRPr="001957E3">
        <w:rPr>
          <w:rFonts w:ascii="Times New Roman" w:eastAsia="Calibri" w:hAnsi="Times New Roman" w:cs="Times New Roman"/>
          <w:sz w:val="24"/>
          <w:szCs w:val="24"/>
        </w:rPr>
        <w:t xml:space="preserve">łównej Gospodarstwa Wiejskiego </w:t>
      </w:r>
      <w:r w:rsidR="00BB69CF" w:rsidRPr="001957E3">
        <w:rPr>
          <w:rFonts w:ascii="Times New Roman" w:eastAsia="Calibri" w:hAnsi="Times New Roman" w:cs="Times New Roman"/>
          <w:sz w:val="24"/>
          <w:szCs w:val="24"/>
        </w:rPr>
        <w:t>w Warszawie – uchwalonym w dniu 28 listopada 2011 r. uchwałą Nr 8 – 2011/2012 Senatu Szkoły Głównej Gospodarstwa Wiejskiego w Warszawie</w:t>
      </w:r>
      <w:r w:rsidR="009C06A0" w:rsidRPr="001957E3">
        <w:rPr>
          <w:rFonts w:ascii="Times New Roman" w:eastAsia="Calibri" w:hAnsi="Times New Roman" w:cs="Times New Roman"/>
          <w:sz w:val="24"/>
          <w:szCs w:val="24"/>
        </w:rPr>
        <w:t>,</w:t>
      </w:r>
      <w:r w:rsidR="009C06A0" w:rsidRPr="001957E3">
        <w:rPr>
          <w:rFonts w:ascii="Times New Roman" w:eastAsiaTheme="minorEastAsia" w:hAnsi="Times New Roman" w:cs="Times New Roman"/>
          <w:sz w:val="24"/>
          <w:szCs w:val="24"/>
          <w:lang w:eastAsia="pl-PL"/>
        </w:rPr>
        <w:t xml:space="preserve"> </w:t>
      </w:r>
      <w:r w:rsidR="009C06A0" w:rsidRPr="001957E3">
        <w:rPr>
          <w:rFonts w:ascii="Times New Roman" w:eastAsia="Calibri" w:hAnsi="Times New Roman" w:cs="Times New Roman"/>
          <w:sz w:val="24"/>
          <w:szCs w:val="24"/>
        </w:rPr>
        <w:t xml:space="preserve">ze zmianami przyjętymi uchwałami Senatu: </w:t>
      </w:r>
      <w:r w:rsidR="009C06A0" w:rsidRPr="001957E3">
        <w:rPr>
          <w:rFonts w:ascii="Times New Roman" w:eastAsia="Calibri" w:hAnsi="Times New Roman" w:cs="Times New Roman"/>
          <w:sz w:val="24"/>
          <w:szCs w:val="24"/>
        </w:rPr>
        <w:br/>
        <w:t>Nr 15 - 2013</w:t>
      </w:r>
      <w:r w:rsidR="006E53A8" w:rsidRPr="001957E3">
        <w:rPr>
          <w:rFonts w:ascii="Times New Roman" w:eastAsia="Calibri" w:hAnsi="Times New Roman" w:cs="Times New Roman"/>
          <w:sz w:val="24"/>
          <w:szCs w:val="24"/>
        </w:rPr>
        <w:t xml:space="preserve">/2014 z dnia 16 grudnia 2013 r., </w:t>
      </w:r>
      <w:r w:rsidR="009C06A0" w:rsidRPr="001957E3">
        <w:rPr>
          <w:rFonts w:ascii="Times New Roman" w:eastAsia="Calibri" w:hAnsi="Times New Roman" w:cs="Times New Roman"/>
          <w:sz w:val="24"/>
          <w:szCs w:val="24"/>
        </w:rPr>
        <w:t xml:space="preserve">Nr 24 – 2013/2014 z dnia 27 stycznia </w:t>
      </w:r>
      <w:r w:rsidR="004576E9" w:rsidRPr="001957E3">
        <w:rPr>
          <w:rFonts w:ascii="Times New Roman" w:eastAsia="Calibri" w:hAnsi="Times New Roman" w:cs="Times New Roman"/>
          <w:sz w:val="24"/>
          <w:szCs w:val="24"/>
        </w:rPr>
        <w:br/>
      </w:r>
      <w:r w:rsidR="009C06A0" w:rsidRPr="001957E3">
        <w:rPr>
          <w:rFonts w:ascii="Times New Roman" w:eastAsia="Calibri" w:hAnsi="Times New Roman" w:cs="Times New Roman"/>
          <w:sz w:val="24"/>
          <w:szCs w:val="24"/>
        </w:rPr>
        <w:t xml:space="preserve">2014 r., </w:t>
      </w:r>
      <w:r w:rsidR="005054E9" w:rsidRPr="001957E3">
        <w:rPr>
          <w:rFonts w:ascii="Times New Roman" w:eastAsia="Calibri" w:hAnsi="Times New Roman" w:cs="Times New Roman"/>
          <w:sz w:val="24"/>
          <w:szCs w:val="24"/>
        </w:rPr>
        <w:t xml:space="preserve">Nr 28 – 2013/2014 z dnia </w:t>
      </w:r>
      <w:r w:rsidR="009C06A0" w:rsidRPr="001957E3">
        <w:rPr>
          <w:rFonts w:ascii="Times New Roman" w:eastAsia="Calibri" w:hAnsi="Times New Roman" w:cs="Times New Roman"/>
          <w:sz w:val="24"/>
          <w:szCs w:val="24"/>
        </w:rPr>
        <w:t xml:space="preserve">24 lutego 2014 r. </w:t>
      </w:r>
      <w:r w:rsidR="004576E9" w:rsidRPr="001957E3">
        <w:rPr>
          <w:rFonts w:ascii="Times New Roman" w:eastAsia="Calibri" w:hAnsi="Times New Roman" w:cs="Times New Roman"/>
          <w:sz w:val="24"/>
          <w:szCs w:val="24"/>
        </w:rPr>
        <w:t xml:space="preserve">oraz </w:t>
      </w:r>
      <w:r w:rsidR="009C06A0" w:rsidRPr="001957E3">
        <w:rPr>
          <w:rFonts w:ascii="Times New Roman" w:eastAsia="Calibri" w:hAnsi="Times New Roman" w:cs="Times New Roman"/>
          <w:sz w:val="24"/>
          <w:szCs w:val="24"/>
        </w:rPr>
        <w:t xml:space="preserve">Nr 20 – 2015/2016 z dnia </w:t>
      </w:r>
      <w:r w:rsidR="004576E9" w:rsidRPr="001957E3">
        <w:rPr>
          <w:rFonts w:ascii="Times New Roman" w:eastAsia="Calibri" w:hAnsi="Times New Roman" w:cs="Times New Roman"/>
          <w:sz w:val="24"/>
          <w:szCs w:val="24"/>
        </w:rPr>
        <w:br/>
      </w:r>
      <w:r w:rsidR="009C06A0" w:rsidRPr="001957E3">
        <w:rPr>
          <w:rFonts w:ascii="Times New Roman" w:eastAsia="Calibri" w:hAnsi="Times New Roman" w:cs="Times New Roman"/>
          <w:sz w:val="24"/>
          <w:szCs w:val="24"/>
        </w:rPr>
        <w:t xml:space="preserve">30 listopada 2015 r., </w:t>
      </w:r>
      <w:r w:rsidR="000373DA" w:rsidRPr="001957E3">
        <w:rPr>
          <w:rFonts w:ascii="Times New Roman" w:eastAsia="Calibri" w:hAnsi="Times New Roman" w:cs="Times New Roman"/>
          <w:sz w:val="24"/>
          <w:szCs w:val="24"/>
        </w:rPr>
        <w:t xml:space="preserve"> wprowadza się następujące zmiany:</w:t>
      </w:r>
    </w:p>
    <w:p w:rsidR="00E9706E" w:rsidRPr="001957E3" w:rsidRDefault="00E9706E" w:rsidP="001957E3">
      <w:pPr>
        <w:pStyle w:val="Akapitzlist"/>
        <w:numPr>
          <w:ilvl w:val="0"/>
          <w:numId w:val="2"/>
        </w:numPr>
        <w:spacing w:line="276" w:lineRule="auto"/>
        <w:jc w:val="both"/>
      </w:pPr>
      <w:r w:rsidRPr="001957E3">
        <w:t>w § 2:</w:t>
      </w:r>
    </w:p>
    <w:p w:rsidR="00E9706E" w:rsidRPr="001957E3" w:rsidRDefault="00E9706E" w:rsidP="001957E3">
      <w:pPr>
        <w:pStyle w:val="Akapitzlist"/>
        <w:numPr>
          <w:ilvl w:val="0"/>
          <w:numId w:val="3"/>
        </w:numPr>
        <w:spacing w:line="276" w:lineRule="auto"/>
        <w:jc w:val="both"/>
      </w:pPr>
      <w:r w:rsidRPr="001957E3">
        <w:t>w ust. 2 pkt 3 otrzymuje brzmienie:</w:t>
      </w:r>
    </w:p>
    <w:p w:rsidR="00E9706E" w:rsidRPr="001957E3" w:rsidRDefault="00E9706E" w:rsidP="001957E3">
      <w:pPr>
        <w:pStyle w:val="Akapitzlist"/>
        <w:spacing w:line="276" w:lineRule="auto"/>
        <w:ind w:left="1080"/>
        <w:jc w:val="both"/>
      </w:pPr>
      <w:r w:rsidRPr="001957E3">
        <w:t>„3) prowadzenie badań naukowych i prac rozwojowych, świadczenie usług badawczych oraz transfer technologii do gospodarki”,</w:t>
      </w:r>
    </w:p>
    <w:p w:rsidR="00E9706E" w:rsidRPr="001957E3" w:rsidRDefault="00E9706E" w:rsidP="001957E3">
      <w:pPr>
        <w:pStyle w:val="Akapitzlist"/>
        <w:numPr>
          <w:ilvl w:val="0"/>
          <w:numId w:val="3"/>
        </w:numPr>
        <w:spacing w:line="276" w:lineRule="auto"/>
        <w:jc w:val="both"/>
      </w:pPr>
      <w:r w:rsidRPr="001957E3">
        <w:t>ust. 4 otrzymuje brzmienie:</w:t>
      </w:r>
    </w:p>
    <w:p w:rsidR="00E9706E" w:rsidRPr="001957E3" w:rsidRDefault="00E9706E" w:rsidP="001957E3">
      <w:pPr>
        <w:pStyle w:val="Akapitzlist"/>
        <w:spacing w:line="276" w:lineRule="auto"/>
        <w:ind w:left="1080"/>
        <w:jc w:val="both"/>
      </w:pPr>
      <w:r w:rsidRPr="001957E3">
        <w:t>„SGGW może monitorować kariery zawodowe swoich absolwentów w celu dostosowania programów kształcenia do potrzeb rynku pracy.”;</w:t>
      </w:r>
    </w:p>
    <w:p w:rsidR="00E9706E" w:rsidRPr="001957E3" w:rsidRDefault="00E9706E" w:rsidP="001957E3">
      <w:pPr>
        <w:pStyle w:val="Akapitzlist"/>
        <w:numPr>
          <w:ilvl w:val="0"/>
          <w:numId w:val="2"/>
        </w:numPr>
        <w:spacing w:line="276" w:lineRule="auto"/>
        <w:jc w:val="both"/>
      </w:pPr>
      <w:r w:rsidRPr="001957E3">
        <w:t xml:space="preserve">w § 3 </w:t>
      </w:r>
      <w:r w:rsidR="00CA6F78">
        <w:t xml:space="preserve">w ust. 8 </w:t>
      </w:r>
      <w:r w:rsidRPr="001957E3">
        <w:t>wyrazy: „w ustawie z dnia 4 lutego 2011 r</w:t>
      </w:r>
      <w:r w:rsidR="00CA6F78">
        <w:t xml:space="preserve">. o opiece nad dziećmi w wieku </w:t>
      </w:r>
      <w:r w:rsidRPr="001957E3">
        <w:t xml:space="preserve">do lat 3 (Dz. U. z 2011 r. Nr 45, poz. 235 z późn. zm.)” zastępuje się wyrazami: </w:t>
      </w:r>
      <w:r w:rsidR="007D7761" w:rsidRPr="001957E3">
        <w:br/>
      </w:r>
      <w:r w:rsidRPr="001957E3">
        <w:t>„w przepisach odrębnych o opiece nad dziećmi w wieku do lat 3”;</w:t>
      </w:r>
    </w:p>
    <w:p w:rsidR="00E9706E" w:rsidRPr="001957E3" w:rsidRDefault="00D1112D" w:rsidP="00D1112D">
      <w:pPr>
        <w:pStyle w:val="Akapitzlist"/>
        <w:numPr>
          <w:ilvl w:val="0"/>
          <w:numId w:val="2"/>
        </w:numPr>
        <w:spacing w:line="276" w:lineRule="auto"/>
        <w:jc w:val="both"/>
      </w:pPr>
      <w:r>
        <w:t xml:space="preserve">w § 6 </w:t>
      </w:r>
      <w:r w:rsidR="00E9706E" w:rsidRPr="001957E3">
        <w:t>w ust. 1 kropkę zastępuje się przecinkiem i dodaje się wyrazy: „oraz hymn”,</w:t>
      </w:r>
    </w:p>
    <w:p w:rsidR="00E9706E" w:rsidRPr="001957E3" w:rsidRDefault="00E9706E" w:rsidP="001957E3">
      <w:pPr>
        <w:pStyle w:val="Akapitzlist"/>
        <w:numPr>
          <w:ilvl w:val="0"/>
          <w:numId w:val="2"/>
        </w:numPr>
        <w:spacing w:line="276" w:lineRule="auto"/>
        <w:jc w:val="both"/>
      </w:pPr>
      <w:r w:rsidRPr="001957E3">
        <w:t>w § 11 dodaje się ust. 6 w brzmieniu:</w:t>
      </w:r>
    </w:p>
    <w:p w:rsidR="00E9706E" w:rsidRPr="001957E3" w:rsidRDefault="00E9706E" w:rsidP="001957E3">
      <w:pPr>
        <w:pStyle w:val="Akapitzlist"/>
        <w:spacing w:line="276" w:lineRule="auto"/>
        <w:jc w:val="both"/>
      </w:pPr>
      <w:r w:rsidRPr="001957E3">
        <w:t>„6. Tytuł doktora honoris causa nadaje się osobie zasłużonej dla SGGW, zasłużonej dla nauki lub dydaktyki, szczególnie w dziedzinach, wymienionych w § 3, bądź zasłużonej dla społeczeństwa, kraju, Europy lub świata.”;</w:t>
      </w:r>
    </w:p>
    <w:p w:rsidR="00E9706E" w:rsidRPr="001957E3" w:rsidRDefault="00E9706E" w:rsidP="001957E3">
      <w:pPr>
        <w:pStyle w:val="Akapitzlist"/>
        <w:numPr>
          <w:ilvl w:val="0"/>
          <w:numId w:val="2"/>
        </w:numPr>
        <w:spacing w:line="276" w:lineRule="auto"/>
        <w:jc w:val="both"/>
      </w:pPr>
      <w:r w:rsidRPr="001957E3">
        <w:t>w § 19 ust. 2 otrzymuje brzmienie:</w:t>
      </w:r>
    </w:p>
    <w:p w:rsidR="00E9706E" w:rsidRPr="001957E3" w:rsidRDefault="00E9706E" w:rsidP="001957E3">
      <w:pPr>
        <w:pStyle w:val="Akapitzlist"/>
        <w:spacing w:line="276" w:lineRule="auto"/>
        <w:jc w:val="both"/>
      </w:pPr>
      <w:r w:rsidRPr="001957E3">
        <w:t xml:space="preserve">„2. SGGW może prowadzić działalność gospodarczą wyodrębnioną organizacyjnie </w:t>
      </w:r>
      <w:r w:rsidRPr="001957E3">
        <w:br/>
        <w:t>i finansowo od działalności, o której mowa w art. 13 i art. 14 Ustawy, w formie spółek kapitałowych oraz jednostek działal</w:t>
      </w:r>
      <w:r w:rsidR="007D7761" w:rsidRPr="001957E3">
        <w:t xml:space="preserve">ności gospodarczej bezpośrednio </w:t>
      </w:r>
      <w:r w:rsidRPr="001957E3">
        <w:t xml:space="preserve">podporządkowanych Kanclerzowi SGGW i przez niego nadzorowanych chyba, </w:t>
      </w:r>
      <w:r w:rsidR="001957E3">
        <w:br/>
      </w:r>
      <w:r w:rsidRPr="001957E3">
        <w:t>że w konkretnym przypadku Rektor postanowi inaczej. Jednostki te powołuje Rektor, określając zakres i szczegółowe zasady ich działalności oraz strukturę organizacyjną.”;</w:t>
      </w:r>
    </w:p>
    <w:p w:rsidR="00E9706E" w:rsidRPr="001957E3" w:rsidRDefault="00E9706E" w:rsidP="001957E3">
      <w:pPr>
        <w:pStyle w:val="Akapitzlist"/>
        <w:numPr>
          <w:ilvl w:val="0"/>
          <w:numId w:val="2"/>
        </w:numPr>
        <w:spacing w:line="276" w:lineRule="auto"/>
        <w:jc w:val="both"/>
      </w:pPr>
      <w:r w:rsidRPr="001957E3">
        <w:lastRenderedPageBreak/>
        <w:t xml:space="preserve">w § 28 </w:t>
      </w:r>
    </w:p>
    <w:p w:rsidR="00E9706E" w:rsidRPr="001957E3" w:rsidRDefault="00E9706E" w:rsidP="001957E3">
      <w:pPr>
        <w:pStyle w:val="Akapitzlist"/>
        <w:numPr>
          <w:ilvl w:val="0"/>
          <w:numId w:val="5"/>
        </w:numPr>
        <w:spacing w:line="276" w:lineRule="auto"/>
        <w:jc w:val="both"/>
      </w:pPr>
      <w:r w:rsidRPr="001957E3">
        <w:t>ust. 1 otrzymuje brzmienie:</w:t>
      </w:r>
    </w:p>
    <w:p w:rsidR="00E9706E" w:rsidRPr="001957E3" w:rsidRDefault="00E9706E" w:rsidP="001957E3">
      <w:pPr>
        <w:pStyle w:val="Akapitzlist"/>
        <w:spacing w:line="276" w:lineRule="auto"/>
        <w:jc w:val="both"/>
      </w:pPr>
      <w:r w:rsidRPr="001957E3">
        <w:t>„</w:t>
      </w:r>
      <w:r w:rsidR="00CA6F78">
        <w:t xml:space="preserve">1. </w:t>
      </w:r>
      <w:r w:rsidR="007D7761" w:rsidRPr="001957E3">
        <w:t xml:space="preserve">Jednostki ogólnouczelniane </w:t>
      </w:r>
      <w:r w:rsidRPr="001957E3">
        <w:t>powoływane są do wspomagania działalności wydziałów w zakresie zadań dydaktycznych i badawczych, których nie są w stanie samodzielnie wykonać, a także do samodzielnej realizacji innych zadań w zakresie działalności SGGW.”,</w:t>
      </w:r>
    </w:p>
    <w:p w:rsidR="00E9706E" w:rsidRPr="001957E3" w:rsidRDefault="00E9706E" w:rsidP="001957E3">
      <w:pPr>
        <w:pStyle w:val="Akapitzlist"/>
        <w:numPr>
          <w:ilvl w:val="0"/>
          <w:numId w:val="5"/>
        </w:numPr>
        <w:spacing w:line="276" w:lineRule="auto"/>
        <w:jc w:val="both"/>
      </w:pPr>
      <w:r w:rsidRPr="001957E3">
        <w:t>ust. 4 otrzymuje brzmienie:</w:t>
      </w:r>
    </w:p>
    <w:p w:rsidR="00E9706E" w:rsidRPr="001957E3" w:rsidRDefault="00E9706E" w:rsidP="001957E3">
      <w:pPr>
        <w:pStyle w:val="Akapitzlist"/>
        <w:spacing w:line="276" w:lineRule="auto"/>
        <w:jc w:val="both"/>
      </w:pPr>
      <w:r w:rsidRPr="001957E3">
        <w:t>„</w:t>
      </w:r>
      <w:r w:rsidR="007D7761" w:rsidRPr="001957E3">
        <w:t xml:space="preserve">4. </w:t>
      </w:r>
      <w:r w:rsidRPr="001957E3">
        <w:t>Jednostki wymienione w ust. l, 2 i 3 działają na podstawie regulaminu nadanego przez Rektora. W przypadku jednostek międzywydziałowych i pozawydziałowych  Rektor zasięga opinii Senatu. Regulamin może przewidywać utworzenie struktur wewnętrznych jednostek; § 40 stosuje się odpowiednio.” ;</w:t>
      </w:r>
    </w:p>
    <w:p w:rsidR="00E9706E" w:rsidRPr="001957E3" w:rsidRDefault="00E9706E" w:rsidP="001957E3">
      <w:pPr>
        <w:pStyle w:val="Akapitzlist"/>
        <w:numPr>
          <w:ilvl w:val="0"/>
          <w:numId w:val="2"/>
        </w:numPr>
        <w:spacing w:line="276" w:lineRule="auto"/>
        <w:jc w:val="both"/>
      </w:pPr>
      <w:r w:rsidRPr="001957E3">
        <w:t>§ 38 otrzymuje brzmienie:</w:t>
      </w:r>
    </w:p>
    <w:p w:rsidR="00E9706E" w:rsidRPr="001957E3" w:rsidRDefault="00E9706E" w:rsidP="001957E3">
      <w:pPr>
        <w:pStyle w:val="Akapitzlist"/>
        <w:spacing w:line="276" w:lineRule="auto"/>
        <w:jc w:val="both"/>
      </w:pPr>
      <w:r w:rsidRPr="001957E3">
        <w:t xml:space="preserve">„Jednostki ogólnouczelniane, międzywydziałowe i pozawydziałowe tworzy, przekształca, zmienia ich nazwy i likwiduje Rektor. Rektor przed utworzeniem, przekształceniem, zmianą nazwy lub likwidacją jednostek międzywydziałowych </w:t>
      </w:r>
      <w:r w:rsidR="001957E3">
        <w:br/>
        <w:t xml:space="preserve">i </w:t>
      </w:r>
      <w:r w:rsidRPr="001957E3">
        <w:t>pozawydziałowych zasięga opini</w:t>
      </w:r>
      <w:r w:rsidR="001957E3">
        <w:t xml:space="preserve">i Senatu. W przypadku jednostek </w:t>
      </w:r>
      <w:r w:rsidRPr="001957E3">
        <w:t>międzywydziałowych Rektor występując o opinię Senatu przedstawia także opinię odpowiednich rad wydziałów, a w przypadku jednostki pozawydziałowej – opinię zainteresowanej rady wydziału.”;</w:t>
      </w:r>
    </w:p>
    <w:p w:rsidR="00E9706E" w:rsidRPr="001957E3" w:rsidRDefault="00E9706E" w:rsidP="001957E3">
      <w:pPr>
        <w:pStyle w:val="Akapitzlist"/>
        <w:numPr>
          <w:ilvl w:val="0"/>
          <w:numId w:val="2"/>
        </w:numPr>
        <w:spacing w:line="276" w:lineRule="auto"/>
        <w:jc w:val="both"/>
      </w:pPr>
      <w:r w:rsidRPr="001957E3">
        <w:t>§ 44:</w:t>
      </w:r>
    </w:p>
    <w:p w:rsidR="00E9706E" w:rsidRPr="001957E3" w:rsidRDefault="00E9706E" w:rsidP="001957E3">
      <w:pPr>
        <w:pStyle w:val="Akapitzlist"/>
        <w:numPr>
          <w:ilvl w:val="0"/>
          <w:numId w:val="6"/>
        </w:numPr>
        <w:spacing w:line="276" w:lineRule="auto"/>
        <w:jc w:val="both"/>
      </w:pPr>
      <w:r w:rsidRPr="001957E3">
        <w:t>po wyrazach: „1 stycznia” dopisuje się wyrazy: „lub z dniem 1 lipca”,</w:t>
      </w:r>
    </w:p>
    <w:p w:rsidR="00E9706E" w:rsidRPr="001957E3" w:rsidRDefault="00E9706E" w:rsidP="001957E3">
      <w:pPr>
        <w:pStyle w:val="Akapitzlist"/>
        <w:numPr>
          <w:ilvl w:val="0"/>
          <w:numId w:val="6"/>
        </w:numPr>
        <w:spacing w:line="276" w:lineRule="auto"/>
        <w:jc w:val="both"/>
      </w:pPr>
      <w:r w:rsidRPr="001957E3">
        <w:t>po wyrazach: „które mogą być wprowadzone” dopisuje się wyraz: „również”;</w:t>
      </w:r>
    </w:p>
    <w:p w:rsidR="00E9706E" w:rsidRPr="001957E3" w:rsidRDefault="00E9706E" w:rsidP="001957E3">
      <w:pPr>
        <w:pStyle w:val="Akapitzlist"/>
        <w:numPr>
          <w:ilvl w:val="0"/>
          <w:numId w:val="2"/>
        </w:numPr>
        <w:spacing w:line="276" w:lineRule="auto"/>
        <w:jc w:val="both"/>
      </w:pPr>
      <w:r w:rsidRPr="001957E3">
        <w:t xml:space="preserve"> § 46 otrzymuje brzmienie:</w:t>
      </w:r>
    </w:p>
    <w:p w:rsidR="00E9706E" w:rsidRPr="001957E3" w:rsidRDefault="00E9706E" w:rsidP="001957E3">
      <w:pPr>
        <w:pStyle w:val="Akapitzlist"/>
        <w:spacing w:line="276" w:lineRule="auto"/>
        <w:jc w:val="both"/>
      </w:pPr>
      <w:r w:rsidRPr="001957E3">
        <w:t>„Dyrektorów lub kierowników jednostek międzywydziałowych i pozawydziałowych powołuje Rektor na cztery lata (liczone od l stycznia pierwszego roku swojej kadencji), po zasięgnięciu opinii Senatu.”;</w:t>
      </w:r>
    </w:p>
    <w:p w:rsidR="00E9706E" w:rsidRPr="001957E3" w:rsidRDefault="00E9706E" w:rsidP="001957E3">
      <w:pPr>
        <w:pStyle w:val="Akapitzlist"/>
        <w:numPr>
          <w:ilvl w:val="0"/>
          <w:numId w:val="2"/>
        </w:numPr>
        <w:spacing w:line="276" w:lineRule="auto"/>
        <w:jc w:val="both"/>
      </w:pPr>
      <w:r w:rsidRPr="001957E3">
        <w:t>§ 49 otrzymuje brzmienie:</w:t>
      </w:r>
    </w:p>
    <w:p w:rsidR="00E9706E" w:rsidRPr="001957E3" w:rsidRDefault="00E9706E" w:rsidP="001957E3">
      <w:pPr>
        <w:pStyle w:val="Akapitzlist"/>
        <w:spacing w:line="276" w:lineRule="auto"/>
        <w:jc w:val="both"/>
      </w:pPr>
      <w:r w:rsidRPr="001957E3">
        <w:t xml:space="preserve">„1. Kierowników katedr oraz innych samodzielnych jednostek na wydziałach powołuje Rektor na cztery lata (liczone od 1 stycznia pierwszego roku swojej kadencji), na wniosek dziekana właściwego wydziału. Proponowana przez dziekana </w:t>
      </w:r>
      <w:r w:rsidRPr="00E43AFD">
        <w:rPr>
          <w:color w:val="000000" w:themeColor="text1"/>
        </w:rPr>
        <w:t xml:space="preserve">kandydatura powinna być zaopiniowana w tajnym głosowaniu przez radę wydziału; przed głosowaniem rada wydziału powinna zapoznać się z opinią pracowników katedry lub samodzielnej jednostki organizacyjnej, dotyczącą proponowanej przez dziekana kandydatury, przy czym opinia ta powinna </w:t>
      </w:r>
      <w:r w:rsidRPr="001957E3">
        <w:t>być wyrażona w głosowaniu tajnym.</w:t>
      </w:r>
    </w:p>
    <w:p w:rsidR="00E9706E" w:rsidRPr="001957E3" w:rsidRDefault="00E9706E" w:rsidP="001957E3">
      <w:pPr>
        <w:pStyle w:val="Akapitzlist"/>
        <w:spacing w:line="276" w:lineRule="auto"/>
        <w:jc w:val="both"/>
      </w:pPr>
      <w:r w:rsidRPr="001957E3">
        <w:t>2. W przypadku odwołania kierowników katedr oraz kierowników innych samodzielnych jednostek na wydziałach, Rektor powołuje na ich miejsce nowych kierowników na pozostały okres, o którym mowa w ust. 1.”;</w:t>
      </w:r>
    </w:p>
    <w:p w:rsidR="00E9706E" w:rsidRPr="001957E3" w:rsidRDefault="00E9706E" w:rsidP="001957E3">
      <w:pPr>
        <w:pStyle w:val="Akapitzlist"/>
        <w:numPr>
          <w:ilvl w:val="0"/>
          <w:numId w:val="2"/>
        </w:numPr>
        <w:spacing w:line="276" w:lineRule="auto"/>
      </w:pPr>
      <w:r w:rsidRPr="001957E3">
        <w:t>§ 50 otrzymuje brzmienie:</w:t>
      </w:r>
    </w:p>
    <w:p w:rsidR="00E9706E" w:rsidRDefault="00E9706E" w:rsidP="001957E3">
      <w:pPr>
        <w:pStyle w:val="Akapitzlist"/>
        <w:spacing w:line="276" w:lineRule="auto"/>
        <w:jc w:val="both"/>
      </w:pPr>
      <w:r w:rsidRPr="001957E3">
        <w:t>„Kierowników jednostek organizacyjnych w katedrach lub innych jednostkach samodzielnych wydziału powołuje Rektor na cztery lata (liczone od 1 lutego pierwszego roku swojej kadencji) po zasięgnięciu opinii dziekana lub z upoważnienia Rektora dziekan na wniosek kierownika katedry lub kierownika danej jednostki samodzielnej.”;</w:t>
      </w:r>
    </w:p>
    <w:p w:rsidR="00A77124" w:rsidRPr="001957E3" w:rsidRDefault="00A77124" w:rsidP="001957E3">
      <w:pPr>
        <w:pStyle w:val="Akapitzlist"/>
        <w:spacing w:line="276" w:lineRule="auto"/>
        <w:jc w:val="both"/>
      </w:pPr>
    </w:p>
    <w:p w:rsidR="00E9706E" w:rsidRPr="001957E3" w:rsidRDefault="00E9706E" w:rsidP="001957E3">
      <w:pPr>
        <w:pStyle w:val="Akapitzlist"/>
        <w:numPr>
          <w:ilvl w:val="0"/>
          <w:numId w:val="2"/>
        </w:numPr>
        <w:spacing w:line="276" w:lineRule="auto"/>
      </w:pPr>
      <w:r w:rsidRPr="001957E3">
        <w:lastRenderedPageBreak/>
        <w:t>§ 53 otrzymuje brzmienie:</w:t>
      </w:r>
    </w:p>
    <w:p w:rsidR="00E9706E" w:rsidRPr="001957E3" w:rsidRDefault="00E9706E" w:rsidP="001957E3">
      <w:pPr>
        <w:pStyle w:val="Akapitzlist"/>
        <w:spacing w:line="276" w:lineRule="auto"/>
        <w:jc w:val="both"/>
      </w:pPr>
      <w:r w:rsidRPr="001957E3">
        <w:t xml:space="preserve">„Kierownicy (dyrektorzy) jednostek organizacyjnych SGGW mogą być odwołani </w:t>
      </w:r>
      <w:r w:rsidR="001957E3">
        <w:br/>
      </w:r>
      <w:r w:rsidRPr="001957E3">
        <w:t xml:space="preserve">ze swoich funkcji przez Rektora po zasięgnięciu opinii organu uprawnionego </w:t>
      </w:r>
      <w:r w:rsidR="001957E3">
        <w:br/>
      </w:r>
      <w:r w:rsidRPr="001957E3">
        <w:t xml:space="preserve">do składania wniosku o powołanie kierownika (dyrektora) jednostki organizacyjnej, albo przez organ, który dokonał ich powołania – na wniosek organu uprawnionego </w:t>
      </w:r>
      <w:r w:rsidR="001957E3">
        <w:br/>
      </w:r>
      <w:r w:rsidRPr="001957E3">
        <w:t>do składania wniosku o powołanie.”;</w:t>
      </w:r>
    </w:p>
    <w:p w:rsidR="00E9706E" w:rsidRPr="001957E3" w:rsidRDefault="00E9706E" w:rsidP="001957E3">
      <w:pPr>
        <w:pStyle w:val="Akapitzlist"/>
        <w:numPr>
          <w:ilvl w:val="0"/>
          <w:numId w:val="2"/>
        </w:numPr>
        <w:spacing w:line="276" w:lineRule="auto"/>
        <w:jc w:val="both"/>
      </w:pPr>
      <w:r w:rsidRPr="001957E3">
        <w:t xml:space="preserve"> w § 60:</w:t>
      </w:r>
    </w:p>
    <w:p w:rsidR="00E9706E" w:rsidRPr="001957E3" w:rsidRDefault="00E9706E" w:rsidP="001957E3">
      <w:pPr>
        <w:pStyle w:val="Akapitzlist"/>
        <w:numPr>
          <w:ilvl w:val="0"/>
          <w:numId w:val="7"/>
        </w:numPr>
        <w:spacing w:line="276" w:lineRule="auto"/>
        <w:jc w:val="both"/>
      </w:pPr>
      <w:r w:rsidRPr="001957E3">
        <w:t>pkt 12 otrzymuje brzmienie:</w:t>
      </w:r>
    </w:p>
    <w:p w:rsidR="00E9706E" w:rsidRPr="001957E3" w:rsidRDefault="00E9706E" w:rsidP="001957E3">
      <w:pPr>
        <w:pStyle w:val="Akapitzlist"/>
        <w:spacing w:line="276" w:lineRule="auto"/>
        <w:ind w:left="1080"/>
        <w:jc w:val="both"/>
      </w:pPr>
      <w:r w:rsidRPr="001957E3">
        <w:t>„12) liczbę miejsc na poszczególnych kierunkach studiów stacjonarnych na dany rok akademicki”,</w:t>
      </w:r>
    </w:p>
    <w:p w:rsidR="00E9706E" w:rsidRPr="001957E3" w:rsidRDefault="00E9706E" w:rsidP="001957E3">
      <w:pPr>
        <w:pStyle w:val="Akapitzlist"/>
        <w:numPr>
          <w:ilvl w:val="0"/>
          <w:numId w:val="7"/>
        </w:numPr>
        <w:spacing w:line="276" w:lineRule="auto"/>
        <w:jc w:val="both"/>
      </w:pPr>
      <w:r w:rsidRPr="001957E3">
        <w:t>w pkt 14 wyrazy: „ustala waru</w:t>
      </w:r>
      <w:r w:rsidR="001C1BBA">
        <w:t>nki i tryb” zastępuje się wyrazami</w:t>
      </w:r>
      <w:r w:rsidRPr="001957E3">
        <w:t>: „ustala warunki, tryb i termin rozpoczęcia i zakończenia”,</w:t>
      </w:r>
    </w:p>
    <w:p w:rsidR="00E9706E" w:rsidRPr="001957E3" w:rsidRDefault="00E9706E" w:rsidP="001957E3">
      <w:pPr>
        <w:pStyle w:val="Akapitzlist"/>
        <w:numPr>
          <w:ilvl w:val="0"/>
          <w:numId w:val="7"/>
        </w:numPr>
        <w:spacing w:line="276" w:lineRule="auto"/>
        <w:jc w:val="both"/>
      </w:pPr>
      <w:r w:rsidRPr="001957E3">
        <w:t>pkt 23 otrzymuje brzmienie:</w:t>
      </w:r>
    </w:p>
    <w:p w:rsidR="00E9706E" w:rsidRPr="001957E3" w:rsidRDefault="00E9706E" w:rsidP="001957E3">
      <w:pPr>
        <w:pStyle w:val="podcicie2"/>
        <w:spacing w:line="276" w:lineRule="auto"/>
        <w:ind w:hanging="73"/>
        <w:rPr>
          <w:sz w:val="24"/>
          <w:szCs w:val="24"/>
        </w:rPr>
      </w:pPr>
      <w:r w:rsidRPr="001957E3">
        <w:rPr>
          <w:sz w:val="24"/>
          <w:szCs w:val="24"/>
        </w:rPr>
        <w:t>„23) uchwala regulamin zarządzania prawami autorskimi i prawami pokrewnymi oraz prawami własności przemysłowej oraz zasad komercjalizacji oraz uchwala regulamin korzystania z infrastruktury badawczej uczelni”,</w:t>
      </w:r>
    </w:p>
    <w:p w:rsidR="00E9706E" w:rsidRPr="001957E3" w:rsidRDefault="00E9706E" w:rsidP="001957E3">
      <w:pPr>
        <w:pStyle w:val="podcicie2"/>
        <w:numPr>
          <w:ilvl w:val="0"/>
          <w:numId w:val="7"/>
        </w:numPr>
        <w:spacing w:line="276" w:lineRule="auto"/>
        <w:rPr>
          <w:sz w:val="24"/>
          <w:szCs w:val="24"/>
        </w:rPr>
      </w:pPr>
      <w:r w:rsidRPr="001957E3">
        <w:rPr>
          <w:sz w:val="24"/>
          <w:szCs w:val="24"/>
        </w:rPr>
        <w:t>w pkt 26 przed wyrazami: „wyraża opinię” dopisuje się wyrazy: „na wniosek Rektora”,</w:t>
      </w:r>
    </w:p>
    <w:p w:rsidR="00E9706E" w:rsidRPr="001957E3" w:rsidRDefault="00E9706E" w:rsidP="001957E3">
      <w:pPr>
        <w:pStyle w:val="podcicie2"/>
        <w:numPr>
          <w:ilvl w:val="0"/>
          <w:numId w:val="7"/>
        </w:numPr>
        <w:spacing w:line="276" w:lineRule="auto"/>
        <w:rPr>
          <w:sz w:val="24"/>
          <w:szCs w:val="24"/>
        </w:rPr>
      </w:pPr>
      <w:r w:rsidRPr="001957E3">
        <w:rPr>
          <w:sz w:val="24"/>
          <w:szCs w:val="24"/>
        </w:rPr>
        <w:t>w pkt 27 wyrazy: „lub do pracy zawodowej” - skreśla się,</w:t>
      </w:r>
    </w:p>
    <w:p w:rsidR="00E9706E" w:rsidRPr="001957E3" w:rsidRDefault="00E9706E" w:rsidP="001957E3">
      <w:pPr>
        <w:pStyle w:val="podcicie2"/>
        <w:numPr>
          <w:ilvl w:val="0"/>
          <w:numId w:val="7"/>
        </w:numPr>
        <w:spacing w:line="276" w:lineRule="auto"/>
        <w:rPr>
          <w:sz w:val="24"/>
          <w:szCs w:val="24"/>
        </w:rPr>
      </w:pPr>
      <w:r w:rsidRPr="001957E3">
        <w:rPr>
          <w:sz w:val="24"/>
          <w:szCs w:val="24"/>
        </w:rPr>
        <w:t xml:space="preserve">pkt 37 otrzymuje brzmienie: </w:t>
      </w:r>
    </w:p>
    <w:p w:rsidR="00E9706E" w:rsidRPr="001957E3" w:rsidRDefault="00E9706E" w:rsidP="001957E3">
      <w:pPr>
        <w:pStyle w:val="podcicie2"/>
        <w:spacing w:line="276" w:lineRule="auto"/>
        <w:ind w:left="1080" w:firstLine="0"/>
        <w:rPr>
          <w:sz w:val="24"/>
          <w:szCs w:val="24"/>
        </w:rPr>
      </w:pPr>
      <w:r w:rsidRPr="001957E3">
        <w:rPr>
          <w:sz w:val="24"/>
          <w:szCs w:val="24"/>
        </w:rPr>
        <w:t>„37) określa zasady oraz tryb udzielania nauczycielom akademickim urlopów: naukowego oraz dla poratowania zdrowia”</w:t>
      </w:r>
    </w:p>
    <w:p w:rsidR="00E9706E" w:rsidRPr="001957E3" w:rsidRDefault="00E9706E" w:rsidP="001957E3">
      <w:pPr>
        <w:pStyle w:val="podcicie2"/>
        <w:numPr>
          <w:ilvl w:val="0"/>
          <w:numId w:val="7"/>
        </w:numPr>
        <w:spacing w:line="276" w:lineRule="auto"/>
        <w:rPr>
          <w:sz w:val="24"/>
          <w:szCs w:val="24"/>
        </w:rPr>
      </w:pPr>
      <w:r w:rsidRPr="001957E3">
        <w:rPr>
          <w:sz w:val="24"/>
          <w:szCs w:val="24"/>
        </w:rPr>
        <w:t>dodaje się pkt. 44 – 45 w brzmieniu:</w:t>
      </w:r>
    </w:p>
    <w:p w:rsidR="00E9706E" w:rsidRPr="001957E3" w:rsidRDefault="00E9706E" w:rsidP="001957E3">
      <w:pPr>
        <w:pStyle w:val="podcicie2"/>
        <w:spacing w:line="276" w:lineRule="auto"/>
        <w:ind w:left="1080" w:firstLine="0"/>
        <w:rPr>
          <w:sz w:val="24"/>
          <w:szCs w:val="24"/>
        </w:rPr>
      </w:pPr>
      <w:r w:rsidRPr="001957E3">
        <w:rPr>
          <w:sz w:val="24"/>
          <w:szCs w:val="24"/>
        </w:rPr>
        <w:t>„44) określa wzory umów o warunkach odpłatności za usługi edukacyjne,</w:t>
      </w:r>
    </w:p>
    <w:p w:rsidR="00E9706E" w:rsidRPr="001957E3" w:rsidRDefault="00E9706E" w:rsidP="001957E3">
      <w:pPr>
        <w:pStyle w:val="podcicie2"/>
        <w:spacing w:line="276" w:lineRule="auto"/>
        <w:ind w:left="1080" w:firstLine="0"/>
        <w:rPr>
          <w:sz w:val="24"/>
          <w:szCs w:val="24"/>
        </w:rPr>
      </w:pPr>
      <w:r w:rsidRPr="001957E3">
        <w:rPr>
          <w:sz w:val="24"/>
          <w:szCs w:val="24"/>
        </w:rPr>
        <w:t>45) określa organizację potwierdzania efektów uczenia się.”;</w:t>
      </w:r>
    </w:p>
    <w:p w:rsidR="00E9706E" w:rsidRPr="001957E3" w:rsidRDefault="00E9706E" w:rsidP="001957E3">
      <w:pPr>
        <w:pStyle w:val="Akapitzlist"/>
        <w:numPr>
          <w:ilvl w:val="0"/>
          <w:numId w:val="2"/>
        </w:numPr>
        <w:spacing w:line="276" w:lineRule="auto"/>
        <w:jc w:val="both"/>
      </w:pPr>
      <w:r w:rsidRPr="001957E3">
        <w:t xml:space="preserve">w § 66 w ust. 2 dodaje się zdanie drugie w brzmieniu: </w:t>
      </w:r>
    </w:p>
    <w:p w:rsidR="00E9706E" w:rsidRPr="001957E3" w:rsidRDefault="00E9706E" w:rsidP="001957E3">
      <w:pPr>
        <w:pStyle w:val="Akapitzlist"/>
        <w:spacing w:line="276" w:lineRule="auto"/>
        <w:jc w:val="both"/>
      </w:pPr>
      <w:r w:rsidRPr="001957E3">
        <w:t>„Warunkiem pełnienia funkcji prorektora jest zatrudnienie w SGGW jako podstawowym miejscu pracy.”;</w:t>
      </w:r>
    </w:p>
    <w:p w:rsidR="00E9706E" w:rsidRPr="001957E3" w:rsidRDefault="00E9706E" w:rsidP="001957E3">
      <w:pPr>
        <w:pStyle w:val="Akapitzlist"/>
        <w:numPr>
          <w:ilvl w:val="0"/>
          <w:numId w:val="2"/>
        </w:numPr>
        <w:spacing w:line="276" w:lineRule="auto"/>
        <w:jc w:val="both"/>
      </w:pPr>
      <w:r w:rsidRPr="001957E3">
        <w:t xml:space="preserve"> w § 67 w ust. 2):</w:t>
      </w:r>
    </w:p>
    <w:p w:rsidR="00E9706E" w:rsidRPr="001957E3" w:rsidRDefault="00E9706E" w:rsidP="001957E3">
      <w:pPr>
        <w:pStyle w:val="Akapitzlist"/>
        <w:numPr>
          <w:ilvl w:val="0"/>
          <w:numId w:val="8"/>
        </w:numPr>
        <w:spacing w:line="276" w:lineRule="auto"/>
        <w:jc w:val="both"/>
      </w:pPr>
      <w:r w:rsidRPr="001957E3">
        <w:t>pkt 23 otrzymuje brzmienie:</w:t>
      </w:r>
    </w:p>
    <w:p w:rsidR="00E9706E" w:rsidRPr="001957E3" w:rsidRDefault="00E9706E" w:rsidP="001957E3">
      <w:pPr>
        <w:pStyle w:val="Akapitzlist"/>
        <w:spacing w:line="276" w:lineRule="auto"/>
        <w:jc w:val="both"/>
      </w:pPr>
      <w:r w:rsidRPr="001957E3">
        <w:t>„23) uchyla decyzje dziekanów sprzeczne z Ustawą, Statutem, uchwałą Senatu, uchwałą rady wydziału, regulaminami lub innymi przepisami wewnętrznymi SGGW albo naruszającą ważny interes SGGW.”,</w:t>
      </w:r>
    </w:p>
    <w:p w:rsidR="00E9706E" w:rsidRPr="001957E3" w:rsidRDefault="00E9706E" w:rsidP="001957E3">
      <w:pPr>
        <w:pStyle w:val="Akapitzlist"/>
        <w:numPr>
          <w:ilvl w:val="0"/>
          <w:numId w:val="8"/>
        </w:numPr>
        <w:spacing w:line="276" w:lineRule="auto"/>
        <w:jc w:val="both"/>
      </w:pPr>
      <w:r w:rsidRPr="001957E3">
        <w:t>pkt 25 otrzymuje brzmienie:</w:t>
      </w:r>
    </w:p>
    <w:p w:rsidR="00E9706E" w:rsidRPr="001957E3" w:rsidRDefault="00E9706E" w:rsidP="001957E3">
      <w:pPr>
        <w:pStyle w:val="Akapitzlist"/>
        <w:spacing w:line="276" w:lineRule="auto"/>
        <w:jc w:val="both"/>
      </w:pPr>
      <w:r w:rsidRPr="001957E3">
        <w:t>„25) ogłasza zawieszenie zajęć na czas określony oraz zarządza czasowe zamknięcie SGGW lub jej jednostki organizacyjnej,”,</w:t>
      </w:r>
    </w:p>
    <w:p w:rsidR="00E9706E" w:rsidRPr="001957E3" w:rsidRDefault="00E9706E" w:rsidP="001957E3">
      <w:pPr>
        <w:pStyle w:val="Akapitzlist"/>
        <w:numPr>
          <w:ilvl w:val="0"/>
          <w:numId w:val="8"/>
        </w:numPr>
        <w:spacing w:line="276" w:lineRule="auto"/>
        <w:jc w:val="both"/>
      </w:pPr>
      <w:r w:rsidRPr="001957E3">
        <w:t>dodaje się pkt 28 w brzmieniu:</w:t>
      </w:r>
    </w:p>
    <w:p w:rsidR="00E9706E" w:rsidRPr="001957E3" w:rsidRDefault="00E9706E" w:rsidP="001957E3">
      <w:pPr>
        <w:pStyle w:val="Akapitzlist"/>
        <w:spacing w:line="276" w:lineRule="auto"/>
        <w:jc w:val="both"/>
      </w:pPr>
      <w:r w:rsidRPr="001957E3">
        <w:t>„28) sprawuje nadzór nad wdrożeniem i doskonaleniem uczelnianego systemu zapewnienia jakości kształcenia.”;</w:t>
      </w:r>
    </w:p>
    <w:p w:rsidR="00E9706E" w:rsidRPr="001957E3" w:rsidRDefault="00E9706E" w:rsidP="001957E3">
      <w:pPr>
        <w:pStyle w:val="Akapitzlist"/>
        <w:numPr>
          <w:ilvl w:val="0"/>
          <w:numId w:val="2"/>
        </w:numPr>
        <w:spacing w:line="276" w:lineRule="auto"/>
        <w:jc w:val="both"/>
      </w:pPr>
      <w:r w:rsidRPr="001957E3">
        <w:t>w § 69 w ust. 2:</w:t>
      </w:r>
    </w:p>
    <w:p w:rsidR="00E9706E" w:rsidRDefault="00E9706E" w:rsidP="001957E3">
      <w:pPr>
        <w:pStyle w:val="Akapitzlist"/>
        <w:numPr>
          <w:ilvl w:val="0"/>
          <w:numId w:val="9"/>
        </w:numPr>
        <w:spacing w:line="276" w:lineRule="auto"/>
        <w:jc w:val="both"/>
      </w:pPr>
      <w:r w:rsidRPr="001957E3">
        <w:t>w pkt 1 wyrazy: „planów studiów i programów kształcenia” zastępuje się wyrazami: „programów studiów, w tym planów studiów”,</w:t>
      </w:r>
    </w:p>
    <w:p w:rsidR="00A77124" w:rsidRDefault="00A77124" w:rsidP="00A77124">
      <w:pPr>
        <w:jc w:val="both"/>
      </w:pPr>
    </w:p>
    <w:p w:rsidR="00A77124" w:rsidRPr="001957E3" w:rsidRDefault="00A77124" w:rsidP="00A77124">
      <w:pPr>
        <w:jc w:val="both"/>
      </w:pPr>
    </w:p>
    <w:p w:rsidR="00E9706E" w:rsidRPr="001957E3" w:rsidRDefault="00E9706E" w:rsidP="001957E3">
      <w:pPr>
        <w:pStyle w:val="podcicie2"/>
        <w:numPr>
          <w:ilvl w:val="0"/>
          <w:numId w:val="9"/>
        </w:numPr>
        <w:spacing w:line="276" w:lineRule="auto"/>
        <w:rPr>
          <w:sz w:val="24"/>
          <w:szCs w:val="24"/>
        </w:rPr>
      </w:pPr>
      <w:r w:rsidRPr="001957E3">
        <w:rPr>
          <w:sz w:val="24"/>
          <w:szCs w:val="24"/>
        </w:rPr>
        <w:lastRenderedPageBreak/>
        <w:t>pkt 15 otrzymuje brzmienie:</w:t>
      </w:r>
    </w:p>
    <w:p w:rsidR="00E9706E" w:rsidRPr="001957E3" w:rsidRDefault="00E9706E" w:rsidP="001957E3">
      <w:pPr>
        <w:pStyle w:val="podcicie2"/>
        <w:spacing w:line="276" w:lineRule="auto"/>
        <w:ind w:left="1080" w:firstLine="0"/>
        <w:rPr>
          <w:sz w:val="24"/>
          <w:szCs w:val="24"/>
        </w:rPr>
      </w:pPr>
      <w:r w:rsidRPr="001957E3">
        <w:rPr>
          <w:sz w:val="24"/>
          <w:szCs w:val="24"/>
        </w:rPr>
        <w:t>„15) na wniosek Rektora lub dziekana wyrażanie opinii dotyczących zatrudnienia nauczycieli akademickich na wydziale oraz powoływania nauczycieli akademickich lub innych pracowników wydziału na stanowiska kierownicze,”,</w:t>
      </w:r>
    </w:p>
    <w:p w:rsidR="00E9706E" w:rsidRPr="001957E3" w:rsidRDefault="00E9706E" w:rsidP="001957E3">
      <w:pPr>
        <w:pStyle w:val="Akapitzlist"/>
        <w:numPr>
          <w:ilvl w:val="0"/>
          <w:numId w:val="9"/>
        </w:numPr>
        <w:spacing w:line="276" w:lineRule="auto"/>
        <w:jc w:val="both"/>
      </w:pPr>
      <w:r w:rsidRPr="001957E3">
        <w:t>dodaje się pkt 21 – 23 w brzmieniu:</w:t>
      </w:r>
    </w:p>
    <w:p w:rsidR="00E9706E" w:rsidRPr="001957E3" w:rsidRDefault="00E9706E" w:rsidP="001957E3">
      <w:pPr>
        <w:pStyle w:val="Akapitzlist"/>
        <w:spacing w:line="276" w:lineRule="auto"/>
        <w:ind w:left="1080"/>
        <w:jc w:val="both"/>
      </w:pPr>
      <w:r w:rsidRPr="001957E3">
        <w:t xml:space="preserve">„21)  przypisywanie poziomów Polskiej Ramy Kwalifikacji do kwalifikacji nadawanych po ukończeniu studiów podyplomowych, z uwzględnieniem art. 21 ustawy z dnia 22 grudnia 2015 r. o Zintegrowanym Systemie Kwalifikacji </w:t>
      </w:r>
      <w:r w:rsidR="00003E3F">
        <w:br/>
      </w:r>
      <w:r w:rsidRPr="001957E3">
        <w:t>(Dz. U. z 2016 r. poz. 64);</w:t>
      </w:r>
    </w:p>
    <w:p w:rsidR="00E9706E" w:rsidRPr="001957E3" w:rsidRDefault="00E9706E" w:rsidP="001957E3">
      <w:pPr>
        <w:pStyle w:val="Akapitzlist"/>
        <w:spacing w:line="276" w:lineRule="auto"/>
        <w:ind w:left="1080"/>
        <w:jc w:val="both"/>
      </w:pPr>
      <w:r w:rsidRPr="001957E3">
        <w:t xml:space="preserve">22)  podejmowanie decyzji o włączeniu do Zintegrowanego Systemu Kwalifikacji kwalifikacji nadawanych po ukończeniu studiów podyplomowych, uwzględniając informacje, o których mowa w art. 25 ust. 2 ustawy z dnia 22 grudnia 2015 r. </w:t>
      </w:r>
      <w:r w:rsidR="00003E3F">
        <w:br/>
      </w:r>
      <w:r w:rsidRPr="001957E3">
        <w:t>o Zintegrowanym Systemie Kwalifikacji;</w:t>
      </w:r>
    </w:p>
    <w:p w:rsidR="00E9706E" w:rsidRPr="001957E3" w:rsidRDefault="00E9706E" w:rsidP="001957E3">
      <w:pPr>
        <w:pStyle w:val="Akapitzlist"/>
        <w:spacing w:line="276" w:lineRule="auto"/>
        <w:ind w:left="1080"/>
        <w:jc w:val="both"/>
      </w:pPr>
      <w:r w:rsidRPr="001957E3">
        <w:t xml:space="preserve">23)  występowanie do ministra właściwego, o którym mowa w art. 2 pkt 14 ustawy z dnia 22 grudnia 2015 r. o Zintegrowanym Systemie Kwalifikacji, z wnioskiem </w:t>
      </w:r>
      <w:r w:rsidR="00003E3F">
        <w:br/>
      </w:r>
      <w:r w:rsidRPr="001957E3">
        <w:t xml:space="preserve">o włączenie do Zintegrowanego Systemu Kwalifikacji kwalifikacji nadawanych </w:t>
      </w:r>
      <w:r w:rsidR="00003E3F">
        <w:br/>
      </w:r>
      <w:r w:rsidRPr="001957E3">
        <w:t>po ukończeniu kursów dokształcających i szkoleń, o których mowa w art. 6 ust. 1 pkt 5 Ustawy.”;</w:t>
      </w:r>
    </w:p>
    <w:p w:rsidR="00E9706E" w:rsidRPr="001957E3" w:rsidRDefault="00E9706E" w:rsidP="001957E3">
      <w:pPr>
        <w:pStyle w:val="Akapitzlist"/>
        <w:numPr>
          <w:ilvl w:val="0"/>
          <w:numId w:val="2"/>
        </w:numPr>
        <w:spacing w:line="276" w:lineRule="auto"/>
        <w:jc w:val="both"/>
      </w:pPr>
      <w:r w:rsidRPr="001957E3">
        <w:t>w § 74:</w:t>
      </w:r>
    </w:p>
    <w:p w:rsidR="00E9706E" w:rsidRPr="001957E3" w:rsidRDefault="00E9706E" w:rsidP="001957E3">
      <w:pPr>
        <w:pStyle w:val="Akapitzlist"/>
        <w:numPr>
          <w:ilvl w:val="1"/>
          <w:numId w:val="2"/>
        </w:numPr>
        <w:spacing w:line="276" w:lineRule="auto"/>
        <w:jc w:val="both"/>
      </w:pPr>
      <w:r w:rsidRPr="001957E3">
        <w:t>w ust.3 kropkę zastępuje się przecinkiem i dodaje się wyrazy: „z zastrzeżeniem ust. 5”,</w:t>
      </w:r>
    </w:p>
    <w:p w:rsidR="00E9706E" w:rsidRPr="001957E3" w:rsidRDefault="00E9706E" w:rsidP="001957E3">
      <w:pPr>
        <w:pStyle w:val="Akapitzlist"/>
        <w:numPr>
          <w:ilvl w:val="1"/>
          <w:numId w:val="2"/>
        </w:numPr>
        <w:spacing w:line="276" w:lineRule="auto"/>
        <w:jc w:val="both"/>
      </w:pPr>
      <w:r w:rsidRPr="001957E3">
        <w:t>w ust. 5 dodaje się zdanie w brzmieniu:</w:t>
      </w:r>
    </w:p>
    <w:p w:rsidR="00E9706E" w:rsidRPr="001957E3" w:rsidRDefault="00E9706E" w:rsidP="001957E3">
      <w:pPr>
        <w:pStyle w:val="Akapitzlist"/>
        <w:spacing w:line="276" w:lineRule="auto"/>
        <w:ind w:left="1080"/>
        <w:jc w:val="both"/>
      </w:pPr>
      <w:r w:rsidRPr="001957E3">
        <w:t xml:space="preserve">„5. Warunkiem pełnienia funkcji dziekana lub prodziekana jest zatrudnienie </w:t>
      </w:r>
      <w:r w:rsidR="00003E3F">
        <w:br/>
      </w:r>
      <w:r w:rsidRPr="001957E3">
        <w:t>w SGGW jako podstawowym miejscu pracy.”,</w:t>
      </w:r>
    </w:p>
    <w:p w:rsidR="00E9706E" w:rsidRPr="001957E3" w:rsidRDefault="00E9706E" w:rsidP="001957E3">
      <w:pPr>
        <w:pStyle w:val="Akapitzlist"/>
        <w:numPr>
          <w:ilvl w:val="1"/>
          <w:numId w:val="2"/>
        </w:numPr>
        <w:spacing w:line="276" w:lineRule="auto"/>
        <w:jc w:val="both"/>
      </w:pPr>
      <w:r w:rsidRPr="001957E3">
        <w:t>dodaje się ust. 7 w brzmieniu:</w:t>
      </w:r>
    </w:p>
    <w:p w:rsidR="00E9706E" w:rsidRPr="001957E3" w:rsidRDefault="00E9706E" w:rsidP="001957E3">
      <w:pPr>
        <w:pStyle w:val="Akapitzlist"/>
        <w:spacing w:line="276" w:lineRule="auto"/>
        <w:ind w:left="1080"/>
        <w:jc w:val="both"/>
      </w:pPr>
      <w:r w:rsidRPr="001957E3">
        <w:t>„7. Dziekan wskazuje swojego pierwszego zastępcę spośród prodziekanów.”;</w:t>
      </w:r>
    </w:p>
    <w:p w:rsidR="00E9706E" w:rsidRPr="001957E3" w:rsidRDefault="00E9706E" w:rsidP="001957E3">
      <w:pPr>
        <w:pStyle w:val="Akapitzlist"/>
        <w:numPr>
          <w:ilvl w:val="0"/>
          <w:numId w:val="2"/>
        </w:numPr>
        <w:spacing w:line="276" w:lineRule="auto"/>
        <w:jc w:val="both"/>
      </w:pPr>
      <w:r w:rsidRPr="001957E3">
        <w:t>w § 75 w ust. 2:</w:t>
      </w:r>
    </w:p>
    <w:p w:rsidR="00E9706E" w:rsidRPr="001957E3" w:rsidRDefault="00E9706E" w:rsidP="001957E3">
      <w:pPr>
        <w:pStyle w:val="Akapitzlist"/>
        <w:numPr>
          <w:ilvl w:val="0"/>
          <w:numId w:val="10"/>
        </w:numPr>
        <w:spacing w:line="276" w:lineRule="auto"/>
        <w:jc w:val="both"/>
      </w:pPr>
      <w:r w:rsidRPr="001957E3">
        <w:t>w pkt 7 po wyrazach: „konkurs na zatrudnienie nauczyciela akademickiego” dodaje się wyrazy: „na stanowisko inne niż profesora nadzwyczajnego i profesora zwyczajnego”,</w:t>
      </w:r>
    </w:p>
    <w:p w:rsidR="00E9706E" w:rsidRPr="001957E3" w:rsidRDefault="00E9706E" w:rsidP="001957E3">
      <w:pPr>
        <w:pStyle w:val="Akapitzlist"/>
        <w:numPr>
          <w:ilvl w:val="0"/>
          <w:numId w:val="10"/>
        </w:numPr>
        <w:spacing w:line="276" w:lineRule="auto"/>
        <w:jc w:val="both"/>
      </w:pPr>
      <w:r w:rsidRPr="001957E3">
        <w:t xml:space="preserve">w pkt 8 po wyrazach: „w sprawach urlopów naukowych” dopisuje się wyrazy: </w:t>
      </w:r>
      <w:r w:rsidR="0051707A" w:rsidRPr="001957E3">
        <w:br/>
      </w:r>
      <w:r w:rsidRPr="001957E3">
        <w:t>„i urlopów dla celów naukowych”;</w:t>
      </w:r>
    </w:p>
    <w:p w:rsidR="00E9706E" w:rsidRPr="001957E3" w:rsidRDefault="00E9706E" w:rsidP="001957E3">
      <w:pPr>
        <w:pStyle w:val="Akapitzlist"/>
        <w:numPr>
          <w:ilvl w:val="0"/>
          <w:numId w:val="2"/>
        </w:numPr>
        <w:spacing w:line="276" w:lineRule="auto"/>
        <w:jc w:val="both"/>
      </w:pPr>
      <w:r w:rsidRPr="001957E3">
        <w:t xml:space="preserve"> w § 96 wyrazy: „rzeczowo-finansowego” zastępuje się wyrazami: „planu kosztów </w:t>
      </w:r>
      <w:r w:rsidR="00003E3F">
        <w:br/>
        <w:t xml:space="preserve">        i</w:t>
      </w:r>
      <w:r w:rsidRPr="001957E3">
        <w:t xml:space="preserve"> przychodów”;</w:t>
      </w:r>
    </w:p>
    <w:p w:rsidR="00E9706E" w:rsidRPr="001957E3" w:rsidRDefault="00E9706E" w:rsidP="001957E3">
      <w:pPr>
        <w:pStyle w:val="Akapitzlist"/>
        <w:numPr>
          <w:ilvl w:val="0"/>
          <w:numId w:val="2"/>
        </w:numPr>
        <w:spacing w:line="276" w:lineRule="auto"/>
        <w:jc w:val="both"/>
      </w:pPr>
      <w:r w:rsidRPr="001957E3">
        <w:t>w § 99:</w:t>
      </w:r>
    </w:p>
    <w:p w:rsidR="00E9706E" w:rsidRPr="001957E3" w:rsidRDefault="00E9706E" w:rsidP="001957E3">
      <w:pPr>
        <w:pStyle w:val="Akapitzlist"/>
        <w:numPr>
          <w:ilvl w:val="0"/>
          <w:numId w:val="11"/>
        </w:numPr>
        <w:spacing w:line="276" w:lineRule="auto"/>
        <w:jc w:val="both"/>
      </w:pPr>
      <w:r w:rsidRPr="001957E3">
        <w:t>ust. 3 otrzymuje brzmienie:</w:t>
      </w:r>
    </w:p>
    <w:p w:rsidR="00E9706E" w:rsidRDefault="00E9706E" w:rsidP="001957E3">
      <w:pPr>
        <w:pStyle w:val="Akapitzlist"/>
        <w:spacing w:line="276" w:lineRule="auto"/>
        <w:ind w:left="1080"/>
        <w:jc w:val="both"/>
      </w:pPr>
      <w:r w:rsidRPr="001957E3">
        <w:t>„3. Z funduszu stypendialnego przyznawane mogą być stypendia dla pracowników, studentów i doktorantów. Studenci i doktoranci mogą otrzymać stypendium z funduszu stypendialnego niezależnie od otrzymanych w trybie określonym w Ustawie, stypendium socjalnego, stypendium dla osób niepełnosprawnych, stypendium ministra za wybitne osiągnięcia, stypendium rektora dla najlepszych studentów.”</w:t>
      </w:r>
    </w:p>
    <w:p w:rsidR="00E9706E" w:rsidRPr="001957E3" w:rsidRDefault="00E9706E" w:rsidP="001957E3">
      <w:pPr>
        <w:pStyle w:val="Akapitzlist"/>
        <w:numPr>
          <w:ilvl w:val="0"/>
          <w:numId w:val="11"/>
        </w:numPr>
        <w:spacing w:line="276" w:lineRule="auto"/>
        <w:jc w:val="both"/>
      </w:pPr>
      <w:r w:rsidRPr="001957E3">
        <w:t>dodaje się ust. 4 w brzmieniu:</w:t>
      </w:r>
    </w:p>
    <w:p w:rsidR="00E9706E" w:rsidRPr="001957E3" w:rsidRDefault="00E9706E" w:rsidP="001957E3">
      <w:pPr>
        <w:pStyle w:val="Akapitzlist"/>
        <w:spacing w:line="276" w:lineRule="auto"/>
        <w:ind w:left="1080"/>
        <w:jc w:val="both"/>
      </w:pPr>
      <w:r w:rsidRPr="001957E3">
        <w:t>„4. Zasady korzystania z funduszy określają regulaminy zatwierdzane przez Senat.”;</w:t>
      </w:r>
    </w:p>
    <w:p w:rsidR="00E9706E" w:rsidRPr="001957E3" w:rsidRDefault="00E9706E" w:rsidP="001957E3">
      <w:pPr>
        <w:pStyle w:val="Akapitzlist"/>
        <w:numPr>
          <w:ilvl w:val="0"/>
          <w:numId w:val="2"/>
        </w:numPr>
        <w:spacing w:line="276" w:lineRule="auto"/>
        <w:jc w:val="both"/>
      </w:pPr>
      <w:r w:rsidRPr="001957E3">
        <w:lastRenderedPageBreak/>
        <w:t xml:space="preserve"> w § 102:</w:t>
      </w:r>
    </w:p>
    <w:p w:rsidR="00E9706E" w:rsidRPr="001957E3" w:rsidRDefault="00E9706E" w:rsidP="001957E3">
      <w:pPr>
        <w:pStyle w:val="Akapitzlist"/>
        <w:numPr>
          <w:ilvl w:val="0"/>
          <w:numId w:val="12"/>
        </w:numPr>
        <w:spacing w:line="276" w:lineRule="auto"/>
        <w:jc w:val="both"/>
      </w:pPr>
      <w:r w:rsidRPr="001957E3">
        <w:t>w ust. 3 w pkt 2 wyraz: „studia” zastępuje się wyrazem: „szkolenia”,</w:t>
      </w:r>
    </w:p>
    <w:p w:rsidR="00E9706E" w:rsidRPr="001957E3" w:rsidRDefault="00E9706E" w:rsidP="001957E3">
      <w:pPr>
        <w:pStyle w:val="Akapitzlist"/>
        <w:numPr>
          <w:ilvl w:val="0"/>
          <w:numId w:val="12"/>
        </w:numPr>
        <w:spacing w:line="276" w:lineRule="auto"/>
        <w:jc w:val="both"/>
      </w:pPr>
      <w:r w:rsidRPr="001957E3">
        <w:t>w ust. 6 po wyrazach: „i drugiego stopnia” dodaje się wyrazy: „oraz jednolite studia magisterskie”,</w:t>
      </w:r>
    </w:p>
    <w:p w:rsidR="00E9706E" w:rsidRPr="001957E3" w:rsidRDefault="00E9706E" w:rsidP="001957E3">
      <w:pPr>
        <w:pStyle w:val="Akapitzlist"/>
        <w:numPr>
          <w:ilvl w:val="0"/>
          <w:numId w:val="7"/>
        </w:numPr>
        <w:spacing w:line="276" w:lineRule="auto"/>
        <w:jc w:val="both"/>
      </w:pPr>
      <w:r w:rsidRPr="001957E3">
        <w:t>w ust. 7 wyrazy: „określa warunki i tryb” zastępuje się wyrazy: „ustala warunki, tryb i termin rozpoczęcia i zakończenia”;</w:t>
      </w:r>
    </w:p>
    <w:p w:rsidR="00E9706E" w:rsidRPr="001957E3" w:rsidRDefault="00E9706E" w:rsidP="001957E3">
      <w:pPr>
        <w:pStyle w:val="Akapitzlist"/>
        <w:numPr>
          <w:ilvl w:val="0"/>
          <w:numId w:val="12"/>
        </w:numPr>
        <w:spacing w:line="276" w:lineRule="auto"/>
        <w:jc w:val="both"/>
      </w:pPr>
      <w:r w:rsidRPr="001957E3">
        <w:t>ust. 8 otrzymuje brzmienie:</w:t>
      </w:r>
    </w:p>
    <w:p w:rsidR="00E9706E" w:rsidRPr="001957E3" w:rsidRDefault="00E9706E" w:rsidP="001957E3">
      <w:pPr>
        <w:pStyle w:val="Akapitzlist"/>
        <w:spacing w:line="276" w:lineRule="auto"/>
        <w:ind w:left="1080"/>
        <w:jc w:val="both"/>
      </w:pPr>
      <w:r w:rsidRPr="001957E3">
        <w:t xml:space="preserve">„8. Rada wydziału tworzy, przekształca i znosi oraz uruchamia i zawiesza studia </w:t>
      </w:r>
      <w:r w:rsidR="00003E3F">
        <w:br/>
      </w:r>
      <w:r w:rsidRPr="001957E3">
        <w:t>i szkolenia wymienione w ust. 3 pkt 2–3, a także uchwala dla nich programy studiów, w tym plany studiów. O wszelkich decyzjach podjętych w tych sprawach dziekan jest zobowiązany bezzwłocznie powiadomić Rektora.”,</w:t>
      </w:r>
    </w:p>
    <w:p w:rsidR="00E9706E" w:rsidRPr="001957E3" w:rsidRDefault="00E9706E" w:rsidP="001957E3">
      <w:pPr>
        <w:pStyle w:val="Akapitzlist"/>
        <w:numPr>
          <w:ilvl w:val="0"/>
          <w:numId w:val="12"/>
        </w:numPr>
        <w:spacing w:line="276" w:lineRule="auto"/>
        <w:jc w:val="both"/>
      </w:pPr>
      <w:r w:rsidRPr="001957E3">
        <w:t>w ust. 9 wyrazy: „plan i program kształcenia” zastępuje się wyrazami: „programy studiów, w tym plany studiów”,</w:t>
      </w:r>
    </w:p>
    <w:p w:rsidR="00E9706E" w:rsidRPr="001957E3" w:rsidRDefault="00E9706E" w:rsidP="001957E3">
      <w:pPr>
        <w:pStyle w:val="Akapitzlist"/>
        <w:numPr>
          <w:ilvl w:val="0"/>
          <w:numId w:val="12"/>
        </w:numPr>
        <w:spacing w:line="276" w:lineRule="auto"/>
        <w:jc w:val="both"/>
      </w:pPr>
      <w:r w:rsidRPr="001957E3">
        <w:t>w ust. 10 wyrazy: „planu studiów i programu kształcenia” zastępuje się wyrazami: „programu studiów, w tym planu studiów”,</w:t>
      </w:r>
    </w:p>
    <w:p w:rsidR="00E9706E" w:rsidRPr="001957E3" w:rsidRDefault="00E9706E" w:rsidP="001957E3">
      <w:pPr>
        <w:pStyle w:val="Akapitzlist"/>
        <w:numPr>
          <w:ilvl w:val="0"/>
          <w:numId w:val="12"/>
        </w:numPr>
        <w:spacing w:line="276" w:lineRule="auto"/>
        <w:jc w:val="both"/>
      </w:pPr>
      <w:r w:rsidRPr="001957E3">
        <w:t xml:space="preserve">w ust. 12 wyrazy: „plany i programy kształcenia” zastępuje się wyrazami: „plany </w:t>
      </w:r>
      <w:r w:rsidR="00003E3F">
        <w:br/>
      </w:r>
      <w:r w:rsidRPr="001957E3">
        <w:t>i programy studiów”;</w:t>
      </w:r>
    </w:p>
    <w:p w:rsidR="00E9706E" w:rsidRPr="001957E3" w:rsidRDefault="00E9706E" w:rsidP="001957E3">
      <w:pPr>
        <w:pStyle w:val="Akapitzlist"/>
        <w:numPr>
          <w:ilvl w:val="0"/>
          <w:numId w:val="2"/>
        </w:numPr>
        <w:spacing w:line="276" w:lineRule="auto"/>
        <w:jc w:val="both"/>
      </w:pPr>
      <w:r w:rsidRPr="001957E3">
        <w:t>w § 106 w ust. 1 pkt 1 otrzymuje brzmienie:</w:t>
      </w:r>
    </w:p>
    <w:p w:rsidR="00E9706E" w:rsidRPr="001957E3" w:rsidRDefault="00E9706E" w:rsidP="001957E3">
      <w:pPr>
        <w:pStyle w:val="Akapitzlist"/>
        <w:spacing w:line="276" w:lineRule="auto"/>
        <w:jc w:val="both"/>
      </w:pPr>
      <w:r w:rsidRPr="001957E3">
        <w:t>„1) na studia pierwszego stopnia i jednolite studia magisterskie – posiadająca świadectwo dojrzałości albo świadectwo dojrzałości i zaświadczenie o wynikach egzaminu maturalnego z poszczególnych przedmiotów, o których mowa w przepisach odrębnych o systemie oświaty,” ,</w:t>
      </w:r>
    </w:p>
    <w:p w:rsidR="00E9706E" w:rsidRPr="001957E3" w:rsidRDefault="00E9706E" w:rsidP="001957E3">
      <w:pPr>
        <w:pStyle w:val="Akapitzlist"/>
        <w:numPr>
          <w:ilvl w:val="0"/>
          <w:numId w:val="2"/>
        </w:numPr>
        <w:spacing w:line="276" w:lineRule="auto"/>
        <w:jc w:val="both"/>
      </w:pPr>
      <w:r w:rsidRPr="001957E3">
        <w:t>§ 107 otrzymuje brzmienie:</w:t>
      </w:r>
    </w:p>
    <w:p w:rsidR="00E9706E" w:rsidRPr="001957E3" w:rsidRDefault="00E9706E" w:rsidP="001957E3">
      <w:pPr>
        <w:pStyle w:val="Akapitzlist"/>
        <w:spacing w:line="276" w:lineRule="auto"/>
        <w:jc w:val="both"/>
      </w:pPr>
      <w:r w:rsidRPr="001957E3">
        <w:t>„Przyjęcie w poczet studentów SGGW następuje z chwilą immatrykulacji. Osoba przyjęta na studia nabywa prawa studenta z chwilą immatrykulacji i złożenia uroczystego ślubowania o treści podanej w załączniku nr 4.”;</w:t>
      </w:r>
    </w:p>
    <w:p w:rsidR="00E9706E" w:rsidRPr="001957E3" w:rsidRDefault="00E9706E" w:rsidP="001957E3">
      <w:pPr>
        <w:pStyle w:val="Akapitzlist"/>
        <w:numPr>
          <w:ilvl w:val="0"/>
          <w:numId w:val="2"/>
        </w:numPr>
        <w:spacing w:line="276" w:lineRule="auto"/>
        <w:jc w:val="both"/>
      </w:pPr>
      <w:r w:rsidRPr="001957E3">
        <w:t>§ 114 otrzymuje brzmienie:</w:t>
      </w:r>
    </w:p>
    <w:p w:rsidR="00E9706E" w:rsidRPr="001957E3" w:rsidRDefault="00E9706E" w:rsidP="001957E3">
      <w:pPr>
        <w:pStyle w:val="Akapitzlist"/>
        <w:spacing w:line="276" w:lineRule="auto"/>
        <w:jc w:val="both"/>
      </w:pPr>
      <w:r w:rsidRPr="001957E3">
        <w:t xml:space="preserve">„1. W celu rozwijania zainteresowań naukowych studenci SGGW mogą uczestniczyć w pracach badawczych realizowanych przez jednostki organizacyjne uczelni </w:t>
      </w:r>
      <w:r w:rsidR="00003E3F">
        <w:br/>
      </w:r>
      <w:r w:rsidRPr="001957E3">
        <w:t xml:space="preserve">oraz organizacje studenckie, w tym koła naukowe. </w:t>
      </w:r>
    </w:p>
    <w:p w:rsidR="00E9706E" w:rsidRPr="001957E3" w:rsidRDefault="00E9706E" w:rsidP="001957E3">
      <w:pPr>
        <w:pStyle w:val="Akapitzlist"/>
        <w:spacing w:line="276" w:lineRule="auto"/>
        <w:jc w:val="both"/>
      </w:pPr>
      <w:r w:rsidRPr="001957E3">
        <w:t>2. Zasady powoływania, działalności i odpowiedzialności organizacji studenckich określa regulamin organizacji studenckich zatwierdzony przez Rektora.”;</w:t>
      </w:r>
    </w:p>
    <w:p w:rsidR="00E9706E" w:rsidRPr="001957E3" w:rsidRDefault="00E9706E" w:rsidP="001957E3">
      <w:pPr>
        <w:pStyle w:val="Akapitzlist"/>
        <w:numPr>
          <w:ilvl w:val="0"/>
          <w:numId w:val="2"/>
        </w:numPr>
        <w:spacing w:line="276" w:lineRule="auto"/>
        <w:jc w:val="both"/>
      </w:pPr>
      <w:r w:rsidRPr="001957E3">
        <w:t xml:space="preserve"> w § 116 w ust. 2 wyrazy: „i funkcjonowania SGGW”- skreśla się;</w:t>
      </w:r>
    </w:p>
    <w:p w:rsidR="00E9706E" w:rsidRPr="001957E3" w:rsidRDefault="00E9706E" w:rsidP="001957E3">
      <w:pPr>
        <w:pStyle w:val="Akapitzlist"/>
        <w:numPr>
          <w:ilvl w:val="0"/>
          <w:numId w:val="2"/>
        </w:numPr>
        <w:spacing w:line="276" w:lineRule="auto"/>
        <w:jc w:val="both"/>
      </w:pPr>
      <w:r w:rsidRPr="001957E3">
        <w:t>w § 122 w ust. 3 wyrazy: „co najmniej dwukrotnie większej niż liczebność członków komisji liczby” – skreśla się;</w:t>
      </w:r>
    </w:p>
    <w:p w:rsidR="00E9706E" w:rsidRPr="001957E3" w:rsidRDefault="00E9706E" w:rsidP="001957E3">
      <w:pPr>
        <w:pStyle w:val="Akapitzlist"/>
        <w:numPr>
          <w:ilvl w:val="0"/>
          <w:numId w:val="2"/>
        </w:numPr>
        <w:spacing w:line="276" w:lineRule="auto"/>
        <w:jc w:val="both"/>
      </w:pPr>
      <w:r w:rsidRPr="001957E3">
        <w:t>§ 142 otrzymuje brzmienie:</w:t>
      </w:r>
    </w:p>
    <w:p w:rsidR="00E9706E" w:rsidRPr="001957E3" w:rsidRDefault="00E9706E" w:rsidP="001957E3">
      <w:pPr>
        <w:pStyle w:val="Akapitzlist"/>
        <w:spacing w:line="276" w:lineRule="auto"/>
        <w:jc w:val="both"/>
      </w:pPr>
      <w:r w:rsidRPr="001957E3">
        <w:t>„1.Nauczyciel akademicki może otrzymać płatny urlop naukowy na zasadach wskazanych w Ustawie oraz w ust. 3 – 4.</w:t>
      </w:r>
    </w:p>
    <w:p w:rsidR="00E9706E" w:rsidRPr="001957E3" w:rsidRDefault="00E9706E" w:rsidP="001957E3">
      <w:pPr>
        <w:pStyle w:val="Akapitzlist"/>
        <w:spacing w:line="276" w:lineRule="auto"/>
        <w:jc w:val="both"/>
      </w:pPr>
      <w:r w:rsidRPr="001957E3">
        <w:t>2. Nauczyciel akademicki może uzyskać urlop bezpłatny dla celów naukowych.</w:t>
      </w:r>
    </w:p>
    <w:p w:rsidR="00E9706E" w:rsidRPr="001957E3" w:rsidRDefault="00E9706E" w:rsidP="001957E3">
      <w:pPr>
        <w:pStyle w:val="Akapitzlist"/>
        <w:spacing w:line="276" w:lineRule="auto"/>
        <w:jc w:val="both"/>
      </w:pPr>
      <w:r w:rsidRPr="001957E3">
        <w:t xml:space="preserve">3. Nauczycielom akademickim urlopów wskazanych w ust. 1 i 2 udziela Rektor </w:t>
      </w:r>
      <w:r w:rsidR="0051707A" w:rsidRPr="001957E3">
        <w:br/>
      </w:r>
      <w:r w:rsidRPr="001957E3">
        <w:t>na wniosek zainteresowanego pracownika zaopiniowany przez kierownika jednostki, w której jest on zatrudniony.</w:t>
      </w:r>
    </w:p>
    <w:p w:rsidR="00E9706E" w:rsidRPr="001957E3" w:rsidRDefault="00E9706E" w:rsidP="001957E3">
      <w:pPr>
        <w:pStyle w:val="Akapitzlist"/>
        <w:spacing w:line="276" w:lineRule="auto"/>
        <w:jc w:val="both"/>
      </w:pPr>
      <w:r w:rsidRPr="001957E3">
        <w:t xml:space="preserve">4. Przy udzielaniu urlopu, o których mowa w ust. 1 i 2, Rektor kieruje się przede wszystkim względami rozwoju naukowego nauczyciela akademickiego, przydatnością </w:t>
      </w:r>
      <w:r w:rsidRPr="001957E3">
        <w:lastRenderedPageBreak/>
        <w:t>celu naukowego wskazanego we wniosku dla rozwoju nauki, stopniem przygotowania rozprawy doktorskiej lub habilitacyjnej.”;</w:t>
      </w:r>
    </w:p>
    <w:p w:rsidR="00E9706E" w:rsidRPr="001957E3" w:rsidRDefault="00E9706E" w:rsidP="001957E3">
      <w:pPr>
        <w:pStyle w:val="Akapitzlist"/>
        <w:numPr>
          <w:ilvl w:val="0"/>
          <w:numId w:val="2"/>
        </w:numPr>
        <w:spacing w:line="276" w:lineRule="auto"/>
        <w:jc w:val="both"/>
      </w:pPr>
      <w:r w:rsidRPr="001957E3">
        <w:t>w § 143 wyrazy: „pięciu lat” zastępuje się wyrazami: „piętnastu lat”;</w:t>
      </w:r>
    </w:p>
    <w:p w:rsidR="00E9706E" w:rsidRPr="001957E3" w:rsidRDefault="00E9706E" w:rsidP="001957E3">
      <w:pPr>
        <w:pStyle w:val="Akapitzlist"/>
        <w:numPr>
          <w:ilvl w:val="0"/>
          <w:numId w:val="2"/>
        </w:numPr>
        <w:spacing w:line="276" w:lineRule="auto"/>
        <w:jc w:val="both"/>
      </w:pPr>
      <w:r w:rsidRPr="001957E3">
        <w:t>w § 144:</w:t>
      </w:r>
    </w:p>
    <w:p w:rsidR="00E9706E" w:rsidRPr="001957E3" w:rsidRDefault="00E9706E" w:rsidP="001957E3">
      <w:pPr>
        <w:pStyle w:val="Akapitzlist"/>
        <w:numPr>
          <w:ilvl w:val="0"/>
          <w:numId w:val="13"/>
        </w:numPr>
        <w:spacing w:line="276" w:lineRule="auto"/>
        <w:jc w:val="both"/>
      </w:pPr>
      <w:r w:rsidRPr="001957E3">
        <w:t>w ust. 1 dodaje się zdanie w brzmieniu: „Senat uchwala regulamin oceny nauczyciela akademickiego.”,</w:t>
      </w:r>
    </w:p>
    <w:p w:rsidR="00E9706E" w:rsidRPr="001957E3" w:rsidRDefault="00E9706E" w:rsidP="001957E3">
      <w:pPr>
        <w:pStyle w:val="Akapitzlist"/>
        <w:numPr>
          <w:ilvl w:val="0"/>
          <w:numId w:val="13"/>
        </w:numPr>
        <w:spacing w:line="276" w:lineRule="auto"/>
        <w:jc w:val="both"/>
      </w:pPr>
      <w:r w:rsidRPr="001957E3">
        <w:t xml:space="preserve">ust. 2 otrzymuje brzmienie: </w:t>
      </w:r>
    </w:p>
    <w:p w:rsidR="00E9706E" w:rsidRPr="001957E3" w:rsidRDefault="00E9706E" w:rsidP="001957E3">
      <w:pPr>
        <w:pStyle w:val="Akapitzlist"/>
        <w:spacing w:line="276" w:lineRule="auto"/>
        <w:ind w:left="1080"/>
        <w:jc w:val="both"/>
      </w:pPr>
      <w:r w:rsidRPr="001957E3">
        <w:t>„2. Oceny nauczyciela akademickiego dokonuje się nie rzadziej niż raz na cztery lata lub na wniosek kierownika jednostki organizacyjnej SGGW, w której nauczyciel akademicki jest zatrudniony, z zastrzeżeniem ust. 3.”</w:t>
      </w:r>
    </w:p>
    <w:p w:rsidR="00E9706E" w:rsidRPr="001957E3" w:rsidRDefault="00E9706E" w:rsidP="001957E3">
      <w:pPr>
        <w:pStyle w:val="Akapitzlist"/>
        <w:numPr>
          <w:ilvl w:val="0"/>
          <w:numId w:val="13"/>
        </w:numPr>
        <w:spacing w:line="276" w:lineRule="auto"/>
        <w:jc w:val="both"/>
      </w:pPr>
      <w:r w:rsidRPr="001957E3">
        <w:t>ust. 3 otrzymuje brzmienie:</w:t>
      </w:r>
    </w:p>
    <w:p w:rsidR="00E9706E" w:rsidRPr="001957E3" w:rsidRDefault="00E9706E" w:rsidP="001957E3">
      <w:pPr>
        <w:pStyle w:val="Akapitzlist"/>
        <w:spacing w:line="276" w:lineRule="auto"/>
        <w:ind w:left="1080"/>
        <w:jc w:val="both"/>
      </w:pPr>
      <w:r w:rsidRPr="001957E3">
        <w:t>„3. W przypadku uzyskania przez nauczyciela akademickiego oceny negatywnej, ponowna ocena jest dokonywana w terminie dwóch lat od uzyskania, przez tego nauczyciela, informacji o ocenie negatywnej.”;</w:t>
      </w:r>
    </w:p>
    <w:p w:rsidR="00E9706E" w:rsidRPr="001957E3" w:rsidRDefault="00E9706E" w:rsidP="001957E3">
      <w:pPr>
        <w:pStyle w:val="Akapitzlist"/>
        <w:numPr>
          <w:ilvl w:val="0"/>
          <w:numId w:val="2"/>
        </w:numPr>
        <w:spacing w:line="276" w:lineRule="auto"/>
        <w:jc w:val="both"/>
      </w:pPr>
      <w:r w:rsidRPr="001957E3">
        <w:t>w § 146 w ust. 1 wyrazy: „po zakończeniu każdego cyklu zajęć dydaktycznych” zastępuje się wyrazami: „dokonywaną co najmniej raz w roku akademickim”;</w:t>
      </w:r>
    </w:p>
    <w:p w:rsidR="00E9706E" w:rsidRPr="001957E3" w:rsidRDefault="00E9706E" w:rsidP="001957E3">
      <w:pPr>
        <w:pStyle w:val="Akapitzlist"/>
        <w:numPr>
          <w:ilvl w:val="0"/>
          <w:numId w:val="2"/>
        </w:numPr>
        <w:spacing w:line="276" w:lineRule="auto"/>
        <w:jc w:val="both"/>
      </w:pPr>
      <w:r w:rsidRPr="001957E3">
        <w:t xml:space="preserve"> w § 152 w ust. 3 wyrazy: „§ 145 ust. 3” zastępuje się wyrazami: „§ 145 ust. 2 i 3”;</w:t>
      </w:r>
    </w:p>
    <w:p w:rsidR="00E9706E" w:rsidRPr="001957E3" w:rsidRDefault="00E9706E" w:rsidP="001957E3">
      <w:pPr>
        <w:pStyle w:val="Akapitzlist"/>
        <w:numPr>
          <w:ilvl w:val="0"/>
          <w:numId w:val="2"/>
        </w:numPr>
        <w:spacing w:line="276" w:lineRule="auto"/>
        <w:jc w:val="both"/>
      </w:pPr>
      <w:r w:rsidRPr="001957E3">
        <w:t xml:space="preserve">w § 155 pkt 3 i 4 otrzymują brzmienie: </w:t>
      </w:r>
    </w:p>
    <w:p w:rsidR="00E9706E" w:rsidRPr="001957E3" w:rsidRDefault="00E9706E" w:rsidP="001957E3">
      <w:pPr>
        <w:pStyle w:val="Akapitzlist"/>
        <w:spacing w:line="276" w:lineRule="auto"/>
        <w:jc w:val="both"/>
      </w:pPr>
      <w:r w:rsidRPr="001957E3">
        <w:t xml:space="preserve">„3) nagana z pozbawieniem prawa pełnienia funkcji kierowniczych w SGGW na okres od trzech miesięcy do pięciu lat, </w:t>
      </w:r>
    </w:p>
    <w:p w:rsidR="00E9706E" w:rsidRPr="001957E3" w:rsidRDefault="00E9706E" w:rsidP="001957E3">
      <w:pPr>
        <w:pStyle w:val="Akapitzlist"/>
        <w:spacing w:line="276" w:lineRule="auto"/>
        <w:jc w:val="both"/>
      </w:pPr>
      <w:r w:rsidRPr="001957E3">
        <w:t>4) pozbawienie prawa do wykonywania zawodu nauczyciela akademickiego na okres od pięciu miesięcy do pięciu lat lub na stałe.”;</w:t>
      </w:r>
    </w:p>
    <w:p w:rsidR="00E9706E" w:rsidRPr="001957E3" w:rsidRDefault="00E9706E" w:rsidP="001957E3">
      <w:pPr>
        <w:pStyle w:val="Akapitzlist"/>
        <w:numPr>
          <w:ilvl w:val="0"/>
          <w:numId w:val="2"/>
        </w:numPr>
        <w:spacing w:line="276" w:lineRule="auto"/>
        <w:jc w:val="both"/>
      </w:pPr>
      <w:r w:rsidRPr="001957E3">
        <w:t>w § 157 ust. 3 otrzymuje brzmienie:</w:t>
      </w:r>
    </w:p>
    <w:p w:rsidR="00E9706E" w:rsidRPr="001957E3" w:rsidRDefault="00E9706E" w:rsidP="001957E3">
      <w:pPr>
        <w:pStyle w:val="Akapitzlist"/>
        <w:spacing w:line="276" w:lineRule="auto"/>
        <w:jc w:val="both"/>
      </w:pPr>
      <w:r w:rsidRPr="001957E3">
        <w:t>„3. Po dokonaniu wyboru komisji dyscyplinarnej przez Senat Rektor proponuje kandydata lub kandydatów na przewodniczącego komisji dyscyplinarnej. Senat wybiera przewodniczącego komisji w trybie określonym w ust. l.”</w:t>
      </w:r>
    </w:p>
    <w:p w:rsidR="00E9706E" w:rsidRPr="001957E3" w:rsidRDefault="00E9706E" w:rsidP="001957E3">
      <w:pPr>
        <w:pStyle w:val="Akapitzlist"/>
        <w:numPr>
          <w:ilvl w:val="0"/>
          <w:numId w:val="2"/>
        </w:numPr>
        <w:spacing w:line="276" w:lineRule="auto"/>
        <w:jc w:val="both"/>
      </w:pPr>
      <w:r w:rsidRPr="001957E3">
        <w:t>w § 172 dodaje się ust. 6 w brzmieniu:</w:t>
      </w:r>
    </w:p>
    <w:p w:rsidR="00E9706E" w:rsidRPr="001957E3" w:rsidRDefault="00E9706E" w:rsidP="001957E3">
      <w:pPr>
        <w:pStyle w:val="Akapitzlist"/>
        <w:spacing w:line="276" w:lineRule="auto"/>
        <w:jc w:val="both"/>
      </w:pPr>
      <w:r w:rsidRPr="001957E3">
        <w:t>„6. Hymn SGGW uświetnia uroczystości akademickie.”;</w:t>
      </w:r>
    </w:p>
    <w:p w:rsidR="00E9706E" w:rsidRPr="001957E3" w:rsidRDefault="00E9706E" w:rsidP="001957E3">
      <w:pPr>
        <w:pStyle w:val="Akapitzlist"/>
        <w:numPr>
          <w:ilvl w:val="0"/>
          <w:numId w:val="2"/>
        </w:numPr>
        <w:spacing w:line="276" w:lineRule="auto"/>
      </w:pPr>
      <w:r w:rsidRPr="001957E3">
        <w:t>w § 173 dodaje się ust. 7 w brzmieniu:</w:t>
      </w:r>
    </w:p>
    <w:p w:rsidR="00E9706E" w:rsidRPr="001957E3" w:rsidRDefault="00E9706E" w:rsidP="001957E3">
      <w:pPr>
        <w:pStyle w:val="Akapitzlist"/>
        <w:spacing w:line="276" w:lineRule="auto"/>
        <w:jc w:val="both"/>
      </w:pPr>
      <w:r w:rsidRPr="001957E3">
        <w:t>„ 7. Rektor ogłasza, w drodze obwieszczenia, tekst jednolity statutu SGGW.”;</w:t>
      </w:r>
    </w:p>
    <w:p w:rsidR="00E9706E" w:rsidRPr="001957E3" w:rsidRDefault="00E9706E" w:rsidP="001957E3">
      <w:pPr>
        <w:pStyle w:val="Akapitzlist"/>
        <w:numPr>
          <w:ilvl w:val="0"/>
          <w:numId w:val="2"/>
        </w:numPr>
        <w:spacing w:line="276" w:lineRule="auto"/>
        <w:jc w:val="both"/>
      </w:pPr>
      <w:r w:rsidRPr="001957E3">
        <w:t>w załączniku nr 1 Zasady i tryb przeprowadzania konkursów w SGGW:</w:t>
      </w:r>
    </w:p>
    <w:p w:rsidR="00E9706E" w:rsidRPr="001957E3" w:rsidRDefault="00E9706E" w:rsidP="001957E3">
      <w:pPr>
        <w:pStyle w:val="Akapitzlist"/>
        <w:numPr>
          <w:ilvl w:val="0"/>
          <w:numId w:val="14"/>
        </w:numPr>
        <w:spacing w:line="276" w:lineRule="auto"/>
        <w:jc w:val="both"/>
      </w:pPr>
      <w:r w:rsidRPr="001957E3">
        <w:t>ust. 1 otrzymuje brzmienie:</w:t>
      </w:r>
    </w:p>
    <w:p w:rsidR="00E9706E" w:rsidRDefault="00E9706E" w:rsidP="001957E3">
      <w:pPr>
        <w:pStyle w:val="Akapitzlist"/>
        <w:spacing w:line="276" w:lineRule="auto"/>
        <w:ind w:left="1080"/>
        <w:jc w:val="both"/>
      </w:pPr>
      <w:r w:rsidRPr="001957E3">
        <w:t>„1. Nawiązanie stosunku pracy z nauczycielem akademickim w SGGW, na czas określony lub nieokreślony, w wymiarze przekraczającym połowę pełnego wymiaru czasu pracy, w przypadkach przewidzianych przez Ustawę następuje po przeprowadzeniu otwartego konkursu.”,</w:t>
      </w:r>
    </w:p>
    <w:p w:rsidR="00E9706E" w:rsidRPr="001957E3" w:rsidRDefault="00E9706E" w:rsidP="001957E3">
      <w:pPr>
        <w:pStyle w:val="Akapitzlist"/>
        <w:numPr>
          <w:ilvl w:val="0"/>
          <w:numId w:val="14"/>
        </w:numPr>
        <w:spacing w:line="276" w:lineRule="auto"/>
        <w:jc w:val="both"/>
      </w:pPr>
      <w:r w:rsidRPr="001957E3">
        <w:t>ust. 2 otrzymuje brzmienie:</w:t>
      </w:r>
    </w:p>
    <w:p w:rsidR="00E9706E" w:rsidRPr="001957E3" w:rsidRDefault="00E9706E" w:rsidP="001957E3">
      <w:pPr>
        <w:pStyle w:val="Akapitzlist"/>
        <w:spacing w:line="276" w:lineRule="auto"/>
        <w:ind w:left="1080"/>
        <w:jc w:val="both"/>
      </w:pPr>
      <w:r w:rsidRPr="001957E3">
        <w:t xml:space="preserve">„2. Konkurs na stanowisko profesora nadzwyczajnego i profesora zwyczajnego ogłasza Rektor na wniosek dziekana: wniosek </w:t>
      </w:r>
      <w:r w:rsidRPr="00E43AFD">
        <w:rPr>
          <w:color w:val="000000" w:themeColor="text1"/>
        </w:rPr>
        <w:t xml:space="preserve">powinien być </w:t>
      </w:r>
      <w:r w:rsidRPr="001957E3">
        <w:t>zaopiniowany przez radę wydziału.”,</w:t>
      </w:r>
    </w:p>
    <w:p w:rsidR="00E9706E" w:rsidRPr="001957E3" w:rsidRDefault="00E9706E" w:rsidP="001957E3">
      <w:pPr>
        <w:pStyle w:val="Akapitzlist"/>
        <w:numPr>
          <w:ilvl w:val="0"/>
          <w:numId w:val="14"/>
        </w:numPr>
        <w:spacing w:line="276" w:lineRule="auto"/>
        <w:jc w:val="both"/>
      </w:pPr>
      <w:r w:rsidRPr="001957E3">
        <w:t>dodaje się podtytuł:</w:t>
      </w:r>
    </w:p>
    <w:p w:rsidR="00E9706E" w:rsidRPr="001957E3" w:rsidRDefault="00E9706E" w:rsidP="001957E3">
      <w:pPr>
        <w:pStyle w:val="Akapitzlist"/>
        <w:spacing w:line="276" w:lineRule="auto"/>
        <w:ind w:left="1080"/>
        <w:jc w:val="both"/>
      </w:pPr>
      <w:r w:rsidRPr="001957E3">
        <w:t>„Zasady i tryb awansowania nauczycieli akademickich”,</w:t>
      </w:r>
    </w:p>
    <w:p w:rsidR="00E9706E" w:rsidRPr="001957E3" w:rsidRDefault="00E9706E" w:rsidP="001957E3">
      <w:pPr>
        <w:pStyle w:val="Akapitzlist"/>
        <w:numPr>
          <w:ilvl w:val="0"/>
          <w:numId w:val="14"/>
        </w:numPr>
        <w:spacing w:line="276" w:lineRule="auto"/>
        <w:jc w:val="both"/>
      </w:pPr>
      <w:r w:rsidRPr="001957E3">
        <w:t>dodaje się ust. 39 – 42 w brzmieniu:</w:t>
      </w:r>
    </w:p>
    <w:p w:rsidR="00E9706E" w:rsidRPr="001957E3" w:rsidRDefault="00E9706E" w:rsidP="001957E3">
      <w:pPr>
        <w:pStyle w:val="Akapitzlist"/>
        <w:spacing w:line="276" w:lineRule="auto"/>
        <w:ind w:left="1080"/>
        <w:jc w:val="both"/>
      </w:pPr>
      <w:r w:rsidRPr="001957E3">
        <w:t>„39. Awansowanie nauczycieli akademickich następuje na zasadach wskazanych w Statucie i w Ustawie.</w:t>
      </w:r>
    </w:p>
    <w:p w:rsidR="00E9706E" w:rsidRPr="001957E3" w:rsidRDefault="00E9706E" w:rsidP="001957E3">
      <w:pPr>
        <w:pStyle w:val="Akapitzlist"/>
        <w:spacing w:line="276" w:lineRule="auto"/>
        <w:ind w:left="1080"/>
        <w:jc w:val="both"/>
      </w:pPr>
      <w:r w:rsidRPr="001957E3">
        <w:lastRenderedPageBreak/>
        <w:t xml:space="preserve">40. Awansowania nauczycieli akademickich dokonuje Rektor z własnej inicjatywy po zasięgnięciu opinii dziekana i rady wydziału lub na wniosek dziekana zaopiniowany przez radę wydziału lub też na wniosek kierownika jednostki pozawydziałowej, w której nauczyciel akademicki, który ma być awansowany, jest zatrudniony. Wniosek dziekana może być składany  z jego własnej inicjatywy lub na podstawie wniosku kierownika samodzielnej jednostki wydziału w której nauczyciel akademicki, który ma być awansowany, jest zatrudniony. </w:t>
      </w:r>
    </w:p>
    <w:p w:rsidR="00E9706E" w:rsidRPr="001957E3" w:rsidRDefault="00E9706E" w:rsidP="001957E3">
      <w:pPr>
        <w:pStyle w:val="Akapitzlist"/>
        <w:spacing w:line="276" w:lineRule="auto"/>
        <w:ind w:left="1080"/>
        <w:jc w:val="both"/>
      </w:pPr>
      <w:r w:rsidRPr="001957E3">
        <w:t xml:space="preserve">41. Niezajęcie stanowiska w sprawie awansu określonego kandydata przez organy, o których mowa w ust. 40, w terminie 60 dni uważa się za wyrażenie przez </w:t>
      </w:r>
      <w:r w:rsidR="00003E3F">
        <w:br/>
      </w:r>
      <w:r w:rsidRPr="001957E3">
        <w:t>te organy opinii.</w:t>
      </w:r>
    </w:p>
    <w:p w:rsidR="00E9706E" w:rsidRPr="001957E3" w:rsidRDefault="00E9706E" w:rsidP="001957E3">
      <w:pPr>
        <w:pStyle w:val="Akapitzlist"/>
        <w:spacing w:line="276" w:lineRule="auto"/>
        <w:ind w:left="1080"/>
        <w:jc w:val="both"/>
      </w:pPr>
      <w:r w:rsidRPr="001957E3">
        <w:t>42. Rektor każdorazowo w przedmiocie awansowania nauczycieli akademickich podejmuje decyzje o zastosowaniu jednej z dwóch określonych w Statucie procedur t.j. Rektor może:</w:t>
      </w:r>
    </w:p>
    <w:p w:rsidR="00E9706E" w:rsidRPr="001957E3" w:rsidRDefault="00E9706E" w:rsidP="001957E3">
      <w:pPr>
        <w:pStyle w:val="Akapitzlist"/>
        <w:spacing w:line="276" w:lineRule="auto"/>
        <w:ind w:left="1080"/>
        <w:jc w:val="both"/>
      </w:pPr>
      <w:r w:rsidRPr="001957E3">
        <w:t>1) podjąć decyzję o zastosowaniu procedury konkursowej na zasadach przewidzianych w Statucie do nawiązywania stosunku pracy z nauczycielami akademickimi w SGGW;</w:t>
      </w:r>
    </w:p>
    <w:p w:rsidR="00E9706E" w:rsidRPr="001957E3" w:rsidRDefault="00E9706E" w:rsidP="001957E3">
      <w:pPr>
        <w:pStyle w:val="Akapitzlist"/>
        <w:spacing w:line="276" w:lineRule="auto"/>
        <w:ind w:left="1080"/>
        <w:jc w:val="both"/>
      </w:pPr>
      <w:r w:rsidRPr="001957E3">
        <w:t>2) podjąć decyzję o zastosowaniu procedury bezkonkursowej na zasadach określonych w ust. 43 – 45.”,</w:t>
      </w:r>
    </w:p>
    <w:p w:rsidR="00E9706E" w:rsidRPr="001957E3" w:rsidRDefault="00E9706E" w:rsidP="001957E3">
      <w:pPr>
        <w:pStyle w:val="Akapitzlist"/>
        <w:numPr>
          <w:ilvl w:val="0"/>
          <w:numId w:val="14"/>
        </w:numPr>
        <w:spacing w:line="276" w:lineRule="auto"/>
      </w:pPr>
      <w:r w:rsidRPr="001957E3">
        <w:t>dodaje się podtytuł:</w:t>
      </w:r>
    </w:p>
    <w:p w:rsidR="00E9706E" w:rsidRPr="001957E3" w:rsidRDefault="00E9706E" w:rsidP="001957E3">
      <w:pPr>
        <w:pStyle w:val="Akapitzlist"/>
        <w:spacing w:line="276" w:lineRule="auto"/>
        <w:ind w:left="1080"/>
        <w:jc w:val="both"/>
      </w:pPr>
      <w:r w:rsidRPr="001957E3">
        <w:t>„Procedura bezkonkursowa”,</w:t>
      </w:r>
    </w:p>
    <w:p w:rsidR="00E9706E" w:rsidRPr="001957E3" w:rsidRDefault="00E9706E" w:rsidP="001957E3">
      <w:pPr>
        <w:pStyle w:val="Akapitzlist"/>
        <w:numPr>
          <w:ilvl w:val="0"/>
          <w:numId w:val="14"/>
        </w:numPr>
        <w:spacing w:line="276" w:lineRule="auto"/>
        <w:jc w:val="both"/>
      </w:pPr>
      <w:r w:rsidRPr="001957E3">
        <w:t>dodaje się ust. 43 – 45 w brzmieniu:</w:t>
      </w:r>
    </w:p>
    <w:p w:rsidR="00E9706E" w:rsidRPr="001957E3" w:rsidRDefault="00E9706E" w:rsidP="001957E3">
      <w:pPr>
        <w:pStyle w:val="Akapitzlist"/>
        <w:spacing w:line="276" w:lineRule="auto"/>
        <w:ind w:left="1080"/>
        <w:jc w:val="both"/>
      </w:pPr>
      <w:r w:rsidRPr="001957E3">
        <w:t>„43. Rektor przy awansowaniu nauczycieli akademickich kieruje się zasadami wskazanymi w Statucie i w Ustawie odnoszącymi się do spełniania wymogów przy zatrudnianiu na stanowiska pra</w:t>
      </w:r>
      <w:r w:rsidR="00391B16" w:rsidRPr="001957E3">
        <w:t xml:space="preserve">cowników naukowo-dydaktycznych, </w:t>
      </w:r>
      <w:r w:rsidRPr="001957E3">
        <w:t xml:space="preserve">pracowników naukowych i pracowników dydaktycznych oraz bierze </w:t>
      </w:r>
      <w:r w:rsidR="00391B16" w:rsidRPr="001957E3">
        <w:br/>
      </w:r>
      <w:r w:rsidRPr="001957E3">
        <w:t>w szczególności pod uwagę:</w:t>
      </w:r>
    </w:p>
    <w:p w:rsidR="00E9706E" w:rsidRPr="001957E3" w:rsidRDefault="00E9706E" w:rsidP="001957E3">
      <w:pPr>
        <w:pStyle w:val="Akapitzlist"/>
        <w:spacing w:line="276" w:lineRule="auto"/>
        <w:ind w:left="1080"/>
        <w:jc w:val="both"/>
      </w:pPr>
      <w:r w:rsidRPr="001957E3">
        <w:t xml:space="preserve">1) całość dorobku nauczyciela akademickiego, w tym dotychczasowe osiągnięcia naukowe w przypadku pracowników naukowych i naukowo – dydaktycznych, </w:t>
      </w:r>
      <w:r w:rsidR="00391B16" w:rsidRPr="001957E3">
        <w:br/>
      </w:r>
      <w:r w:rsidRPr="001957E3">
        <w:t>a w przypadku pracowników dydaktycznych osiągnięcia dydaktyczne oraz ocenę, o której mowa w § 144;</w:t>
      </w:r>
    </w:p>
    <w:p w:rsidR="00E9706E" w:rsidRPr="001957E3" w:rsidRDefault="00E9706E" w:rsidP="001957E3">
      <w:pPr>
        <w:pStyle w:val="Akapitzlist"/>
        <w:spacing w:line="276" w:lineRule="auto"/>
        <w:ind w:left="1080"/>
        <w:jc w:val="both"/>
      </w:pPr>
      <w:r w:rsidRPr="001957E3">
        <w:t>2) potrzeby stabilizacji i rozwoju kadry naukowo-dydaktycznej na wydziale/ w jednostce pozawydziałowej w której nauczyciel akademicki, który ma być awansowany, jest zatrudniony;</w:t>
      </w:r>
    </w:p>
    <w:p w:rsidR="00E9706E" w:rsidRPr="001957E3" w:rsidRDefault="00E9706E" w:rsidP="001957E3">
      <w:pPr>
        <w:pStyle w:val="Akapitzlist"/>
        <w:spacing w:line="276" w:lineRule="auto"/>
        <w:ind w:left="1080"/>
        <w:jc w:val="both"/>
      </w:pPr>
      <w:r w:rsidRPr="001957E3">
        <w:t xml:space="preserve">3) kierunki i tempo rozwoju SGGW.  </w:t>
      </w:r>
    </w:p>
    <w:p w:rsidR="00E9706E" w:rsidRPr="001957E3" w:rsidRDefault="00E9706E" w:rsidP="001957E3">
      <w:pPr>
        <w:pStyle w:val="Akapitzlist"/>
        <w:spacing w:line="276" w:lineRule="auto"/>
        <w:ind w:left="1080"/>
        <w:jc w:val="both"/>
      </w:pPr>
      <w:r w:rsidRPr="001957E3">
        <w:t xml:space="preserve">44. Rektor przed podjęciem decyzji w przedmiocie awansowania nauczycieli akademickich może zwrócić się do ekspertów, w tym również spoza SGGW, </w:t>
      </w:r>
      <w:r w:rsidR="00003E3F">
        <w:br/>
      </w:r>
      <w:r w:rsidRPr="001957E3">
        <w:t>o wyrażenie opinii w sprawie określonego kandydata lub może powołać w tym celu zespół doradczy.</w:t>
      </w:r>
    </w:p>
    <w:p w:rsidR="00E9706E" w:rsidRPr="001957E3" w:rsidRDefault="00E9706E" w:rsidP="001957E3">
      <w:pPr>
        <w:pStyle w:val="Akapitzlist"/>
        <w:spacing w:line="276" w:lineRule="auto"/>
        <w:ind w:left="1080"/>
        <w:jc w:val="both"/>
      </w:pPr>
      <w:r w:rsidRPr="001957E3">
        <w:t>45. Zespół doradczy jest organem doradczym i opiniodawczym Rektora powoływanym do wyrażenia opinii w sprawie awansu określonego kandydata. Zespół składa się z co najmniej trzech nauczycieli akademickich będących pracownikami SGGW, w której co najmniej jedna osoba powinna posiadać tytuł naukowy. W skład zespołu wchodzi dziekan (prodziekan) albo kierownik samodzielnej jednostki wydziału lub jednostki pozawydziałowej w której nauczyciel akademicki, który ma być awansowany, jest zatrudniony.”;</w:t>
      </w:r>
    </w:p>
    <w:p w:rsidR="00E9706E" w:rsidRPr="001957E3" w:rsidRDefault="00E9706E" w:rsidP="001957E3">
      <w:pPr>
        <w:pStyle w:val="Akapitzlist"/>
        <w:numPr>
          <w:ilvl w:val="0"/>
          <w:numId w:val="2"/>
        </w:numPr>
        <w:spacing w:line="276" w:lineRule="auto"/>
        <w:jc w:val="both"/>
      </w:pPr>
      <w:r w:rsidRPr="001957E3">
        <w:lastRenderedPageBreak/>
        <w:t>w załączniku nr 2 Regulamin wyborów w SGGW:</w:t>
      </w:r>
    </w:p>
    <w:p w:rsidR="00E9706E" w:rsidRPr="001957E3" w:rsidRDefault="00E9706E" w:rsidP="009325E3">
      <w:pPr>
        <w:pStyle w:val="Akapitzlist"/>
        <w:numPr>
          <w:ilvl w:val="1"/>
          <w:numId w:val="2"/>
        </w:numPr>
        <w:tabs>
          <w:tab w:val="left" w:pos="1134"/>
        </w:tabs>
        <w:spacing w:line="276" w:lineRule="auto"/>
        <w:ind w:left="709" w:firstLine="0"/>
        <w:jc w:val="both"/>
      </w:pPr>
      <w:r w:rsidRPr="001957E3">
        <w:t>ust.1 otrzymuje brzmienie:</w:t>
      </w:r>
    </w:p>
    <w:p w:rsidR="00E9706E" w:rsidRPr="001957E3" w:rsidRDefault="00E9706E" w:rsidP="009325E3">
      <w:pPr>
        <w:pStyle w:val="Akapitzlist"/>
        <w:tabs>
          <w:tab w:val="left" w:pos="1134"/>
        </w:tabs>
        <w:spacing w:line="276" w:lineRule="auto"/>
        <w:jc w:val="both"/>
      </w:pPr>
      <w:r w:rsidRPr="001957E3">
        <w:t xml:space="preserve"> „1.</w:t>
      </w:r>
      <w:r w:rsidRPr="001957E3">
        <w:tab/>
        <w:t xml:space="preserve">Przy wszystkich wyborach obowiązują następujące zasady: </w:t>
      </w:r>
    </w:p>
    <w:p w:rsidR="00E9706E" w:rsidRPr="001957E3" w:rsidRDefault="00E9706E" w:rsidP="009325E3">
      <w:pPr>
        <w:pStyle w:val="Akapitzlist"/>
        <w:tabs>
          <w:tab w:val="left" w:pos="1134"/>
        </w:tabs>
        <w:spacing w:line="276" w:lineRule="auto"/>
        <w:jc w:val="both"/>
      </w:pPr>
      <w:r w:rsidRPr="001957E3">
        <w:t>1)</w:t>
      </w:r>
      <w:r w:rsidRPr="001957E3">
        <w:tab/>
        <w:t xml:space="preserve">czynne prawo wyborcze przysługuje nauczycielom akademickim zatrudnionym w SGGW jako podstawowym miejscu pracy (zgodnie z definicją podstawowego miejsca pracy zawartą w art. 2 Ustawy), pracownikom niebędącym nauczycielami akademickimi zatrudnionym w SGGW oraz studentom i doktorantom SGGW, </w:t>
      </w:r>
    </w:p>
    <w:p w:rsidR="00E9706E" w:rsidRPr="001957E3" w:rsidRDefault="00E9706E" w:rsidP="009325E3">
      <w:pPr>
        <w:pStyle w:val="Akapitzlist"/>
        <w:tabs>
          <w:tab w:val="left" w:pos="1134"/>
        </w:tabs>
        <w:spacing w:line="276" w:lineRule="auto"/>
        <w:jc w:val="both"/>
      </w:pPr>
      <w:r w:rsidRPr="001957E3">
        <w:t>2)</w:t>
      </w:r>
      <w:r w:rsidRPr="001957E3">
        <w:tab/>
        <w:t xml:space="preserve"> bierne prawo wyborcze przysługuje nauczycielom akademickim, którzy nie ukończyli sześćdziesiątego siódmego roku życia, a w przypadku osób posiadających tytuł profesora – siedemdziesiątego roku życia, zatrudnionym w SGGW jako podstawowym miejscu pracy, pracownikom niebędącym nauczycielami akademickimi zatrudnionym w SGGW w pełnym wymiarze czasu pracy, studentom oraz doktorantom, przy czym bierne prawo wyborcze do pełnienia funkcji Rektora przysługuje osobie (także spoza nauczycieli akademickich SGGW) posiadającej tytuł naukowy lub stopień naukowy doktora habilitowanego, </w:t>
      </w:r>
    </w:p>
    <w:p w:rsidR="00E9706E" w:rsidRPr="001957E3" w:rsidRDefault="00E9706E" w:rsidP="001957E3">
      <w:pPr>
        <w:pStyle w:val="Akapitzlist"/>
        <w:spacing w:line="276" w:lineRule="auto"/>
        <w:jc w:val="both"/>
      </w:pPr>
      <w:r w:rsidRPr="001957E3">
        <w:t>3)</w:t>
      </w:r>
      <w:r w:rsidRPr="001957E3">
        <w:tab/>
        <w:t xml:space="preserve">każdemu z wyborców posiadających czynne prawo wyborcze przysługuje prawo zgłaszania kandydatów, </w:t>
      </w:r>
    </w:p>
    <w:p w:rsidR="00E9706E" w:rsidRPr="001957E3" w:rsidRDefault="00E9706E" w:rsidP="001957E3">
      <w:pPr>
        <w:pStyle w:val="Akapitzlist"/>
        <w:spacing w:line="276" w:lineRule="auto"/>
        <w:jc w:val="both"/>
      </w:pPr>
      <w:r w:rsidRPr="001957E3">
        <w:t>4)</w:t>
      </w:r>
      <w:r w:rsidRPr="001957E3">
        <w:tab/>
        <w:t xml:space="preserve">głosowanie jest tajne, </w:t>
      </w:r>
      <w:r w:rsidRPr="001957E3">
        <w:tab/>
      </w:r>
    </w:p>
    <w:p w:rsidR="00E9706E" w:rsidRPr="001957E3" w:rsidRDefault="00E9706E" w:rsidP="001957E3">
      <w:pPr>
        <w:pStyle w:val="Akapitzlist"/>
        <w:spacing w:line="276" w:lineRule="auto"/>
        <w:jc w:val="both"/>
      </w:pPr>
      <w:r w:rsidRPr="001957E3">
        <w:t>5)</w:t>
      </w:r>
      <w:r w:rsidRPr="001957E3">
        <w:tab/>
        <w:t>wybór następuje, gdy kandydat uzyskał więcej niż połowę ważnie oddanych głosów.</w:t>
      </w:r>
    </w:p>
    <w:p w:rsidR="00E9706E" w:rsidRPr="001957E3" w:rsidRDefault="00E9706E" w:rsidP="001957E3">
      <w:pPr>
        <w:pStyle w:val="Akapitzlist"/>
        <w:spacing w:line="276" w:lineRule="auto"/>
        <w:jc w:val="both"/>
      </w:pPr>
      <w:r w:rsidRPr="001957E3">
        <w:t xml:space="preserve">Pracownicy przebywający na urlopie dla poratowania zdrowia, urlopie naukowym </w:t>
      </w:r>
      <w:r w:rsidR="00003E3F">
        <w:br/>
      </w:r>
      <w:r w:rsidRPr="001957E3">
        <w:t>lub urlopach związanych z macierzyństwem lub ojcostwem oraz studenci i doktoranci przebywający na urlopie od zajęć zachowują czynne i bierne prawa wyborcze.”,</w:t>
      </w:r>
    </w:p>
    <w:p w:rsidR="00E9706E" w:rsidRPr="001957E3" w:rsidRDefault="00E9706E" w:rsidP="001957E3">
      <w:pPr>
        <w:pStyle w:val="Akapitzlist"/>
        <w:numPr>
          <w:ilvl w:val="1"/>
          <w:numId w:val="2"/>
        </w:numPr>
        <w:spacing w:line="276" w:lineRule="auto"/>
        <w:jc w:val="both"/>
      </w:pPr>
      <w:r w:rsidRPr="001957E3">
        <w:t>ust. 4 otrzymuje brzmienie:</w:t>
      </w:r>
    </w:p>
    <w:p w:rsidR="00E9706E" w:rsidRPr="001957E3" w:rsidRDefault="00E9706E" w:rsidP="001957E3">
      <w:pPr>
        <w:pStyle w:val="Akapitzlist"/>
        <w:spacing w:line="276" w:lineRule="auto"/>
        <w:ind w:left="1134"/>
        <w:jc w:val="both"/>
      </w:pPr>
      <w:r w:rsidRPr="001957E3">
        <w:t>„4. Kandydatura prorektora do spraw studenckich wymaga zgody większości przedstawicieli studentów i doktorantów właściwego kolegium elektorów.”,</w:t>
      </w:r>
    </w:p>
    <w:p w:rsidR="00E9706E" w:rsidRPr="001957E3" w:rsidRDefault="00E9706E" w:rsidP="001957E3">
      <w:pPr>
        <w:pStyle w:val="Akapitzlist"/>
        <w:numPr>
          <w:ilvl w:val="1"/>
          <w:numId w:val="2"/>
        </w:numPr>
        <w:spacing w:line="276" w:lineRule="auto"/>
        <w:jc w:val="both"/>
      </w:pPr>
      <w:r w:rsidRPr="001957E3">
        <w:t>w ust. 5 wyraz: „w” zastępuje się wyrazem: „właściwego”,</w:t>
      </w:r>
    </w:p>
    <w:p w:rsidR="00E9706E" w:rsidRPr="001957E3" w:rsidRDefault="00E9706E" w:rsidP="001957E3">
      <w:pPr>
        <w:pStyle w:val="Akapitzlist"/>
        <w:numPr>
          <w:ilvl w:val="1"/>
          <w:numId w:val="2"/>
        </w:numPr>
        <w:spacing w:line="276" w:lineRule="auto"/>
        <w:jc w:val="both"/>
      </w:pPr>
      <w:r w:rsidRPr="001957E3">
        <w:t>w ust. 8, 33, 35, 40, 47, 49, 52, 54 użyte w różnym przypadku wyrazy: „stanowisko Rektora” zastępuje się użytymi w odpowiednim przypadku wyrazami: „funkcji Rektora”,</w:t>
      </w:r>
    </w:p>
    <w:p w:rsidR="00E9706E" w:rsidRPr="001957E3" w:rsidRDefault="00E9706E" w:rsidP="001957E3">
      <w:pPr>
        <w:pStyle w:val="Akapitzlist"/>
        <w:numPr>
          <w:ilvl w:val="1"/>
          <w:numId w:val="2"/>
        </w:numPr>
        <w:spacing w:line="276" w:lineRule="auto"/>
        <w:jc w:val="both"/>
      </w:pPr>
      <w:r w:rsidRPr="001957E3">
        <w:t>w ust. 21 dodaje się zdanie w brzmieniu:</w:t>
      </w:r>
    </w:p>
    <w:p w:rsidR="00E9706E" w:rsidRPr="001957E3" w:rsidRDefault="00E9706E" w:rsidP="001957E3">
      <w:pPr>
        <w:pStyle w:val="Akapitzlist"/>
        <w:spacing w:line="276" w:lineRule="auto"/>
        <w:ind w:left="1070"/>
        <w:jc w:val="both"/>
      </w:pPr>
      <w:r w:rsidRPr="001957E3">
        <w:t xml:space="preserve">„21. </w:t>
      </w:r>
      <w:r w:rsidRPr="001957E3">
        <w:tab/>
        <w:t xml:space="preserve">Do zadań uczelnianej komisji wyborczej należy: </w:t>
      </w:r>
    </w:p>
    <w:p w:rsidR="00E9706E" w:rsidRPr="001957E3" w:rsidRDefault="00E9706E" w:rsidP="001957E3">
      <w:pPr>
        <w:pStyle w:val="Akapitzlist"/>
        <w:spacing w:line="276" w:lineRule="auto"/>
        <w:ind w:left="1070"/>
        <w:jc w:val="both"/>
      </w:pPr>
      <w:r w:rsidRPr="001957E3">
        <w:t>1)</w:t>
      </w:r>
      <w:r w:rsidRPr="001957E3">
        <w:tab/>
        <w:t xml:space="preserve">przedkładanie Senatowi propozycji organizacji i terminarza wyborów </w:t>
      </w:r>
      <w:r w:rsidR="00003E3F">
        <w:br/>
      </w:r>
      <w:r w:rsidRPr="001957E3">
        <w:t xml:space="preserve">do kolegiów elektorów i organów kolegialnych oraz wyborów organów jednoosobowych, a także składu liczbowego uczelnianego kolegium elektorów, </w:t>
      </w:r>
    </w:p>
    <w:p w:rsidR="00E9706E" w:rsidRPr="001957E3" w:rsidRDefault="00E9706E" w:rsidP="001957E3">
      <w:pPr>
        <w:pStyle w:val="Akapitzlist"/>
        <w:spacing w:line="276" w:lineRule="auto"/>
        <w:ind w:left="1070"/>
        <w:jc w:val="both"/>
      </w:pPr>
      <w:r w:rsidRPr="001957E3">
        <w:t>2)</w:t>
      </w:r>
      <w:r w:rsidRPr="001957E3">
        <w:tab/>
        <w:t xml:space="preserve">przeprowadzanie wyborów Rektora i prorektorów, </w:t>
      </w:r>
    </w:p>
    <w:p w:rsidR="00E9706E" w:rsidRPr="001957E3" w:rsidRDefault="00E9706E" w:rsidP="001957E3">
      <w:pPr>
        <w:pStyle w:val="Akapitzlist"/>
        <w:spacing w:line="276" w:lineRule="auto"/>
        <w:ind w:left="1070"/>
        <w:jc w:val="both"/>
      </w:pPr>
      <w:r w:rsidRPr="001957E3">
        <w:t>3)</w:t>
      </w:r>
      <w:r w:rsidRPr="001957E3">
        <w:tab/>
        <w:t xml:space="preserve">przeprowadzanie wyborów elektorów i przedstawicieli do Senatu </w:t>
      </w:r>
      <w:r w:rsidR="00003E3F">
        <w:br/>
      </w:r>
      <w:r w:rsidRPr="001957E3">
        <w:t xml:space="preserve">w jednostkach organizacyjnych poza wydziałami, </w:t>
      </w:r>
    </w:p>
    <w:p w:rsidR="00E9706E" w:rsidRPr="001957E3" w:rsidRDefault="00E9706E" w:rsidP="001957E3">
      <w:pPr>
        <w:pStyle w:val="Akapitzlist"/>
        <w:spacing w:line="276" w:lineRule="auto"/>
        <w:ind w:left="1070"/>
        <w:jc w:val="both"/>
      </w:pPr>
      <w:r w:rsidRPr="001957E3">
        <w:t>4)</w:t>
      </w:r>
      <w:r w:rsidRPr="001957E3">
        <w:tab/>
        <w:t xml:space="preserve">podejmowanie decyzji we wszystkich sprawach dotyczących wyborów nieuregulowanych Ustawą i Statutem. </w:t>
      </w:r>
    </w:p>
    <w:p w:rsidR="00E9706E" w:rsidRPr="001957E3" w:rsidRDefault="00E9706E" w:rsidP="001957E3">
      <w:pPr>
        <w:pStyle w:val="Akapitzlist"/>
        <w:spacing w:line="276" w:lineRule="auto"/>
        <w:ind w:left="1070"/>
        <w:jc w:val="both"/>
      </w:pPr>
      <w:r w:rsidRPr="001957E3">
        <w:t xml:space="preserve">Protesty dotyczące wyborów wnosi się w terminie 3 dni od daty zebrania wyborczego do Uczelnianej Komisji Wyborczej za pośrednictwem wydziałowej komisji wyborczej. Wydziałowa komisja wyborcza przedkłada niezwłocznie protest wraz z dokumentami właściwymi w sprawie oraz swoją opinią. </w:t>
      </w:r>
      <w:r w:rsidR="00003E3F">
        <w:br/>
      </w:r>
      <w:r w:rsidRPr="001957E3">
        <w:lastRenderedPageBreak/>
        <w:t>W przypadku uwzględnienia protestu, Uczelniana Komisja Wyborcza może unieważnić wybory i zarządzić ich powtórzenie.”,</w:t>
      </w:r>
    </w:p>
    <w:p w:rsidR="00E9706E" w:rsidRPr="001957E3" w:rsidRDefault="00E9706E" w:rsidP="001957E3">
      <w:pPr>
        <w:pStyle w:val="Akapitzlist"/>
        <w:numPr>
          <w:ilvl w:val="1"/>
          <w:numId w:val="2"/>
        </w:numPr>
        <w:spacing w:line="276" w:lineRule="auto"/>
        <w:jc w:val="both"/>
      </w:pPr>
      <w:r w:rsidRPr="001957E3">
        <w:t>ust. 25 otrzymuje brzmienie:</w:t>
      </w:r>
    </w:p>
    <w:p w:rsidR="00E9706E" w:rsidRPr="001957E3" w:rsidRDefault="00E9706E" w:rsidP="001957E3">
      <w:pPr>
        <w:pStyle w:val="Akapitzlist"/>
        <w:spacing w:line="276" w:lineRule="auto"/>
        <w:ind w:left="1070"/>
        <w:jc w:val="both"/>
      </w:pPr>
      <w:r w:rsidRPr="001957E3">
        <w:t xml:space="preserve">„25. </w:t>
      </w:r>
      <w:r w:rsidRPr="001957E3">
        <w:tab/>
        <w:t xml:space="preserve">Do zadań wydziałowej komisji wyborczej należy: </w:t>
      </w:r>
    </w:p>
    <w:p w:rsidR="00E9706E" w:rsidRPr="001957E3" w:rsidRDefault="00E9706E" w:rsidP="001957E3">
      <w:pPr>
        <w:pStyle w:val="Akapitzlist"/>
        <w:spacing w:line="276" w:lineRule="auto"/>
        <w:ind w:left="1070"/>
        <w:jc w:val="both"/>
      </w:pPr>
      <w:r w:rsidRPr="001957E3">
        <w:t>1)</w:t>
      </w:r>
      <w:r w:rsidRPr="001957E3">
        <w:tab/>
        <w:t xml:space="preserve">przeprowadzanie wyborów do rady wydziału, </w:t>
      </w:r>
    </w:p>
    <w:p w:rsidR="00E9706E" w:rsidRPr="001957E3" w:rsidRDefault="00E9706E" w:rsidP="001957E3">
      <w:pPr>
        <w:pStyle w:val="Akapitzlist"/>
        <w:spacing w:line="276" w:lineRule="auto"/>
        <w:ind w:left="1070"/>
        <w:jc w:val="both"/>
      </w:pPr>
      <w:r w:rsidRPr="001957E3">
        <w:t>2)</w:t>
      </w:r>
      <w:r w:rsidRPr="001957E3">
        <w:tab/>
        <w:t xml:space="preserve">przeprowadzanie wyborów do uczelnianego kolegium elektorów do wyborów Rektora i prorektorów, </w:t>
      </w:r>
    </w:p>
    <w:p w:rsidR="00E9706E" w:rsidRPr="001957E3" w:rsidRDefault="00E9706E" w:rsidP="001957E3">
      <w:pPr>
        <w:pStyle w:val="Akapitzlist"/>
        <w:spacing w:line="276" w:lineRule="auto"/>
        <w:ind w:left="1070"/>
        <w:jc w:val="both"/>
      </w:pPr>
      <w:r w:rsidRPr="001957E3">
        <w:t>3)</w:t>
      </w:r>
      <w:r w:rsidRPr="001957E3">
        <w:tab/>
        <w:t xml:space="preserve">przeprowadzanie wyborów do wydziałowego kolegium elektorów, </w:t>
      </w:r>
    </w:p>
    <w:p w:rsidR="00E9706E" w:rsidRPr="001957E3" w:rsidRDefault="00E9706E" w:rsidP="001957E3">
      <w:pPr>
        <w:pStyle w:val="Akapitzlist"/>
        <w:spacing w:line="276" w:lineRule="auto"/>
        <w:ind w:left="1070"/>
        <w:jc w:val="both"/>
      </w:pPr>
      <w:r w:rsidRPr="001957E3">
        <w:t>4)</w:t>
      </w:r>
      <w:r w:rsidRPr="001957E3">
        <w:tab/>
        <w:t xml:space="preserve">przeprowadzanie wyborów dziekana i prodziekanów, </w:t>
      </w:r>
    </w:p>
    <w:p w:rsidR="00E9706E" w:rsidRPr="001957E3" w:rsidRDefault="00E9706E" w:rsidP="001957E3">
      <w:pPr>
        <w:pStyle w:val="Akapitzlist"/>
        <w:spacing w:line="276" w:lineRule="auto"/>
        <w:ind w:left="1070"/>
        <w:jc w:val="both"/>
      </w:pPr>
      <w:r w:rsidRPr="001957E3">
        <w:t>5)</w:t>
      </w:r>
      <w:r w:rsidRPr="001957E3">
        <w:tab/>
        <w:t xml:space="preserve">przeprowadzanie wyborów przedstawicieli do Senatu, </w:t>
      </w:r>
    </w:p>
    <w:p w:rsidR="00E9706E" w:rsidRPr="001957E3" w:rsidRDefault="00E9706E" w:rsidP="001957E3">
      <w:pPr>
        <w:pStyle w:val="Akapitzlist"/>
        <w:spacing w:line="276" w:lineRule="auto"/>
        <w:ind w:left="1070"/>
        <w:jc w:val="both"/>
      </w:pPr>
      <w:r w:rsidRPr="001957E3">
        <w:t>6)</w:t>
      </w:r>
      <w:r w:rsidRPr="001957E3">
        <w:tab/>
        <w:t>przekazywanie protokołów z każdej czynności wyborczej do uczelnianej komisji wyborczej w terminie 3 dni od dnia dokonania tej czynności.”,</w:t>
      </w:r>
    </w:p>
    <w:p w:rsidR="00E9706E" w:rsidRPr="001957E3" w:rsidRDefault="00E9706E" w:rsidP="001957E3">
      <w:pPr>
        <w:pStyle w:val="Akapitzlist"/>
        <w:numPr>
          <w:ilvl w:val="1"/>
          <w:numId w:val="2"/>
        </w:numPr>
        <w:spacing w:line="276" w:lineRule="auto"/>
        <w:jc w:val="both"/>
      </w:pPr>
      <w:r w:rsidRPr="001957E3">
        <w:t>dodaje się ust. 25a w brzmieniu:</w:t>
      </w:r>
    </w:p>
    <w:p w:rsidR="00E9706E" w:rsidRPr="001957E3" w:rsidRDefault="00E9706E" w:rsidP="001957E3">
      <w:pPr>
        <w:pStyle w:val="Akapitzlist"/>
        <w:spacing w:line="276" w:lineRule="auto"/>
        <w:jc w:val="both"/>
      </w:pPr>
      <w:r w:rsidRPr="001957E3">
        <w:t xml:space="preserve">     „25a. Posiedzenia komisji wyborczych są niejawne. Przewodniczący kieruje pracami komisji i reprezentuje ją na zewnątrz. W zakresie ustalonym przez przewodniczącego, pracami komisji kieruje jego zastępca, który pełni obowiązki </w:t>
      </w:r>
      <w:r w:rsidR="00003E3F">
        <w:br/>
      </w:r>
      <w:r w:rsidRPr="001957E3">
        <w:t>z jego upoważnienia oraz w sytuacji zrzeczenia się z funkcji, odwołania lub śmierci.”,</w:t>
      </w:r>
    </w:p>
    <w:p w:rsidR="00E9706E" w:rsidRPr="001957E3" w:rsidRDefault="00E9706E" w:rsidP="001957E3">
      <w:pPr>
        <w:pStyle w:val="Akapitzlist"/>
        <w:numPr>
          <w:ilvl w:val="1"/>
          <w:numId w:val="2"/>
        </w:numPr>
        <w:spacing w:line="276" w:lineRule="auto"/>
        <w:jc w:val="both"/>
      </w:pPr>
      <w:r w:rsidRPr="001957E3">
        <w:t>w ust. 27 pkt 3 otrzymuje brzmienie:</w:t>
      </w:r>
    </w:p>
    <w:p w:rsidR="00E9706E" w:rsidRPr="001957E3" w:rsidRDefault="00E9706E" w:rsidP="001957E3">
      <w:pPr>
        <w:pStyle w:val="Akapitzlist"/>
        <w:spacing w:line="276" w:lineRule="auto"/>
        <w:ind w:left="1070"/>
        <w:jc w:val="both"/>
      </w:pPr>
      <w:r w:rsidRPr="001957E3">
        <w:t>„3)</w:t>
      </w:r>
      <w:r w:rsidRPr="001957E3">
        <w:tab/>
        <w:t xml:space="preserve">zorganizowanie wyborów elektorów Rektora i prorektorów poza wydziałami,”,  </w:t>
      </w:r>
    </w:p>
    <w:p w:rsidR="00E9706E" w:rsidRPr="001957E3" w:rsidRDefault="00E9706E" w:rsidP="001957E3">
      <w:pPr>
        <w:pStyle w:val="Akapitzlist"/>
        <w:numPr>
          <w:ilvl w:val="0"/>
          <w:numId w:val="7"/>
        </w:numPr>
        <w:spacing w:line="276" w:lineRule="auto"/>
        <w:jc w:val="both"/>
      </w:pPr>
      <w:r w:rsidRPr="001957E3">
        <w:t>w ust. 42 dodaje się zdanie w brzmieniu:</w:t>
      </w:r>
    </w:p>
    <w:p w:rsidR="00E9706E" w:rsidRPr="001957E3" w:rsidRDefault="00E9706E" w:rsidP="001957E3">
      <w:pPr>
        <w:pStyle w:val="Akapitzlist"/>
        <w:spacing w:line="276" w:lineRule="auto"/>
        <w:ind w:left="1080"/>
        <w:jc w:val="both"/>
      </w:pPr>
      <w:r w:rsidRPr="001957E3">
        <w:t xml:space="preserve">„Głosowanie odbywa się łącznie na wszystkich kandydatów umieszczonych </w:t>
      </w:r>
      <w:r w:rsidR="00003E3F">
        <w:br/>
      </w:r>
      <w:r w:rsidRPr="001957E3">
        <w:t>na liście.”,</w:t>
      </w:r>
    </w:p>
    <w:p w:rsidR="00E9706E" w:rsidRPr="001957E3" w:rsidRDefault="00E9706E" w:rsidP="001957E3">
      <w:pPr>
        <w:pStyle w:val="Akapitzlist"/>
        <w:numPr>
          <w:ilvl w:val="0"/>
          <w:numId w:val="7"/>
        </w:numPr>
        <w:spacing w:line="276" w:lineRule="auto"/>
        <w:jc w:val="both"/>
      </w:pPr>
      <w:r w:rsidRPr="001957E3">
        <w:t>ust. 43 otrzymuje brzmienie:</w:t>
      </w:r>
    </w:p>
    <w:p w:rsidR="00E9706E" w:rsidRPr="001957E3" w:rsidRDefault="00E9706E" w:rsidP="001957E3">
      <w:pPr>
        <w:pStyle w:val="Akapitzlist"/>
        <w:spacing w:line="276" w:lineRule="auto"/>
        <w:ind w:left="1080"/>
        <w:jc w:val="both"/>
      </w:pPr>
      <w:r w:rsidRPr="001957E3">
        <w:t>„43. Głosowania dokonuje się poprzez postawienie znaku X obok nazwiska kandydata, na którego głos jest oddany. Jeśli głosowanie dotyczy tylko jednego kandydata, należy zastosować kartę do głosowania zawierającą wersję „TAK”, „NIE”, „WSTRZYMUJĘ SIĘ”. Głosować można tylko osobiście będąc obecnym na zebraniu wyborczym.”,</w:t>
      </w:r>
    </w:p>
    <w:p w:rsidR="00E9706E" w:rsidRPr="001957E3" w:rsidRDefault="00E9706E" w:rsidP="001957E3">
      <w:pPr>
        <w:pStyle w:val="Akapitzlist"/>
        <w:numPr>
          <w:ilvl w:val="0"/>
          <w:numId w:val="7"/>
        </w:numPr>
        <w:spacing w:line="276" w:lineRule="auto"/>
      </w:pPr>
      <w:r w:rsidRPr="001957E3">
        <w:t>w ust. 44 dodaje się zdanie w brzmieniu:</w:t>
      </w:r>
    </w:p>
    <w:p w:rsidR="00E9706E" w:rsidRDefault="00E9706E" w:rsidP="001957E3">
      <w:pPr>
        <w:pStyle w:val="Akapitzlist"/>
        <w:spacing w:line="276" w:lineRule="auto"/>
        <w:ind w:left="1080"/>
        <w:jc w:val="both"/>
      </w:pPr>
      <w:r w:rsidRPr="001957E3">
        <w:t>„Przewodniczący zebrania na podstawie wyników głosowania ogłasza wynik wyborów.”,</w:t>
      </w:r>
    </w:p>
    <w:p w:rsidR="00E9706E" w:rsidRPr="001957E3" w:rsidRDefault="00E9706E" w:rsidP="001957E3">
      <w:pPr>
        <w:pStyle w:val="Akapitzlist"/>
        <w:numPr>
          <w:ilvl w:val="0"/>
          <w:numId w:val="7"/>
        </w:numPr>
        <w:spacing w:line="276" w:lineRule="auto"/>
        <w:jc w:val="both"/>
      </w:pPr>
      <w:r w:rsidRPr="001957E3">
        <w:t>ust. 45 otrzymuje brzmienie:</w:t>
      </w:r>
    </w:p>
    <w:p w:rsidR="00E9706E" w:rsidRPr="001957E3" w:rsidRDefault="00E9706E" w:rsidP="001957E3">
      <w:pPr>
        <w:pStyle w:val="Akapitzlist"/>
        <w:spacing w:line="276" w:lineRule="auto"/>
        <w:ind w:left="1080"/>
        <w:jc w:val="both"/>
      </w:pPr>
      <w:r w:rsidRPr="001957E3">
        <w:t>„45. Głos uważa się za nieważny w każdym z następujących przypadków:</w:t>
      </w:r>
    </w:p>
    <w:p w:rsidR="00E9706E" w:rsidRPr="001957E3" w:rsidRDefault="00E9706E" w:rsidP="001957E3">
      <w:pPr>
        <w:pStyle w:val="Akapitzlist"/>
        <w:spacing w:line="276" w:lineRule="auto"/>
        <w:ind w:left="1080"/>
        <w:jc w:val="both"/>
      </w:pPr>
      <w:r w:rsidRPr="001957E3">
        <w:t>1)</w:t>
      </w:r>
      <w:r w:rsidRPr="001957E3">
        <w:tab/>
        <w:t xml:space="preserve">karta do głosowania nie jest oznaczona numerem głosowania lub jest oznaczona niewłaściwym numerem, lub nie jest oznaczona w sposób ustalony przez uczelnianą komisję wyborczą, </w:t>
      </w:r>
    </w:p>
    <w:p w:rsidR="00E9706E" w:rsidRPr="001957E3" w:rsidRDefault="00E9706E" w:rsidP="001957E3">
      <w:pPr>
        <w:pStyle w:val="Akapitzlist"/>
        <w:spacing w:line="276" w:lineRule="auto"/>
        <w:ind w:left="1080"/>
        <w:jc w:val="both"/>
      </w:pPr>
      <w:r w:rsidRPr="001957E3">
        <w:t>2)</w:t>
      </w:r>
      <w:r w:rsidRPr="001957E3">
        <w:tab/>
        <w:t>karta zawiera dopisane nazwisko lub nazwiska,</w:t>
      </w:r>
    </w:p>
    <w:p w:rsidR="00E9706E" w:rsidRPr="001957E3" w:rsidRDefault="00E9706E" w:rsidP="001957E3">
      <w:pPr>
        <w:pStyle w:val="Akapitzlist"/>
        <w:spacing w:line="276" w:lineRule="auto"/>
        <w:ind w:left="1080"/>
        <w:jc w:val="both"/>
      </w:pPr>
      <w:r w:rsidRPr="001957E3">
        <w:t>3)</w:t>
      </w:r>
      <w:r w:rsidRPr="001957E3">
        <w:tab/>
        <w:t xml:space="preserve">karta zawiera więcej oddanych głosów na „tak” niż osób wybieranych </w:t>
      </w:r>
      <w:r w:rsidR="00003E3F">
        <w:br/>
      </w:r>
      <w:r w:rsidRPr="001957E3">
        <w:t>w danym głosowaniu,</w:t>
      </w:r>
    </w:p>
    <w:p w:rsidR="00E9706E" w:rsidRPr="001957E3" w:rsidRDefault="00E9706E" w:rsidP="001957E3">
      <w:pPr>
        <w:pStyle w:val="Akapitzlist"/>
        <w:spacing w:line="276" w:lineRule="auto"/>
        <w:ind w:left="1080"/>
        <w:jc w:val="both"/>
      </w:pPr>
      <w:r w:rsidRPr="001957E3">
        <w:t>4)</w:t>
      </w:r>
      <w:r w:rsidRPr="001957E3">
        <w:tab/>
        <w:t xml:space="preserve">karta na której oddawano głos na „tak”, „nie”, „wstrzymuję się” nie zawiera żadnego wyróżnionego nazwiska, </w:t>
      </w:r>
    </w:p>
    <w:p w:rsidR="00E9706E" w:rsidRPr="001957E3" w:rsidRDefault="00E9706E" w:rsidP="001957E3">
      <w:pPr>
        <w:pStyle w:val="Akapitzlist"/>
        <w:spacing w:line="276" w:lineRule="auto"/>
        <w:ind w:left="1080"/>
        <w:jc w:val="both"/>
      </w:pPr>
      <w:r w:rsidRPr="001957E3">
        <w:t>5)</w:t>
      </w:r>
      <w:r w:rsidRPr="001957E3">
        <w:tab/>
        <w:t>sposób wyróżnienia nazwiska jest niewłaściwy tj. sposób wyróżnienia nazwiska jest inny niż wskazany w ust. 43,</w:t>
      </w:r>
    </w:p>
    <w:p w:rsidR="00E9706E" w:rsidRDefault="00E9706E" w:rsidP="001957E3">
      <w:pPr>
        <w:pStyle w:val="Akapitzlist"/>
        <w:spacing w:line="276" w:lineRule="auto"/>
        <w:ind w:left="1080"/>
        <w:jc w:val="both"/>
      </w:pPr>
      <w:r w:rsidRPr="001957E3">
        <w:t>6) karta jest całkowicie przedarta.”,</w:t>
      </w:r>
    </w:p>
    <w:p w:rsidR="00A77124" w:rsidRPr="001957E3" w:rsidRDefault="00A77124" w:rsidP="001957E3">
      <w:pPr>
        <w:pStyle w:val="Akapitzlist"/>
        <w:spacing w:line="276" w:lineRule="auto"/>
        <w:ind w:left="1080"/>
        <w:jc w:val="both"/>
      </w:pPr>
    </w:p>
    <w:p w:rsidR="00E9706E" w:rsidRPr="001957E3" w:rsidRDefault="00E9706E" w:rsidP="001957E3">
      <w:pPr>
        <w:pStyle w:val="Akapitzlist"/>
        <w:numPr>
          <w:ilvl w:val="0"/>
          <w:numId w:val="7"/>
        </w:numPr>
        <w:spacing w:line="276" w:lineRule="auto"/>
        <w:jc w:val="both"/>
      </w:pPr>
      <w:r w:rsidRPr="001957E3">
        <w:lastRenderedPageBreak/>
        <w:t>ust. 46 otrzymuje brzmienie:</w:t>
      </w:r>
    </w:p>
    <w:p w:rsidR="00E9706E" w:rsidRPr="001957E3" w:rsidRDefault="00E9706E" w:rsidP="001957E3">
      <w:pPr>
        <w:pStyle w:val="Akapitzlist"/>
        <w:spacing w:line="276" w:lineRule="auto"/>
        <w:ind w:left="1080"/>
        <w:jc w:val="both"/>
      </w:pPr>
      <w:r w:rsidRPr="001957E3">
        <w:t>„46. W przypadku głosowana na „tak” lub „nie” głos zawierający niezaznaczone nazwiska wszystkich kandydatów jest ważny.”,</w:t>
      </w:r>
    </w:p>
    <w:p w:rsidR="00E9706E" w:rsidRPr="001957E3" w:rsidRDefault="00E9706E" w:rsidP="001957E3">
      <w:pPr>
        <w:pStyle w:val="Akapitzlist"/>
        <w:numPr>
          <w:ilvl w:val="0"/>
          <w:numId w:val="7"/>
        </w:numPr>
        <w:spacing w:line="276" w:lineRule="auto"/>
        <w:jc w:val="both"/>
      </w:pPr>
      <w:r w:rsidRPr="001957E3">
        <w:t>w ust. 72 dodaje się zdanie w brzmieniu:</w:t>
      </w:r>
    </w:p>
    <w:p w:rsidR="00E9706E" w:rsidRPr="001957E3" w:rsidRDefault="00E9706E" w:rsidP="001957E3">
      <w:pPr>
        <w:pStyle w:val="Akapitzlist"/>
        <w:spacing w:line="276" w:lineRule="auto"/>
        <w:ind w:left="1080"/>
        <w:jc w:val="both"/>
      </w:pPr>
      <w:r w:rsidRPr="001957E3">
        <w:t xml:space="preserve">„Ta sama osoba nie może być członkiem Senatu dłużej niż dwie następujące </w:t>
      </w:r>
      <w:r w:rsidR="00003E3F">
        <w:br/>
      </w:r>
      <w:r w:rsidRPr="001957E3">
        <w:t xml:space="preserve">po sobie kadencje, z wyjątkiem osób wchodzących w skład Senatu w związku </w:t>
      </w:r>
      <w:r w:rsidR="00003E3F">
        <w:br/>
      </w:r>
      <w:r w:rsidRPr="001957E3">
        <w:t>z pełnieniem funkcji Rektora, prorektora i dziekana.”,</w:t>
      </w:r>
    </w:p>
    <w:p w:rsidR="00E9706E" w:rsidRPr="001957E3" w:rsidRDefault="00E9706E" w:rsidP="001957E3">
      <w:pPr>
        <w:pStyle w:val="Akapitzlist"/>
        <w:numPr>
          <w:ilvl w:val="0"/>
          <w:numId w:val="7"/>
        </w:numPr>
        <w:spacing w:line="276" w:lineRule="auto"/>
      </w:pPr>
      <w:r w:rsidRPr="001957E3">
        <w:t>ust. 96 – 98 otrzymują brzmienie:</w:t>
      </w:r>
    </w:p>
    <w:p w:rsidR="00E9706E" w:rsidRPr="001957E3" w:rsidRDefault="00E9706E" w:rsidP="001957E3">
      <w:pPr>
        <w:pStyle w:val="Akapitzlist"/>
        <w:spacing w:line="276" w:lineRule="auto"/>
        <w:ind w:left="1080"/>
      </w:pPr>
      <w:r w:rsidRPr="001957E3">
        <w:t>„96. Mandat Rektora wygasa w razie:</w:t>
      </w:r>
    </w:p>
    <w:p w:rsidR="00E9706E" w:rsidRPr="001957E3" w:rsidRDefault="00E9706E" w:rsidP="001957E3">
      <w:pPr>
        <w:pStyle w:val="Akapitzlist"/>
        <w:spacing w:line="276" w:lineRule="auto"/>
        <w:ind w:left="1080"/>
      </w:pPr>
      <w:r w:rsidRPr="001957E3">
        <w:t>1)</w:t>
      </w:r>
      <w:r w:rsidRPr="001957E3">
        <w:tab/>
        <w:t>upływu kadencji,</w:t>
      </w:r>
    </w:p>
    <w:p w:rsidR="00E9706E" w:rsidRPr="001957E3" w:rsidRDefault="00E9706E" w:rsidP="001957E3">
      <w:pPr>
        <w:pStyle w:val="Akapitzlist"/>
        <w:spacing w:line="276" w:lineRule="auto"/>
        <w:ind w:left="1080"/>
      </w:pPr>
      <w:r w:rsidRPr="001957E3">
        <w:t>2)</w:t>
      </w:r>
      <w:r w:rsidRPr="001957E3">
        <w:tab/>
        <w:t>odwołania przez wyborców,</w:t>
      </w:r>
    </w:p>
    <w:p w:rsidR="00E9706E" w:rsidRPr="001957E3" w:rsidRDefault="00E9706E" w:rsidP="001957E3">
      <w:pPr>
        <w:pStyle w:val="Akapitzlist"/>
        <w:spacing w:line="276" w:lineRule="auto"/>
        <w:ind w:left="1080"/>
      </w:pPr>
      <w:r w:rsidRPr="001957E3">
        <w:t>3)</w:t>
      </w:r>
      <w:r w:rsidRPr="001957E3">
        <w:tab/>
        <w:t>rezygnacji,</w:t>
      </w:r>
    </w:p>
    <w:p w:rsidR="00E9706E" w:rsidRPr="001957E3" w:rsidRDefault="00E9706E" w:rsidP="001957E3">
      <w:pPr>
        <w:pStyle w:val="Akapitzlist"/>
        <w:spacing w:line="276" w:lineRule="auto"/>
        <w:ind w:left="1080"/>
      </w:pPr>
      <w:r w:rsidRPr="001957E3">
        <w:t>4) śmierci.</w:t>
      </w:r>
    </w:p>
    <w:p w:rsidR="00E9706E" w:rsidRPr="001957E3" w:rsidRDefault="00E9706E" w:rsidP="001957E3">
      <w:pPr>
        <w:pStyle w:val="Akapitzlist"/>
        <w:spacing w:line="276" w:lineRule="auto"/>
        <w:ind w:left="1080"/>
        <w:jc w:val="both"/>
      </w:pPr>
      <w:r w:rsidRPr="001957E3">
        <w:t>97.</w:t>
      </w:r>
      <w:r w:rsidRPr="001957E3">
        <w:tab/>
        <w:t>Mandat prorektora, dziekana, prodziekana oraz mandat członka organu kolegialnego wygasa w razie:</w:t>
      </w:r>
    </w:p>
    <w:p w:rsidR="00E9706E" w:rsidRPr="001957E3" w:rsidRDefault="00E9706E" w:rsidP="001957E3">
      <w:pPr>
        <w:pStyle w:val="Akapitzlist"/>
        <w:spacing w:line="276" w:lineRule="auto"/>
        <w:ind w:left="1080"/>
      </w:pPr>
      <w:r w:rsidRPr="001957E3">
        <w:t>1)</w:t>
      </w:r>
      <w:r w:rsidRPr="001957E3">
        <w:tab/>
        <w:t>upływu kadencji,</w:t>
      </w:r>
    </w:p>
    <w:p w:rsidR="00E9706E" w:rsidRPr="001957E3" w:rsidRDefault="00E9706E" w:rsidP="001957E3">
      <w:pPr>
        <w:pStyle w:val="Akapitzlist"/>
        <w:spacing w:line="276" w:lineRule="auto"/>
        <w:ind w:left="1080"/>
      </w:pPr>
      <w:r w:rsidRPr="001957E3">
        <w:t>2)</w:t>
      </w:r>
      <w:r w:rsidRPr="001957E3">
        <w:tab/>
        <w:t>odwołania przez wyborców,</w:t>
      </w:r>
    </w:p>
    <w:p w:rsidR="00E9706E" w:rsidRPr="001957E3" w:rsidRDefault="00E9706E" w:rsidP="001957E3">
      <w:pPr>
        <w:pStyle w:val="Akapitzlist"/>
        <w:spacing w:line="276" w:lineRule="auto"/>
        <w:ind w:left="1080"/>
      </w:pPr>
      <w:r w:rsidRPr="001957E3">
        <w:t>3)  rezygnacji,</w:t>
      </w:r>
      <w:r w:rsidRPr="001957E3">
        <w:tab/>
      </w:r>
    </w:p>
    <w:p w:rsidR="00E9706E" w:rsidRPr="001957E3" w:rsidRDefault="00E9706E" w:rsidP="001957E3">
      <w:pPr>
        <w:pStyle w:val="Akapitzlist"/>
        <w:spacing w:line="276" w:lineRule="auto"/>
        <w:ind w:left="1080"/>
      </w:pPr>
      <w:r w:rsidRPr="001957E3">
        <w:t>4) niespełniania kryteriów, o których mowa w ust. 1 pkt 2,</w:t>
      </w:r>
    </w:p>
    <w:p w:rsidR="00E9706E" w:rsidRPr="001957E3" w:rsidRDefault="00E9706E" w:rsidP="001957E3">
      <w:pPr>
        <w:pStyle w:val="Akapitzlist"/>
        <w:spacing w:line="276" w:lineRule="auto"/>
        <w:ind w:left="1080"/>
      </w:pPr>
      <w:r w:rsidRPr="001957E3">
        <w:t>5)</w:t>
      </w:r>
      <w:r w:rsidRPr="001957E3">
        <w:tab/>
        <w:t>śmierci.</w:t>
      </w:r>
    </w:p>
    <w:p w:rsidR="00E9706E" w:rsidRPr="001957E3" w:rsidRDefault="00E9706E" w:rsidP="001957E3">
      <w:pPr>
        <w:pStyle w:val="Akapitzlist"/>
        <w:spacing w:line="276" w:lineRule="auto"/>
        <w:ind w:left="1080"/>
        <w:jc w:val="both"/>
      </w:pPr>
      <w:r w:rsidRPr="001957E3">
        <w:t>Nadto mandat członka organu kolegialnego wygasa w razie niespełniania kryteriów wymaganych dla reprezentanta w grupie członków organu, w której dokonywano jego wyboru.</w:t>
      </w:r>
    </w:p>
    <w:p w:rsidR="00E9706E" w:rsidRPr="001957E3" w:rsidRDefault="00E9706E" w:rsidP="001957E3">
      <w:pPr>
        <w:pStyle w:val="Akapitzlist"/>
        <w:spacing w:line="276" w:lineRule="auto"/>
        <w:ind w:left="1080"/>
        <w:jc w:val="both"/>
      </w:pPr>
      <w:r w:rsidRPr="001957E3">
        <w:t>98. Wybory uzupełniające przeprowadza się dla wyboru organów jednoosobowych i ich zastępców, a także dla zachowania proporcji w poszczególnych grupach społeczności akademickich w organach kolegialnych – chyba,  że dokonanie innych zmian pozwoli na zachowanie tych proporcji.”,</w:t>
      </w:r>
    </w:p>
    <w:p w:rsidR="00E9706E" w:rsidRPr="001957E3" w:rsidRDefault="00E9706E" w:rsidP="001957E3">
      <w:pPr>
        <w:pStyle w:val="Akapitzlist"/>
        <w:numPr>
          <w:ilvl w:val="0"/>
          <w:numId w:val="7"/>
        </w:numPr>
        <w:spacing w:line="276" w:lineRule="auto"/>
      </w:pPr>
      <w:r w:rsidRPr="001957E3">
        <w:t>dodaje się ust. 101 – 103 w brzmieniu:</w:t>
      </w:r>
    </w:p>
    <w:p w:rsidR="00E9706E" w:rsidRPr="001957E3" w:rsidRDefault="00E9706E" w:rsidP="001957E3">
      <w:pPr>
        <w:pStyle w:val="Akapitzlist"/>
        <w:spacing w:line="276" w:lineRule="auto"/>
        <w:ind w:left="1080"/>
        <w:jc w:val="both"/>
      </w:pPr>
      <w:r w:rsidRPr="001957E3">
        <w:t xml:space="preserve">„101. Zawieszenie rektora w pełnieniu tej funkcji następuje w przypadkach określonych </w:t>
      </w:r>
      <w:r w:rsidR="001957E3" w:rsidRPr="001957E3">
        <w:t>U</w:t>
      </w:r>
      <w:r w:rsidRPr="001957E3">
        <w:t>stawą.</w:t>
      </w:r>
    </w:p>
    <w:p w:rsidR="00E9706E" w:rsidRPr="001957E3" w:rsidRDefault="00E9706E" w:rsidP="001957E3">
      <w:pPr>
        <w:pStyle w:val="Akapitzlist"/>
        <w:spacing w:line="276" w:lineRule="auto"/>
        <w:ind w:left="1080"/>
        <w:jc w:val="both"/>
      </w:pPr>
      <w:r w:rsidRPr="001957E3">
        <w:t>102.  Zawieszenie dziekana w pełnieniu tej funkcji następuje na niżej wskazanych zasadach:</w:t>
      </w:r>
    </w:p>
    <w:p w:rsidR="00E9706E" w:rsidRPr="001957E3" w:rsidRDefault="00E9706E" w:rsidP="001957E3">
      <w:pPr>
        <w:pStyle w:val="Akapitzlist"/>
        <w:spacing w:line="276" w:lineRule="auto"/>
        <w:ind w:left="1080"/>
        <w:jc w:val="both"/>
      </w:pPr>
      <w:r w:rsidRPr="001957E3">
        <w:t>1) dziekan może zostać zawieszony przez rektora w pełnieniu funkcji do czasu rozpatrzenia wniosku o jego odwołanie w przypadku stwierdzenia naruszenia przez dziekana przepisów prawa lub statutu;</w:t>
      </w:r>
    </w:p>
    <w:p w:rsidR="00E9706E" w:rsidRPr="001957E3" w:rsidRDefault="00E9706E" w:rsidP="001957E3">
      <w:pPr>
        <w:pStyle w:val="Akapitzlist"/>
        <w:spacing w:line="276" w:lineRule="auto"/>
        <w:ind w:left="1080"/>
        <w:jc w:val="both"/>
      </w:pPr>
      <w:r w:rsidRPr="001957E3">
        <w:t xml:space="preserve">2) dziekan zostaje zawieszony przez rektora w pełnieniu funkcji, w przypadku gdy toczy się przeciwko niemu postępowanie karne z oskarżenia publicznego </w:t>
      </w:r>
      <w:r w:rsidR="00003E3F">
        <w:br/>
      </w:r>
      <w:r w:rsidRPr="001957E3">
        <w:t>o przestępstwo umyślne lub postępowanie o umyślne przestępstwo skarbowe;</w:t>
      </w:r>
    </w:p>
    <w:p w:rsidR="00E9706E" w:rsidRPr="001957E3" w:rsidRDefault="00E9706E" w:rsidP="001957E3">
      <w:pPr>
        <w:pStyle w:val="Akapitzlist"/>
        <w:spacing w:line="276" w:lineRule="auto"/>
        <w:ind w:left="1080"/>
        <w:jc w:val="both"/>
      </w:pPr>
      <w:r w:rsidRPr="001957E3">
        <w:t xml:space="preserve">3) dziekan zostaje również zawieszony w pełnieniu funkcji w przypadku zawieszenia go w pełnieniu obowiązków nauczyciela akademickiego, zgodnie </w:t>
      </w:r>
      <w:r w:rsidR="00003E3F">
        <w:br/>
      </w:r>
      <w:r w:rsidRPr="001957E3">
        <w:t xml:space="preserve">z art. 147 ust.1 lub ust. 2 </w:t>
      </w:r>
      <w:r w:rsidR="00AB7B56">
        <w:t>U</w:t>
      </w:r>
      <w:r w:rsidRPr="001957E3">
        <w:t xml:space="preserve">stawy. </w:t>
      </w:r>
    </w:p>
    <w:p w:rsidR="00E9706E" w:rsidRPr="001957E3" w:rsidRDefault="00E9706E" w:rsidP="001957E3">
      <w:pPr>
        <w:pStyle w:val="Akapitzlist"/>
        <w:spacing w:line="276" w:lineRule="auto"/>
        <w:ind w:left="1080"/>
        <w:jc w:val="both"/>
      </w:pPr>
      <w:r w:rsidRPr="001957E3">
        <w:t xml:space="preserve">103. W przypadku wygaśnięcia mandatu organu jednoosobowego w każdym </w:t>
      </w:r>
      <w:r w:rsidR="00003E3F">
        <w:br/>
      </w:r>
      <w:r w:rsidRPr="001957E3">
        <w:t>z przypadków tego wygaśnięcia przed upływem kadencji lub w przypadku zawieszenia w pełnieniu funkcji organu jednoosobowego – obowiązki organu jednoosobowego pełni pierwszy jego zastępca.”;</w:t>
      </w:r>
    </w:p>
    <w:p w:rsidR="00E9706E" w:rsidRPr="001957E3" w:rsidRDefault="00E9706E" w:rsidP="001957E3">
      <w:pPr>
        <w:pStyle w:val="Akapitzlist"/>
        <w:numPr>
          <w:ilvl w:val="0"/>
          <w:numId w:val="2"/>
        </w:numPr>
        <w:spacing w:line="276" w:lineRule="auto"/>
        <w:jc w:val="both"/>
      </w:pPr>
      <w:r w:rsidRPr="001957E3">
        <w:lastRenderedPageBreak/>
        <w:t>w załączniku nr 6 zasady zatrudniani, zwalniania i awansowania nauczycieli akademickich w SGGW:</w:t>
      </w:r>
    </w:p>
    <w:p w:rsidR="00E9706E" w:rsidRPr="001957E3" w:rsidRDefault="00E9706E" w:rsidP="001957E3">
      <w:pPr>
        <w:pStyle w:val="Akapitzlist"/>
        <w:numPr>
          <w:ilvl w:val="1"/>
          <w:numId w:val="2"/>
        </w:numPr>
        <w:spacing w:line="276" w:lineRule="auto"/>
      </w:pPr>
      <w:r w:rsidRPr="001957E3">
        <w:t>ust. 4 otrzymuje brzmienie:</w:t>
      </w:r>
    </w:p>
    <w:p w:rsidR="00E9706E" w:rsidRPr="001957E3" w:rsidRDefault="00E9706E" w:rsidP="00AB7B56">
      <w:pPr>
        <w:pStyle w:val="Akapitzlist"/>
        <w:spacing w:line="276" w:lineRule="auto"/>
        <w:ind w:left="1070"/>
        <w:jc w:val="both"/>
      </w:pPr>
      <w:r w:rsidRPr="001957E3">
        <w:t>„4. Nawiązanie stosunku pracy z nauczycielem akademickim, na czas określony lub nieokreślony, w wymiarze przekraczającym połowę pełnego wymiaru czasu pracy, następuje po przeprowadzeniu otwartego konkursu.”,</w:t>
      </w:r>
    </w:p>
    <w:p w:rsidR="00E9706E" w:rsidRPr="001957E3" w:rsidRDefault="00E9706E" w:rsidP="001957E3">
      <w:pPr>
        <w:pStyle w:val="Akapitzlist"/>
        <w:numPr>
          <w:ilvl w:val="1"/>
          <w:numId w:val="2"/>
        </w:numPr>
        <w:spacing w:line="276" w:lineRule="auto"/>
      </w:pPr>
      <w:r w:rsidRPr="001957E3">
        <w:t>dodaje się podtytuł:</w:t>
      </w:r>
    </w:p>
    <w:p w:rsidR="00E9706E" w:rsidRPr="001957E3" w:rsidRDefault="00E9706E" w:rsidP="001957E3">
      <w:pPr>
        <w:pStyle w:val="Akapitzlist"/>
        <w:spacing w:line="276" w:lineRule="auto"/>
        <w:ind w:left="1070"/>
      </w:pPr>
      <w:r w:rsidRPr="001957E3">
        <w:t>„Dyplomowani bibliotekarze”,</w:t>
      </w:r>
    </w:p>
    <w:p w:rsidR="00E9706E" w:rsidRPr="001957E3" w:rsidRDefault="00E9706E" w:rsidP="001957E3">
      <w:pPr>
        <w:pStyle w:val="Akapitzlist"/>
        <w:numPr>
          <w:ilvl w:val="1"/>
          <w:numId w:val="2"/>
        </w:numPr>
        <w:spacing w:line="276" w:lineRule="auto"/>
      </w:pPr>
      <w:r w:rsidRPr="001957E3">
        <w:t>dodaje się ust. 23a w brzmieniu:</w:t>
      </w:r>
    </w:p>
    <w:p w:rsidR="00E9706E" w:rsidRPr="00E43AFD" w:rsidRDefault="00E9706E" w:rsidP="001957E3">
      <w:pPr>
        <w:pStyle w:val="Akapitzlist"/>
        <w:spacing w:line="276" w:lineRule="auto"/>
        <w:ind w:left="1070"/>
        <w:rPr>
          <w:color w:val="000000" w:themeColor="text1"/>
        </w:rPr>
      </w:pPr>
      <w:r w:rsidRPr="00E43AFD">
        <w:rPr>
          <w:color w:val="000000" w:themeColor="text1"/>
        </w:rPr>
        <w:t>„23a. Na stanowisku bibliotekarza dyplomowanego mogą być zatrudnione osoby, które posiadają:</w:t>
      </w:r>
    </w:p>
    <w:p w:rsidR="00E9706E" w:rsidRPr="00E43AFD" w:rsidRDefault="00E9706E" w:rsidP="001957E3">
      <w:pPr>
        <w:pStyle w:val="Akapitzlist"/>
        <w:spacing w:line="276" w:lineRule="auto"/>
        <w:ind w:left="1070"/>
        <w:jc w:val="both"/>
        <w:rPr>
          <w:color w:val="000000" w:themeColor="text1"/>
        </w:rPr>
      </w:pPr>
      <w:r w:rsidRPr="00E43AFD">
        <w:rPr>
          <w:color w:val="000000" w:themeColor="text1"/>
        </w:rPr>
        <w:t xml:space="preserve">1) co najmniej tytuł zawodowy magistra w zakresie bibliologii, bibliotekoznawstwa albo informacji i dokumentacji naukowo - technicznej </w:t>
      </w:r>
      <w:r w:rsidR="00003E3F" w:rsidRPr="00E43AFD">
        <w:rPr>
          <w:color w:val="000000" w:themeColor="text1"/>
        </w:rPr>
        <w:br/>
      </w:r>
      <w:r w:rsidRPr="00E43AFD">
        <w:rPr>
          <w:color w:val="000000" w:themeColor="text1"/>
        </w:rPr>
        <w:t xml:space="preserve">lub równorzędny w innej dziedzinie, uzupełniony studiami podyplomowymi </w:t>
      </w:r>
      <w:r w:rsidR="00003E3F" w:rsidRPr="00E43AFD">
        <w:rPr>
          <w:color w:val="000000" w:themeColor="text1"/>
        </w:rPr>
        <w:br/>
      </w:r>
      <w:r w:rsidRPr="00E43AFD">
        <w:rPr>
          <w:color w:val="000000" w:themeColor="text1"/>
        </w:rPr>
        <w:t xml:space="preserve">w zakresie bibliotekoznawstwa lub informacji i dokumentacji naukowo –technicznej; </w:t>
      </w:r>
    </w:p>
    <w:p w:rsidR="00E9706E" w:rsidRPr="00E43AFD" w:rsidRDefault="00E9706E" w:rsidP="001957E3">
      <w:pPr>
        <w:pStyle w:val="Akapitzlist"/>
        <w:spacing w:line="276" w:lineRule="auto"/>
        <w:ind w:left="1070"/>
        <w:rPr>
          <w:color w:val="000000" w:themeColor="text1"/>
        </w:rPr>
      </w:pPr>
      <w:r w:rsidRPr="00E43AFD">
        <w:rPr>
          <w:color w:val="000000" w:themeColor="text1"/>
        </w:rPr>
        <w:t>2) co najmniej 3 lata stażu pracy w bibliotece uczelni akademickiej lub innej bibliotece naukowej;</w:t>
      </w:r>
    </w:p>
    <w:p w:rsidR="00E9706E" w:rsidRPr="00E43AFD" w:rsidRDefault="00E9706E" w:rsidP="001957E3">
      <w:pPr>
        <w:pStyle w:val="Akapitzlist"/>
        <w:spacing w:line="276" w:lineRule="auto"/>
        <w:ind w:left="1070"/>
        <w:rPr>
          <w:color w:val="000000" w:themeColor="text1"/>
        </w:rPr>
      </w:pPr>
      <w:r w:rsidRPr="00E43AFD">
        <w:rPr>
          <w:color w:val="000000" w:themeColor="text1"/>
        </w:rPr>
        <w:t>3) udokumentowany dorobek w działalności naukowo – badawczej;</w:t>
      </w:r>
    </w:p>
    <w:p w:rsidR="00E9706E" w:rsidRPr="00E43AFD" w:rsidRDefault="00E9706E" w:rsidP="001957E3">
      <w:pPr>
        <w:pStyle w:val="Akapitzlist"/>
        <w:spacing w:line="276" w:lineRule="auto"/>
        <w:ind w:left="1070"/>
        <w:rPr>
          <w:color w:val="000000" w:themeColor="text1"/>
        </w:rPr>
      </w:pPr>
      <w:r w:rsidRPr="00E43AFD">
        <w:rPr>
          <w:color w:val="000000" w:themeColor="text1"/>
        </w:rPr>
        <w:t>4) udokumentowany dorobek w działalności organizacyjnej;</w:t>
      </w:r>
    </w:p>
    <w:p w:rsidR="00E9706E" w:rsidRPr="00E43AFD" w:rsidRDefault="00E9706E" w:rsidP="001957E3">
      <w:pPr>
        <w:pStyle w:val="Akapitzlist"/>
        <w:spacing w:line="276" w:lineRule="auto"/>
        <w:ind w:left="1070"/>
        <w:rPr>
          <w:color w:val="000000" w:themeColor="text1"/>
        </w:rPr>
      </w:pPr>
      <w:r w:rsidRPr="00E43AFD">
        <w:rPr>
          <w:color w:val="000000" w:themeColor="text1"/>
        </w:rPr>
        <w:t>5) udokumentowany dorobek w działalności dydaktyczne</w:t>
      </w:r>
      <w:r w:rsidR="005054E9" w:rsidRPr="00E43AFD">
        <w:rPr>
          <w:color w:val="000000" w:themeColor="text1"/>
        </w:rPr>
        <w:t>j</w:t>
      </w:r>
      <w:r w:rsidRPr="00E43AFD">
        <w:rPr>
          <w:color w:val="000000" w:themeColor="text1"/>
        </w:rPr>
        <w:t>.”</w:t>
      </w:r>
    </w:p>
    <w:p w:rsidR="00E9706E" w:rsidRPr="001957E3" w:rsidRDefault="00E9706E" w:rsidP="001957E3">
      <w:pPr>
        <w:pStyle w:val="Akapitzlist"/>
        <w:spacing w:line="276" w:lineRule="auto"/>
      </w:pPr>
      <w:r w:rsidRPr="001957E3">
        <w:t>d) dodaje się ust. 23b w brzmieniu:</w:t>
      </w:r>
    </w:p>
    <w:p w:rsidR="00E9706E" w:rsidRPr="001957E3" w:rsidRDefault="00E9706E" w:rsidP="001957E3">
      <w:pPr>
        <w:pStyle w:val="Akapitzlist"/>
        <w:spacing w:line="276" w:lineRule="auto"/>
        <w:jc w:val="both"/>
      </w:pPr>
      <w:r w:rsidRPr="001957E3">
        <w:t>„23b. Bez ponownego postępowania uznaje się kwalifikacje osób, które były zatrudnione na stanowisku bibliotekarza dyplomowanego w innej uczelni.”</w:t>
      </w:r>
    </w:p>
    <w:p w:rsidR="00E9706E" w:rsidRPr="001957E3" w:rsidRDefault="00E9706E" w:rsidP="001957E3">
      <w:pPr>
        <w:pStyle w:val="Akapitzlist"/>
        <w:spacing w:line="276" w:lineRule="auto"/>
      </w:pPr>
      <w:r w:rsidRPr="001957E3">
        <w:t>e) ust. 24 otrzymuje brzmienie:</w:t>
      </w:r>
    </w:p>
    <w:p w:rsidR="00E9706E" w:rsidRPr="001957E3" w:rsidRDefault="00E9706E" w:rsidP="001957E3">
      <w:pPr>
        <w:pStyle w:val="Akapitzlist"/>
        <w:spacing w:line="276" w:lineRule="auto"/>
      </w:pPr>
      <w:r w:rsidRPr="001957E3">
        <w:t>„24. Rozwiązanie i wygaśnięcie stosunku pracy nauczyciela akademickiego następuje w trybie i przypadkach określonych w Ustawie.”,</w:t>
      </w:r>
    </w:p>
    <w:p w:rsidR="00D1112D" w:rsidRDefault="002E6CFB" w:rsidP="00A77124">
      <w:pPr>
        <w:pStyle w:val="Akapitzlist"/>
        <w:spacing w:line="276" w:lineRule="auto"/>
      </w:pPr>
      <w:r>
        <w:t>f) ust. 25 – skreśla się.</w:t>
      </w:r>
    </w:p>
    <w:p w:rsidR="00BB69CF" w:rsidRPr="001957E3" w:rsidRDefault="00BB69CF" w:rsidP="00404791">
      <w:pPr>
        <w:pStyle w:val="Akapitzlist"/>
        <w:spacing w:line="276" w:lineRule="auto"/>
        <w:ind w:left="0"/>
        <w:jc w:val="center"/>
        <w:rPr>
          <w:rFonts w:eastAsia="Calibri"/>
        </w:rPr>
      </w:pPr>
      <w:r w:rsidRPr="001957E3">
        <w:rPr>
          <w:rFonts w:eastAsia="Calibri"/>
        </w:rPr>
        <w:t xml:space="preserve">§ </w:t>
      </w:r>
      <w:r w:rsidR="009C06A0" w:rsidRPr="001957E3">
        <w:rPr>
          <w:rFonts w:eastAsia="Calibri"/>
        </w:rPr>
        <w:t>2</w:t>
      </w:r>
    </w:p>
    <w:p w:rsidR="001B461D" w:rsidRDefault="00BB69CF" w:rsidP="009B747B">
      <w:pPr>
        <w:spacing w:after="0"/>
        <w:jc w:val="both"/>
        <w:rPr>
          <w:rFonts w:ascii="Times New Roman" w:eastAsia="Calibri" w:hAnsi="Times New Roman" w:cs="Times New Roman"/>
          <w:sz w:val="24"/>
          <w:szCs w:val="24"/>
          <w:lang w:eastAsia="pl-PL"/>
        </w:rPr>
      </w:pPr>
      <w:r w:rsidRPr="001957E3">
        <w:rPr>
          <w:rFonts w:ascii="Times New Roman" w:eastAsia="Calibri" w:hAnsi="Times New Roman" w:cs="Times New Roman"/>
          <w:sz w:val="24"/>
          <w:szCs w:val="24"/>
          <w:lang w:eastAsia="pl-PL"/>
        </w:rPr>
        <w:t>Uchwała wchodzi w życie z dniem podjęcia.</w:t>
      </w:r>
    </w:p>
    <w:sectPr w:rsidR="001B461D" w:rsidSect="00A77124">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47" w:rsidRDefault="003C5847" w:rsidP="001957E3">
      <w:pPr>
        <w:spacing w:after="0" w:line="240" w:lineRule="auto"/>
      </w:pPr>
      <w:r>
        <w:separator/>
      </w:r>
    </w:p>
  </w:endnote>
  <w:endnote w:type="continuationSeparator" w:id="0">
    <w:p w:rsidR="003C5847" w:rsidRDefault="003C5847" w:rsidP="0019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48902"/>
      <w:docPartObj>
        <w:docPartGallery w:val="Page Numbers (Bottom of Page)"/>
        <w:docPartUnique/>
      </w:docPartObj>
    </w:sdtPr>
    <w:sdtEndPr/>
    <w:sdtContent>
      <w:p w:rsidR="001957E3" w:rsidRDefault="001957E3">
        <w:pPr>
          <w:pStyle w:val="Stopka"/>
          <w:jc w:val="center"/>
        </w:pPr>
        <w:r>
          <w:fldChar w:fldCharType="begin"/>
        </w:r>
        <w:r>
          <w:instrText>PAGE   \* MERGEFORMAT</w:instrText>
        </w:r>
        <w:r>
          <w:fldChar w:fldCharType="separate"/>
        </w:r>
        <w:r w:rsidR="00063855">
          <w:rPr>
            <w:noProof/>
          </w:rPr>
          <w:t>1</w:t>
        </w:r>
        <w:r>
          <w:fldChar w:fldCharType="end"/>
        </w:r>
      </w:p>
    </w:sdtContent>
  </w:sdt>
  <w:p w:rsidR="001957E3" w:rsidRDefault="001957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47" w:rsidRDefault="003C5847" w:rsidP="001957E3">
      <w:pPr>
        <w:spacing w:after="0" w:line="240" w:lineRule="auto"/>
      </w:pPr>
      <w:r>
        <w:separator/>
      </w:r>
    </w:p>
  </w:footnote>
  <w:footnote w:type="continuationSeparator" w:id="0">
    <w:p w:rsidR="003C5847" w:rsidRDefault="003C5847" w:rsidP="00195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50A"/>
    <w:multiLevelType w:val="hybridMultilevel"/>
    <w:tmpl w:val="AE4072E6"/>
    <w:lvl w:ilvl="0" w:tplc="0CAC69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6AA227F"/>
    <w:multiLevelType w:val="hybridMultilevel"/>
    <w:tmpl w:val="5740ABF8"/>
    <w:lvl w:ilvl="0" w:tplc="15524302">
      <w:start w:val="1"/>
      <w:numFmt w:val="decimal"/>
      <w:lvlText w:val="%1)"/>
      <w:lvlJc w:val="left"/>
      <w:pPr>
        <w:ind w:left="720" w:hanging="360"/>
      </w:pPr>
      <w:rPr>
        <w:rFonts w:hint="default"/>
        <w:color w:val="auto"/>
      </w:rPr>
    </w:lvl>
    <w:lvl w:ilvl="1" w:tplc="766A2D90">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86624A"/>
    <w:multiLevelType w:val="hybridMultilevel"/>
    <w:tmpl w:val="C7E6789C"/>
    <w:lvl w:ilvl="0" w:tplc="04150017">
      <w:start w:val="1"/>
      <w:numFmt w:val="lowerLetter"/>
      <w:lvlText w:val="%1)"/>
      <w:lvlJc w:val="left"/>
      <w:pPr>
        <w:ind w:left="1790" w:hanging="360"/>
      </w:pPr>
    </w:lvl>
    <w:lvl w:ilvl="1" w:tplc="04150017">
      <w:start w:val="1"/>
      <w:numFmt w:val="lowerLetter"/>
      <w:lvlText w:val="%2)"/>
      <w:lvlJc w:val="left"/>
      <w:pPr>
        <w:ind w:left="1637"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
    <w:nsid w:val="224727DF"/>
    <w:multiLevelType w:val="hybridMultilevel"/>
    <w:tmpl w:val="3356CA4A"/>
    <w:lvl w:ilvl="0" w:tplc="A69ACE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5893751"/>
    <w:multiLevelType w:val="hybridMultilevel"/>
    <w:tmpl w:val="4F90CC36"/>
    <w:lvl w:ilvl="0" w:tplc="06AC6AEC">
      <w:start w:val="1"/>
      <w:numFmt w:val="lowerLetter"/>
      <w:lvlText w:val="%1)"/>
      <w:lvlJc w:val="left"/>
      <w:pPr>
        <w:ind w:left="1080" w:hanging="360"/>
      </w:pPr>
      <w:rPr>
        <w:rFonts w:hint="default"/>
      </w:rPr>
    </w:lvl>
    <w:lvl w:ilvl="1" w:tplc="DEC4ABC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7E52685"/>
    <w:multiLevelType w:val="hybridMultilevel"/>
    <w:tmpl w:val="CEDA3AD0"/>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36DF427D"/>
    <w:multiLevelType w:val="hybridMultilevel"/>
    <w:tmpl w:val="34B2E64C"/>
    <w:lvl w:ilvl="0" w:tplc="DD6AA5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97B6E70"/>
    <w:multiLevelType w:val="hybridMultilevel"/>
    <w:tmpl w:val="61C2B0C0"/>
    <w:lvl w:ilvl="0" w:tplc="F71C8C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D1E77E3"/>
    <w:multiLevelType w:val="hybridMultilevel"/>
    <w:tmpl w:val="E3CCA492"/>
    <w:lvl w:ilvl="0" w:tplc="5576ED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DCA411D"/>
    <w:multiLevelType w:val="hybridMultilevel"/>
    <w:tmpl w:val="62107E8A"/>
    <w:lvl w:ilvl="0" w:tplc="4ED829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FFF5EA9"/>
    <w:multiLevelType w:val="hybridMultilevel"/>
    <w:tmpl w:val="B22CDE36"/>
    <w:lvl w:ilvl="0" w:tplc="5576ED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60C52B9"/>
    <w:multiLevelType w:val="hybridMultilevel"/>
    <w:tmpl w:val="0DDE67B0"/>
    <w:lvl w:ilvl="0" w:tplc="04150011">
      <w:start w:val="1"/>
      <w:numFmt w:val="decimal"/>
      <w:lvlText w:val="%1)"/>
      <w:lvlJc w:val="left"/>
      <w:pPr>
        <w:tabs>
          <w:tab w:val="num" w:pos="720"/>
        </w:tabs>
        <w:ind w:left="720" w:hanging="360"/>
      </w:pPr>
      <w:rPr>
        <w:rFonts w:cs="Times New Roman" w:hint="default"/>
      </w:rPr>
    </w:lvl>
    <w:lvl w:ilvl="1" w:tplc="3FE8F2FE">
      <w:start w:val="1"/>
      <w:numFmt w:val="lowerLetter"/>
      <w:lvlText w:val="%2)"/>
      <w:lvlJc w:val="left"/>
      <w:pPr>
        <w:tabs>
          <w:tab w:val="num" w:pos="1070"/>
        </w:tabs>
        <w:ind w:left="1070" w:hanging="360"/>
      </w:pPr>
      <w:rPr>
        <w:rFonts w:ascii="Times New Roman" w:eastAsia="Times New Roman" w:hAnsi="Times New Roman" w:cs="Times New Roman"/>
      </w:rPr>
    </w:lvl>
    <w:lvl w:ilvl="2" w:tplc="09E2628A">
      <w:start w:val="1"/>
      <w:numFmt w:val="lowerLetter"/>
      <w:lvlText w:val="%3)"/>
      <w:lvlJc w:val="left"/>
      <w:pPr>
        <w:ind w:left="1069"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AD314DD"/>
    <w:multiLevelType w:val="hybridMultilevel"/>
    <w:tmpl w:val="C5C6B9A2"/>
    <w:lvl w:ilvl="0" w:tplc="321A89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E06674A"/>
    <w:multiLevelType w:val="hybridMultilevel"/>
    <w:tmpl w:val="17509AD4"/>
    <w:lvl w:ilvl="0" w:tplc="7BF04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73B0DD3"/>
    <w:multiLevelType w:val="hybridMultilevel"/>
    <w:tmpl w:val="FA842236"/>
    <w:lvl w:ilvl="0" w:tplc="04150017">
      <w:start w:val="1"/>
      <w:numFmt w:val="lowerLetter"/>
      <w:lvlText w:val="%1)"/>
      <w:lvlJc w:val="left"/>
      <w:pPr>
        <w:ind w:left="1790" w:hanging="360"/>
      </w:pPr>
    </w:lvl>
    <w:lvl w:ilvl="1" w:tplc="04150017">
      <w:start w:val="1"/>
      <w:numFmt w:val="lowerLetter"/>
      <w:lvlText w:val="%2)"/>
      <w:lvlJc w:val="left"/>
      <w:pPr>
        <w:ind w:left="1637"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5">
    <w:nsid w:val="68A6792C"/>
    <w:multiLevelType w:val="hybridMultilevel"/>
    <w:tmpl w:val="D264FA86"/>
    <w:lvl w:ilvl="0" w:tplc="06AC6AEC">
      <w:start w:val="1"/>
      <w:numFmt w:val="lowerLetter"/>
      <w:lvlText w:val="%1)"/>
      <w:lvlJc w:val="left"/>
      <w:pPr>
        <w:ind w:left="1080" w:hanging="360"/>
      </w:pPr>
      <w:rPr>
        <w:rFonts w:hint="default"/>
      </w:rPr>
    </w:lvl>
    <w:lvl w:ilvl="1" w:tplc="04150017">
      <w:start w:val="1"/>
      <w:numFmt w:val="lowerLetter"/>
      <w:lvlText w:val="%2)"/>
      <w:lvlJc w:val="left"/>
      <w:pPr>
        <w:ind w:left="1637"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EB14C67"/>
    <w:multiLevelType w:val="hybridMultilevel"/>
    <w:tmpl w:val="75CC7C0C"/>
    <w:lvl w:ilvl="0" w:tplc="42D2D0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1"/>
  </w:num>
  <w:num w:numId="3">
    <w:abstractNumId w:val="0"/>
  </w:num>
  <w:num w:numId="4">
    <w:abstractNumId w:val="7"/>
  </w:num>
  <w:num w:numId="5">
    <w:abstractNumId w:val="6"/>
  </w:num>
  <w:num w:numId="6">
    <w:abstractNumId w:val="9"/>
  </w:num>
  <w:num w:numId="7">
    <w:abstractNumId w:val="8"/>
  </w:num>
  <w:num w:numId="8">
    <w:abstractNumId w:val="5"/>
  </w:num>
  <w:num w:numId="9">
    <w:abstractNumId w:val="10"/>
  </w:num>
  <w:num w:numId="10">
    <w:abstractNumId w:val="16"/>
  </w:num>
  <w:num w:numId="11">
    <w:abstractNumId w:val="13"/>
  </w:num>
  <w:num w:numId="12">
    <w:abstractNumId w:val="12"/>
  </w:num>
  <w:num w:numId="13">
    <w:abstractNumId w:val="4"/>
  </w:num>
  <w:num w:numId="14">
    <w:abstractNumId w:val="3"/>
  </w:num>
  <w:num w:numId="15">
    <w:abstractNumId w:val="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CF"/>
    <w:rsid w:val="00003E3F"/>
    <w:rsid w:val="000325E3"/>
    <w:rsid w:val="000373DA"/>
    <w:rsid w:val="0003772B"/>
    <w:rsid w:val="00063855"/>
    <w:rsid w:val="001957E3"/>
    <w:rsid w:val="001B461D"/>
    <w:rsid w:val="001C1BBA"/>
    <w:rsid w:val="00253CC0"/>
    <w:rsid w:val="002D5BC1"/>
    <w:rsid w:val="002E6CFB"/>
    <w:rsid w:val="00320B1C"/>
    <w:rsid w:val="00391B16"/>
    <w:rsid w:val="003C5847"/>
    <w:rsid w:val="003D3BB0"/>
    <w:rsid w:val="00401FD7"/>
    <w:rsid w:val="00404791"/>
    <w:rsid w:val="004576E9"/>
    <w:rsid w:val="004977A1"/>
    <w:rsid w:val="00500F76"/>
    <w:rsid w:val="005054E9"/>
    <w:rsid w:val="0051707A"/>
    <w:rsid w:val="00546AA5"/>
    <w:rsid w:val="00623BDD"/>
    <w:rsid w:val="006E53A8"/>
    <w:rsid w:val="007017CE"/>
    <w:rsid w:val="007B7FCF"/>
    <w:rsid w:val="007D7761"/>
    <w:rsid w:val="0087561B"/>
    <w:rsid w:val="0088164F"/>
    <w:rsid w:val="009325E3"/>
    <w:rsid w:val="009B747B"/>
    <w:rsid w:val="009C06A0"/>
    <w:rsid w:val="00A309CF"/>
    <w:rsid w:val="00A41044"/>
    <w:rsid w:val="00A72D35"/>
    <w:rsid w:val="00A77124"/>
    <w:rsid w:val="00A83A82"/>
    <w:rsid w:val="00AB7B56"/>
    <w:rsid w:val="00AC769C"/>
    <w:rsid w:val="00B861C4"/>
    <w:rsid w:val="00BB69CF"/>
    <w:rsid w:val="00BC55EB"/>
    <w:rsid w:val="00BD54FE"/>
    <w:rsid w:val="00CA6F78"/>
    <w:rsid w:val="00D1112D"/>
    <w:rsid w:val="00D5522A"/>
    <w:rsid w:val="00D6177E"/>
    <w:rsid w:val="00E0197C"/>
    <w:rsid w:val="00E15467"/>
    <w:rsid w:val="00E43AFD"/>
    <w:rsid w:val="00E53F96"/>
    <w:rsid w:val="00E9706E"/>
    <w:rsid w:val="00F81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17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77E"/>
    <w:rPr>
      <w:rFonts w:ascii="Tahoma" w:hAnsi="Tahoma" w:cs="Tahoma"/>
      <w:sz w:val="16"/>
      <w:szCs w:val="16"/>
    </w:rPr>
  </w:style>
  <w:style w:type="paragraph" w:styleId="Akapitzlist">
    <w:name w:val="List Paragraph"/>
    <w:basedOn w:val="Normalny"/>
    <w:uiPriority w:val="99"/>
    <w:qFormat/>
    <w:rsid w:val="00E9706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podcicie2">
    <w:name w:val="podcięcie2"/>
    <w:basedOn w:val="Zwykytekst"/>
    <w:link w:val="podcicie2Znak"/>
    <w:qFormat/>
    <w:rsid w:val="00E9706E"/>
    <w:pPr>
      <w:ind w:left="1066" w:hanging="357"/>
      <w:jc w:val="both"/>
    </w:pPr>
    <w:rPr>
      <w:rFonts w:ascii="Times New Roman" w:eastAsia="Times New Roman" w:hAnsi="Times New Roman" w:cs="Times New Roman"/>
      <w:sz w:val="23"/>
      <w:szCs w:val="23"/>
      <w:lang w:eastAsia="pl-PL"/>
    </w:rPr>
  </w:style>
  <w:style w:type="character" w:customStyle="1" w:styleId="podcicie2Znak">
    <w:name w:val="podcięcie2 Znak"/>
    <w:link w:val="podcicie2"/>
    <w:rsid w:val="00E9706E"/>
    <w:rPr>
      <w:rFonts w:ascii="Times New Roman" w:eastAsia="Times New Roman" w:hAnsi="Times New Roman" w:cs="Times New Roman"/>
      <w:sz w:val="23"/>
      <w:szCs w:val="23"/>
      <w:lang w:eastAsia="pl-PL"/>
    </w:rPr>
  </w:style>
  <w:style w:type="paragraph" w:styleId="Zwykytekst">
    <w:name w:val="Plain Text"/>
    <w:basedOn w:val="Normalny"/>
    <w:link w:val="ZwykytekstZnak"/>
    <w:uiPriority w:val="99"/>
    <w:semiHidden/>
    <w:unhideWhenUsed/>
    <w:rsid w:val="00E9706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E9706E"/>
    <w:rPr>
      <w:rFonts w:ascii="Consolas" w:hAnsi="Consolas" w:cs="Consolas"/>
      <w:sz w:val="21"/>
      <w:szCs w:val="21"/>
    </w:rPr>
  </w:style>
  <w:style w:type="paragraph" w:styleId="Nagwek">
    <w:name w:val="header"/>
    <w:basedOn w:val="Normalny"/>
    <w:link w:val="NagwekZnak"/>
    <w:uiPriority w:val="99"/>
    <w:unhideWhenUsed/>
    <w:rsid w:val="00195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57E3"/>
  </w:style>
  <w:style w:type="paragraph" w:styleId="Stopka">
    <w:name w:val="footer"/>
    <w:basedOn w:val="Normalny"/>
    <w:link w:val="StopkaZnak"/>
    <w:uiPriority w:val="99"/>
    <w:unhideWhenUsed/>
    <w:rsid w:val="00195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5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17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77E"/>
    <w:rPr>
      <w:rFonts w:ascii="Tahoma" w:hAnsi="Tahoma" w:cs="Tahoma"/>
      <w:sz w:val="16"/>
      <w:szCs w:val="16"/>
    </w:rPr>
  </w:style>
  <w:style w:type="paragraph" w:styleId="Akapitzlist">
    <w:name w:val="List Paragraph"/>
    <w:basedOn w:val="Normalny"/>
    <w:uiPriority w:val="99"/>
    <w:qFormat/>
    <w:rsid w:val="00E9706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podcicie2">
    <w:name w:val="podcięcie2"/>
    <w:basedOn w:val="Zwykytekst"/>
    <w:link w:val="podcicie2Znak"/>
    <w:qFormat/>
    <w:rsid w:val="00E9706E"/>
    <w:pPr>
      <w:ind w:left="1066" w:hanging="357"/>
      <w:jc w:val="both"/>
    </w:pPr>
    <w:rPr>
      <w:rFonts w:ascii="Times New Roman" w:eastAsia="Times New Roman" w:hAnsi="Times New Roman" w:cs="Times New Roman"/>
      <w:sz w:val="23"/>
      <w:szCs w:val="23"/>
      <w:lang w:eastAsia="pl-PL"/>
    </w:rPr>
  </w:style>
  <w:style w:type="character" w:customStyle="1" w:styleId="podcicie2Znak">
    <w:name w:val="podcięcie2 Znak"/>
    <w:link w:val="podcicie2"/>
    <w:rsid w:val="00E9706E"/>
    <w:rPr>
      <w:rFonts w:ascii="Times New Roman" w:eastAsia="Times New Roman" w:hAnsi="Times New Roman" w:cs="Times New Roman"/>
      <w:sz w:val="23"/>
      <w:szCs w:val="23"/>
      <w:lang w:eastAsia="pl-PL"/>
    </w:rPr>
  </w:style>
  <w:style w:type="paragraph" w:styleId="Zwykytekst">
    <w:name w:val="Plain Text"/>
    <w:basedOn w:val="Normalny"/>
    <w:link w:val="ZwykytekstZnak"/>
    <w:uiPriority w:val="99"/>
    <w:semiHidden/>
    <w:unhideWhenUsed/>
    <w:rsid w:val="00E9706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E9706E"/>
    <w:rPr>
      <w:rFonts w:ascii="Consolas" w:hAnsi="Consolas" w:cs="Consolas"/>
      <w:sz w:val="21"/>
      <w:szCs w:val="21"/>
    </w:rPr>
  </w:style>
  <w:style w:type="paragraph" w:styleId="Nagwek">
    <w:name w:val="header"/>
    <w:basedOn w:val="Normalny"/>
    <w:link w:val="NagwekZnak"/>
    <w:uiPriority w:val="99"/>
    <w:unhideWhenUsed/>
    <w:rsid w:val="00195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57E3"/>
  </w:style>
  <w:style w:type="paragraph" w:styleId="Stopka">
    <w:name w:val="footer"/>
    <w:basedOn w:val="Normalny"/>
    <w:link w:val="StopkaZnak"/>
    <w:uiPriority w:val="99"/>
    <w:unhideWhenUsed/>
    <w:rsid w:val="00195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7E71-92AC-4C98-9E48-1ED828EF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3803</Words>
  <Characters>22820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Dąbrowska</dc:creator>
  <cp:lastModifiedBy>Szwejk Krzysztof</cp:lastModifiedBy>
  <cp:revision>2</cp:revision>
  <cp:lastPrinted>2016-12-21T12:24:00Z</cp:lastPrinted>
  <dcterms:created xsi:type="dcterms:W3CDTF">2018-03-20T13:37:00Z</dcterms:created>
  <dcterms:modified xsi:type="dcterms:W3CDTF">2018-03-20T13:37:00Z</dcterms:modified>
</cp:coreProperties>
</file>