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8007" w14:textId="5DB30C6C" w:rsidR="00006DE5" w:rsidRDefault="00A638BA" w:rsidP="00A638BA">
      <w:pPr>
        <w:jc w:val="right"/>
      </w:pPr>
      <w:r>
        <w:t>Załącznik do zarządzenia nr RZW</w:t>
      </w:r>
      <w:r w:rsidR="00A728EB">
        <w:t>.154</w:t>
      </w:r>
      <w:r>
        <w:t>.2025</w:t>
      </w:r>
    </w:p>
    <w:p w14:paraId="131C4FCA" w14:textId="0524865B" w:rsidR="00A638BA" w:rsidRDefault="00A638BA" w:rsidP="00A638BA">
      <w:pPr>
        <w:jc w:val="right"/>
      </w:pPr>
      <w:r>
        <w:t>Wójta Gminy Rudnik z dnia 1 grudnia 2025r.</w:t>
      </w:r>
    </w:p>
    <w:p w14:paraId="75C243A3" w14:textId="77777777" w:rsidR="00A638BA" w:rsidRDefault="00A638BA" w:rsidP="00C30F66"/>
    <w:p w14:paraId="4BD1C0D2" w14:textId="77777777" w:rsidR="00C30F66" w:rsidRDefault="00A638BA" w:rsidP="00A638BA">
      <w:pPr>
        <w:jc w:val="center"/>
        <w:rPr>
          <w:b/>
          <w:bCs/>
          <w:sz w:val="56"/>
          <w:szCs w:val="56"/>
        </w:rPr>
      </w:pPr>
      <w:r w:rsidRPr="00A638BA">
        <w:rPr>
          <w:b/>
          <w:bCs/>
          <w:sz w:val="56"/>
          <w:szCs w:val="56"/>
        </w:rPr>
        <w:t xml:space="preserve">PLAN WYKORZYSTANIA </w:t>
      </w:r>
    </w:p>
    <w:p w14:paraId="62AB91C6" w14:textId="627F61A4" w:rsidR="00C30F66" w:rsidRDefault="00A638BA" w:rsidP="00A638BA">
      <w:pPr>
        <w:jc w:val="center"/>
        <w:rPr>
          <w:b/>
          <w:bCs/>
          <w:sz w:val="56"/>
          <w:szCs w:val="56"/>
        </w:rPr>
      </w:pPr>
      <w:r w:rsidRPr="00A638BA">
        <w:rPr>
          <w:b/>
          <w:bCs/>
          <w:sz w:val="56"/>
          <w:szCs w:val="56"/>
        </w:rPr>
        <w:t>GMINNEGO ZASOBU NIERUCHOMOŚCI</w:t>
      </w:r>
      <w:r>
        <w:rPr>
          <w:b/>
          <w:bCs/>
          <w:sz w:val="56"/>
          <w:szCs w:val="56"/>
        </w:rPr>
        <w:t xml:space="preserve"> </w:t>
      </w:r>
    </w:p>
    <w:p w14:paraId="1CDCED11" w14:textId="77777777" w:rsidR="00C30F66" w:rsidRDefault="00A638BA" w:rsidP="00A638B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GMINY RUDNIK </w:t>
      </w:r>
    </w:p>
    <w:p w14:paraId="635714D3" w14:textId="6B043E75" w:rsidR="00A638BA" w:rsidRDefault="00A638BA" w:rsidP="00A638BA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NA LATA 2025 – 2028</w:t>
      </w:r>
    </w:p>
    <w:p w14:paraId="011E72E6" w14:textId="77777777" w:rsidR="00A638BA" w:rsidRDefault="00A638BA" w:rsidP="00C30F66">
      <w:pPr>
        <w:spacing w:line="240" w:lineRule="auto"/>
        <w:rPr>
          <w:b/>
          <w:bCs/>
          <w:sz w:val="56"/>
          <w:szCs w:val="56"/>
        </w:rPr>
      </w:pPr>
    </w:p>
    <w:p w14:paraId="63D24F05" w14:textId="4605CCE1" w:rsidR="00A638BA" w:rsidRDefault="00C30F66" w:rsidP="00A638BA">
      <w:pPr>
        <w:jc w:val="center"/>
        <w:rPr>
          <w:b/>
          <w:bCs/>
          <w:sz w:val="56"/>
          <w:szCs w:val="56"/>
        </w:rPr>
      </w:pPr>
      <w:r w:rsidRPr="00C30F66">
        <w:rPr>
          <w:b/>
          <w:bCs/>
          <w:noProof/>
          <w:sz w:val="56"/>
          <w:szCs w:val="56"/>
        </w:rPr>
        <w:drawing>
          <wp:inline distT="0" distB="0" distL="0" distR="0" wp14:anchorId="5DE40272" wp14:editId="177B198D">
            <wp:extent cx="4010025" cy="4306623"/>
            <wp:effectExtent l="0" t="0" r="0" b="0"/>
            <wp:docPr id="2903666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569" cy="4313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5C004" w14:textId="77777777" w:rsidR="00A638BA" w:rsidRDefault="00A638BA" w:rsidP="00C30F66">
      <w:pPr>
        <w:rPr>
          <w:b/>
          <w:bCs/>
        </w:rPr>
      </w:pPr>
    </w:p>
    <w:p w14:paraId="3AB02E58" w14:textId="2F317566" w:rsidR="00A638BA" w:rsidRDefault="00A638BA" w:rsidP="00A638BA">
      <w:pPr>
        <w:jc w:val="center"/>
        <w:rPr>
          <w:b/>
          <w:bCs/>
        </w:rPr>
      </w:pPr>
      <w:r>
        <w:rPr>
          <w:b/>
          <w:bCs/>
        </w:rPr>
        <w:t>RUDNIK, 1 GRUDNIA 2025 ROKU</w:t>
      </w:r>
    </w:p>
    <w:p w14:paraId="270A0893" w14:textId="3016BB11" w:rsidR="00CB3237" w:rsidRDefault="007D39BC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PODSTAWA PRAWNA OPRACOWANIA PLANU WYKORZYSTANIA </w:t>
      </w:r>
      <w:r w:rsidR="002E2B66">
        <w:rPr>
          <w:b/>
          <w:bCs/>
        </w:rPr>
        <w:t>ZASOBU NIERUCHOMOŚCI GMINY RUDNIK.</w:t>
      </w:r>
    </w:p>
    <w:p w14:paraId="3700E420" w14:textId="7475FD39" w:rsidR="000A1DD4" w:rsidRDefault="000A1DD4" w:rsidP="000A1DD4">
      <w:pPr>
        <w:ind w:left="360"/>
        <w:jc w:val="both"/>
      </w:pPr>
      <w:r w:rsidRPr="000A1DD4">
        <w:t>Plan wykorzystania zasobu został opracowany w oparciu o przepisy art.25 w związku z art. art.24 ustawy z dnia 21 sierpnia 1997r. o gospodarce</w:t>
      </w:r>
      <w:r>
        <w:t xml:space="preserve"> </w:t>
      </w:r>
      <w:r w:rsidRPr="000A1DD4">
        <w:t xml:space="preserve">nieruchomościami (t. j. </w:t>
      </w:r>
      <w:r>
        <w:t>Dz. U. z 2024r. poz. 1145 z późn. zm.).</w:t>
      </w:r>
    </w:p>
    <w:p w14:paraId="73B4E5C5" w14:textId="7B9C9F1A" w:rsidR="000A1DD4" w:rsidRDefault="000A1DD4" w:rsidP="000A1DD4">
      <w:pPr>
        <w:ind w:left="360"/>
        <w:jc w:val="both"/>
      </w:pPr>
      <w:r>
        <w:t>Plan wykorzystania zasobu nieruchomości gminnych opracowuje się na okres 3 lat.</w:t>
      </w:r>
    </w:p>
    <w:p w14:paraId="4C61B197" w14:textId="137E9F77" w:rsidR="00C91477" w:rsidRDefault="00C91477" w:rsidP="000A1DD4">
      <w:pPr>
        <w:ind w:left="360"/>
        <w:jc w:val="both"/>
      </w:pPr>
      <w:r>
        <w:t>Plan opracowano w oparciu o następujące dokumenty oraz opracowania:</w:t>
      </w:r>
    </w:p>
    <w:p w14:paraId="6A3A1089" w14:textId="62C25AB9" w:rsidR="00C91477" w:rsidRDefault="00C91477" w:rsidP="000A1DD4">
      <w:pPr>
        <w:ind w:left="360"/>
        <w:jc w:val="both"/>
      </w:pPr>
      <w:r>
        <w:t>- studium uwarunkowań i kierunków zagospodarowania przestrzennego gminy Rudnik,</w:t>
      </w:r>
    </w:p>
    <w:p w14:paraId="65766038" w14:textId="48189F83" w:rsidR="00C91477" w:rsidRDefault="00C91477" w:rsidP="00C91477">
      <w:pPr>
        <w:ind w:left="360"/>
        <w:jc w:val="both"/>
      </w:pPr>
      <w:r>
        <w:t>- miejscowe plany zagospodarowania przestrzennego obowiązujące na terenie gminy Rudnik.</w:t>
      </w:r>
    </w:p>
    <w:p w14:paraId="33A15F97" w14:textId="55FF9726" w:rsidR="00C91477" w:rsidRDefault="00C91477" w:rsidP="00C91477">
      <w:pPr>
        <w:ind w:left="360"/>
        <w:jc w:val="both"/>
      </w:pPr>
      <w:r>
        <w:t>Zasobem nieruchomości Gminy Rudnik gospodaruje Wójt Gminy Rudnik. Gospodarowanie zasobem polega mi</w:t>
      </w:r>
      <w:r w:rsidR="00B848D4">
        <w:t>ę</w:t>
      </w:r>
      <w:r>
        <w:t>dzy innymi na ewidencjonowaniu nieruchomości i zapewnieniu ich wyceny, zabezpieczeniu nieruchomości przed uszkodzeniem lub zniszczeniem, naliczaniu i windykacji należności za nieruchomości udostępniane z zasobu, współpracy z innymi organami, które gospodarują nieruchomościami gminnymi, a także z właściwymi jednostkami samorządu terytorialnego i Skarbem Państwa, zbywaniu i nabywaniu nieruchomości wchodzących w skład zasobu, oddawaniu w trwały zarząd, wydzierżawianiu, wynajmowaniu i użyczaniu nieruchomości wchodzących w skład zasobu, ich obciążaniu ograniczonymi prawami rzeczowymi jak użytkowanie i służebności, podejmowaniu czynności w postępowaniu s</w:t>
      </w:r>
      <w:r w:rsidR="00CF7F87">
        <w:t>ą</w:t>
      </w:r>
      <w:r>
        <w:t>dowym oraz składaniu wniosków o założenie księgi wieczystej dla nieruchomości gminnych, a ponadto na przygotowywaniu opracowań geodezyjno-prawnych i projektowych, dokonywaniu podziałów oraz scaleń i podziałów nieruchomości, a także wyposażaniu ich, w miarę możliwości, w niezbędne urządzenia infrastruktury technicznej.</w:t>
      </w:r>
    </w:p>
    <w:p w14:paraId="1EF41F1D" w14:textId="642DE926" w:rsidR="00C91477" w:rsidRDefault="00C91477" w:rsidP="00C91477">
      <w:pPr>
        <w:ind w:left="360"/>
        <w:jc w:val="both"/>
      </w:pPr>
      <w:r>
        <w:t>Gospodarowanie zasobem powinno odbywać się zgodnie z zasadami racjonalnej gospodarki, w oparciu o obowiązujące przepisy prawa, z uwzględnieniem w pierwszej kolejności zaspokajania potrzeb społeczności lokalnej i realizacji z</w:t>
      </w:r>
      <w:r w:rsidR="009A28A4">
        <w:t>a</w:t>
      </w:r>
      <w:r>
        <w:t>dań publicznych gminnych. Gminny zasób nieruchomości może być wykorzystywany na cele rozwojowe gminy i zorganizowanej działalności inwestycji, a w szczególności na realizację budownictwa mieszkaniowego oraz związanych z tym budownictwem urządzeń infrastruktury technicznej, a także na realizację innych celów publicznych. Plan wykorzystania gminnego zasobu nieruchomości określa jedynie główne kierunki działań, natomiast rozstrzygnięcia o sposobie i formie zagospodarowania poszczególnych nieruchomości wchodzących w skład zasobu są podejmowane indywidualnie, w ramach zapewnianych corocznie środków budżetowych.</w:t>
      </w:r>
    </w:p>
    <w:p w14:paraId="35F9CF8F" w14:textId="77777777" w:rsidR="00C91477" w:rsidRPr="000A1DD4" w:rsidRDefault="00C91477" w:rsidP="000A1DD4">
      <w:pPr>
        <w:ind w:left="360"/>
        <w:jc w:val="both"/>
      </w:pPr>
    </w:p>
    <w:p w14:paraId="46723A7B" w14:textId="6D2308A6" w:rsidR="002E2B66" w:rsidRDefault="002E2B66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 xml:space="preserve">ZESTAWIENIE NIERUCHOMOŚCI ZASOBU NA PODSTAWIE DANYCH ZAWARTYCH W EWIDENCJI NIERUCHOMOŚCI PROWADZONEJ NA PODSTAWIE ART. 23 UST.1 PKT 1 </w:t>
      </w:r>
    </w:p>
    <w:p w14:paraId="79EDF897" w14:textId="7BD0E4DF" w:rsidR="00A77E4C" w:rsidRPr="002934F1" w:rsidRDefault="00A77E4C" w:rsidP="009D185E">
      <w:pPr>
        <w:jc w:val="both"/>
        <w:textAlignment w:val="baseline"/>
        <w:rPr>
          <w:rFonts w:cstheme="minorHAnsi"/>
        </w:rPr>
      </w:pPr>
      <w:r w:rsidRPr="002934F1">
        <w:rPr>
          <w:rFonts w:cstheme="minorHAnsi"/>
        </w:rPr>
        <w:t>Zgodnie z danymi ewidencyjnymi nieruchomoś</w:t>
      </w:r>
      <w:r w:rsidR="002934F1">
        <w:rPr>
          <w:rFonts w:cstheme="minorHAnsi"/>
        </w:rPr>
        <w:t>ci</w:t>
      </w:r>
      <w:r w:rsidRPr="002934F1">
        <w:rPr>
          <w:rFonts w:cstheme="minorHAnsi"/>
        </w:rPr>
        <w:t xml:space="preserve"> prowadzonymi przez Starostwo Powiatowe w Raciborzu </w:t>
      </w:r>
      <w:r w:rsidR="00B74675" w:rsidRPr="002934F1">
        <w:rPr>
          <w:rFonts w:cstheme="minorHAnsi"/>
        </w:rPr>
        <w:t xml:space="preserve">oraz </w:t>
      </w:r>
      <w:r w:rsidR="002934F1">
        <w:rPr>
          <w:rFonts w:cstheme="minorHAnsi"/>
        </w:rPr>
        <w:t xml:space="preserve">z </w:t>
      </w:r>
      <w:r w:rsidR="00B74675" w:rsidRPr="002934F1">
        <w:rPr>
          <w:rFonts w:cstheme="minorHAnsi"/>
        </w:rPr>
        <w:t xml:space="preserve">Gminnym Zasobem </w:t>
      </w:r>
      <w:r w:rsidR="002934F1">
        <w:rPr>
          <w:rFonts w:cstheme="minorHAnsi"/>
        </w:rPr>
        <w:t>N</w:t>
      </w:r>
      <w:r w:rsidR="00B74675" w:rsidRPr="002934F1">
        <w:rPr>
          <w:rFonts w:cstheme="minorHAnsi"/>
        </w:rPr>
        <w:t>ieruchomości</w:t>
      </w:r>
      <w:r w:rsidR="002934F1">
        <w:rPr>
          <w:rFonts w:cstheme="minorHAnsi"/>
        </w:rPr>
        <w:t>,</w:t>
      </w:r>
      <w:r w:rsidR="00B74675" w:rsidRPr="002934F1">
        <w:rPr>
          <w:rFonts w:cstheme="minorHAnsi"/>
        </w:rPr>
        <w:t xml:space="preserve"> grunty stanowiące własność Gminy Rudnik wg stanu </w:t>
      </w:r>
      <w:r w:rsidRPr="002934F1">
        <w:rPr>
          <w:rFonts w:cstheme="minorHAnsi"/>
        </w:rPr>
        <w:t>na dzień 1 grudnia 2025r. posiada</w:t>
      </w:r>
      <w:r w:rsidR="00B74675" w:rsidRPr="002934F1">
        <w:rPr>
          <w:rFonts w:cstheme="minorHAnsi"/>
        </w:rPr>
        <w:t>ją</w:t>
      </w:r>
      <w:r w:rsidRPr="002934F1">
        <w:rPr>
          <w:rFonts w:cstheme="minorHAnsi"/>
        </w:rPr>
        <w:t xml:space="preserve"> łączn</w:t>
      </w:r>
      <w:r w:rsidR="00B74675" w:rsidRPr="002934F1">
        <w:rPr>
          <w:rFonts w:cstheme="minorHAnsi"/>
        </w:rPr>
        <w:t>ą</w:t>
      </w:r>
      <w:r w:rsidRPr="002934F1">
        <w:rPr>
          <w:rFonts w:cstheme="minorHAnsi"/>
        </w:rPr>
        <w:t xml:space="preserve"> powierzchni</w:t>
      </w:r>
      <w:r w:rsidR="00B74675" w:rsidRPr="002934F1">
        <w:rPr>
          <w:rFonts w:cstheme="minorHAnsi"/>
        </w:rPr>
        <w:t>ę</w:t>
      </w:r>
      <w:r w:rsidRPr="002934F1">
        <w:rPr>
          <w:rFonts w:cstheme="minorHAnsi"/>
        </w:rPr>
        <w:t xml:space="preserve"> 16</w:t>
      </w:r>
      <w:r w:rsidR="00B74675" w:rsidRPr="002934F1">
        <w:rPr>
          <w:rFonts w:cstheme="minorHAnsi"/>
        </w:rPr>
        <w:t>4</w:t>
      </w:r>
      <w:r w:rsidRPr="002934F1">
        <w:rPr>
          <w:rFonts w:cstheme="minorHAnsi"/>
        </w:rPr>
        <w:t>,</w:t>
      </w:r>
      <w:r w:rsidR="00B74675" w:rsidRPr="002934F1">
        <w:rPr>
          <w:rFonts w:cstheme="minorHAnsi"/>
        </w:rPr>
        <w:t>3051</w:t>
      </w:r>
      <w:r w:rsidRPr="002934F1">
        <w:rPr>
          <w:rFonts w:cstheme="minorHAnsi"/>
        </w:rPr>
        <w:t xml:space="preserve"> ha.</w:t>
      </w:r>
    </w:p>
    <w:p w14:paraId="33A873DA" w14:textId="77777777" w:rsidR="00A77E4C" w:rsidRDefault="00A77E4C" w:rsidP="00A77E4C">
      <w:pPr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02D85EA6" w14:textId="69C5C0A6" w:rsidR="00A77E4C" w:rsidRPr="002934F1" w:rsidRDefault="00A77E4C" w:rsidP="002934F1">
      <w:pPr>
        <w:jc w:val="both"/>
        <w:textAlignment w:val="baseline"/>
        <w:rPr>
          <w:rFonts w:cstheme="minorHAnsi"/>
        </w:rPr>
      </w:pPr>
      <w:r w:rsidRPr="002934F1">
        <w:rPr>
          <w:rFonts w:cstheme="minorHAnsi"/>
          <w:b/>
          <w:bCs/>
          <w:u w:val="single"/>
        </w:rPr>
        <w:t xml:space="preserve">PRZYSŁUGUJĄCE PRAWO WŁASNOŚCI </w:t>
      </w:r>
      <w:r w:rsidR="00432DCC" w:rsidRPr="002934F1">
        <w:rPr>
          <w:rFonts w:cstheme="minorHAnsi"/>
          <w:b/>
          <w:bCs/>
          <w:u w:val="single"/>
        </w:rPr>
        <w:t xml:space="preserve">Z PODZIAŁEM NA UŻYTKI </w:t>
      </w:r>
      <w:r w:rsidRPr="002934F1">
        <w:rPr>
          <w:rFonts w:cstheme="minorHAnsi"/>
          <w:b/>
          <w:bCs/>
          <w:u w:val="single"/>
        </w:rPr>
        <w:t>– STANOWIĄCE ZASÓB NIERUCHOMOŚCI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1"/>
        <w:gridCol w:w="1649"/>
        <w:gridCol w:w="1367"/>
        <w:gridCol w:w="1133"/>
        <w:gridCol w:w="1250"/>
        <w:gridCol w:w="1133"/>
        <w:gridCol w:w="800"/>
        <w:gridCol w:w="1365"/>
      </w:tblGrid>
      <w:tr w:rsidR="00A77E4C" w14:paraId="3DD26FB9" w14:textId="77777777" w:rsidTr="00115F26"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3BB47" w14:textId="77777777" w:rsidR="00A77E4C" w:rsidRDefault="00A77E4C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Własność gminy ogółem [ha]</w:t>
            </w:r>
          </w:p>
        </w:tc>
        <w:tc>
          <w:tcPr>
            <w:tcW w:w="86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7CBF" w14:textId="77777777" w:rsidR="00A77E4C" w:rsidRDefault="00A77E4C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W tym:</w:t>
            </w:r>
          </w:p>
        </w:tc>
      </w:tr>
      <w:tr w:rsidR="00A77E4C" w14:paraId="3897958E" w14:textId="77777777" w:rsidTr="00115F26"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D8DC" w14:textId="77777777" w:rsidR="00A77E4C" w:rsidRDefault="00A77E4C" w:rsidP="00115F26">
            <w:pPr>
              <w:snapToGrid w:val="0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14:paraId="33D042CB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Tereny zabudowane i zurbanizowane  [ha]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579F3B8A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Grunty rolne – zabudowane [ha]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12BBF627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Użytki rolne [ha]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4FDEE18D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Grunty pod rowami [ha]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347FBE95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Grunty pod wodami [ha]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14:paraId="23BF243C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Grunty leśne [ha]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DEC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Tereny komunikacyjne (w tym drogi) [ha]</w:t>
            </w:r>
          </w:p>
        </w:tc>
      </w:tr>
      <w:tr w:rsidR="00A77E4C" w14:paraId="2151C326" w14:textId="77777777" w:rsidTr="00115F26"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14:paraId="2A5134F1" w14:textId="724C604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16</w:t>
            </w:r>
            <w:r w:rsidR="00B7467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,</w:t>
            </w:r>
            <w:r w:rsidR="00B7467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</w:tcBorders>
          </w:tcPr>
          <w:p w14:paraId="0868B88D" w14:textId="48DDC91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2</w:t>
            </w:r>
            <w:r w:rsidR="00754B7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,</w:t>
            </w:r>
            <w:r w:rsidR="00754B7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14:paraId="347CB923" w14:textId="4806035C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0,7</w:t>
            </w:r>
            <w:r w:rsidR="00754B7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2FD74B3B" w14:textId="5759A510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29,</w:t>
            </w:r>
            <w:r w:rsidR="00754B7D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14:paraId="716DF644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228D74C2" w14:textId="34F92F6D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3,</w:t>
            </w:r>
            <w:r w:rsidR="00B7467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14:paraId="27C4F93D" w14:textId="7777777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0,57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6CEE" w14:textId="61330FD7" w:rsidR="00A77E4C" w:rsidRDefault="00A77E4C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10</w:t>
            </w:r>
            <w:r w:rsidR="00B7467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,</w:t>
            </w:r>
            <w:r w:rsidR="00B74675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</w:tr>
    </w:tbl>
    <w:p w14:paraId="73CD0CCE" w14:textId="1832231B" w:rsidR="00A77E4C" w:rsidRDefault="00A77E4C" w:rsidP="00A77E4C">
      <w:pPr>
        <w:jc w:val="right"/>
        <w:textAlignment w:val="baseline"/>
        <w:rPr>
          <w:rFonts w:ascii="Arial" w:hAnsi="Arial"/>
          <w:sz w:val="16"/>
          <w:szCs w:val="16"/>
        </w:rPr>
      </w:pPr>
      <w:r w:rsidRPr="00A77E4C">
        <w:rPr>
          <w:rFonts w:ascii="Arial" w:hAnsi="Arial"/>
          <w:sz w:val="16"/>
          <w:szCs w:val="16"/>
        </w:rPr>
        <w:t>Dane zgodne z danymi z ewidencji gruntów</w:t>
      </w:r>
      <w:r w:rsidR="002934F1">
        <w:rPr>
          <w:rFonts w:ascii="Arial" w:hAnsi="Arial"/>
          <w:sz w:val="16"/>
          <w:szCs w:val="16"/>
        </w:rPr>
        <w:t xml:space="preserve"> na dzień 01</w:t>
      </w:r>
      <w:r w:rsidRPr="00A77E4C">
        <w:rPr>
          <w:rFonts w:ascii="Arial" w:hAnsi="Arial"/>
          <w:sz w:val="16"/>
          <w:szCs w:val="16"/>
        </w:rPr>
        <w:t>.</w:t>
      </w:r>
      <w:r w:rsidR="002934F1">
        <w:rPr>
          <w:rFonts w:ascii="Arial" w:hAnsi="Arial"/>
          <w:sz w:val="16"/>
          <w:szCs w:val="16"/>
        </w:rPr>
        <w:t>12.2025r.</w:t>
      </w:r>
    </w:p>
    <w:p w14:paraId="44AF95EA" w14:textId="77777777" w:rsidR="009D185E" w:rsidRDefault="009D185E" w:rsidP="00A77E4C">
      <w:pPr>
        <w:jc w:val="right"/>
        <w:textAlignment w:val="baseline"/>
        <w:rPr>
          <w:rFonts w:ascii="Arial" w:hAnsi="Arial"/>
          <w:sz w:val="16"/>
          <w:szCs w:val="16"/>
        </w:rPr>
      </w:pPr>
    </w:p>
    <w:p w14:paraId="64AA1164" w14:textId="77777777" w:rsidR="00D0567F" w:rsidRDefault="00D0567F" w:rsidP="00A77E4C">
      <w:pPr>
        <w:jc w:val="right"/>
        <w:textAlignment w:val="baseline"/>
        <w:rPr>
          <w:rFonts w:ascii="Arial" w:hAnsi="Arial"/>
          <w:sz w:val="16"/>
          <w:szCs w:val="16"/>
        </w:rPr>
      </w:pPr>
    </w:p>
    <w:p w14:paraId="11B0F73A" w14:textId="75D7C18C" w:rsidR="009D185E" w:rsidRPr="00A77E4C" w:rsidRDefault="009D185E" w:rsidP="00A77E4C">
      <w:pPr>
        <w:jc w:val="right"/>
        <w:textAlignment w:val="baseline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drawing>
          <wp:inline distT="0" distB="0" distL="0" distR="0" wp14:anchorId="71291224" wp14:editId="3C5F8087">
            <wp:extent cx="5486400" cy="3200400"/>
            <wp:effectExtent l="0" t="0" r="0" b="0"/>
            <wp:docPr id="172083222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42DFE7C" w14:textId="77777777" w:rsidR="009D185E" w:rsidRDefault="009D185E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2DCCC2EF" w14:textId="77777777" w:rsidR="009D185E" w:rsidRDefault="009D185E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0FFDCE40" w14:textId="77777777" w:rsidR="009D185E" w:rsidRDefault="009D185E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61E25984" w14:textId="77777777" w:rsidR="009D185E" w:rsidRDefault="009D185E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5EC8C61E" w14:textId="77777777" w:rsidR="00D0567F" w:rsidRDefault="00D0567F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p w14:paraId="3FC776CF" w14:textId="6B6A0EDB" w:rsidR="00A77E4C" w:rsidRPr="000C1120" w:rsidRDefault="00A77E4C" w:rsidP="000C1120">
      <w:pPr>
        <w:spacing w:line="360" w:lineRule="auto"/>
        <w:jc w:val="both"/>
        <w:textAlignment w:val="baseline"/>
        <w:rPr>
          <w:rFonts w:cstheme="minorHAnsi"/>
          <w:b/>
          <w:bCs/>
          <w:u w:val="single"/>
        </w:rPr>
      </w:pPr>
      <w:r w:rsidRPr="000C1120">
        <w:rPr>
          <w:rFonts w:cstheme="minorHAnsi"/>
          <w:b/>
          <w:bCs/>
          <w:u w:val="single"/>
        </w:rPr>
        <w:lastRenderedPageBreak/>
        <w:t>POWIERZCHNIA GRUNTÓW STANOWIĄCYCH WŁASNOŚĆ GMINY Z PODZIAŁEM NA POSZCZEGÓLNE SOŁECTWA</w:t>
      </w:r>
    </w:p>
    <w:p w14:paraId="730A9F90" w14:textId="77777777" w:rsidR="00D0567F" w:rsidRPr="00A77E4C" w:rsidRDefault="00D0567F" w:rsidP="00A77E4C">
      <w:pPr>
        <w:spacing w:line="360" w:lineRule="auto"/>
        <w:textAlignment w:val="baseline"/>
        <w:rPr>
          <w:rFonts w:ascii="Arial" w:hAnsi="Arial"/>
          <w:b/>
          <w:bCs/>
          <w:sz w:val="18"/>
          <w:szCs w:val="18"/>
          <w:u w:val="single"/>
        </w:rPr>
      </w:pPr>
    </w:p>
    <w:tbl>
      <w:tblPr>
        <w:tblW w:w="8636" w:type="dxa"/>
        <w:tblInd w:w="4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0"/>
        <w:gridCol w:w="2793"/>
        <w:gridCol w:w="2793"/>
      </w:tblGrid>
      <w:tr w:rsidR="003F74E1" w14:paraId="2B91195F" w14:textId="77777777" w:rsidTr="003F74E1">
        <w:trPr>
          <w:cantSplit/>
          <w:trHeight w:val="227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5C581" w14:textId="77777777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OBRĘB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6B67" w14:textId="3893AA0D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POWIERZCHNIA [ha]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6CBB0" w14:textId="51090497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UDZIAŁ PROCENTOWY [%]</w:t>
            </w:r>
          </w:p>
        </w:tc>
      </w:tr>
      <w:tr w:rsidR="003F74E1" w14:paraId="6D0ED7B0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723B4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Brzeźnica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5DE" w14:textId="4A75F014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13,31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1BA8E" w14:textId="4509BC6A" w:rsidR="003F74E1" w:rsidRP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F74E1">
              <w:rPr>
                <w:rFonts w:ascii="Arial" w:hAnsi="Arial" w:cs="Arial"/>
                <w:sz w:val="18"/>
                <w:szCs w:val="18"/>
              </w:rPr>
              <w:t>8,10</w:t>
            </w:r>
          </w:p>
        </w:tc>
      </w:tr>
      <w:tr w:rsidR="003F74E1" w14:paraId="1D0BD0B5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56FC0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Czerwięcice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5B3" w14:textId="71F2AC21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5,29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CF97B" w14:textId="0E173025" w:rsidR="003F74E1" w:rsidRP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F74E1">
              <w:rPr>
                <w:rFonts w:ascii="Arial" w:hAnsi="Arial" w:cs="Arial"/>
                <w:sz w:val="18"/>
                <w:szCs w:val="18"/>
              </w:rPr>
              <w:t>3,22</w:t>
            </w:r>
          </w:p>
        </w:tc>
      </w:tr>
      <w:tr w:rsidR="003F74E1" w14:paraId="5D3AD320" w14:textId="77777777" w:rsidTr="003F74E1">
        <w:trPr>
          <w:cantSplit/>
          <w:trHeight w:val="245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526E3E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Dolędzin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A68" w14:textId="4A088948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1,35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C2D19" w14:textId="617E3F78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0,82</w:t>
            </w:r>
          </w:p>
        </w:tc>
      </w:tr>
      <w:tr w:rsidR="003F74E1" w14:paraId="5F5391DF" w14:textId="77777777" w:rsidTr="003F74E1">
        <w:trPr>
          <w:cantSplit/>
          <w:trHeight w:val="227"/>
        </w:trPr>
        <w:tc>
          <w:tcPr>
            <w:tcW w:w="3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2518F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Gamów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8A4" w14:textId="1951D87C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11,82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FBA1C" w14:textId="0BF6807E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7,19</w:t>
            </w:r>
          </w:p>
        </w:tc>
      </w:tr>
      <w:tr w:rsidR="003F74E1" w14:paraId="506FE8CF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FFFB7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Grzegorzowice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1F9" w14:textId="48CE440C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15,48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D1D1F2" w14:textId="1E544A39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9,42</w:t>
            </w:r>
          </w:p>
        </w:tc>
      </w:tr>
      <w:tr w:rsidR="003F74E1" w14:paraId="03CD4D85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33A5E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Jastrzębie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DB2" w14:textId="1DD75FEE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7,39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231AF0" w14:textId="149CCEB4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4,50</w:t>
            </w:r>
          </w:p>
        </w:tc>
      </w:tr>
      <w:tr w:rsidR="003F74E1" w14:paraId="260DDF33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3A31B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Lasaki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B3E2" w14:textId="732F4966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5,98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354110" w14:textId="6655C61E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3,64</w:t>
            </w:r>
          </w:p>
        </w:tc>
      </w:tr>
      <w:tr w:rsidR="003F74E1" w14:paraId="0A9CA9D6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387FF0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Ligota Książęca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D0E6" w14:textId="270F9A79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912746" w14:textId="741AAEBD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2,59</w:t>
            </w:r>
          </w:p>
        </w:tc>
      </w:tr>
      <w:tr w:rsidR="003F74E1" w14:paraId="278C83E7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2C1E88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Łubowice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32EA" w14:textId="1AD19BCD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9C0C31" w14:textId="07761FF9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6,04</w:t>
            </w:r>
          </w:p>
        </w:tc>
      </w:tr>
      <w:tr w:rsidR="003F74E1" w14:paraId="2BFF6572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ACEF10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Modzurów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C823" w14:textId="1A4CB555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12,84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5C10DB" w14:textId="74EFAC44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7,81</w:t>
            </w:r>
          </w:p>
        </w:tc>
      </w:tr>
      <w:tr w:rsidR="003F74E1" w14:paraId="014C8930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38F9E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Ponięcice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A8B6" w14:textId="35902A69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8,92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098BFF" w14:textId="2140E430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5,43</w:t>
            </w:r>
          </w:p>
        </w:tc>
      </w:tr>
      <w:tr w:rsidR="003F74E1" w14:paraId="11471391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3797DA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Rudnik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460" w14:textId="075D67A6" w:rsidR="003F74E1" w:rsidRDefault="003F74E1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29</w:t>
            </w:r>
            <w:r w:rsidR="000B154B">
              <w:rPr>
                <w:rFonts w:ascii="Arial" w:hAnsi="Arial"/>
                <w:color w:val="000000"/>
                <w:sz w:val="18"/>
                <w:szCs w:val="18"/>
              </w:rPr>
              <w:t>,14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C986DA" w14:textId="617C3D15" w:rsidR="003F74E1" w:rsidRDefault="000B154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17</w:t>
            </w:r>
            <w:r w:rsidR="003F74E1">
              <w:rPr>
                <w:rFonts w:ascii="Arial" w:hAnsi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73</w:t>
            </w:r>
          </w:p>
        </w:tc>
      </w:tr>
      <w:tr w:rsidR="003F74E1" w14:paraId="5FA7ADB0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66841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Sławienko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ECDD" w14:textId="221C9B54" w:rsidR="003F74E1" w:rsidRDefault="000B154B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A89DC" w14:textId="546AC0EE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</w:t>
            </w:r>
            <w:r w:rsidR="000B154B">
              <w:rPr>
                <w:rFonts w:ascii="Arial" w:hAnsi="Arial"/>
                <w:color w:val="000000"/>
                <w:sz w:val="18"/>
                <w:szCs w:val="18"/>
              </w:rPr>
              <w:t>10</w:t>
            </w:r>
          </w:p>
        </w:tc>
      </w:tr>
      <w:tr w:rsidR="003F74E1" w14:paraId="7A2C6374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F20F0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Sławików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C934" w14:textId="59D186B3" w:rsidR="003F74E1" w:rsidRDefault="000B154B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19,68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5F7586" w14:textId="58D98CB8" w:rsidR="003F74E1" w:rsidRDefault="003F74E1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</w:t>
            </w:r>
            <w:r w:rsidR="000B154B">
              <w:rPr>
                <w:rFonts w:ascii="Arial" w:hAnsi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,</w:t>
            </w:r>
            <w:r w:rsidR="000B154B">
              <w:rPr>
                <w:rFonts w:ascii="Arial" w:hAnsi="Arial"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8</w:t>
            </w:r>
          </w:p>
        </w:tc>
      </w:tr>
      <w:tr w:rsidR="003F74E1" w14:paraId="03CEC06D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047D0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Strzybnik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CBAC" w14:textId="094AAA65" w:rsidR="003F74E1" w:rsidRDefault="000B154B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FFB4FB" w14:textId="112F8E4F" w:rsidR="003F74E1" w:rsidRDefault="000B154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  <w:r w:rsidR="003F74E1">
              <w:rPr>
                <w:rFonts w:ascii="Arial" w:hAnsi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42</w:t>
            </w:r>
          </w:p>
        </w:tc>
      </w:tr>
      <w:tr w:rsidR="003F74E1" w14:paraId="3F72FABC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8D4C3" w14:textId="77777777" w:rsidR="003F74E1" w:rsidRDefault="003F74E1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Szonowice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2B8" w14:textId="71026494" w:rsidR="003F74E1" w:rsidRDefault="000B154B" w:rsidP="00115F26">
            <w:pPr>
              <w:suppressLineNumbers/>
              <w:jc w:val="center"/>
              <w:textAlignment w:val="baseline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9,87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C71B67" w14:textId="667287EF" w:rsidR="003F74E1" w:rsidRDefault="000B154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  <w:r w:rsidR="003F74E1">
              <w:rPr>
                <w:rFonts w:ascii="Arial" w:hAnsi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01</w:t>
            </w:r>
          </w:p>
        </w:tc>
      </w:tr>
      <w:tr w:rsidR="003F74E1" w14:paraId="0152D501" w14:textId="77777777" w:rsidTr="003F74E1">
        <w:trPr>
          <w:cantSplit/>
          <w:trHeight w:val="227"/>
        </w:trPr>
        <w:tc>
          <w:tcPr>
            <w:tcW w:w="3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9E09B" w14:textId="77777777" w:rsidR="003F74E1" w:rsidRDefault="003F74E1" w:rsidP="00115F26">
            <w:pPr>
              <w:suppressLineNumbers/>
              <w:jc w:val="right"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39D" w14:textId="0CA37004" w:rsidR="003F74E1" w:rsidRDefault="00F500F1" w:rsidP="00115F26">
            <w:pPr>
              <w:suppressLineNumbers/>
              <w:jc w:val="center"/>
              <w:textAlignment w:val="baseline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164,31</w:t>
            </w: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FA59C6" w14:textId="234FEFE6" w:rsidR="003F74E1" w:rsidRPr="00F500F1" w:rsidRDefault="00F500F1" w:rsidP="00115F26">
            <w:pPr>
              <w:suppressLineNumbers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500F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</w:tbl>
    <w:p w14:paraId="7D6B91C7" w14:textId="77777777" w:rsidR="00A77E4C" w:rsidRDefault="00A77E4C" w:rsidP="00A77E4C">
      <w:pPr>
        <w:rPr>
          <w:b/>
          <w:bCs/>
        </w:rPr>
      </w:pPr>
    </w:p>
    <w:p w14:paraId="19A6B50C" w14:textId="65348D1C" w:rsidR="007D11D6" w:rsidRDefault="007D11D6" w:rsidP="00A77E4C">
      <w:r w:rsidRPr="007D11D6">
        <w:t>Podane wyżej powierzchnie</w:t>
      </w:r>
      <w:r>
        <w:t xml:space="preserve"> ulegają ciągłym zmianom ze względu na:</w:t>
      </w:r>
    </w:p>
    <w:p w14:paraId="6E090E42" w14:textId="049F335F" w:rsidR="007D11D6" w:rsidRDefault="007D11D6" w:rsidP="00F2002E">
      <w:pPr>
        <w:jc w:val="both"/>
      </w:pPr>
      <w:r>
        <w:t xml:space="preserve">- przejęcia </w:t>
      </w:r>
      <w:r w:rsidR="00B700E5">
        <w:t>gruntów z mocy prawa na podstawie przepisów</w:t>
      </w:r>
      <w:r w:rsidR="002D7BDE">
        <w:t>:</w:t>
      </w:r>
      <w:r w:rsidR="00B700E5">
        <w:t xml:space="preserve"> wprowadzających ustawę o samorządzie terytorialnym i ustawę o pracownikach samorządowych, </w:t>
      </w:r>
      <w:r w:rsidR="00BC53BC">
        <w:t xml:space="preserve">ustawy o gospodarce nieruchomościami, </w:t>
      </w:r>
      <w:r w:rsidR="002D7BDE">
        <w:t>ustawy o gospodarowaniu nieruchomościami rolnymi Skarbu Państwa</w:t>
      </w:r>
      <w:r w:rsidR="003B0DD3">
        <w:t>, ustawy o szczególnych zasadach przygotowania i realizacji inwestycji w zakresie dróg publicznych</w:t>
      </w:r>
      <w:r w:rsidR="00ED1946">
        <w:t xml:space="preserve"> itd.</w:t>
      </w:r>
    </w:p>
    <w:p w14:paraId="737D073D" w14:textId="0D3257CC" w:rsidR="00ED1946" w:rsidRDefault="00ED1946" w:rsidP="00F2002E">
      <w:pPr>
        <w:jc w:val="both"/>
      </w:pPr>
      <w:r>
        <w:lastRenderedPageBreak/>
        <w:t>- zmiany powstałe w wyniku pomiarów geodezyjnych nieruchomości i aktualizacji zasobów geodezyjnych prowadzonych przez Starostwo Powiatowe w Raciborzu,</w:t>
      </w:r>
    </w:p>
    <w:p w14:paraId="58FCA815" w14:textId="23617609" w:rsidR="00ED1946" w:rsidRDefault="00ED1946" w:rsidP="00F2002E">
      <w:pPr>
        <w:jc w:val="both"/>
      </w:pPr>
      <w:r>
        <w:t>- sprzedaży, nabycia oraz zamiany nieruchomości na drodze cywilno – prawnej,</w:t>
      </w:r>
    </w:p>
    <w:p w14:paraId="4D2216DD" w14:textId="71B23696" w:rsidR="00ED1946" w:rsidRDefault="00ED1946" w:rsidP="00F2002E">
      <w:pPr>
        <w:jc w:val="both"/>
      </w:pPr>
      <w:r>
        <w:t>- darowizny nieruchomości,</w:t>
      </w:r>
    </w:p>
    <w:p w14:paraId="07D9AD37" w14:textId="73CBF472" w:rsidR="003A4A36" w:rsidRDefault="00ED1946" w:rsidP="00F2002E">
      <w:pPr>
        <w:jc w:val="both"/>
      </w:pPr>
      <w:r>
        <w:t>-</w:t>
      </w:r>
      <w:r w:rsidR="00F2002E">
        <w:t xml:space="preserve"> </w:t>
      </w:r>
      <w:r w:rsidR="003A4A36">
        <w:t>nieodpłatnego przeniesienia własności nieruchomości na podstawie ustawy o gospodarowaniu nieruchomościami rolnymi Skarbu Państwa,</w:t>
      </w:r>
    </w:p>
    <w:p w14:paraId="5C1F3457" w14:textId="5ACF07E4" w:rsidR="00ED1946" w:rsidRDefault="003A4A36" w:rsidP="00A77E4C">
      <w:r>
        <w:t xml:space="preserve">- </w:t>
      </w:r>
      <w:r w:rsidR="00ED1946">
        <w:t>zasiedzenia lub nabycia w drodze spadkobrania itp.</w:t>
      </w:r>
    </w:p>
    <w:p w14:paraId="4AC378CB" w14:textId="77777777" w:rsidR="00D0567F" w:rsidRPr="007D11D6" w:rsidRDefault="00D0567F" w:rsidP="00A77E4C"/>
    <w:p w14:paraId="1983D7E5" w14:textId="06703AD2" w:rsidR="002E2B66" w:rsidRDefault="002E2B66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ZESTAWIENIE NIERUCHOMOŚCI ODDANYCH W UŻYTKOWANIE WIECZYSTE</w:t>
      </w:r>
    </w:p>
    <w:p w14:paraId="7A09BC06" w14:textId="77777777" w:rsidR="00347F8B" w:rsidRPr="000C1120" w:rsidRDefault="00347F8B" w:rsidP="00347F8B">
      <w:pPr>
        <w:spacing w:line="360" w:lineRule="auto"/>
        <w:textAlignment w:val="baseline"/>
        <w:rPr>
          <w:rFonts w:cstheme="minorHAnsi"/>
        </w:rPr>
      </w:pPr>
      <w:r w:rsidRPr="000C1120">
        <w:rPr>
          <w:rFonts w:cstheme="minorHAnsi"/>
        </w:rPr>
        <w:t>Tereny które zostały oddane w użytkowanie wieczyste, stanowiące własność Gminy Rudnik: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3033"/>
        <w:gridCol w:w="3117"/>
        <w:gridCol w:w="2898"/>
      </w:tblGrid>
      <w:tr w:rsidR="00347F8B" w14:paraId="2E0BEB2B" w14:textId="77777777" w:rsidTr="00115F26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F378D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3025A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Działka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0046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6582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Powierzchnia [ha]</w:t>
            </w:r>
          </w:p>
        </w:tc>
      </w:tr>
      <w:tr w:rsidR="00347F8B" w14:paraId="3C183B55" w14:textId="77777777" w:rsidTr="00115F26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1A499A47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</w:tcPr>
          <w:p w14:paraId="14B05E7A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229/4, 228/4, 234/4 am.2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4D252923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Szonowice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141C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0,1465</w:t>
            </w:r>
          </w:p>
        </w:tc>
      </w:tr>
      <w:tr w:rsidR="00347F8B" w14:paraId="716A199A" w14:textId="77777777" w:rsidTr="00115F26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08A8F876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</w:tcPr>
          <w:p w14:paraId="55506C68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64/1, 64/5 am.1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095BABB3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Szonowice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44F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0,1405</w:t>
            </w:r>
          </w:p>
        </w:tc>
      </w:tr>
      <w:tr w:rsidR="00347F8B" w14:paraId="7D474F92" w14:textId="77777777" w:rsidTr="00115F26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0E651DE9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</w:tcPr>
          <w:p w14:paraId="58393BF3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337/4 am.3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6BDBDFC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Sławików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24D1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0,0600</w:t>
            </w:r>
          </w:p>
        </w:tc>
      </w:tr>
      <w:tr w:rsidR="00347F8B" w14:paraId="75F362EB" w14:textId="77777777" w:rsidTr="00115F26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33C49897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</w:tcPr>
          <w:p w14:paraId="181E98C6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192 am.2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68D79515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Szonowice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677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0,1250</w:t>
            </w:r>
          </w:p>
        </w:tc>
      </w:tr>
      <w:tr w:rsidR="00347F8B" w14:paraId="43BF1086" w14:textId="77777777" w:rsidTr="00115F26"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14:paraId="1526BA59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033" w:type="dxa"/>
            <w:tcBorders>
              <w:left w:val="single" w:sz="4" w:space="0" w:color="000000"/>
              <w:bottom w:val="single" w:sz="4" w:space="0" w:color="000000"/>
            </w:tcBorders>
          </w:tcPr>
          <w:p w14:paraId="09C7AE3E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761/5, 761/6 am.1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4C74460E" w14:textId="77777777" w:rsidR="00347F8B" w:rsidRDefault="00347F8B" w:rsidP="00115F26">
            <w:pPr>
              <w:suppressLineNumbers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Rudnik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7682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0,2812</w:t>
            </w:r>
          </w:p>
        </w:tc>
      </w:tr>
      <w:tr w:rsidR="00347F8B" w14:paraId="7B651574" w14:textId="77777777" w:rsidTr="00115F26">
        <w:tc>
          <w:tcPr>
            <w:tcW w:w="675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3E9C078" w14:textId="77777777" w:rsidR="00347F8B" w:rsidRDefault="00347F8B" w:rsidP="00115F26">
            <w:pPr>
              <w:suppressLineNumbers/>
              <w:jc w:val="right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2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82A1" w14:textId="77777777" w:rsidR="00347F8B" w:rsidRDefault="00347F8B" w:rsidP="00115F26">
            <w:pPr>
              <w:suppressLineNumbers/>
              <w:jc w:val="center"/>
              <w:textAlignment w:val="baseline"/>
            </w:pPr>
            <w:r>
              <w:rPr>
                <w:rFonts w:ascii="Arial" w:hAnsi="Arial"/>
                <w:color w:val="000000"/>
                <w:sz w:val="18"/>
                <w:szCs w:val="18"/>
              </w:rPr>
              <w:t>0,7532</w:t>
            </w:r>
          </w:p>
        </w:tc>
      </w:tr>
    </w:tbl>
    <w:p w14:paraId="276D73B8" w14:textId="77777777" w:rsidR="00D0567F" w:rsidRPr="00347F8B" w:rsidRDefault="00D0567F" w:rsidP="00347F8B">
      <w:pPr>
        <w:rPr>
          <w:b/>
          <w:bCs/>
        </w:rPr>
      </w:pPr>
    </w:p>
    <w:p w14:paraId="7025CE10" w14:textId="77777777" w:rsidR="00CF52EB" w:rsidRDefault="002E2B66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PROGNOZA </w:t>
      </w:r>
    </w:p>
    <w:p w14:paraId="64C31290" w14:textId="77777777" w:rsidR="00CF52EB" w:rsidRDefault="002E2B66" w:rsidP="00CF52EB">
      <w:pPr>
        <w:pStyle w:val="Akapitzlist"/>
        <w:numPr>
          <w:ilvl w:val="1"/>
          <w:numId w:val="3"/>
        </w:numPr>
        <w:rPr>
          <w:b/>
          <w:bCs/>
        </w:rPr>
      </w:pPr>
      <w:r w:rsidRPr="00CF52EB">
        <w:rPr>
          <w:b/>
          <w:bCs/>
        </w:rPr>
        <w:t>UDOSTĘPNIANI</w:t>
      </w:r>
      <w:r w:rsidR="00CF52EB">
        <w:rPr>
          <w:b/>
          <w:bCs/>
        </w:rPr>
        <w:t>E</w:t>
      </w:r>
      <w:r w:rsidRPr="00CF52EB">
        <w:rPr>
          <w:b/>
          <w:bCs/>
        </w:rPr>
        <w:t xml:space="preserve"> NIERUCHOMOŚCI ZASOBU </w:t>
      </w:r>
    </w:p>
    <w:p w14:paraId="3A1A0AA3" w14:textId="73EECAB8" w:rsidR="00CF52EB" w:rsidRDefault="00CF52EB" w:rsidP="00091736">
      <w:pPr>
        <w:jc w:val="both"/>
      </w:pPr>
      <w:r>
        <w:t xml:space="preserve">Udostępnianie nieruchomości z zasobu nieruchomości gminnych odbywa się w formie przetargowej i bezprzetargowej. Gmina </w:t>
      </w:r>
      <w:r w:rsidR="00593CE3">
        <w:t>Rudnik</w:t>
      </w:r>
      <w:r>
        <w:t xml:space="preserve"> posiada w swoim zasobie obszary, które w latach 2025-2028 przewidziane są do udostępnienia zarówno poprzez ich zbycie w tym zamianę, jak i wydzierżawienie, użyczenie, oddanie w trwały zarząd oraz obciążanie ograniczonymi prawami rzeczowymi. Z gminnego zasobu nieruchomości zbywaniu podlegają nieruchomości zgodnie z ich funkcją ustaloną w obowiązujących miejscowych planach zagospodarowania przestrzennego bądź wynikającą z wydanych ostatecznych decyzji o warunkach zabudowy i zagospodarowania terenu albo zakreśloną w studium uwarunkowań i kierunków zagospodarowania przestrzennego, które są zbędne do realizacji zadań własnych gminy. Wyłączeniu z obrotu podlegają nieruchomości gminne niezbędne do realizacji zadań własnych gminy, a w szczególności nieruchomości przewidziane pod obszary użyteczności publicznej, nieruchomości niezbędne do realizacji inwestycji gminnych, nieruchomości </w:t>
      </w:r>
      <w:r>
        <w:lastRenderedPageBreak/>
        <w:t xml:space="preserve">przeznaczone pod urządzenia infrastruktury technicznej i obiekty im towarzyszące, a także tereny komunikacji. Obciążanie nieruchomości zasobu ograniczonymi prawami rzeczowymi jak użytkowanie i służebności odbywa się głównie w celu zapewnienia możliwości realizacji przyłączeń nieruchomości sąsiadujących z nieruchomościami gminnymi wchodzącymi w skład zasobu do urządzeń infrastruktury technicznej oraz dostępu do dróg publicznych w przypadku braku możliwości bezpośredniego zapewnienia takiego dostępu. Udostępnianie nieruchomości z zasobu gminnego celem obciążania ich ograniczonymi prawami rzeczowymi jak użytkowanie i służebności odbywać się będzie w zależności od występującego zapotrzebowania na tego typu rozwiązania. </w:t>
      </w:r>
    </w:p>
    <w:p w14:paraId="32A67202" w14:textId="4B2F79CB" w:rsidR="00CF52EB" w:rsidRDefault="00CF52EB" w:rsidP="00091736">
      <w:pPr>
        <w:jc w:val="both"/>
      </w:pPr>
      <w:r>
        <w:t xml:space="preserve">W okresie prognozy przewiduje się udostępnianie z gminnego zasobu nieruchomości łącznie ok. </w:t>
      </w:r>
      <w:r w:rsidR="00E94577">
        <w:t>4,5</w:t>
      </w:r>
      <w:r>
        <w:t xml:space="preserve"> ha powierzchni nieruchomości gminnych przeznaczonych do zbycia sukcesywnie w ciągu 3 lat oraz około </w:t>
      </w:r>
      <w:r w:rsidR="00E94577">
        <w:t>4,4</w:t>
      </w:r>
      <w:r>
        <w:t xml:space="preserve"> ha powierzchni nieruchomości gminnych przeznaczonych do wydzierżawienia</w:t>
      </w:r>
      <w:r w:rsidR="006225B5">
        <w:t xml:space="preserve"> w trakcie obowiązywania niniejszego planu</w:t>
      </w:r>
      <w:r>
        <w:t xml:space="preserve">. </w:t>
      </w:r>
    </w:p>
    <w:p w14:paraId="640930AA" w14:textId="77777777" w:rsidR="00091736" w:rsidRDefault="00CF52EB" w:rsidP="00091736">
      <w:pPr>
        <w:jc w:val="both"/>
      </w:pPr>
      <w:r>
        <w:t xml:space="preserve">Nieruchomości z gminnego zasobu są udostępniane w formie dzierżawy na warunkach określanych każdorazowo w umowach. Przekazywanie gruntów gminnych do dzierżawy następuje w drodze przetargu lub w drodze bezprzetargowej na podstawie składanych wniosków – z uwzględnieniem zasad racjonalnej gospodarki nieruchomościami, a także zgody Rady Gminy w określonych w ustawie o gospodarce nieruchomościami przypadkach. Z uwagi na rolniczy charakter gminy, wiele nieruchomości oddawanych jest do dzierżawy na cele związane z </w:t>
      </w:r>
      <w:r w:rsidR="00091736">
        <w:t>rolnictwem, głównie pola uprawne przeznaczone do zasiewów</w:t>
      </w:r>
      <w:r>
        <w:t xml:space="preserve">. </w:t>
      </w:r>
    </w:p>
    <w:p w14:paraId="6341FB6C" w14:textId="17882184" w:rsidR="00CF52EB" w:rsidRDefault="00CF52EB" w:rsidP="00091736">
      <w:pPr>
        <w:jc w:val="both"/>
      </w:pPr>
      <w:r>
        <w:t>Udostępnianie nieruchomości gminnych z zasobu dokonywane będzie w ramach racjonalnego pozyskiwania środków finansowych niezbędnych na pokrycie kosztów wynikających z realizacji zadań rozwojowych gminy i jej zorganizowanej działalności, inwestycji, a także na realizację innych celów publicznych oraz w celu zaspokajania potrzeb społeczności lokalnej.</w:t>
      </w:r>
    </w:p>
    <w:p w14:paraId="2AF9E857" w14:textId="77777777" w:rsidR="007D0EF8" w:rsidRDefault="007D0EF8" w:rsidP="007D0EF8">
      <w:pPr>
        <w:jc w:val="both"/>
      </w:pPr>
      <w:r>
        <w:t xml:space="preserve">Wpływy związane z opłatami z tytułu udostępniania nieruchomości z gminnego zasobu nieruchomości uzależnione są w głównej mierze od wysokości czynszów z ich najmu bądź dzierżawy, a także od wysokości cen ich zbycia uzyskiwanych w trybie przetargowym lub ustalanych indywidualnie w trybie bezprzetargowym, nie mniej można założyć, że poziom wpływów będzie utrzymywał się na wysokości powyżej 120 000 zł rocznie. </w:t>
      </w:r>
    </w:p>
    <w:p w14:paraId="50531292" w14:textId="77777777" w:rsidR="007D0EF8" w:rsidRDefault="007D0EF8" w:rsidP="007D0EF8">
      <w:r>
        <w:t xml:space="preserve">Szacowane wpływy z tytułu udostępniania nieruchomości gminnych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89"/>
        <w:gridCol w:w="2009"/>
        <w:gridCol w:w="2079"/>
        <w:gridCol w:w="1547"/>
        <w:gridCol w:w="1943"/>
      </w:tblGrid>
      <w:tr w:rsidR="007D0EF8" w14:paraId="2F44C102" w14:textId="77777777" w:rsidTr="005D2A40">
        <w:tc>
          <w:tcPr>
            <w:tcW w:w="1489" w:type="dxa"/>
          </w:tcPr>
          <w:p w14:paraId="1DFC3F69" w14:textId="77777777" w:rsidR="007D0EF8" w:rsidRDefault="007D0EF8" w:rsidP="005D2A40">
            <w:pPr>
              <w:jc w:val="center"/>
            </w:pPr>
            <w:r>
              <w:t>ROK</w:t>
            </w:r>
          </w:p>
        </w:tc>
        <w:tc>
          <w:tcPr>
            <w:tcW w:w="2009" w:type="dxa"/>
          </w:tcPr>
          <w:p w14:paraId="711966D9" w14:textId="77777777" w:rsidR="007D0EF8" w:rsidRDefault="007D0EF8" w:rsidP="005D2A40">
            <w:pPr>
              <w:jc w:val="center"/>
            </w:pPr>
            <w:r>
              <w:t>Zbycie</w:t>
            </w:r>
          </w:p>
        </w:tc>
        <w:tc>
          <w:tcPr>
            <w:tcW w:w="2079" w:type="dxa"/>
          </w:tcPr>
          <w:p w14:paraId="768B8C83" w14:textId="77777777" w:rsidR="007D0EF8" w:rsidRDefault="007D0EF8" w:rsidP="005D2A40">
            <w:pPr>
              <w:jc w:val="center"/>
            </w:pPr>
            <w:r>
              <w:t>Dzierżawa</w:t>
            </w:r>
          </w:p>
        </w:tc>
        <w:tc>
          <w:tcPr>
            <w:tcW w:w="1547" w:type="dxa"/>
          </w:tcPr>
          <w:p w14:paraId="629A7D31" w14:textId="77777777" w:rsidR="007D0EF8" w:rsidRDefault="007D0EF8" w:rsidP="005D2A40">
            <w:pPr>
              <w:jc w:val="center"/>
            </w:pPr>
            <w:r>
              <w:t>Najem</w:t>
            </w:r>
          </w:p>
        </w:tc>
        <w:tc>
          <w:tcPr>
            <w:tcW w:w="1943" w:type="dxa"/>
          </w:tcPr>
          <w:p w14:paraId="5BC1A787" w14:textId="77777777" w:rsidR="007D0EF8" w:rsidRDefault="007D0EF8" w:rsidP="005D2A40">
            <w:pPr>
              <w:jc w:val="center"/>
            </w:pPr>
            <w:r>
              <w:t>Służebności</w:t>
            </w:r>
          </w:p>
        </w:tc>
      </w:tr>
      <w:tr w:rsidR="007D0EF8" w14:paraId="2412A7A2" w14:textId="77777777" w:rsidTr="005D2A40">
        <w:tc>
          <w:tcPr>
            <w:tcW w:w="1489" w:type="dxa"/>
          </w:tcPr>
          <w:p w14:paraId="7BAD30D5" w14:textId="77777777" w:rsidR="007D0EF8" w:rsidRDefault="007D0EF8" w:rsidP="005D2A40">
            <w:pPr>
              <w:jc w:val="center"/>
            </w:pPr>
            <w:r>
              <w:t>Grudzień 2025</w:t>
            </w:r>
          </w:p>
        </w:tc>
        <w:tc>
          <w:tcPr>
            <w:tcW w:w="2009" w:type="dxa"/>
          </w:tcPr>
          <w:p w14:paraId="3E3743AE" w14:textId="77777777" w:rsidR="007D0EF8" w:rsidRDefault="007D0EF8" w:rsidP="005D2A40">
            <w:pPr>
              <w:jc w:val="center"/>
            </w:pPr>
            <w:r>
              <w:t>4050,00 zł</w:t>
            </w:r>
          </w:p>
        </w:tc>
        <w:tc>
          <w:tcPr>
            <w:tcW w:w="2079" w:type="dxa"/>
          </w:tcPr>
          <w:p w14:paraId="692C3E0E" w14:textId="77777777" w:rsidR="007D0EF8" w:rsidRDefault="007D0EF8" w:rsidP="005D2A40">
            <w:pPr>
              <w:jc w:val="center"/>
            </w:pPr>
            <w:r>
              <w:t>0,00</w:t>
            </w:r>
          </w:p>
        </w:tc>
        <w:tc>
          <w:tcPr>
            <w:tcW w:w="1547" w:type="dxa"/>
          </w:tcPr>
          <w:p w14:paraId="615582BD" w14:textId="77777777" w:rsidR="007D0EF8" w:rsidRDefault="007D0EF8" w:rsidP="005D2A40">
            <w:pPr>
              <w:jc w:val="center"/>
            </w:pPr>
            <w:r>
              <w:t>4 000 zł</w:t>
            </w:r>
          </w:p>
        </w:tc>
        <w:tc>
          <w:tcPr>
            <w:tcW w:w="1943" w:type="dxa"/>
          </w:tcPr>
          <w:p w14:paraId="28857CD4" w14:textId="77777777" w:rsidR="007D0EF8" w:rsidRDefault="007D0EF8" w:rsidP="005D2A40">
            <w:pPr>
              <w:jc w:val="center"/>
            </w:pPr>
            <w:r>
              <w:t>0,00</w:t>
            </w:r>
          </w:p>
        </w:tc>
      </w:tr>
      <w:tr w:rsidR="007D0EF8" w14:paraId="7E5B0165" w14:textId="77777777" w:rsidTr="005D2A40">
        <w:tc>
          <w:tcPr>
            <w:tcW w:w="1489" w:type="dxa"/>
          </w:tcPr>
          <w:p w14:paraId="7AB5CACA" w14:textId="77777777" w:rsidR="007D0EF8" w:rsidRDefault="007D0EF8" w:rsidP="005D2A40">
            <w:pPr>
              <w:jc w:val="center"/>
            </w:pPr>
            <w:r>
              <w:t>2026</w:t>
            </w:r>
          </w:p>
        </w:tc>
        <w:tc>
          <w:tcPr>
            <w:tcW w:w="2009" w:type="dxa"/>
          </w:tcPr>
          <w:p w14:paraId="2B319887" w14:textId="77777777" w:rsidR="007D0EF8" w:rsidRDefault="007D0EF8" w:rsidP="005D2A40">
            <w:pPr>
              <w:jc w:val="center"/>
            </w:pPr>
            <w:r>
              <w:t>120 000 zł</w:t>
            </w:r>
          </w:p>
        </w:tc>
        <w:tc>
          <w:tcPr>
            <w:tcW w:w="2079" w:type="dxa"/>
          </w:tcPr>
          <w:p w14:paraId="28B5314F" w14:textId="77777777" w:rsidR="007D0EF8" w:rsidRDefault="007D0EF8" w:rsidP="005D2A40">
            <w:pPr>
              <w:jc w:val="center"/>
            </w:pPr>
            <w:r>
              <w:t>14 000 zł</w:t>
            </w:r>
          </w:p>
        </w:tc>
        <w:tc>
          <w:tcPr>
            <w:tcW w:w="1547" w:type="dxa"/>
          </w:tcPr>
          <w:p w14:paraId="4A317B5D" w14:textId="77777777" w:rsidR="007D0EF8" w:rsidRDefault="007D0EF8" w:rsidP="005D2A40">
            <w:pPr>
              <w:jc w:val="center"/>
            </w:pPr>
            <w:r>
              <w:t>47 000 zł</w:t>
            </w:r>
          </w:p>
        </w:tc>
        <w:tc>
          <w:tcPr>
            <w:tcW w:w="1943" w:type="dxa"/>
          </w:tcPr>
          <w:p w14:paraId="67568C8E" w14:textId="77777777" w:rsidR="007D0EF8" w:rsidRDefault="007D0EF8" w:rsidP="005D2A40">
            <w:pPr>
              <w:jc w:val="center"/>
            </w:pPr>
            <w:r>
              <w:t>500 zł</w:t>
            </w:r>
          </w:p>
        </w:tc>
      </w:tr>
      <w:tr w:rsidR="007D0EF8" w14:paraId="782BF771" w14:textId="77777777" w:rsidTr="005D2A40">
        <w:tc>
          <w:tcPr>
            <w:tcW w:w="1489" w:type="dxa"/>
          </w:tcPr>
          <w:p w14:paraId="0451696B" w14:textId="77777777" w:rsidR="007D0EF8" w:rsidRDefault="007D0EF8" w:rsidP="005D2A40">
            <w:pPr>
              <w:jc w:val="center"/>
            </w:pPr>
            <w:r>
              <w:t>2027</w:t>
            </w:r>
          </w:p>
        </w:tc>
        <w:tc>
          <w:tcPr>
            <w:tcW w:w="2009" w:type="dxa"/>
          </w:tcPr>
          <w:p w14:paraId="4245ECBC" w14:textId="77777777" w:rsidR="007D0EF8" w:rsidRDefault="007D0EF8" w:rsidP="005D2A40">
            <w:pPr>
              <w:jc w:val="center"/>
            </w:pPr>
            <w:r>
              <w:t>650 000 zł</w:t>
            </w:r>
          </w:p>
        </w:tc>
        <w:tc>
          <w:tcPr>
            <w:tcW w:w="2079" w:type="dxa"/>
          </w:tcPr>
          <w:p w14:paraId="0F97D15A" w14:textId="77777777" w:rsidR="007D0EF8" w:rsidRDefault="007D0EF8" w:rsidP="005D2A40">
            <w:pPr>
              <w:jc w:val="center"/>
            </w:pPr>
            <w:r>
              <w:t>20 000 zł</w:t>
            </w:r>
          </w:p>
        </w:tc>
        <w:tc>
          <w:tcPr>
            <w:tcW w:w="1547" w:type="dxa"/>
          </w:tcPr>
          <w:p w14:paraId="4E471022" w14:textId="77777777" w:rsidR="007D0EF8" w:rsidRDefault="007D0EF8" w:rsidP="005D2A40">
            <w:pPr>
              <w:jc w:val="center"/>
            </w:pPr>
            <w:r>
              <w:t>48 000 zł</w:t>
            </w:r>
          </w:p>
        </w:tc>
        <w:tc>
          <w:tcPr>
            <w:tcW w:w="1943" w:type="dxa"/>
          </w:tcPr>
          <w:p w14:paraId="1742C929" w14:textId="77777777" w:rsidR="007D0EF8" w:rsidRDefault="007D0EF8" w:rsidP="005D2A40">
            <w:pPr>
              <w:jc w:val="center"/>
            </w:pPr>
            <w:r>
              <w:t>0 zł</w:t>
            </w:r>
          </w:p>
        </w:tc>
      </w:tr>
      <w:tr w:rsidR="007D0EF8" w14:paraId="7C578ECA" w14:textId="77777777" w:rsidTr="005D2A40">
        <w:tc>
          <w:tcPr>
            <w:tcW w:w="1489" w:type="dxa"/>
          </w:tcPr>
          <w:p w14:paraId="49C0AA2E" w14:textId="77777777" w:rsidR="007D0EF8" w:rsidRDefault="007D0EF8" w:rsidP="005D2A40">
            <w:pPr>
              <w:jc w:val="center"/>
            </w:pPr>
            <w:r>
              <w:t>2028</w:t>
            </w:r>
          </w:p>
        </w:tc>
        <w:tc>
          <w:tcPr>
            <w:tcW w:w="2009" w:type="dxa"/>
          </w:tcPr>
          <w:p w14:paraId="7F4D7190" w14:textId="77777777" w:rsidR="007D0EF8" w:rsidRDefault="007D0EF8" w:rsidP="005D2A40">
            <w:pPr>
              <w:jc w:val="center"/>
            </w:pPr>
            <w:r>
              <w:t>1 000 000 zł</w:t>
            </w:r>
          </w:p>
        </w:tc>
        <w:tc>
          <w:tcPr>
            <w:tcW w:w="2079" w:type="dxa"/>
          </w:tcPr>
          <w:p w14:paraId="590A8CC2" w14:textId="77777777" w:rsidR="007D0EF8" w:rsidRDefault="007D0EF8" w:rsidP="005D2A40">
            <w:pPr>
              <w:jc w:val="center"/>
            </w:pPr>
            <w:r>
              <w:t>20 000 zł</w:t>
            </w:r>
          </w:p>
        </w:tc>
        <w:tc>
          <w:tcPr>
            <w:tcW w:w="1547" w:type="dxa"/>
          </w:tcPr>
          <w:p w14:paraId="04C6DA9A" w14:textId="77777777" w:rsidR="007D0EF8" w:rsidRDefault="007D0EF8" w:rsidP="005D2A40">
            <w:pPr>
              <w:jc w:val="center"/>
            </w:pPr>
            <w:r>
              <w:t>49 000 zł</w:t>
            </w:r>
          </w:p>
        </w:tc>
        <w:tc>
          <w:tcPr>
            <w:tcW w:w="1943" w:type="dxa"/>
          </w:tcPr>
          <w:p w14:paraId="5BBCFD8A" w14:textId="77777777" w:rsidR="007D0EF8" w:rsidRDefault="007D0EF8" w:rsidP="005D2A40">
            <w:pPr>
              <w:jc w:val="center"/>
            </w:pPr>
            <w:r>
              <w:t>0 zł</w:t>
            </w:r>
          </w:p>
        </w:tc>
      </w:tr>
    </w:tbl>
    <w:p w14:paraId="460DDEA8" w14:textId="77777777" w:rsidR="007D0EF8" w:rsidRDefault="007D0EF8" w:rsidP="007D0EF8">
      <w:r>
        <w:tab/>
      </w:r>
    </w:p>
    <w:p w14:paraId="1D23B5DD" w14:textId="77777777" w:rsidR="007D0EF8" w:rsidRDefault="007D0EF8" w:rsidP="007D0EF8">
      <w:pPr>
        <w:jc w:val="both"/>
      </w:pPr>
      <w:r>
        <w:lastRenderedPageBreak/>
        <w:t>Wzrost wpływów ze sprzedaży gruntów wynikać będzie z dążenia do zbywania zbędnych gminie gruntów, a w dużej mierze z sukcesywnego wydzielania działek z nieruchomości gminnych przewidzianych w planach miejscowych pod funkcje inne niż publiczne umożliwiając ich łatwiejsze i szybsze zbywanie, a także podnoszących ich wartość.</w:t>
      </w:r>
    </w:p>
    <w:p w14:paraId="7E04A929" w14:textId="77777777" w:rsidR="007D0EF8" w:rsidRDefault="007D0EF8" w:rsidP="007D0EF8">
      <w:pPr>
        <w:jc w:val="both"/>
      </w:pPr>
      <w:r>
        <w:t>Wzrost wpływów z dzierżaw w roku 2027r. w stosunku do roku 2026r. jest spowodowany, planowanym zawieraniem</w:t>
      </w:r>
      <w:r w:rsidRPr="00D45CE8">
        <w:t xml:space="preserve"> </w:t>
      </w:r>
      <w:r>
        <w:t>prawnych umów udostępniania i korzystania z nieruchomości gminnych, co ma doprowadzić w rezultacie do wykluczania procederu bezumownego korzystania z nieruchomości gminnych. Na wzrosty wpływów z dzierżaw w kolejnych latach będą miały wpływ postępowania komunalizacyjne i pozyskiwanie nowych gruntów rolnych Skarbu Państwa, które nabyte zostaną z mocy prawa. W związku z powyższym na dzień dzisiejszy nie prognozuje się wzrostu wpływów z tytułu dzierżaw w 2028r.</w:t>
      </w:r>
    </w:p>
    <w:p w14:paraId="13DA8DD9" w14:textId="10A2834A" w:rsidR="007D0EF8" w:rsidRDefault="007D0EF8" w:rsidP="007D0EF8">
      <w:pPr>
        <w:jc w:val="both"/>
      </w:pPr>
      <w:r>
        <w:t>Prognozowane wpływy z tytułu najmu nieruchomości pozostają na równomiernym poziomie, ze względu na niewielką ilość nieruchomości w gminnym zasobie nieruchomości, które mogłyby być przedmiotem najmu. Minimalne wzrosty wpływów z najmu są podyktowane wpisanymi w umowach wskaźnikami waloryzacyjnymi, które są przeliczane na początku każdego roku, natomiast są to niewielkie wartości. W związku z powyższym na dzień dzisiejszy nie przewiduje się wynajęcia kolejnych nieruchomości – gruntów.</w:t>
      </w:r>
    </w:p>
    <w:p w14:paraId="06CBE83C" w14:textId="77777777" w:rsidR="00D0567F" w:rsidRPr="00CF52EB" w:rsidRDefault="00D0567F" w:rsidP="00091736">
      <w:pPr>
        <w:jc w:val="both"/>
        <w:rPr>
          <w:b/>
          <w:bCs/>
        </w:rPr>
      </w:pPr>
    </w:p>
    <w:p w14:paraId="38DD6A7C" w14:textId="25D9B99F" w:rsidR="002E2B66" w:rsidRDefault="002E2B66" w:rsidP="00CF52EB">
      <w:pPr>
        <w:pStyle w:val="Akapitzlist"/>
        <w:numPr>
          <w:ilvl w:val="1"/>
          <w:numId w:val="3"/>
        </w:numPr>
        <w:rPr>
          <w:b/>
          <w:bCs/>
        </w:rPr>
      </w:pPr>
      <w:r w:rsidRPr="00CF52EB">
        <w:rPr>
          <w:b/>
          <w:bCs/>
        </w:rPr>
        <w:t>NABYWANI</w:t>
      </w:r>
      <w:r w:rsidR="00CF52EB">
        <w:rPr>
          <w:b/>
          <w:bCs/>
        </w:rPr>
        <w:t>E</w:t>
      </w:r>
      <w:r w:rsidRPr="00CF52EB">
        <w:rPr>
          <w:b/>
          <w:bCs/>
        </w:rPr>
        <w:t xml:space="preserve"> NIERUCHOMOŚCI DO ZASOBU</w:t>
      </w:r>
    </w:p>
    <w:p w14:paraId="607F303C" w14:textId="4862D5A3" w:rsidR="00091736" w:rsidRPr="00091736" w:rsidRDefault="00091736" w:rsidP="00EB2BA6">
      <w:pPr>
        <w:jc w:val="both"/>
      </w:pPr>
      <w:r w:rsidRPr="00091736">
        <w:t>Nabywanie nieruchomości do zasobu gminnego podyktowane jest głównie uporządkowaniem faktycznego stanu użytkowania nieruchomości, a także pozyskiwaniem gruntów pod inwestycje gminne związane z usługami publicznymi i budową infrastruktury technicznej niezbędną mieszkańcom gminy.</w:t>
      </w:r>
    </w:p>
    <w:p w14:paraId="1E44D38E" w14:textId="1F843833" w:rsidR="00091736" w:rsidRDefault="00091736" w:rsidP="00EB2BA6">
      <w:pPr>
        <w:jc w:val="both"/>
      </w:pPr>
      <w:r>
        <w:t>W latach 2025-2028 planowane jest dalsze pozyskiwanie do zasobu nieruchomości Gminy Rudnik praw do nieruchomości stanowiących bądź przewidzianych pod układy komunikacyjne, pod urządzenia infrastruktury technicznej, inne cele publiczne wynikające z zadań własnych gminy oraz nieruchomości przewidzianych na cele rozwojowe gminy. W okresie prognozy przewiduje się nabycie do gminnego zasobu nieruchomości przewidzianych lub zajętych pod w/w cele i funkcje gruntów, których łączna powierzchnia wynosić będzie ok.</w:t>
      </w:r>
      <w:r w:rsidR="00E05DD3">
        <w:t xml:space="preserve"> 7,5</w:t>
      </w:r>
      <w:r>
        <w:t xml:space="preserve"> ha </w:t>
      </w:r>
      <w:r w:rsidR="00E05DD3">
        <w:t>w trakcie obowiązywania niniejszego planu</w:t>
      </w:r>
      <w:r>
        <w:t xml:space="preserve">, a których nabycie dokonywane będzie w ramach racjonalnego gospodarowania środkami finansowymi przeznaczonymi na powiększanie zasobu przewidzianymi w budżecie Gminy w poszczególnych latach prognozy. </w:t>
      </w:r>
    </w:p>
    <w:p w14:paraId="777F0517" w14:textId="7308FD21" w:rsidR="00091736" w:rsidRDefault="00091736" w:rsidP="00EB2BA6">
      <w:pPr>
        <w:jc w:val="both"/>
      </w:pPr>
      <w:r>
        <w:t>W latach 2025-2028, planowane jest podejmowanie działań dążących do nieodpłatnego nabycia nieruchomości z Krajowego Ośrodka Wsparcia Rolnictwa, a w szczególności:</w:t>
      </w:r>
    </w:p>
    <w:p w14:paraId="226CF4EF" w14:textId="7653C6A1" w:rsidR="00467922" w:rsidRDefault="00091736" w:rsidP="00EB2BA6">
      <w:pPr>
        <w:jc w:val="both"/>
      </w:pPr>
      <w:r>
        <w:t xml:space="preserve">- nieruchomości położonej w Szonowicach dz. nr </w:t>
      </w:r>
      <w:r w:rsidR="00467922">
        <w:t>7/12 a.m.</w:t>
      </w:r>
      <w:r w:rsidR="00EB2BA6">
        <w:t xml:space="preserve"> </w:t>
      </w:r>
      <w:r w:rsidR="00467922">
        <w:t>4 na której położony jest pałac wraz z obejściem – parkiem,</w:t>
      </w:r>
    </w:p>
    <w:p w14:paraId="739AE204" w14:textId="594DAB0A" w:rsidR="00EB2BA6" w:rsidRDefault="00EB2BA6" w:rsidP="00EB2BA6">
      <w:pPr>
        <w:jc w:val="both"/>
      </w:pPr>
      <w:r>
        <w:t>- terenów pod realizację ogólnopolskiej trasy rowerowej Blue-Velo</w:t>
      </w:r>
    </w:p>
    <w:p w14:paraId="4ED08AC2" w14:textId="14058CA4" w:rsidR="00467922" w:rsidRDefault="008901E5" w:rsidP="00EB2BA6">
      <w:pPr>
        <w:jc w:val="both"/>
      </w:pPr>
      <w:r>
        <w:lastRenderedPageBreak/>
        <w:t>- terenu położonego przy pałacu i parku w Sławikowie – działki nr 337/21 a.m.3 obręb Sławików o pow. 1,1650 ha</w:t>
      </w:r>
      <w:r w:rsidR="00467922">
        <w:t>.</w:t>
      </w:r>
    </w:p>
    <w:p w14:paraId="5C54DEE7" w14:textId="38849DC1" w:rsidR="00F23A88" w:rsidRDefault="00F23A88" w:rsidP="00EB2BA6">
      <w:pPr>
        <w:jc w:val="both"/>
      </w:pPr>
      <w:r>
        <w:t>Do końca 2028r. gmina będzie prowadziła inwestycj</w:t>
      </w:r>
      <w:r w:rsidR="00EB2BA6">
        <w:t>ę</w:t>
      </w:r>
      <w:r>
        <w:t xml:space="preserve"> związaną z budową ogólnopolskiej trasy rowerowej Blue – Velo, przy okazji której planowane jest nabycie</w:t>
      </w:r>
      <w:r w:rsidR="00091736">
        <w:t xml:space="preserve"> do zasobu nieruchomości </w:t>
      </w:r>
      <w:r>
        <w:t>gminnych gruntów</w:t>
      </w:r>
      <w:r w:rsidR="00091736">
        <w:t xml:space="preserve"> </w:t>
      </w:r>
      <w:r w:rsidR="00EB2BA6">
        <w:t xml:space="preserve">od osób fizycznych </w:t>
      </w:r>
      <w:r w:rsidR="00091736">
        <w:t xml:space="preserve">na podstawie decyzji ZRID. </w:t>
      </w:r>
    </w:p>
    <w:p w14:paraId="240FB38D" w14:textId="44E357B2" w:rsidR="00D0567F" w:rsidRPr="00D216C1" w:rsidRDefault="00F23A88" w:rsidP="00EB2BA6">
      <w:pPr>
        <w:jc w:val="both"/>
      </w:pPr>
      <w:r>
        <w:t>Dość częstą praktyką gminy jest nabywane do zasobu n</w:t>
      </w:r>
      <w:r w:rsidR="00091736">
        <w:t xml:space="preserve">ieruchomości </w:t>
      </w:r>
      <w:r>
        <w:t>poprzez</w:t>
      </w:r>
      <w:r w:rsidR="00091736">
        <w:t xml:space="preserve"> zamian</w:t>
      </w:r>
      <w:r>
        <w:t>ę</w:t>
      </w:r>
      <w:r w:rsidR="00091736">
        <w:t xml:space="preserve"> </w:t>
      </w:r>
      <w:r>
        <w:t xml:space="preserve">zbędnych </w:t>
      </w:r>
      <w:r w:rsidR="00091736">
        <w:t xml:space="preserve">nieruchomości gminnych na inne </w:t>
      </w:r>
      <w:r>
        <w:t xml:space="preserve">potrzebne tereny </w:t>
      </w:r>
      <w:r w:rsidR="00091736">
        <w:t>na cele gospodarki gminy.</w:t>
      </w:r>
    </w:p>
    <w:p w14:paraId="1DF71740" w14:textId="7FBAEE5C" w:rsidR="002E2B66" w:rsidRDefault="002E2B66" w:rsidP="00677B0A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PROGNOZA POZIOMU WYDATKÓW ZWIĄZANYCH Z UDOSTĘPNIENIEM NIERUCHOMOŚCI ZASOBU ORAZ NABYWANIEM NIERUCHOMOŚCI DO ZASOBU.</w:t>
      </w:r>
    </w:p>
    <w:p w14:paraId="53C9FDE8" w14:textId="3FA4CB0B" w:rsidR="007D0EF8" w:rsidRPr="007D0EF8" w:rsidRDefault="007D0EF8" w:rsidP="007D0EF8">
      <w:pPr>
        <w:ind w:left="360"/>
        <w:jc w:val="both"/>
        <w:rPr>
          <w:b/>
          <w:bCs/>
        </w:rPr>
      </w:pPr>
      <w:r>
        <w:rPr>
          <w:b/>
          <w:bCs/>
        </w:rPr>
        <w:t>5.1. Prognoza poziomu wydatków związanych z udostępnianiem nieruchomości zasobu.</w:t>
      </w:r>
    </w:p>
    <w:p w14:paraId="2CCE8CFC" w14:textId="23116F5E" w:rsidR="00FD471E" w:rsidRDefault="00FD471E" w:rsidP="00EB2BA6">
      <w:pPr>
        <w:jc w:val="both"/>
      </w:pPr>
      <w:r>
        <w:t>Wydatki związane z udostępnianiem nieruchomości z gminnego zasobu nieruchomości uzależnione są od przyznanych środków w budżecie Gminy na poszczególne lata objęte prognozą, a także od wielkości kosztów zewnętrznych związanych z tym udostępnianiem (np. ogłoszeń prasowych, obsługi nieruchomości, podziału i wycen nieruchomości</w:t>
      </w:r>
      <w:r w:rsidR="00840BD8">
        <w:t>, zmian w księgach wieczystych, pozyskiwaniem dokumentów geodezyjnych</w:t>
      </w:r>
      <w:r>
        <w:t xml:space="preserve"> itp.). Nie mniej można założyć, że prognozowane wydatki będą utrzymywały się na dotychczasowym poziomie. </w:t>
      </w:r>
    </w:p>
    <w:p w14:paraId="6690C536" w14:textId="20D1C187" w:rsidR="00FD471E" w:rsidRDefault="00840BD8" w:rsidP="00FD471E">
      <w:r>
        <w:t>Prognoz</w:t>
      </w:r>
      <w:r w:rsidR="00FD471E">
        <w:t>owane wydatki związane z udostępnianiem nieruchomości gminnych: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59"/>
        <w:gridCol w:w="1746"/>
        <w:gridCol w:w="1906"/>
        <w:gridCol w:w="1783"/>
        <w:gridCol w:w="1773"/>
      </w:tblGrid>
      <w:tr w:rsidR="00531987" w14:paraId="0AF3A832" w14:textId="674E0486" w:rsidTr="007D0EF8">
        <w:tc>
          <w:tcPr>
            <w:tcW w:w="1859" w:type="dxa"/>
          </w:tcPr>
          <w:p w14:paraId="191D22B8" w14:textId="42994E2E" w:rsidR="0046308F" w:rsidRDefault="0046308F" w:rsidP="0046308F">
            <w:pPr>
              <w:jc w:val="center"/>
            </w:pPr>
            <w:r>
              <w:t>Rok</w:t>
            </w:r>
          </w:p>
        </w:tc>
        <w:tc>
          <w:tcPr>
            <w:tcW w:w="1746" w:type="dxa"/>
          </w:tcPr>
          <w:p w14:paraId="3A70B537" w14:textId="69348494" w:rsidR="0046308F" w:rsidRDefault="0046308F" w:rsidP="0046308F">
            <w:pPr>
              <w:jc w:val="center"/>
            </w:pPr>
            <w:r>
              <w:t>Grudzień 2025</w:t>
            </w:r>
          </w:p>
        </w:tc>
        <w:tc>
          <w:tcPr>
            <w:tcW w:w="1906" w:type="dxa"/>
          </w:tcPr>
          <w:p w14:paraId="0DC9A50B" w14:textId="33C9EFBE" w:rsidR="0046308F" w:rsidRDefault="0046308F" w:rsidP="0046308F">
            <w:pPr>
              <w:jc w:val="center"/>
            </w:pPr>
            <w:r>
              <w:t>2026</w:t>
            </w:r>
          </w:p>
        </w:tc>
        <w:tc>
          <w:tcPr>
            <w:tcW w:w="1783" w:type="dxa"/>
          </w:tcPr>
          <w:p w14:paraId="0BCD5ED2" w14:textId="0333495A" w:rsidR="0046308F" w:rsidRDefault="0046308F" w:rsidP="0046308F">
            <w:pPr>
              <w:jc w:val="center"/>
            </w:pPr>
            <w:r>
              <w:t>2027</w:t>
            </w:r>
          </w:p>
        </w:tc>
        <w:tc>
          <w:tcPr>
            <w:tcW w:w="1773" w:type="dxa"/>
          </w:tcPr>
          <w:p w14:paraId="60BB4284" w14:textId="6191AAE7" w:rsidR="0046308F" w:rsidRDefault="0046308F" w:rsidP="0046308F">
            <w:pPr>
              <w:jc w:val="center"/>
            </w:pPr>
            <w:r>
              <w:t>2028</w:t>
            </w:r>
          </w:p>
        </w:tc>
      </w:tr>
      <w:tr w:rsidR="00531987" w14:paraId="27B2F0A4" w14:textId="2BB8075F" w:rsidTr="007D0EF8">
        <w:tc>
          <w:tcPr>
            <w:tcW w:w="1859" w:type="dxa"/>
          </w:tcPr>
          <w:p w14:paraId="4088470D" w14:textId="4C5454E6" w:rsidR="0046308F" w:rsidRDefault="0046308F" w:rsidP="00FD471E">
            <w:r>
              <w:t xml:space="preserve">Opracowanie operatów szacunkowych </w:t>
            </w:r>
          </w:p>
        </w:tc>
        <w:tc>
          <w:tcPr>
            <w:tcW w:w="1746" w:type="dxa"/>
          </w:tcPr>
          <w:p w14:paraId="1268894A" w14:textId="0B02FC7D" w:rsidR="0046308F" w:rsidRDefault="0046308F" w:rsidP="00E2552F">
            <w:pPr>
              <w:jc w:val="center"/>
            </w:pPr>
            <w:r>
              <w:t>2 000 zł</w:t>
            </w:r>
          </w:p>
        </w:tc>
        <w:tc>
          <w:tcPr>
            <w:tcW w:w="1906" w:type="dxa"/>
          </w:tcPr>
          <w:p w14:paraId="471AA31A" w14:textId="70241D49" w:rsidR="0046308F" w:rsidRDefault="00EA399B" w:rsidP="00E2552F">
            <w:pPr>
              <w:jc w:val="center"/>
            </w:pPr>
            <w:r>
              <w:t>4</w:t>
            </w:r>
            <w:r w:rsidR="0046308F">
              <w:t> 000 zł</w:t>
            </w:r>
          </w:p>
        </w:tc>
        <w:tc>
          <w:tcPr>
            <w:tcW w:w="1783" w:type="dxa"/>
          </w:tcPr>
          <w:p w14:paraId="63EFED11" w14:textId="3DF42CA0" w:rsidR="0046308F" w:rsidRDefault="0046308F" w:rsidP="00E2552F">
            <w:pPr>
              <w:jc w:val="center"/>
            </w:pPr>
            <w:r>
              <w:t>5 000 zł</w:t>
            </w:r>
          </w:p>
        </w:tc>
        <w:tc>
          <w:tcPr>
            <w:tcW w:w="1773" w:type="dxa"/>
          </w:tcPr>
          <w:p w14:paraId="0666901A" w14:textId="52B66025" w:rsidR="0046308F" w:rsidRDefault="0046308F" w:rsidP="00E2552F">
            <w:pPr>
              <w:jc w:val="center"/>
            </w:pPr>
            <w:r>
              <w:t>6 000 zł</w:t>
            </w:r>
          </w:p>
        </w:tc>
      </w:tr>
      <w:tr w:rsidR="00531987" w14:paraId="5E97D2DA" w14:textId="5F7F722A" w:rsidTr="007D0EF8">
        <w:tc>
          <w:tcPr>
            <w:tcW w:w="1859" w:type="dxa"/>
          </w:tcPr>
          <w:p w14:paraId="16C68A17" w14:textId="339459C4" w:rsidR="0046308F" w:rsidRDefault="0046308F" w:rsidP="00FD471E">
            <w:r>
              <w:t xml:space="preserve">Dokumenty </w:t>
            </w:r>
            <w:r w:rsidR="006A51BB">
              <w:t xml:space="preserve">i pomiary </w:t>
            </w:r>
            <w:r>
              <w:t>geodezyjne</w:t>
            </w:r>
          </w:p>
        </w:tc>
        <w:tc>
          <w:tcPr>
            <w:tcW w:w="1746" w:type="dxa"/>
          </w:tcPr>
          <w:p w14:paraId="5543B374" w14:textId="1629C83F" w:rsidR="0046308F" w:rsidRDefault="009D3A39" w:rsidP="0046308F">
            <w:pPr>
              <w:jc w:val="center"/>
            </w:pPr>
            <w:r>
              <w:t>4</w:t>
            </w:r>
            <w:r w:rsidR="0046308F">
              <w:t> 500 zł</w:t>
            </w:r>
          </w:p>
        </w:tc>
        <w:tc>
          <w:tcPr>
            <w:tcW w:w="1906" w:type="dxa"/>
          </w:tcPr>
          <w:p w14:paraId="59AC44E8" w14:textId="65C69440" w:rsidR="0046308F" w:rsidRDefault="00EA399B" w:rsidP="0046308F">
            <w:pPr>
              <w:jc w:val="center"/>
            </w:pPr>
            <w:r>
              <w:t>2</w:t>
            </w:r>
            <w:r w:rsidR="0046308F">
              <w:t xml:space="preserve">0 000 zł </w:t>
            </w:r>
          </w:p>
        </w:tc>
        <w:tc>
          <w:tcPr>
            <w:tcW w:w="1783" w:type="dxa"/>
          </w:tcPr>
          <w:p w14:paraId="40DC6D18" w14:textId="3A6A3FA7" w:rsidR="0046308F" w:rsidRDefault="00EA399B" w:rsidP="00E2552F">
            <w:pPr>
              <w:jc w:val="center"/>
            </w:pPr>
            <w:r>
              <w:t>2</w:t>
            </w:r>
            <w:r w:rsidR="0046308F">
              <w:t>5 000 zł</w:t>
            </w:r>
          </w:p>
        </w:tc>
        <w:tc>
          <w:tcPr>
            <w:tcW w:w="1773" w:type="dxa"/>
          </w:tcPr>
          <w:p w14:paraId="63521260" w14:textId="65BDC7A6" w:rsidR="0046308F" w:rsidRDefault="00EA399B" w:rsidP="00E2552F">
            <w:pPr>
              <w:jc w:val="center"/>
            </w:pPr>
            <w:r>
              <w:t>2</w:t>
            </w:r>
            <w:r w:rsidR="0046308F">
              <w:t>5 000 zł</w:t>
            </w:r>
          </w:p>
        </w:tc>
      </w:tr>
      <w:tr w:rsidR="00531987" w14:paraId="3F9D737B" w14:textId="69F9B587" w:rsidTr="007D0EF8">
        <w:tc>
          <w:tcPr>
            <w:tcW w:w="1859" w:type="dxa"/>
          </w:tcPr>
          <w:p w14:paraId="0180D735" w14:textId="2A80540A" w:rsidR="0046308F" w:rsidRDefault="0046308F" w:rsidP="00FD471E">
            <w:r>
              <w:t>Publikacje w prasie</w:t>
            </w:r>
          </w:p>
        </w:tc>
        <w:tc>
          <w:tcPr>
            <w:tcW w:w="1746" w:type="dxa"/>
          </w:tcPr>
          <w:p w14:paraId="6B6F722A" w14:textId="117041AD" w:rsidR="0046308F" w:rsidRDefault="0046308F" w:rsidP="0046308F">
            <w:pPr>
              <w:jc w:val="center"/>
            </w:pPr>
            <w:r>
              <w:t>100 zł</w:t>
            </w:r>
          </w:p>
        </w:tc>
        <w:tc>
          <w:tcPr>
            <w:tcW w:w="1906" w:type="dxa"/>
          </w:tcPr>
          <w:p w14:paraId="46CCAFD8" w14:textId="6117F55D" w:rsidR="0046308F" w:rsidRDefault="0046308F" w:rsidP="0046308F">
            <w:pPr>
              <w:jc w:val="center"/>
            </w:pPr>
            <w:r>
              <w:t>1 000 zł</w:t>
            </w:r>
          </w:p>
        </w:tc>
        <w:tc>
          <w:tcPr>
            <w:tcW w:w="1783" w:type="dxa"/>
          </w:tcPr>
          <w:p w14:paraId="3582D606" w14:textId="04892150" w:rsidR="0046308F" w:rsidRDefault="0046308F" w:rsidP="00E2552F">
            <w:pPr>
              <w:jc w:val="center"/>
            </w:pPr>
            <w:r>
              <w:t>1 000 zł</w:t>
            </w:r>
          </w:p>
        </w:tc>
        <w:tc>
          <w:tcPr>
            <w:tcW w:w="1773" w:type="dxa"/>
          </w:tcPr>
          <w:p w14:paraId="77598057" w14:textId="0E58B975" w:rsidR="0046308F" w:rsidRDefault="0046308F" w:rsidP="00E2552F">
            <w:pPr>
              <w:jc w:val="center"/>
            </w:pPr>
            <w:r>
              <w:t>1 000 zł</w:t>
            </w:r>
          </w:p>
        </w:tc>
      </w:tr>
      <w:tr w:rsidR="00531987" w14:paraId="34681A78" w14:textId="77777777" w:rsidTr="007D0EF8">
        <w:tc>
          <w:tcPr>
            <w:tcW w:w="1859" w:type="dxa"/>
          </w:tcPr>
          <w:p w14:paraId="163AB84C" w14:textId="6868CB98" w:rsidR="0046308F" w:rsidRDefault="0046308F" w:rsidP="00FD471E">
            <w:r>
              <w:t>Pozostałe koszty</w:t>
            </w:r>
          </w:p>
        </w:tc>
        <w:tc>
          <w:tcPr>
            <w:tcW w:w="1746" w:type="dxa"/>
          </w:tcPr>
          <w:p w14:paraId="65BCEBC9" w14:textId="62BA835A" w:rsidR="0046308F" w:rsidRDefault="0046308F" w:rsidP="0046308F">
            <w:pPr>
              <w:jc w:val="center"/>
            </w:pPr>
            <w:r>
              <w:t>1 000 zł</w:t>
            </w:r>
          </w:p>
        </w:tc>
        <w:tc>
          <w:tcPr>
            <w:tcW w:w="1906" w:type="dxa"/>
          </w:tcPr>
          <w:p w14:paraId="1BAE765B" w14:textId="3A4ACD4E" w:rsidR="0046308F" w:rsidRDefault="0067420A" w:rsidP="0046308F">
            <w:pPr>
              <w:jc w:val="center"/>
            </w:pPr>
            <w:r>
              <w:t>8</w:t>
            </w:r>
            <w:r w:rsidR="0046308F">
              <w:t> 000 zł</w:t>
            </w:r>
          </w:p>
        </w:tc>
        <w:tc>
          <w:tcPr>
            <w:tcW w:w="1783" w:type="dxa"/>
          </w:tcPr>
          <w:p w14:paraId="0EFF4FF6" w14:textId="21D2FF91" w:rsidR="0046308F" w:rsidRDefault="0067420A" w:rsidP="00E2552F">
            <w:pPr>
              <w:jc w:val="center"/>
            </w:pPr>
            <w:r>
              <w:t>8</w:t>
            </w:r>
            <w:r w:rsidR="0046308F">
              <w:t> 000 zł</w:t>
            </w:r>
          </w:p>
        </w:tc>
        <w:tc>
          <w:tcPr>
            <w:tcW w:w="1773" w:type="dxa"/>
          </w:tcPr>
          <w:p w14:paraId="73AB4E1B" w14:textId="6D6E233F" w:rsidR="0046308F" w:rsidRDefault="0067420A" w:rsidP="00E2552F">
            <w:pPr>
              <w:jc w:val="center"/>
            </w:pPr>
            <w:r>
              <w:t>8</w:t>
            </w:r>
            <w:r w:rsidR="0046308F">
              <w:t> 000 zł</w:t>
            </w:r>
          </w:p>
        </w:tc>
      </w:tr>
    </w:tbl>
    <w:p w14:paraId="68710AE6" w14:textId="77777777" w:rsidR="00182337" w:rsidRDefault="00182337" w:rsidP="00FD471E"/>
    <w:p w14:paraId="169EEED3" w14:textId="07275E94" w:rsidR="00EA399B" w:rsidRDefault="00EA399B" w:rsidP="00B97E3F">
      <w:pPr>
        <w:jc w:val="both"/>
      </w:pPr>
      <w:r w:rsidRPr="00EA399B">
        <w:rPr>
          <w:b/>
          <w:bCs/>
        </w:rPr>
        <w:t>5.2.</w:t>
      </w:r>
      <w:r>
        <w:t xml:space="preserve"> </w:t>
      </w:r>
      <w:r>
        <w:rPr>
          <w:b/>
          <w:bCs/>
        </w:rPr>
        <w:t>Prognoza poziomu wydatków związanych</w:t>
      </w:r>
      <w:r>
        <w:rPr>
          <w:b/>
          <w:bCs/>
        </w:rPr>
        <w:t xml:space="preserve"> z nabywaniem nieruchomości do zasobu.</w:t>
      </w:r>
    </w:p>
    <w:p w14:paraId="6253BCE3" w14:textId="457E3AB4" w:rsidR="00FD471E" w:rsidRDefault="00FD471E" w:rsidP="00B97E3F">
      <w:pPr>
        <w:jc w:val="both"/>
      </w:pPr>
      <w:r>
        <w:t xml:space="preserve">Szacuje się, że wydatki dotyczące udostępniania gruntów gminnych kształtować się będą na dotychczasowym poziomie, z uwzględnieniem jedynie wzrostu cen usług na rynku. </w:t>
      </w:r>
      <w:r w:rsidRPr="00B97E3F">
        <w:t xml:space="preserve">Wielkość wydatków na </w:t>
      </w:r>
      <w:r w:rsidR="00885BB3" w:rsidRPr="00B97E3F">
        <w:t>przybli</w:t>
      </w:r>
      <w:r w:rsidRPr="00B97E3F">
        <w:t xml:space="preserve">żonym poziomie związana jest z obserwowaną stałą ilością wydawanych decyzji administracyjnych oraz postępowań ugodowych, na podstawie których następuje przejęcie przez Gminę </w:t>
      </w:r>
      <w:r w:rsidR="00EB2BA6" w:rsidRPr="00B97E3F">
        <w:t>Rudnik</w:t>
      </w:r>
      <w:r w:rsidRPr="00B97E3F">
        <w:t xml:space="preserve"> nieruchomości przewidzianych pod gminne funkcje publiczne (w tym między innymi wydawanych w trybie ustawy o gospodarce nieruchomościami, negocjacji, rokowań itp.), a tym samym wynikać będzie z utrzymania na dotychczasowym poziomie kosztów związanych z obsługą procedur o odszkodowania i należności na rzecz osób posiadających prawa do pozyskiwanych nieruchomości, ujawnianiem praw do pozyskiwanych </w:t>
      </w:r>
      <w:r w:rsidRPr="00B97E3F">
        <w:lastRenderedPageBreak/>
        <w:t xml:space="preserve">nieruchomości w księgach wieczystych i ewidencji gruntów, kosztami dokumentacji związanej z pozyskiwaniem nieruchomości (w tym koszty operatów szacunkowych, koszty dokumentacji geodezyjnej i ewidencyjnej, koszty podziałów, koszty postępowań sądowych itp.). Planowane do realizacji nabycie gruntów w każdym roku uwzględniane jest w budżecie gminy oraz dodatkowo wykazane w Wieloletniej Prognozie </w:t>
      </w:r>
      <w:r w:rsidR="006A51BB">
        <w:t>F</w:t>
      </w:r>
      <w:r w:rsidRPr="00B97E3F">
        <w:t xml:space="preserve">inansowej. </w:t>
      </w:r>
      <w:r w:rsidRPr="003F3262">
        <w:t>Dodatkowo, na podstawie decyzji ZRID oraz postępowań dotyczących wysokości odszkodowań za wywłaszczenie nieruchomości gmina</w:t>
      </w:r>
      <w:r w:rsidR="00B97E3F" w:rsidRPr="003F3262">
        <w:t>, a także na podstawie wydanych decyzji podziałowych i związanych z tym odszkodowań za przejęcie z mocy prawa gruntów przeznaczonych pod drogi publiczne</w:t>
      </w:r>
      <w:r w:rsidRPr="003F3262">
        <w:t xml:space="preserve"> zobowiązana jest do wypłaty odszkodowań na rzecz osób fizycznych i osób prawnych. Szacuje się, że wydatki związane z nabyciem nieruchomości do gminnego zasobu </w:t>
      </w:r>
      <w:r w:rsidR="003F3262">
        <w:t>nie powinny przekroczyć</w:t>
      </w:r>
      <w:r w:rsidRPr="003F3262">
        <w:t xml:space="preserve"> </w:t>
      </w:r>
      <w:r w:rsidR="003F3262">
        <w:t>2</w:t>
      </w:r>
      <w:r w:rsidR="000E3AEA">
        <w:t>5</w:t>
      </w:r>
      <w:r w:rsidRPr="003F3262">
        <w:t>0</w:t>
      </w:r>
      <w:r w:rsidR="003F3262">
        <w:t> </w:t>
      </w:r>
      <w:r w:rsidRPr="003F3262">
        <w:t>000</w:t>
      </w:r>
      <w:r w:rsidR="003F3262">
        <w:t xml:space="preserve"> </w:t>
      </w:r>
      <w:r w:rsidRPr="003F3262">
        <w:t>zł rocznie</w:t>
      </w:r>
      <w:r w:rsidR="003F3262">
        <w:t>,</w:t>
      </w:r>
      <w:r w:rsidRPr="003F3262">
        <w:t xml:space="preserve"> </w:t>
      </w:r>
      <w:r w:rsidRPr="00B97E3F">
        <w:t xml:space="preserve">natomiast wypłata odszkodowań </w:t>
      </w:r>
      <w:r w:rsidR="00B97E3F" w:rsidRPr="00B97E3F">
        <w:t xml:space="preserve">nie </w:t>
      </w:r>
      <w:r w:rsidRPr="00B97E3F">
        <w:t xml:space="preserve">powinna </w:t>
      </w:r>
      <w:r w:rsidR="00B97E3F" w:rsidRPr="00B97E3F">
        <w:t xml:space="preserve">przekroczyć </w:t>
      </w:r>
      <w:r w:rsidRPr="00B97E3F">
        <w:t xml:space="preserve"> </w:t>
      </w:r>
      <w:r w:rsidR="000E3AEA">
        <w:t>7</w:t>
      </w:r>
      <w:r w:rsidRPr="00B97E3F">
        <w:t>0</w:t>
      </w:r>
      <w:r w:rsidR="00B97E3F" w:rsidRPr="00B97E3F">
        <w:t> </w:t>
      </w:r>
      <w:r w:rsidRPr="00B97E3F">
        <w:t>000</w:t>
      </w:r>
      <w:r w:rsidR="00B97E3F" w:rsidRPr="00B97E3F">
        <w:t xml:space="preserve"> </w:t>
      </w:r>
      <w:r w:rsidRPr="00B97E3F">
        <w:t>zł rocznie. Ewentualne zwiększenie danych wydatków może być spowodowanie ogólnym wzrostem wartości nieruchomości na rynku.</w:t>
      </w:r>
      <w:r w:rsidR="003F3262">
        <w:t xml:space="preserve"> Znaczne różnice wykazane w prognozowanych wartościach planowanych do nabycia gruntów wynikają głównie z lokalizacji tych nieruchomości, a co za tym idzie z ich przeznaczeniem w miejscowych planach zagospodarowania przestrzennego</w:t>
      </w:r>
      <w:r w:rsidR="000E3AEA">
        <w:t>, a także z powierzchni działek planowanych do nabycia w poszczególnych latach</w:t>
      </w:r>
      <w:r w:rsidR="003F3262">
        <w:t>.</w:t>
      </w:r>
      <w:r w:rsidR="000E3AEA">
        <w:t xml:space="preserve"> Na 2028r. na dzień dzisiejszy nie zaplanowano żadnych nabyć gruntów, natomiast w kolejnych latach mogą nastąpić przesunięcia </w:t>
      </w:r>
      <w:r w:rsidR="00D216C1">
        <w:t>pomiędzy latami 2027 - 2028, ze względu na wymagane przeprowadzenie postępowań administracyjnych, prowadzących do wydzielenia części działek, niezbędnych gminie do realizacji celów publicznych.</w:t>
      </w:r>
    </w:p>
    <w:p w14:paraId="0E961D54" w14:textId="563189BF" w:rsidR="00EA399B" w:rsidRPr="00B97E3F" w:rsidRDefault="00EA399B" w:rsidP="00EA399B">
      <w:r>
        <w:t xml:space="preserve">Prognozowane wydatki związane z </w:t>
      </w:r>
      <w:r>
        <w:t>nabywaniem</w:t>
      </w:r>
      <w:r>
        <w:t xml:space="preserve"> nieruchomości </w:t>
      </w:r>
      <w:r>
        <w:t>do zasobu</w:t>
      </w:r>
      <w: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59"/>
        <w:gridCol w:w="1747"/>
        <w:gridCol w:w="1908"/>
        <w:gridCol w:w="1785"/>
        <w:gridCol w:w="1768"/>
      </w:tblGrid>
      <w:tr w:rsidR="007D0EF8" w14:paraId="4E754154" w14:textId="77777777" w:rsidTr="00EB7567">
        <w:tc>
          <w:tcPr>
            <w:tcW w:w="1859" w:type="dxa"/>
          </w:tcPr>
          <w:p w14:paraId="6158F040" w14:textId="77777777" w:rsidR="007D0EF8" w:rsidRDefault="007D0EF8" w:rsidP="005D2A40">
            <w:pPr>
              <w:jc w:val="center"/>
            </w:pPr>
            <w:r>
              <w:t>Rok</w:t>
            </w:r>
          </w:p>
        </w:tc>
        <w:tc>
          <w:tcPr>
            <w:tcW w:w="1747" w:type="dxa"/>
          </w:tcPr>
          <w:p w14:paraId="2C05B732" w14:textId="77777777" w:rsidR="007D0EF8" w:rsidRDefault="007D0EF8" w:rsidP="005D2A40">
            <w:pPr>
              <w:jc w:val="center"/>
            </w:pPr>
            <w:r>
              <w:t>Grudzień 2025</w:t>
            </w:r>
          </w:p>
        </w:tc>
        <w:tc>
          <w:tcPr>
            <w:tcW w:w="1908" w:type="dxa"/>
          </w:tcPr>
          <w:p w14:paraId="7251BAE0" w14:textId="77777777" w:rsidR="007D0EF8" w:rsidRDefault="007D0EF8" w:rsidP="005D2A40">
            <w:pPr>
              <w:jc w:val="center"/>
            </w:pPr>
            <w:r>
              <w:t>2026</w:t>
            </w:r>
          </w:p>
        </w:tc>
        <w:tc>
          <w:tcPr>
            <w:tcW w:w="1785" w:type="dxa"/>
          </w:tcPr>
          <w:p w14:paraId="447B08AE" w14:textId="77777777" w:rsidR="007D0EF8" w:rsidRDefault="007D0EF8" w:rsidP="005D2A40">
            <w:pPr>
              <w:jc w:val="center"/>
            </w:pPr>
            <w:r>
              <w:t>2027</w:t>
            </w:r>
          </w:p>
        </w:tc>
        <w:tc>
          <w:tcPr>
            <w:tcW w:w="1768" w:type="dxa"/>
          </w:tcPr>
          <w:p w14:paraId="3F08C4DE" w14:textId="77777777" w:rsidR="007D0EF8" w:rsidRDefault="007D0EF8" w:rsidP="005D2A40">
            <w:pPr>
              <w:jc w:val="center"/>
            </w:pPr>
            <w:r>
              <w:t>2028</w:t>
            </w:r>
          </w:p>
        </w:tc>
      </w:tr>
      <w:tr w:rsidR="007D0EF8" w14:paraId="05B482D4" w14:textId="77777777" w:rsidTr="00EB7567">
        <w:tc>
          <w:tcPr>
            <w:tcW w:w="1859" w:type="dxa"/>
          </w:tcPr>
          <w:p w14:paraId="035814B4" w14:textId="77777777" w:rsidR="007D0EF8" w:rsidRDefault="007D0EF8" w:rsidP="005D2A40">
            <w:r>
              <w:t>Prognozowana wartość planowanych do nabycia nieruchomości</w:t>
            </w:r>
          </w:p>
        </w:tc>
        <w:tc>
          <w:tcPr>
            <w:tcW w:w="1747" w:type="dxa"/>
          </w:tcPr>
          <w:p w14:paraId="651EE10E" w14:textId="77777777" w:rsidR="007D0EF8" w:rsidRDefault="007D0EF8" w:rsidP="005D2A40">
            <w:pPr>
              <w:jc w:val="center"/>
            </w:pPr>
            <w:r>
              <w:t>0 zł</w:t>
            </w:r>
          </w:p>
        </w:tc>
        <w:tc>
          <w:tcPr>
            <w:tcW w:w="1908" w:type="dxa"/>
          </w:tcPr>
          <w:p w14:paraId="6CACC19B" w14:textId="77777777" w:rsidR="007D0EF8" w:rsidRDefault="007D0EF8" w:rsidP="005D2A40">
            <w:pPr>
              <w:jc w:val="center"/>
            </w:pPr>
            <w:r>
              <w:t>35 000 zł</w:t>
            </w:r>
          </w:p>
        </w:tc>
        <w:tc>
          <w:tcPr>
            <w:tcW w:w="1785" w:type="dxa"/>
          </w:tcPr>
          <w:p w14:paraId="3A8C4A40" w14:textId="77777777" w:rsidR="007D0EF8" w:rsidRDefault="007D0EF8" w:rsidP="005D2A40">
            <w:pPr>
              <w:jc w:val="center"/>
            </w:pPr>
            <w:r>
              <w:t>250 000 zł</w:t>
            </w:r>
          </w:p>
        </w:tc>
        <w:tc>
          <w:tcPr>
            <w:tcW w:w="1768" w:type="dxa"/>
          </w:tcPr>
          <w:p w14:paraId="3309454E" w14:textId="77777777" w:rsidR="007D0EF8" w:rsidRDefault="007D0EF8" w:rsidP="005D2A40">
            <w:pPr>
              <w:jc w:val="center"/>
            </w:pPr>
            <w:r>
              <w:t>0 zł</w:t>
            </w:r>
          </w:p>
        </w:tc>
      </w:tr>
      <w:tr w:rsidR="007D0EF8" w14:paraId="3193CD71" w14:textId="77777777" w:rsidTr="00EB7567">
        <w:tc>
          <w:tcPr>
            <w:tcW w:w="1859" w:type="dxa"/>
          </w:tcPr>
          <w:p w14:paraId="790BA90C" w14:textId="77777777" w:rsidR="007D0EF8" w:rsidRDefault="007D0EF8" w:rsidP="005D2A40">
            <w:r>
              <w:t>Wydzierżawienie gruntów pod planowane inwestycje</w:t>
            </w:r>
          </w:p>
        </w:tc>
        <w:tc>
          <w:tcPr>
            <w:tcW w:w="1747" w:type="dxa"/>
          </w:tcPr>
          <w:p w14:paraId="4F612DBD" w14:textId="77777777" w:rsidR="007D0EF8" w:rsidRDefault="007D0EF8" w:rsidP="005D2A40">
            <w:pPr>
              <w:jc w:val="center"/>
            </w:pPr>
            <w:r>
              <w:t>0 zł</w:t>
            </w:r>
          </w:p>
        </w:tc>
        <w:tc>
          <w:tcPr>
            <w:tcW w:w="1908" w:type="dxa"/>
          </w:tcPr>
          <w:p w14:paraId="5E249994" w14:textId="77777777" w:rsidR="007D0EF8" w:rsidRDefault="007D0EF8" w:rsidP="005D2A40">
            <w:pPr>
              <w:jc w:val="center"/>
            </w:pPr>
            <w:r>
              <w:t>3 000 zł</w:t>
            </w:r>
          </w:p>
        </w:tc>
        <w:tc>
          <w:tcPr>
            <w:tcW w:w="1785" w:type="dxa"/>
          </w:tcPr>
          <w:p w14:paraId="3D24AE83" w14:textId="77777777" w:rsidR="007D0EF8" w:rsidRDefault="007D0EF8" w:rsidP="005D2A40">
            <w:pPr>
              <w:jc w:val="center"/>
            </w:pPr>
            <w:r>
              <w:t>3 000 zł</w:t>
            </w:r>
          </w:p>
        </w:tc>
        <w:tc>
          <w:tcPr>
            <w:tcW w:w="1768" w:type="dxa"/>
          </w:tcPr>
          <w:p w14:paraId="4347B912" w14:textId="77777777" w:rsidR="007D0EF8" w:rsidRDefault="007D0EF8" w:rsidP="005D2A40">
            <w:pPr>
              <w:jc w:val="center"/>
            </w:pPr>
            <w:r>
              <w:t>3 000 zł</w:t>
            </w:r>
          </w:p>
        </w:tc>
      </w:tr>
      <w:tr w:rsidR="00EB7567" w14:paraId="67D63613" w14:textId="77777777" w:rsidTr="00EB7567">
        <w:tc>
          <w:tcPr>
            <w:tcW w:w="1859" w:type="dxa"/>
          </w:tcPr>
          <w:p w14:paraId="76977C91" w14:textId="6B115D5B" w:rsidR="00EB7567" w:rsidRDefault="00EB7567" w:rsidP="005D2A40">
            <w:r>
              <w:t>Koszty notarialne</w:t>
            </w:r>
          </w:p>
        </w:tc>
        <w:tc>
          <w:tcPr>
            <w:tcW w:w="1747" w:type="dxa"/>
          </w:tcPr>
          <w:p w14:paraId="2C92C0E3" w14:textId="368DAB6F" w:rsidR="00EB7567" w:rsidRDefault="00EB7567" w:rsidP="005D2A40">
            <w:pPr>
              <w:jc w:val="center"/>
            </w:pPr>
            <w:r>
              <w:t>0 zł</w:t>
            </w:r>
          </w:p>
        </w:tc>
        <w:tc>
          <w:tcPr>
            <w:tcW w:w="1908" w:type="dxa"/>
          </w:tcPr>
          <w:p w14:paraId="14FE81D6" w14:textId="69BE8CC8" w:rsidR="00EB7567" w:rsidRDefault="00EB7567" w:rsidP="005D2A40">
            <w:pPr>
              <w:jc w:val="center"/>
            </w:pPr>
            <w:r>
              <w:t>15 000 zł</w:t>
            </w:r>
          </w:p>
        </w:tc>
        <w:tc>
          <w:tcPr>
            <w:tcW w:w="1785" w:type="dxa"/>
          </w:tcPr>
          <w:p w14:paraId="02C79928" w14:textId="16A53EDB" w:rsidR="00EB7567" w:rsidRDefault="00EB7567" w:rsidP="005D2A40">
            <w:pPr>
              <w:jc w:val="center"/>
            </w:pPr>
            <w:r>
              <w:t>15 000 zł</w:t>
            </w:r>
          </w:p>
        </w:tc>
        <w:tc>
          <w:tcPr>
            <w:tcW w:w="1768" w:type="dxa"/>
          </w:tcPr>
          <w:p w14:paraId="3E4B3FAA" w14:textId="55FBB31E" w:rsidR="00EB7567" w:rsidRDefault="00EB7567" w:rsidP="005D2A40">
            <w:pPr>
              <w:jc w:val="center"/>
            </w:pPr>
            <w:r>
              <w:t>15 000 zł</w:t>
            </w:r>
          </w:p>
        </w:tc>
      </w:tr>
      <w:tr w:rsidR="00EB7567" w14:paraId="68FB4620" w14:textId="77777777" w:rsidTr="00EB7567">
        <w:tc>
          <w:tcPr>
            <w:tcW w:w="1859" w:type="dxa"/>
          </w:tcPr>
          <w:p w14:paraId="1AA8A863" w14:textId="0FFB65EB" w:rsidR="00EB7567" w:rsidRDefault="00D36145" w:rsidP="005D2A40">
            <w:r>
              <w:t>Prognozowana wartość odszkodowań</w:t>
            </w:r>
          </w:p>
        </w:tc>
        <w:tc>
          <w:tcPr>
            <w:tcW w:w="1747" w:type="dxa"/>
          </w:tcPr>
          <w:p w14:paraId="535093EA" w14:textId="31E6BB73" w:rsidR="00EB7567" w:rsidRDefault="00D36145" w:rsidP="005D2A40">
            <w:pPr>
              <w:jc w:val="center"/>
            </w:pPr>
            <w:r>
              <w:t>0 zł</w:t>
            </w:r>
          </w:p>
        </w:tc>
        <w:tc>
          <w:tcPr>
            <w:tcW w:w="1908" w:type="dxa"/>
          </w:tcPr>
          <w:p w14:paraId="55474974" w14:textId="24DE8078" w:rsidR="00EB7567" w:rsidRDefault="00D36145" w:rsidP="005D2A40">
            <w:pPr>
              <w:jc w:val="center"/>
            </w:pPr>
            <w:r>
              <w:t>60 000 zł</w:t>
            </w:r>
          </w:p>
        </w:tc>
        <w:tc>
          <w:tcPr>
            <w:tcW w:w="1785" w:type="dxa"/>
          </w:tcPr>
          <w:p w14:paraId="2AD9D1FD" w14:textId="20D80D3C" w:rsidR="00EB7567" w:rsidRDefault="00D36145" w:rsidP="005D2A40">
            <w:pPr>
              <w:jc w:val="center"/>
            </w:pPr>
            <w:r>
              <w:t>70 000 zł</w:t>
            </w:r>
          </w:p>
        </w:tc>
        <w:tc>
          <w:tcPr>
            <w:tcW w:w="1768" w:type="dxa"/>
          </w:tcPr>
          <w:p w14:paraId="0159B181" w14:textId="31B78B5B" w:rsidR="00EB7567" w:rsidRDefault="00D36145" w:rsidP="005D2A40">
            <w:pPr>
              <w:jc w:val="center"/>
            </w:pPr>
            <w:r>
              <w:t>50 000 zł</w:t>
            </w:r>
          </w:p>
        </w:tc>
      </w:tr>
      <w:tr w:rsidR="00EA399B" w14:paraId="1A6451C9" w14:textId="77777777" w:rsidTr="00EB7567">
        <w:tc>
          <w:tcPr>
            <w:tcW w:w="1859" w:type="dxa"/>
          </w:tcPr>
          <w:p w14:paraId="350E401C" w14:textId="7E2CA81D" w:rsidR="00EA399B" w:rsidRDefault="00EA399B" w:rsidP="005D2A40">
            <w:r>
              <w:t>Opracowanie operatów szacunkowych</w:t>
            </w:r>
          </w:p>
        </w:tc>
        <w:tc>
          <w:tcPr>
            <w:tcW w:w="1747" w:type="dxa"/>
          </w:tcPr>
          <w:p w14:paraId="7EBE53E0" w14:textId="4150216B" w:rsidR="00EA399B" w:rsidRDefault="00EA399B" w:rsidP="005D2A40">
            <w:pPr>
              <w:jc w:val="center"/>
            </w:pPr>
            <w:r>
              <w:t>0 zł</w:t>
            </w:r>
          </w:p>
        </w:tc>
        <w:tc>
          <w:tcPr>
            <w:tcW w:w="1908" w:type="dxa"/>
          </w:tcPr>
          <w:p w14:paraId="66A4B32E" w14:textId="61A915C2" w:rsidR="00EA399B" w:rsidRDefault="00EA399B" w:rsidP="005D2A40">
            <w:pPr>
              <w:jc w:val="center"/>
            </w:pPr>
            <w:r>
              <w:t>2 000 zł</w:t>
            </w:r>
          </w:p>
        </w:tc>
        <w:tc>
          <w:tcPr>
            <w:tcW w:w="1785" w:type="dxa"/>
          </w:tcPr>
          <w:p w14:paraId="577AE0D3" w14:textId="37942812" w:rsidR="00EA399B" w:rsidRDefault="00EA399B" w:rsidP="005D2A40">
            <w:pPr>
              <w:jc w:val="center"/>
            </w:pPr>
            <w:r>
              <w:t>2 000 zł</w:t>
            </w:r>
          </w:p>
        </w:tc>
        <w:tc>
          <w:tcPr>
            <w:tcW w:w="1768" w:type="dxa"/>
          </w:tcPr>
          <w:p w14:paraId="200FD4D2" w14:textId="2B23F07C" w:rsidR="00EA399B" w:rsidRDefault="00EA399B" w:rsidP="005D2A40">
            <w:pPr>
              <w:jc w:val="center"/>
            </w:pPr>
            <w:r>
              <w:t>2 000 zł</w:t>
            </w:r>
          </w:p>
        </w:tc>
      </w:tr>
      <w:tr w:rsidR="00EA399B" w14:paraId="452C68F1" w14:textId="77777777" w:rsidTr="00EB7567">
        <w:tc>
          <w:tcPr>
            <w:tcW w:w="1859" w:type="dxa"/>
          </w:tcPr>
          <w:p w14:paraId="65C2C765" w14:textId="353CD421" w:rsidR="00EA399B" w:rsidRDefault="00EA399B" w:rsidP="005D2A40">
            <w:r>
              <w:t>Dokumenty i pomiary geodezyjne</w:t>
            </w:r>
          </w:p>
        </w:tc>
        <w:tc>
          <w:tcPr>
            <w:tcW w:w="1747" w:type="dxa"/>
          </w:tcPr>
          <w:p w14:paraId="7C684834" w14:textId="7F0D04E8" w:rsidR="00EA399B" w:rsidRDefault="009D3A39" w:rsidP="005D2A40">
            <w:pPr>
              <w:jc w:val="center"/>
            </w:pPr>
            <w:r>
              <w:t>5 000 zł</w:t>
            </w:r>
          </w:p>
        </w:tc>
        <w:tc>
          <w:tcPr>
            <w:tcW w:w="1908" w:type="dxa"/>
          </w:tcPr>
          <w:p w14:paraId="47A6DCEA" w14:textId="4CF7C861" w:rsidR="00EA399B" w:rsidRDefault="009D3A39" w:rsidP="005D2A40">
            <w:pPr>
              <w:jc w:val="center"/>
            </w:pPr>
            <w:r>
              <w:t>20 000 zł</w:t>
            </w:r>
          </w:p>
        </w:tc>
        <w:tc>
          <w:tcPr>
            <w:tcW w:w="1785" w:type="dxa"/>
          </w:tcPr>
          <w:p w14:paraId="6775D7BE" w14:textId="0009566A" w:rsidR="00EA399B" w:rsidRDefault="009D3A39" w:rsidP="005D2A40">
            <w:pPr>
              <w:jc w:val="center"/>
            </w:pPr>
            <w:r>
              <w:t>25 000 zł</w:t>
            </w:r>
          </w:p>
        </w:tc>
        <w:tc>
          <w:tcPr>
            <w:tcW w:w="1768" w:type="dxa"/>
          </w:tcPr>
          <w:p w14:paraId="2EE292F4" w14:textId="4BD09348" w:rsidR="00EA399B" w:rsidRDefault="009D3A39" w:rsidP="005D2A40">
            <w:pPr>
              <w:jc w:val="center"/>
            </w:pPr>
            <w:r>
              <w:t>25 000 zł</w:t>
            </w:r>
          </w:p>
        </w:tc>
      </w:tr>
      <w:tr w:rsidR="009D3A39" w14:paraId="5AA1CB31" w14:textId="77777777" w:rsidTr="00EB7567">
        <w:tc>
          <w:tcPr>
            <w:tcW w:w="1859" w:type="dxa"/>
          </w:tcPr>
          <w:p w14:paraId="0A0C2C30" w14:textId="0BFD0254" w:rsidR="009D3A39" w:rsidRDefault="009D3A39" w:rsidP="005D2A40">
            <w:r>
              <w:t>Pozostałe koszty</w:t>
            </w:r>
          </w:p>
        </w:tc>
        <w:tc>
          <w:tcPr>
            <w:tcW w:w="1747" w:type="dxa"/>
          </w:tcPr>
          <w:p w14:paraId="1007EC61" w14:textId="0E1430AF" w:rsidR="009D3A39" w:rsidRDefault="0067420A" w:rsidP="0067420A">
            <w:pPr>
              <w:pStyle w:val="Akapitzlist"/>
            </w:pPr>
            <w:r>
              <w:t>500 zł</w:t>
            </w:r>
          </w:p>
        </w:tc>
        <w:tc>
          <w:tcPr>
            <w:tcW w:w="1908" w:type="dxa"/>
          </w:tcPr>
          <w:p w14:paraId="1B040EE5" w14:textId="6E17A9F0" w:rsidR="009D3A39" w:rsidRDefault="0067420A" w:rsidP="0067420A">
            <w:pPr>
              <w:pStyle w:val="Akapitzlist"/>
            </w:pPr>
            <w:r>
              <w:t xml:space="preserve">2 </w:t>
            </w:r>
            <w:r w:rsidR="009D3A39">
              <w:t>000 zł</w:t>
            </w:r>
          </w:p>
        </w:tc>
        <w:tc>
          <w:tcPr>
            <w:tcW w:w="1785" w:type="dxa"/>
          </w:tcPr>
          <w:p w14:paraId="05BC2FE0" w14:textId="158102C6" w:rsidR="009D3A39" w:rsidRDefault="0067420A" w:rsidP="0067420A">
            <w:pPr>
              <w:pStyle w:val="Akapitzlist"/>
            </w:pPr>
            <w:r>
              <w:t xml:space="preserve">2 </w:t>
            </w:r>
            <w:r w:rsidR="009D3A39">
              <w:t>000 zł</w:t>
            </w:r>
          </w:p>
        </w:tc>
        <w:tc>
          <w:tcPr>
            <w:tcW w:w="1768" w:type="dxa"/>
          </w:tcPr>
          <w:p w14:paraId="1F855F32" w14:textId="3858AFFD" w:rsidR="009D3A39" w:rsidRDefault="0067420A" w:rsidP="0067420A">
            <w:pPr>
              <w:pStyle w:val="Akapitzlist"/>
              <w:jc w:val="center"/>
            </w:pPr>
            <w:r>
              <w:t xml:space="preserve">2 </w:t>
            </w:r>
            <w:r w:rsidR="009D3A39">
              <w:t>000 zł</w:t>
            </w:r>
          </w:p>
        </w:tc>
      </w:tr>
    </w:tbl>
    <w:p w14:paraId="4BC3485A" w14:textId="0C2B17EB" w:rsidR="002E2B66" w:rsidRPr="009D3A39" w:rsidRDefault="002E2B66" w:rsidP="009D3A39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9D3A39">
        <w:rPr>
          <w:b/>
          <w:bCs/>
        </w:rPr>
        <w:lastRenderedPageBreak/>
        <w:t>PROGNOZA WYDATKÓW OSIĄGANYCH Z OPŁAT Z TYTUŁU U</w:t>
      </w:r>
      <w:r w:rsidR="000D6CD4" w:rsidRPr="009D3A39">
        <w:rPr>
          <w:b/>
          <w:bCs/>
        </w:rPr>
        <w:t>Ż</w:t>
      </w:r>
      <w:r w:rsidRPr="009D3A39">
        <w:rPr>
          <w:b/>
          <w:bCs/>
        </w:rPr>
        <w:t>YTKOWANIA WIECZYSTEGO NIERUCHOMOŚCI, OPŁAT Z TYTUŁU PRZEKSZTAŁCENIA PRAWA UŻYTKOWANIA WIECZYSTEGO W PRAWO WŁASNOŚCI ORAZ OPŁAT Z TYTUŁU TRWAŁEGO ZARZĄDU NIERUCHOMOŚCI</w:t>
      </w:r>
    </w:p>
    <w:p w14:paraId="4A3DB58D" w14:textId="77777777" w:rsidR="00F11562" w:rsidRDefault="00E56DE5" w:rsidP="000D6CD4">
      <w:pPr>
        <w:jc w:val="both"/>
      </w:pPr>
      <w:r>
        <w:t xml:space="preserve">Nieruchomości stanowiące własność Gminy </w:t>
      </w:r>
      <w:r w:rsidR="000D6CD4">
        <w:t>Rudnik</w:t>
      </w:r>
      <w:r>
        <w:t xml:space="preserve"> oddane w użytkowanie wieczyste stanowią ok. </w:t>
      </w:r>
      <w:r w:rsidR="000D6CD4">
        <w:t xml:space="preserve">0,46 </w:t>
      </w:r>
      <w:r>
        <w:t xml:space="preserve">% ogólnej powierzchni nieruchomości Gminy </w:t>
      </w:r>
      <w:r w:rsidR="000D6CD4">
        <w:t>Rudnik</w:t>
      </w:r>
      <w:r>
        <w:t xml:space="preserve">. W obecnej chwili przeprowadzana jest weryfikacja trwających umów użytkowania wieczystego w zakresie zasadności i prawidłowości trwania obowiązujących stawek procentowych opłat z tytułu użytkowania wieczystego, a także prowadzona jest weryfikacja nieruchomości, co do których aktualizacja opłat rocznych z tytułu użytkowania wieczystego jest możliwa i zasadna (ze względu na znaczny upływ czasu), a także </w:t>
      </w:r>
      <w:r w:rsidR="000D6CD4">
        <w:t>w latach 2026-2027 planuje się prze</w:t>
      </w:r>
      <w:r>
        <w:t>prowadz</w:t>
      </w:r>
      <w:r w:rsidR="000D6CD4">
        <w:t>e</w:t>
      </w:r>
      <w:r>
        <w:t>n</w:t>
      </w:r>
      <w:r w:rsidR="000D6CD4">
        <w:t>i</w:t>
      </w:r>
      <w:r>
        <w:t xml:space="preserve">e postępowania w zakresie wypowiedzenia wysokości dotychczasowej opłaty rocznej. </w:t>
      </w:r>
    </w:p>
    <w:p w14:paraId="20DC85CF" w14:textId="147AE8B2" w:rsidR="000D6CD4" w:rsidRDefault="00E56DE5" w:rsidP="000D6CD4">
      <w:pPr>
        <w:jc w:val="both"/>
      </w:pPr>
      <w:r>
        <w:t xml:space="preserve">W przypadku nieruchomości gminnych wchodzących w skład zasobu, co do których ustanowiony został trwały zarząd, tytuł ten przysługuje jednostkom organizacyjnym samorządu terytorialnego głównie związanym ze świadczeniem usług oświaty, a tym samym nieruchomości gminne udostępniane są tu nieodpłatnie. </w:t>
      </w:r>
    </w:p>
    <w:p w14:paraId="4DDECD57" w14:textId="2D5EC948" w:rsidR="000D6CD4" w:rsidRPr="00807E5E" w:rsidRDefault="000D6CD4" w:rsidP="00807E5E">
      <w:pPr>
        <w:jc w:val="both"/>
      </w:pPr>
      <w:r w:rsidRPr="00807E5E">
        <w:t xml:space="preserve">Do końca 2026r. planuje się ustanowienie trwałego zarządu gminnemu Zakładowi Wodociągów i Usług Komunalnych w Rudniku. W związku z czym wpływy </w:t>
      </w:r>
      <w:r w:rsidR="00807E5E" w:rsidRPr="00807E5E">
        <w:t xml:space="preserve">do budżetu gminy </w:t>
      </w:r>
      <w:r w:rsidRPr="00807E5E">
        <w:t xml:space="preserve">z tytułu ustanowienia trwałego zarządu </w:t>
      </w:r>
      <w:r w:rsidR="00807E5E" w:rsidRPr="00807E5E">
        <w:t xml:space="preserve">nastąpią od 2027r.  </w:t>
      </w:r>
    </w:p>
    <w:p w14:paraId="6314203C" w14:textId="71F2533E" w:rsidR="000D6CD4" w:rsidRDefault="00E56DE5" w:rsidP="00E56DE5">
      <w:r>
        <w:t xml:space="preserve">Szacowane wpływy osiągane z opłat związanych z użytkowaniem wieczystym oraz oddaniem w trwały zarząd.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3544"/>
        <w:gridCol w:w="2121"/>
      </w:tblGrid>
      <w:tr w:rsidR="008C4AA7" w14:paraId="7C9A2085" w14:textId="77777777" w:rsidTr="008C4AA7">
        <w:tc>
          <w:tcPr>
            <w:tcW w:w="846" w:type="dxa"/>
          </w:tcPr>
          <w:p w14:paraId="7A1E5847" w14:textId="1522158B" w:rsidR="008C4AA7" w:rsidRDefault="008C4AA7" w:rsidP="00E56DE5">
            <w:r>
              <w:t>Rok</w:t>
            </w:r>
          </w:p>
        </w:tc>
        <w:tc>
          <w:tcPr>
            <w:tcW w:w="2551" w:type="dxa"/>
          </w:tcPr>
          <w:p w14:paraId="792D8357" w14:textId="2E326314" w:rsidR="008C4AA7" w:rsidRDefault="008C4AA7" w:rsidP="00E56DE5">
            <w:r>
              <w:t>Użytkowanie wieczyste</w:t>
            </w:r>
            <w:r w:rsidRPr="000D6CD4">
              <w:t xml:space="preserve"> </w:t>
            </w:r>
            <w:r>
              <w:t xml:space="preserve">   </w:t>
            </w:r>
          </w:p>
        </w:tc>
        <w:tc>
          <w:tcPr>
            <w:tcW w:w="3544" w:type="dxa"/>
          </w:tcPr>
          <w:p w14:paraId="6214A201" w14:textId="5B6AEA5A" w:rsidR="008C4AA7" w:rsidRDefault="008C4AA7" w:rsidP="008C4AA7">
            <w:pPr>
              <w:jc w:val="center"/>
            </w:pPr>
            <w:r>
              <w:t>Przekształcenie prawa użytkowania wieczystego w prawo własności</w:t>
            </w:r>
          </w:p>
        </w:tc>
        <w:tc>
          <w:tcPr>
            <w:tcW w:w="2121" w:type="dxa"/>
          </w:tcPr>
          <w:p w14:paraId="4C97F4E0" w14:textId="36942E00" w:rsidR="008C4AA7" w:rsidRDefault="008C4AA7" w:rsidP="00E56DE5">
            <w:r>
              <w:t>Trwały zarząd</w:t>
            </w:r>
          </w:p>
        </w:tc>
      </w:tr>
      <w:tr w:rsidR="008C4AA7" w14:paraId="011D1E84" w14:textId="77777777" w:rsidTr="008C4AA7">
        <w:tc>
          <w:tcPr>
            <w:tcW w:w="846" w:type="dxa"/>
          </w:tcPr>
          <w:p w14:paraId="3FDE84C7" w14:textId="0108493E" w:rsidR="008C4AA7" w:rsidRDefault="008C4AA7" w:rsidP="00E56DE5">
            <w:r>
              <w:t>2026</w:t>
            </w:r>
          </w:p>
        </w:tc>
        <w:tc>
          <w:tcPr>
            <w:tcW w:w="2551" w:type="dxa"/>
          </w:tcPr>
          <w:p w14:paraId="5698A6E0" w14:textId="3B648774" w:rsidR="008C4AA7" w:rsidRDefault="008C4AA7" w:rsidP="008C4AA7">
            <w:pPr>
              <w:jc w:val="center"/>
            </w:pPr>
            <w:r>
              <w:t>5 172,71 zł</w:t>
            </w:r>
          </w:p>
        </w:tc>
        <w:tc>
          <w:tcPr>
            <w:tcW w:w="3544" w:type="dxa"/>
          </w:tcPr>
          <w:p w14:paraId="3946BE63" w14:textId="50BA3FBB" w:rsidR="008C4AA7" w:rsidRDefault="008C4AA7" w:rsidP="008C4AA7">
            <w:pPr>
              <w:jc w:val="center"/>
            </w:pPr>
            <w:r>
              <w:t>1 787,32 zł</w:t>
            </w:r>
          </w:p>
        </w:tc>
        <w:tc>
          <w:tcPr>
            <w:tcW w:w="2121" w:type="dxa"/>
          </w:tcPr>
          <w:p w14:paraId="6A029BBA" w14:textId="16D76A55" w:rsidR="008C4AA7" w:rsidRDefault="008C4AA7" w:rsidP="008C4AA7">
            <w:pPr>
              <w:jc w:val="center"/>
            </w:pPr>
            <w:r>
              <w:t>0,00 zł</w:t>
            </w:r>
          </w:p>
        </w:tc>
      </w:tr>
      <w:tr w:rsidR="008C4AA7" w14:paraId="6DB43CE1" w14:textId="77777777" w:rsidTr="008C4AA7">
        <w:tc>
          <w:tcPr>
            <w:tcW w:w="846" w:type="dxa"/>
          </w:tcPr>
          <w:p w14:paraId="55286FAA" w14:textId="3E2A4F84" w:rsidR="008C4AA7" w:rsidRDefault="008C4AA7" w:rsidP="00E56DE5">
            <w:r>
              <w:t>2027</w:t>
            </w:r>
          </w:p>
        </w:tc>
        <w:tc>
          <w:tcPr>
            <w:tcW w:w="2551" w:type="dxa"/>
          </w:tcPr>
          <w:p w14:paraId="0B50B211" w14:textId="386AC740" w:rsidR="008C4AA7" w:rsidRDefault="008C4AA7" w:rsidP="008C4AA7">
            <w:pPr>
              <w:jc w:val="center"/>
            </w:pPr>
            <w:r>
              <w:t>5 172,71 zł</w:t>
            </w:r>
          </w:p>
        </w:tc>
        <w:tc>
          <w:tcPr>
            <w:tcW w:w="3544" w:type="dxa"/>
          </w:tcPr>
          <w:p w14:paraId="31CBE4EF" w14:textId="6DB97927" w:rsidR="008C4AA7" w:rsidRDefault="008C4AA7" w:rsidP="008C4AA7">
            <w:pPr>
              <w:jc w:val="center"/>
            </w:pPr>
            <w:r>
              <w:t>1 787,32 zł</w:t>
            </w:r>
          </w:p>
        </w:tc>
        <w:tc>
          <w:tcPr>
            <w:tcW w:w="2121" w:type="dxa"/>
          </w:tcPr>
          <w:p w14:paraId="761A657C" w14:textId="44142B32" w:rsidR="008C4AA7" w:rsidRDefault="008C4AA7" w:rsidP="008C4AA7">
            <w:pPr>
              <w:jc w:val="center"/>
            </w:pPr>
            <w:r>
              <w:t>5 500zł</w:t>
            </w:r>
          </w:p>
        </w:tc>
      </w:tr>
      <w:tr w:rsidR="008C4AA7" w14:paraId="06F751F8" w14:textId="77777777" w:rsidTr="008C4AA7">
        <w:tc>
          <w:tcPr>
            <w:tcW w:w="846" w:type="dxa"/>
          </w:tcPr>
          <w:p w14:paraId="3690873D" w14:textId="1B23E811" w:rsidR="008C4AA7" w:rsidRDefault="008C4AA7" w:rsidP="00E56DE5">
            <w:r>
              <w:t>2028</w:t>
            </w:r>
          </w:p>
        </w:tc>
        <w:tc>
          <w:tcPr>
            <w:tcW w:w="2551" w:type="dxa"/>
          </w:tcPr>
          <w:p w14:paraId="61A1009B" w14:textId="1AAD494E" w:rsidR="008C4AA7" w:rsidRDefault="008C4AA7" w:rsidP="008C4AA7">
            <w:pPr>
              <w:jc w:val="center"/>
            </w:pPr>
            <w:r>
              <w:t>6 000,00 zł</w:t>
            </w:r>
          </w:p>
        </w:tc>
        <w:tc>
          <w:tcPr>
            <w:tcW w:w="3544" w:type="dxa"/>
          </w:tcPr>
          <w:p w14:paraId="78A12527" w14:textId="7F69B1A5" w:rsidR="008C4AA7" w:rsidRDefault="008C4AA7" w:rsidP="008C4AA7">
            <w:pPr>
              <w:jc w:val="center"/>
            </w:pPr>
            <w:r>
              <w:t>1 787,32 zł</w:t>
            </w:r>
          </w:p>
        </w:tc>
        <w:tc>
          <w:tcPr>
            <w:tcW w:w="2121" w:type="dxa"/>
          </w:tcPr>
          <w:p w14:paraId="591B4A1E" w14:textId="0D256DF8" w:rsidR="008C4AA7" w:rsidRDefault="008C4AA7" w:rsidP="008C4AA7">
            <w:pPr>
              <w:jc w:val="center"/>
            </w:pPr>
            <w:r>
              <w:t>5 500zł</w:t>
            </w:r>
          </w:p>
        </w:tc>
      </w:tr>
    </w:tbl>
    <w:p w14:paraId="393DEDDA" w14:textId="77777777" w:rsidR="00E21ED6" w:rsidRDefault="00E21ED6" w:rsidP="00E56DE5"/>
    <w:p w14:paraId="2C8F7E77" w14:textId="0E02494E" w:rsidR="002E2B66" w:rsidRDefault="002E2B66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PROGNOZA AKTUALIZACJI OPŁAT Z TYTUŁU U</w:t>
      </w:r>
      <w:r w:rsidR="00693C8D">
        <w:rPr>
          <w:b/>
          <w:bCs/>
        </w:rPr>
        <w:t>Ż</w:t>
      </w:r>
      <w:r>
        <w:rPr>
          <w:b/>
          <w:bCs/>
        </w:rPr>
        <w:t>YTKOWANIA WIECZYSTEGO NIERUCHOMOŚCI ORAZ OPŁAT Z TYTUŁU TRWAŁEGO ZARZĄDU NIERUCHOMOŚCI</w:t>
      </w:r>
      <w:r w:rsidR="00067978">
        <w:rPr>
          <w:b/>
          <w:bCs/>
        </w:rPr>
        <w:t>.</w:t>
      </w:r>
    </w:p>
    <w:p w14:paraId="3EE579EF" w14:textId="19B50625" w:rsidR="00E21ED6" w:rsidRDefault="00FD471E" w:rsidP="003149D1">
      <w:pPr>
        <w:jc w:val="both"/>
      </w:pPr>
      <w:r>
        <w:t>W okresie prognozy przewiduje się dalsze sukcesywne przeprowadzanie aktualizacji opłat i</w:t>
      </w:r>
      <w:r w:rsidR="009A2717">
        <w:t> </w:t>
      </w:r>
      <w:r>
        <w:t>stawek opłat z tytułu użytkowania wieczystego nieruchomości gminnych. Tempo oraz ilość przeprowadzanych aktualizacji opłat zależne będą od przyznawanych środków na ten cel w</w:t>
      </w:r>
      <w:r w:rsidR="00372782">
        <w:t> </w:t>
      </w:r>
      <w:r>
        <w:t>budże</w:t>
      </w:r>
      <w:r w:rsidR="00372782">
        <w:t>cie</w:t>
      </w:r>
      <w:r>
        <w:t xml:space="preserve"> gminy w poszczególnych latach prognozy. Niemożliwe jest również wskazanie ilości nieruchomości oddanych w użytkowanie wieczyste, co do których nastąpi sprzedaż prawa własności, gdyż postępowania te wszczynane są wyłącznie na wniosek użytkownika wieczystego. </w:t>
      </w:r>
    </w:p>
    <w:p w14:paraId="5E3B5811" w14:textId="77777777" w:rsidR="0067420A" w:rsidRDefault="0067420A" w:rsidP="003149D1">
      <w:pPr>
        <w:jc w:val="both"/>
      </w:pPr>
    </w:p>
    <w:p w14:paraId="2B78D1E1" w14:textId="3C23E074" w:rsidR="00FD471E" w:rsidRDefault="00FD471E" w:rsidP="00FD471E">
      <w:r>
        <w:lastRenderedPageBreak/>
        <w:t xml:space="preserve">Szacowane wpływy z opłat z tytułu użytkowania wieczystego nieruchomości gminnych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C4AA7" w14:paraId="6F9B82B0" w14:textId="77777777" w:rsidTr="008C4AA7">
        <w:tc>
          <w:tcPr>
            <w:tcW w:w="3020" w:type="dxa"/>
          </w:tcPr>
          <w:p w14:paraId="742A369C" w14:textId="60868C11" w:rsidR="008C4AA7" w:rsidRDefault="008C4AA7" w:rsidP="008C4AA7">
            <w:pPr>
              <w:jc w:val="center"/>
            </w:pPr>
            <w:r>
              <w:t>2026</w:t>
            </w:r>
            <w:r w:rsidR="00677B0A">
              <w:t xml:space="preserve"> rok</w:t>
            </w:r>
          </w:p>
        </w:tc>
        <w:tc>
          <w:tcPr>
            <w:tcW w:w="3021" w:type="dxa"/>
          </w:tcPr>
          <w:p w14:paraId="127DE4E1" w14:textId="69A1F1E1" w:rsidR="008C4AA7" w:rsidRDefault="008C4AA7" w:rsidP="008C4AA7">
            <w:pPr>
              <w:jc w:val="center"/>
            </w:pPr>
            <w:r>
              <w:t>2027</w:t>
            </w:r>
            <w:r w:rsidR="00677B0A">
              <w:t xml:space="preserve"> rok</w:t>
            </w:r>
          </w:p>
        </w:tc>
        <w:tc>
          <w:tcPr>
            <w:tcW w:w="3021" w:type="dxa"/>
          </w:tcPr>
          <w:p w14:paraId="02C235ED" w14:textId="515EB560" w:rsidR="008C4AA7" w:rsidRDefault="008C4AA7" w:rsidP="008C4AA7">
            <w:pPr>
              <w:jc w:val="center"/>
            </w:pPr>
            <w:r>
              <w:t>2028</w:t>
            </w:r>
            <w:r w:rsidR="00677B0A">
              <w:t xml:space="preserve"> rok</w:t>
            </w:r>
          </w:p>
        </w:tc>
      </w:tr>
      <w:tr w:rsidR="008C4AA7" w14:paraId="2CE772F6" w14:textId="77777777" w:rsidTr="008C4AA7">
        <w:tc>
          <w:tcPr>
            <w:tcW w:w="3020" w:type="dxa"/>
          </w:tcPr>
          <w:p w14:paraId="3BF17F9E" w14:textId="6FB9F5A0" w:rsidR="008C4AA7" w:rsidRDefault="008C4AA7" w:rsidP="008C4AA7">
            <w:pPr>
              <w:jc w:val="center"/>
            </w:pPr>
            <w:r>
              <w:t>5 172,71</w:t>
            </w:r>
            <w:r w:rsidR="00182337">
              <w:t xml:space="preserve"> zł</w:t>
            </w:r>
          </w:p>
        </w:tc>
        <w:tc>
          <w:tcPr>
            <w:tcW w:w="3021" w:type="dxa"/>
          </w:tcPr>
          <w:p w14:paraId="3AB9AD89" w14:textId="3CB9FA8C" w:rsidR="008C4AA7" w:rsidRDefault="008C4AA7" w:rsidP="008C4AA7">
            <w:pPr>
              <w:jc w:val="center"/>
            </w:pPr>
            <w:r>
              <w:t>5 172,71</w:t>
            </w:r>
            <w:r w:rsidR="00182337">
              <w:t xml:space="preserve"> zł</w:t>
            </w:r>
          </w:p>
        </w:tc>
        <w:tc>
          <w:tcPr>
            <w:tcW w:w="3021" w:type="dxa"/>
          </w:tcPr>
          <w:p w14:paraId="00433225" w14:textId="3DAC8D03" w:rsidR="008C4AA7" w:rsidRDefault="008C4AA7" w:rsidP="008C4AA7">
            <w:pPr>
              <w:jc w:val="center"/>
            </w:pPr>
            <w:r>
              <w:t>6</w:t>
            </w:r>
            <w:r w:rsidR="00182337">
              <w:t> </w:t>
            </w:r>
            <w:r>
              <w:t>000</w:t>
            </w:r>
            <w:r w:rsidR="00182337">
              <w:t xml:space="preserve"> zł</w:t>
            </w:r>
          </w:p>
        </w:tc>
      </w:tr>
    </w:tbl>
    <w:p w14:paraId="774687EE" w14:textId="77777777" w:rsidR="008C4AA7" w:rsidRDefault="008C4AA7" w:rsidP="00FD471E"/>
    <w:p w14:paraId="0E11DDB8" w14:textId="39BC526A" w:rsidR="00FD471E" w:rsidRDefault="00372782" w:rsidP="00677B0A">
      <w:pPr>
        <w:jc w:val="both"/>
      </w:pPr>
      <w:r>
        <w:t xml:space="preserve">Na dzień dzisiejszy gmina oddała </w:t>
      </w:r>
      <w:r w:rsidR="00FD471E">
        <w:t xml:space="preserve">w trwały zarząd </w:t>
      </w:r>
      <w:r>
        <w:t>jedynie nieruchomości na rzecz jednostek oświatowych, które zwolnione są z ponoszenia opłat z tego tytułu, dlatego na dzień dzisiejszy nie planuje się dokonania</w:t>
      </w:r>
      <w:r w:rsidR="00FD471E">
        <w:t xml:space="preserve"> aktualizacj</w:t>
      </w:r>
      <w:r>
        <w:t>i</w:t>
      </w:r>
      <w:r w:rsidR="00FD471E">
        <w:t xml:space="preserve"> opłat z tytułu trwałego zarządu.</w:t>
      </w:r>
    </w:p>
    <w:p w14:paraId="4740BD90" w14:textId="77777777" w:rsidR="00E21ED6" w:rsidRPr="00FD471E" w:rsidRDefault="00E21ED6" w:rsidP="00677B0A">
      <w:pPr>
        <w:jc w:val="both"/>
        <w:rPr>
          <w:b/>
          <w:bCs/>
        </w:rPr>
      </w:pPr>
    </w:p>
    <w:p w14:paraId="54C30B4D" w14:textId="768FD843" w:rsidR="00067978" w:rsidRDefault="00067978" w:rsidP="007D39BC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PROGRAM ZAGOSPODAROWANIA NIERUCHOMOŚCI ZASOBU.</w:t>
      </w:r>
    </w:p>
    <w:p w14:paraId="6EF7317F" w14:textId="7248FF86" w:rsidR="00FD471E" w:rsidRPr="00FD471E" w:rsidRDefault="00FD471E" w:rsidP="003149D1">
      <w:pPr>
        <w:jc w:val="both"/>
        <w:rPr>
          <w:b/>
          <w:bCs/>
        </w:rPr>
      </w:pPr>
      <w:r>
        <w:t xml:space="preserve">W ramach programu zagospodarowania nieruchomości wchodzących w skład zasobu, </w:t>
      </w:r>
      <w:r w:rsidR="0025726C">
        <w:t>Wójt Gminy Rudnik</w:t>
      </w:r>
      <w:r>
        <w:t xml:space="preserve"> przewiduje między innymi </w:t>
      </w:r>
      <w:r w:rsidR="00673117">
        <w:t xml:space="preserve">bieżącego </w:t>
      </w:r>
      <w:r>
        <w:t>przeprowadz</w:t>
      </w:r>
      <w:r w:rsidR="00673117">
        <w:t>a</w:t>
      </w:r>
      <w:r>
        <w:t>ni</w:t>
      </w:r>
      <w:r w:rsidR="00673117">
        <w:t>a</w:t>
      </w:r>
      <w:r>
        <w:t xml:space="preserve"> oględzin nieruchomości zasobu celem określenia ich stanu, zagospodarowania, sposobu ich wykorzystania oraz ustalenia czynności niezbędnych do zabezpieczenia nieruchomości pozostających w zasobie, bieżącym naliczaniem opłat za udostępnianie nieruchomości zasobu wraz z przeprowadzaniem ewentualnej windykacji należności z tego tytułu w przypadku niedotrzymania warunków umów przez podmioty, przewiduje się kontynuowanie trwających i podejmowanie nowych czynności w postępowaniach administracyjnych i sądowych w sprawach dotyczących własności i innych praw rzeczowych na nieruchomości, o stwierdzenie nabycia spadku, o stwierdzenie nabycia własności nieruchomości przez zasiedzenie, o nabycie prawa własności nieruchomości w drodze komunalizacji nieruchomości Skarbu Państwa oraz składanie wniosków o założenie księgi wieczystej, regulacja stanu prawnego nieruchomości zasobu wraz z ich podziałem. Przewiduje się przeprowadzanie procedur zbycia nieruchomości z zasobu, które są zbędne do realizacji zadań własnych gminy. Dodatkowo przewiduje się również zagospodarowanie nieruchomości zasobu, nieprzewidzianych do zbycia, poprzez kontynuację zawartych i obowiązujących już umów dzierżawy, najmu lub użyczenia, a także poprzez zawieranie nowych umów</w:t>
      </w:r>
      <w:r w:rsidR="00673117" w:rsidRPr="00673117">
        <w:t xml:space="preserve"> </w:t>
      </w:r>
      <w:r w:rsidR="00673117">
        <w:t>dzierżawy, a także nowych umów</w:t>
      </w:r>
      <w:r>
        <w:t xml:space="preserve"> najmu i użyczenia bądź ustanawiania służebności zarówno gruntowych jak i przesyłu</w:t>
      </w:r>
      <w:r w:rsidR="00673117">
        <w:t>, jeżeli zajdą ku temu przesłanki, bądź wpłyną do urzędu wnioski o najem bądź ustanowienie służebności</w:t>
      </w:r>
      <w:r>
        <w:t>. Planuje się również pozyskiwanie nieruchomości do zasobu gminy i to zarówno odpłatnie jak i nieodpłatnie, jak również zmianę posiadanych praw do nieruchomości gminnych (z użytkowania wieczystego na własność). Realizacja tych planów wykonywana będzie w ramach dostępnych środków finansowych zaplanowanych do wykorzystania w budżecie w poszczególnych latach, a także w oparciu o</w:t>
      </w:r>
      <w:r w:rsidR="00673117">
        <w:t> </w:t>
      </w:r>
      <w:r>
        <w:t xml:space="preserve">przeprowadzane i przewidziane inwestycje gminne. Decyzje, co do sposobu zagospodarowania nieruchomości zasobu Gminy </w:t>
      </w:r>
      <w:r w:rsidR="00673117">
        <w:t>Rudnik</w:t>
      </w:r>
      <w:r>
        <w:t xml:space="preserve">, podejmowane są na bieżąco przez </w:t>
      </w:r>
      <w:r w:rsidR="00673117">
        <w:t>Wójt</w:t>
      </w:r>
      <w:r>
        <w:t xml:space="preserve">a </w:t>
      </w:r>
      <w:r w:rsidR="00673117">
        <w:t>Gminy Rudnik</w:t>
      </w:r>
      <w:r>
        <w:t xml:space="preserve"> i Radę </w:t>
      </w:r>
      <w:r w:rsidR="009065BE">
        <w:t>Gminy Rudnik</w:t>
      </w:r>
      <w:r>
        <w:t>, w zależności od bieżących potrzeb, zgodnie z zasadami racjonalnej gospodarki, w oparciu o obowiązujące przepisy prawa, z uwzględnieniem w pierwszej kolejności zaspokajania potrzeb społeczności lokalnej i realizacji zdań publicznych gminnych.</w:t>
      </w:r>
    </w:p>
    <w:sectPr w:rsidR="00FD471E" w:rsidRPr="00FD471E" w:rsidSect="00A61DB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3588" w14:textId="77777777" w:rsidR="00A1009D" w:rsidRDefault="00A1009D" w:rsidP="00C91477">
      <w:pPr>
        <w:spacing w:after="0" w:line="240" w:lineRule="auto"/>
      </w:pPr>
      <w:r>
        <w:separator/>
      </w:r>
    </w:p>
  </w:endnote>
  <w:endnote w:type="continuationSeparator" w:id="0">
    <w:p w14:paraId="2AF47D3B" w14:textId="77777777" w:rsidR="00A1009D" w:rsidRDefault="00A1009D" w:rsidP="00C91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FA1A" w14:textId="61C9FCC6" w:rsidR="00A61DB3" w:rsidRDefault="00A61DB3">
    <w:pPr>
      <w:pStyle w:val="Stopka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F32913" wp14:editId="377B7C0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FBF1C9" id="Prostokąt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2607" w14:textId="77777777" w:rsidR="00A1009D" w:rsidRDefault="00A1009D" w:rsidP="00C91477">
      <w:pPr>
        <w:spacing w:after="0" w:line="240" w:lineRule="auto"/>
      </w:pPr>
      <w:r>
        <w:separator/>
      </w:r>
    </w:p>
  </w:footnote>
  <w:footnote w:type="continuationSeparator" w:id="0">
    <w:p w14:paraId="0B6E49E3" w14:textId="77777777" w:rsidR="00A1009D" w:rsidRDefault="00A1009D" w:rsidP="00C91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DC9"/>
    <w:multiLevelType w:val="hybridMultilevel"/>
    <w:tmpl w:val="AB0ED2C2"/>
    <w:lvl w:ilvl="0" w:tplc="26BC8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235D"/>
    <w:multiLevelType w:val="hybridMultilevel"/>
    <w:tmpl w:val="B3ECFB46"/>
    <w:lvl w:ilvl="0" w:tplc="B7B669A0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25E4F"/>
    <w:multiLevelType w:val="multilevel"/>
    <w:tmpl w:val="8698E2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FA16DBF"/>
    <w:multiLevelType w:val="multilevel"/>
    <w:tmpl w:val="03508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F85FA4"/>
    <w:multiLevelType w:val="multilevel"/>
    <w:tmpl w:val="C674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68B7218"/>
    <w:multiLevelType w:val="hybridMultilevel"/>
    <w:tmpl w:val="5584036C"/>
    <w:lvl w:ilvl="0" w:tplc="86E460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87A13"/>
    <w:multiLevelType w:val="hybridMultilevel"/>
    <w:tmpl w:val="842AE8C4"/>
    <w:lvl w:ilvl="0" w:tplc="13DAFA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10838">
    <w:abstractNumId w:val="4"/>
  </w:num>
  <w:num w:numId="2" w16cid:durableId="507717776">
    <w:abstractNumId w:val="2"/>
  </w:num>
  <w:num w:numId="3" w16cid:durableId="109321807">
    <w:abstractNumId w:val="3"/>
  </w:num>
  <w:num w:numId="4" w16cid:durableId="1486627011">
    <w:abstractNumId w:val="0"/>
  </w:num>
  <w:num w:numId="5" w16cid:durableId="517425338">
    <w:abstractNumId w:val="5"/>
  </w:num>
  <w:num w:numId="6" w16cid:durableId="1252280147">
    <w:abstractNumId w:val="6"/>
  </w:num>
  <w:num w:numId="7" w16cid:durableId="122830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E5"/>
    <w:rsid w:val="00006DE5"/>
    <w:rsid w:val="000239F1"/>
    <w:rsid w:val="00067978"/>
    <w:rsid w:val="00076ACA"/>
    <w:rsid w:val="00091736"/>
    <w:rsid w:val="000970F1"/>
    <w:rsid w:val="000A1DD4"/>
    <w:rsid w:val="000A2182"/>
    <w:rsid w:val="000B154B"/>
    <w:rsid w:val="000C1120"/>
    <w:rsid w:val="000D6CD4"/>
    <w:rsid w:val="000E3AEA"/>
    <w:rsid w:val="00164C85"/>
    <w:rsid w:val="00182337"/>
    <w:rsid w:val="00186FB9"/>
    <w:rsid w:val="00186FBB"/>
    <w:rsid w:val="001F6AFB"/>
    <w:rsid w:val="0025726C"/>
    <w:rsid w:val="002934F1"/>
    <w:rsid w:val="002B12F8"/>
    <w:rsid w:val="002D7BDE"/>
    <w:rsid w:val="002E2B66"/>
    <w:rsid w:val="003149D1"/>
    <w:rsid w:val="00346AA1"/>
    <w:rsid w:val="00347F8B"/>
    <w:rsid w:val="003642C3"/>
    <w:rsid w:val="00372782"/>
    <w:rsid w:val="003A4A36"/>
    <w:rsid w:val="003B0DD3"/>
    <w:rsid w:val="003B5D02"/>
    <w:rsid w:val="003C5257"/>
    <w:rsid w:val="003F3262"/>
    <w:rsid w:val="003F74E1"/>
    <w:rsid w:val="00421377"/>
    <w:rsid w:val="00432DCC"/>
    <w:rsid w:val="0046308F"/>
    <w:rsid w:val="00467922"/>
    <w:rsid w:val="00531987"/>
    <w:rsid w:val="00550F2E"/>
    <w:rsid w:val="00593CE3"/>
    <w:rsid w:val="006225B5"/>
    <w:rsid w:val="00630631"/>
    <w:rsid w:val="0064660C"/>
    <w:rsid w:val="00673117"/>
    <w:rsid w:val="0067420A"/>
    <w:rsid w:val="00677B0A"/>
    <w:rsid w:val="00693C8D"/>
    <w:rsid w:val="006A51BB"/>
    <w:rsid w:val="00722C12"/>
    <w:rsid w:val="00754B7D"/>
    <w:rsid w:val="00783BE7"/>
    <w:rsid w:val="007D0EF8"/>
    <w:rsid w:val="007D11D6"/>
    <w:rsid w:val="007D39BC"/>
    <w:rsid w:val="00807986"/>
    <w:rsid w:val="00807E5E"/>
    <w:rsid w:val="00840BD8"/>
    <w:rsid w:val="00885BB3"/>
    <w:rsid w:val="008901E5"/>
    <w:rsid w:val="008A0A1A"/>
    <w:rsid w:val="008B31F6"/>
    <w:rsid w:val="008C4AA7"/>
    <w:rsid w:val="008C649D"/>
    <w:rsid w:val="009065BE"/>
    <w:rsid w:val="009A2717"/>
    <w:rsid w:val="009A28A4"/>
    <w:rsid w:val="009D185E"/>
    <w:rsid w:val="009D3A39"/>
    <w:rsid w:val="009F1D66"/>
    <w:rsid w:val="009F496D"/>
    <w:rsid w:val="00A1009D"/>
    <w:rsid w:val="00A32994"/>
    <w:rsid w:val="00A61DB3"/>
    <w:rsid w:val="00A62A0B"/>
    <w:rsid w:val="00A638BA"/>
    <w:rsid w:val="00A728EB"/>
    <w:rsid w:val="00A77E4C"/>
    <w:rsid w:val="00B24A5F"/>
    <w:rsid w:val="00B641F9"/>
    <w:rsid w:val="00B700E5"/>
    <w:rsid w:val="00B74675"/>
    <w:rsid w:val="00B848D4"/>
    <w:rsid w:val="00B97E3F"/>
    <w:rsid w:val="00BC53BC"/>
    <w:rsid w:val="00C241C9"/>
    <w:rsid w:val="00C30F66"/>
    <w:rsid w:val="00C66E64"/>
    <w:rsid w:val="00C91477"/>
    <w:rsid w:val="00CB3237"/>
    <w:rsid w:val="00CD1CE9"/>
    <w:rsid w:val="00CF11F3"/>
    <w:rsid w:val="00CF52EB"/>
    <w:rsid w:val="00CF7F87"/>
    <w:rsid w:val="00D0567F"/>
    <w:rsid w:val="00D216C1"/>
    <w:rsid w:val="00D36145"/>
    <w:rsid w:val="00D45CE8"/>
    <w:rsid w:val="00E05DD3"/>
    <w:rsid w:val="00E21ED6"/>
    <w:rsid w:val="00E22995"/>
    <w:rsid w:val="00E2552F"/>
    <w:rsid w:val="00E515EF"/>
    <w:rsid w:val="00E56DE5"/>
    <w:rsid w:val="00E94577"/>
    <w:rsid w:val="00EA399B"/>
    <w:rsid w:val="00EB2BA6"/>
    <w:rsid w:val="00EB69A0"/>
    <w:rsid w:val="00EB7567"/>
    <w:rsid w:val="00ED1946"/>
    <w:rsid w:val="00F11562"/>
    <w:rsid w:val="00F14F06"/>
    <w:rsid w:val="00F2002E"/>
    <w:rsid w:val="00F23A88"/>
    <w:rsid w:val="00F500F1"/>
    <w:rsid w:val="00F95C93"/>
    <w:rsid w:val="00F96DCD"/>
    <w:rsid w:val="00FD471E"/>
    <w:rsid w:val="00FD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C8E1A"/>
  <w15:chartTrackingRefBased/>
  <w15:docId w15:val="{1A6A39C0-510C-49A5-AF5C-628772D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6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D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D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D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D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D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D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6D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D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6D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D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DE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477"/>
  </w:style>
  <w:style w:type="paragraph" w:styleId="Stopka">
    <w:name w:val="footer"/>
    <w:basedOn w:val="Normalny"/>
    <w:link w:val="StopkaZnak"/>
    <w:uiPriority w:val="99"/>
    <w:unhideWhenUsed/>
    <w:rsid w:val="00C91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477"/>
  </w:style>
  <w:style w:type="table" w:styleId="Tabela-Siatka">
    <w:name w:val="Table Grid"/>
    <w:basedOn w:val="Standardowy"/>
    <w:uiPriority w:val="39"/>
    <w:rsid w:val="008C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PODZIAŁ ZASOBU WG UŻYTKÓW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371-40D9-B973-55EDD32932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371-40D9-B973-55EDD32932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371-40D9-B973-55EDD32932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371-40D9-B973-55EDD32932A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371-40D9-B973-55EDD32932A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371-40D9-B973-55EDD32932A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371-40D9-B973-55EDD32932A6}"/>
              </c:ext>
            </c:extLst>
          </c:dPt>
          <c:cat>
            <c:strRef>
              <c:f>Arkusz1!$A$2:$A$8</c:f>
              <c:strCache>
                <c:ptCount val="7"/>
                <c:pt idx="0">
                  <c:v>Tereny zabudowane i zurbanizowane</c:v>
                </c:pt>
                <c:pt idx="1">
                  <c:v>Grunty rolne - zabudowane</c:v>
                </c:pt>
                <c:pt idx="2">
                  <c:v>Użytki rolne</c:v>
                </c:pt>
                <c:pt idx="3">
                  <c:v>Grunty pod rowami</c:v>
                </c:pt>
                <c:pt idx="4">
                  <c:v>Grunty pod wodami</c:v>
                </c:pt>
                <c:pt idx="5">
                  <c:v>Grunty leśne</c:v>
                </c:pt>
                <c:pt idx="6">
                  <c:v>Drogi i tereny komunikacyjne</c:v>
                </c:pt>
              </c:strCache>
            </c:strRef>
          </c:cat>
          <c:val>
            <c:numRef>
              <c:f>Arkusz1!$B$2:$B$8</c:f>
              <c:numCache>
                <c:formatCode>General</c:formatCode>
                <c:ptCount val="7"/>
                <c:pt idx="0">
                  <c:v>13.78</c:v>
                </c:pt>
                <c:pt idx="1">
                  <c:v>0.44</c:v>
                </c:pt>
                <c:pt idx="2">
                  <c:v>18.14</c:v>
                </c:pt>
                <c:pt idx="3">
                  <c:v>0.28999999999999998</c:v>
                </c:pt>
                <c:pt idx="4">
                  <c:v>2.2400000000000002</c:v>
                </c:pt>
                <c:pt idx="5">
                  <c:v>0.35</c:v>
                </c:pt>
                <c:pt idx="6">
                  <c:v>64.760000000000005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C4-45BD-87E8-E141BD048B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11</Pages>
  <Words>3112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Wawrzinek</dc:creator>
  <cp:keywords/>
  <dc:description/>
  <cp:lastModifiedBy>Sylwia Wawrzinek</cp:lastModifiedBy>
  <cp:revision>69</cp:revision>
  <cp:lastPrinted>2025-12-03T13:51:00Z</cp:lastPrinted>
  <dcterms:created xsi:type="dcterms:W3CDTF">2025-05-28T14:55:00Z</dcterms:created>
  <dcterms:modified xsi:type="dcterms:W3CDTF">2025-12-03T14:05:00Z</dcterms:modified>
</cp:coreProperties>
</file>