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A675" w14:textId="77777777" w:rsidR="00203701" w:rsidRDefault="00000000">
      <w:pPr>
        <w:jc w:val="right"/>
      </w:pPr>
      <w:r>
        <w:t xml:space="preserve">Załącznik nr 1 do Zarządzenia </w:t>
      </w:r>
    </w:p>
    <w:p w14:paraId="61E4C399" w14:textId="77777777" w:rsidR="00203701" w:rsidRDefault="00000000">
      <w:pPr>
        <w:jc w:val="right"/>
      </w:pPr>
      <w:r>
        <w:t>Wójt Gminy Rudnik</w:t>
      </w:r>
    </w:p>
    <w:p w14:paraId="2030B068" w14:textId="097F0557" w:rsidR="00203701" w:rsidRDefault="00000000">
      <w:pPr>
        <w:jc w:val="right"/>
      </w:pPr>
      <w:r>
        <w:t>nr RZW.0</w:t>
      </w:r>
      <w:r w:rsidR="00356D42">
        <w:t>9</w:t>
      </w:r>
      <w:r w:rsidR="00203815">
        <w:t>7</w:t>
      </w:r>
      <w:r>
        <w:t>.202</w:t>
      </w:r>
      <w:r w:rsidR="00964F7F">
        <w:t>5</w:t>
      </w:r>
      <w:r>
        <w:t xml:space="preserve"> z dnia </w:t>
      </w:r>
      <w:r w:rsidR="00C101A4">
        <w:t>1</w:t>
      </w:r>
      <w:r w:rsidR="00356D42">
        <w:t>8</w:t>
      </w:r>
      <w:r>
        <w:t xml:space="preserve"> </w:t>
      </w:r>
      <w:r w:rsidR="00C101A4">
        <w:t>lip</w:t>
      </w:r>
      <w:r w:rsidR="00203815">
        <w:t>c</w:t>
      </w:r>
      <w:r>
        <w:t>a 202</w:t>
      </w:r>
      <w:r w:rsidR="0020017D">
        <w:t>5</w:t>
      </w:r>
      <w:r>
        <w:t>r.</w:t>
      </w:r>
    </w:p>
    <w:p w14:paraId="06EC47DF" w14:textId="77777777" w:rsidR="00203701" w:rsidRDefault="00000000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WYKAZ   NIERUCHOMOŚCI   PRZEZNACZONYCH   DO   UŻYCZENIA</w:t>
      </w:r>
    </w:p>
    <w:p w14:paraId="318DF16E" w14:textId="0990D3E1" w:rsidR="00203701" w:rsidRDefault="00000000">
      <w:pPr>
        <w:jc w:val="center"/>
      </w:pPr>
      <w:r>
        <w:t>Na podstawie art. 35 ustawy z dnia 21 sierpnia 1997r. o gospodarce nieruchomościami (t. j. Dz. U. z 202</w:t>
      </w:r>
      <w:r w:rsidR="00964F7F">
        <w:t>4</w:t>
      </w:r>
      <w:r>
        <w:t xml:space="preserve"> r. poz. </w:t>
      </w:r>
      <w:r w:rsidR="00964F7F">
        <w:t>11</w:t>
      </w:r>
      <w:r>
        <w:t>4</w:t>
      </w:r>
      <w:r w:rsidR="00964F7F">
        <w:t>5</w:t>
      </w:r>
      <w:r w:rsidR="00F45932">
        <w:t xml:space="preserve"> z późn. zm.</w:t>
      </w:r>
      <w:r>
        <w:t>) Wójt Gminy Rudnik podaje do publicznej wiadomości wykaz nieruchomości przeznaczonych do użyczenia</w:t>
      </w:r>
    </w:p>
    <w:tbl>
      <w:tblPr>
        <w:tblStyle w:val="Tabela-Siatka"/>
        <w:tblW w:w="15418" w:type="dxa"/>
        <w:tblInd w:w="-592" w:type="dxa"/>
        <w:tblLayout w:type="fixed"/>
        <w:tblLook w:val="04A0" w:firstRow="1" w:lastRow="0" w:firstColumn="1" w:lastColumn="0" w:noHBand="0" w:noVBand="1"/>
      </w:tblPr>
      <w:tblGrid>
        <w:gridCol w:w="542"/>
        <w:gridCol w:w="913"/>
        <w:gridCol w:w="1035"/>
        <w:gridCol w:w="1138"/>
        <w:gridCol w:w="1212"/>
        <w:gridCol w:w="4536"/>
        <w:gridCol w:w="2410"/>
        <w:gridCol w:w="1134"/>
        <w:gridCol w:w="856"/>
        <w:gridCol w:w="1642"/>
      </w:tblGrid>
      <w:tr w:rsidR="00203701" w14:paraId="772D391A" w14:textId="77777777" w:rsidTr="00BB040E">
        <w:tc>
          <w:tcPr>
            <w:tcW w:w="542" w:type="dxa"/>
            <w:vMerge w:val="restart"/>
            <w:shd w:val="clear" w:color="auto" w:fill="auto"/>
          </w:tcPr>
          <w:p w14:paraId="2D73E460" w14:textId="77777777" w:rsidR="00203701" w:rsidRDefault="00000000">
            <w:pPr>
              <w:widowControl w:val="0"/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3086" w:type="dxa"/>
            <w:gridSpan w:val="3"/>
            <w:shd w:val="clear" w:color="auto" w:fill="auto"/>
          </w:tcPr>
          <w:p w14:paraId="520D016E" w14:textId="77777777" w:rsidR="00203701" w:rsidRDefault="00000000">
            <w:pPr>
              <w:widowControl w:val="0"/>
              <w:spacing w:after="0" w:line="240" w:lineRule="auto"/>
              <w:jc w:val="center"/>
            </w:pPr>
            <w:r>
              <w:t>Oznaczenie nieruchomości</w:t>
            </w:r>
          </w:p>
        </w:tc>
        <w:tc>
          <w:tcPr>
            <w:tcW w:w="1212" w:type="dxa"/>
            <w:vMerge w:val="restart"/>
            <w:shd w:val="clear" w:color="auto" w:fill="auto"/>
          </w:tcPr>
          <w:p w14:paraId="57FCA889" w14:textId="50AD85FB" w:rsidR="00203701" w:rsidRDefault="00000000">
            <w:pPr>
              <w:widowControl w:val="0"/>
              <w:spacing w:after="0" w:line="240" w:lineRule="auto"/>
              <w:jc w:val="center"/>
            </w:pPr>
            <w:r>
              <w:t>Powierzch</w:t>
            </w:r>
            <w:r w:rsidR="00906A57">
              <w:t>-</w:t>
            </w:r>
            <w:r>
              <w:t>nia nierucho</w:t>
            </w:r>
            <w:r w:rsidR="00906A57">
              <w:t>-</w:t>
            </w:r>
            <w:r>
              <w:t>mości [ha]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12DA65DD" w14:textId="77777777" w:rsidR="00203701" w:rsidRDefault="00000000">
            <w:pPr>
              <w:widowControl w:val="0"/>
              <w:spacing w:after="0" w:line="240" w:lineRule="auto"/>
              <w:jc w:val="center"/>
            </w:pPr>
            <w:r>
              <w:t>Opis nieruchomości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F829DCF" w14:textId="77777777" w:rsidR="00203701" w:rsidRDefault="00000000">
            <w:pPr>
              <w:widowControl w:val="0"/>
              <w:spacing w:after="0" w:line="240" w:lineRule="auto"/>
              <w:jc w:val="center"/>
            </w:pPr>
            <w:r>
              <w:t>Przeznaczenie nieruchomości i sposób jej zagospodarowania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0ECF5D4" w14:textId="77777777" w:rsidR="00203701" w:rsidRDefault="00000000">
            <w:pPr>
              <w:widowControl w:val="0"/>
              <w:spacing w:after="0" w:line="240" w:lineRule="auto"/>
              <w:jc w:val="center"/>
            </w:pPr>
            <w:r>
              <w:t>Wartość czynszu brutto [zł/mc]</w:t>
            </w:r>
          </w:p>
        </w:tc>
        <w:tc>
          <w:tcPr>
            <w:tcW w:w="856" w:type="dxa"/>
            <w:vMerge w:val="restart"/>
            <w:tcBorders>
              <w:right w:val="nil"/>
            </w:tcBorders>
            <w:shd w:val="clear" w:color="auto" w:fill="auto"/>
          </w:tcPr>
          <w:p w14:paraId="0D9F8183" w14:textId="77777777" w:rsidR="00203701" w:rsidRDefault="00000000">
            <w:pPr>
              <w:widowControl w:val="0"/>
              <w:spacing w:after="0" w:line="240" w:lineRule="auto"/>
              <w:jc w:val="center"/>
            </w:pPr>
            <w:r>
              <w:t>Forma zbycia</w:t>
            </w:r>
          </w:p>
        </w:tc>
        <w:tc>
          <w:tcPr>
            <w:tcW w:w="1642" w:type="dxa"/>
            <w:vMerge w:val="restart"/>
            <w:shd w:val="clear" w:color="auto" w:fill="auto"/>
          </w:tcPr>
          <w:p w14:paraId="3B383A9C" w14:textId="062BAB0D" w:rsidR="00203701" w:rsidRDefault="00000000">
            <w:pPr>
              <w:widowControl w:val="0"/>
              <w:spacing w:after="0" w:line="240" w:lineRule="auto"/>
              <w:jc w:val="center"/>
            </w:pPr>
            <w:r>
              <w:t>Termin zagospodaro-wania nieruchomości</w:t>
            </w:r>
          </w:p>
        </w:tc>
      </w:tr>
      <w:tr w:rsidR="00203701" w14:paraId="35EF66DD" w14:textId="77777777" w:rsidTr="00BB040E"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F490C2" w14:textId="77777777" w:rsidR="00203701" w:rsidRDefault="00203701">
            <w:pPr>
              <w:widowControl w:val="0"/>
              <w:spacing w:after="0" w:line="240" w:lineRule="auto"/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14:paraId="6D62351F" w14:textId="77777777" w:rsidR="00203701" w:rsidRDefault="00000000">
            <w:pPr>
              <w:widowControl w:val="0"/>
              <w:spacing w:after="0" w:line="240" w:lineRule="auto"/>
            </w:pPr>
            <w:r>
              <w:t xml:space="preserve">Nr działki </w:t>
            </w:r>
          </w:p>
        </w:tc>
        <w:tc>
          <w:tcPr>
            <w:tcW w:w="103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B9CCD83" w14:textId="77777777" w:rsidR="00203701" w:rsidRDefault="00000000">
            <w:pPr>
              <w:widowControl w:val="0"/>
              <w:spacing w:after="0" w:line="240" w:lineRule="auto"/>
            </w:pPr>
            <w:r>
              <w:t>Arkusz mapy / obręb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7985001D" w14:textId="77777777" w:rsidR="00203701" w:rsidRDefault="00000000">
            <w:pPr>
              <w:widowControl w:val="0"/>
              <w:spacing w:after="0" w:line="240" w:lineRule="auto"/>
            </w:pPr>
            <w:r>
              <w:t>Nr księgi wieczystej</w:t>
            </w: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625D88" w14:textId="77777777" w:rsidR="00203701" w:rsidRDefault="00203701">
            <w:pPr>
              <w:widowControl w:val="0"/>
              <w:spacing w:after="0" w:line="240" w:lineRule="auto"/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AB1422" w14:textId="77777777" w:rsidR="00203701" w:rsidRDefault="00203701">
            <w:pPr>
              <w:widowControl w:val="0"/>
              <w:spacing w:after="0"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301B38" w14:textId="77777777" w:rsidR="00203701" w:rsidRDefault="00203701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90F607" w14:textId="77777777" w:rsidR="00203701" w:rsidRDefault="00203701">
            <w:pPr>
              <w:widowControl w:val="0"/>
              <w:spacing w:after="0" w:line="240" w:lineRule="auto"/>
            </w:pPr>
          </w:p>
        </w:tc>
        <w:tc>
          <w:tcPr>
            <w:tcW w:w="85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83B5DB6" w14:textId="77777777" w:rsidR="00203701" w:rsidRDefault="00203701">
            <w:pPr>
              <w:widowControl w:val="0"/>
              <w:spacing w:after="0" w:line="240" w:lineRule="auto"/>
            </w:pPr>
          </w:p>
        </w:tc>
        <w:tc>
          <w:tcPr>
            <w:tcW w:w="16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86C991" w14:textId="77777777" w:rsidR="00203701" w:rsidRDefault="00203701">
            <w:pPr>
              <w:widowControl w:val="0"/>
              <w:spacing w:after="0" w:line="240" w:lineRule="auto"/>
            </w:pPr>
          </w:p>
        </w:tc>
      </w:tr>
      <w:tr w:rsidR="00203701" w14:paraId="7ED6EB6C" w14:textId="77777777" w:rsidTr="00664394">
        <w:tc>
          <w:tcPr>
            <w:tcW w:w="1541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C4A060D" w14:textId="77777777" w:rsidR="00203701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UŻYCZENIE</w:t>
            </w:r>
          </w:p>
        </w:tc>
      </w:tr>
      <w:tr w:rsidR="00AA1A31" w14:paraId="63AE950B" w14:textId="77777777" w:rsidTr="00BB040E"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B331F" w14:textId="0EAC61AC" w:rsidR="00AA1A31" w:rsidRDefault="00405E3D" w:rsidP="00AA1A31">
            <w:pPr>
              <w:widowControl w:val="0"/>
              <w:spacing w:after="0" w:line="240" w:lineRule="auto"/>
              <w:jc w:val="center"/>
            </w:pPr>
            <w:r>
              <w:t>1</w:t>
            </w:r>
            <w:r w:rsidR="00AA1A31">
              <w:t>.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52C64" w14:textId="7545FD14" w:rsidR="00AA1A31" w:rsidRDefault="00C101A4" w:rsidP="00AA1A31">
            <w:pPr>
              <w:widowControl w:val="0"/>
              <w:spacing w:after="0" w:line="240" w:lineRule="auto"/>
              <w:jc w:val="center"/>
            </w:pPr>
            <w:r>
              <w:t>28</w:t>
            </w:r>
            <w:r w:rsidR="00AA1A31">
              <w:t>/</w:t>
            </w:r>
            <w:r>
              <w:t>2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64C309" w14:textId="637A0C0D" w:rsidR="00AA1A31" w:rsidRDefault="00AA1A31" w:rsidP="00AA1A31">
            <w:pPr>
              <w:widowControl w:val="0"/>
              <w:spacing w:after="0" w:line="240" w:lineRule="auto"/>
              <w:jc w:val="center"/>
            </w:pPr>
            <w:r>
              <w:t>a.m.</w:t>
            </w:r>
            <w:r w:rsidR="00C101A4">
              <w:t>1</w:t>
            </w:r>
            <w:r>
              <w:t xml:space="preserve"> obręb </w:t>
            </w:r>
            <w:r w:rsidR="00C101A4">
              <w:t>Ponięcice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AE76A" w14:textId="0529BD53" w:rsidR="00AA1A31" w:rsidRDefault="00AA1A31" w:rsidP="00AA1A31">
            <w:pPr>
              <w:widowControl w:val="0"/>
              <w:spacing w:after="0" w:line="240" w:lineRule="auto"/>
              <w:rPr>
                <w:rFonts w:ascii="arial;helvetica;sans-serif" w:hAnsi="arial;helvetica;sans-serif"/>
                <w:color w:val="000000"/>
                <w:sz w:val="20"/>
              </w:rPr>
            </w:pPr>
            <w:r>
              <w:rPr>
                <w:rFonts w:ascii="arial;helvetica;sans-serif" w:hAnsi="arial;helvetica;sans-serif"/>
                <w:color w:val="000000"/>
                <w:sz w:val="20"/>
              </w:rPr>
              <w:t>GL1R/000</w:t>
            </w:r>
            <w:r w:rsidR="00C101A4">
              <w:rPr>
                <w:rFonts w:ascii="arial;helvetica;sans-serif" w:hAnsi="arial;helvetica;sans-serif"/>
                <w:color w:val="000000"/>
                <w:sz w:val="20"/>
              </w:rPr>
              <w:t>5</w:t>
            </w:r>
            <w:r>
              <w:rPr>
                <w:rFonts w:ascii="arial;helvetica;sans-serif" w:hAnsi="arial;helvetica;sans-serif"/>
                <w:color w:val="000000"/>
                <w:sz w:val="20"/>
              </w:rPr>
              <w:t>5</w:t>
            </w:r>
            <w:r w:rsidR="00C101A4">
              <w:rPr>
                <w:rFonts w:ascii="arial;helvetica;sans-serif" w:hAnsi="arial;helvetica;sans-serif"/>
                <w:color w:val="000000"/>
                <w:sz w:val="20"/>
              </w:rPr>
              <w:t>940</w:t>
            </w:r>
            <w:r>
              <w:rPr>
                <w:rFonts w:ascii="arial;helvetica;sans-serif" w:hAnsi="arial;helvetica;sans-serif"/>
                <w:color w:val="000000"/>
                <w:sz w:val="20"/>
              </w:rPr>
              <w:t>/</w:t>
            </w:r>
            <w:r w:rsidR="00C101A4">
              <w:rPr>
                <w:rFonts w:ascii="arial;helvetica;sans-serif" w:hAnsi="arial;helvetica;sans-serif"/>
                <w:color w:val="000000"/>
                <w:sz w:val="20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CC1B8" w14:textId="40177E3B" w:rsidR="00AA1A31" w:rsidRDefault="00C101A4" w:rsidP="00AA1A31">
            <w:pPr>
              <w:widowControl w:val="0"/>
              <w:spacing w:after="0" w:line="240" w:lineRule="auto"/>
              <w:jc w:val="center"/>
            </w:pPr>
            <w:r>
              <w:t>1</w:t>
            </w:r>
            <w:r w:rsidR="00AA1A31">
              <w:t>,</w:t>
            </w:r>
            <w:r w:rsidR="00203815">
              <w:t>0</w:t>
            </w:r>
            <w:r>
              <w:t>225</w:t>
            </w:r>
            <w:r w:rsidR="00AA1A31">
              <w:t xml:space="preserve"> ha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0A57C" w14:textId="7B046C01" w:rsidR="00AA1A31" w:rsidRDefault="00C101A4" w:rsidP="00AA1A31">
            <w:pPr>
              <w:widowControl w:val="0"/>
              <w:spacing w:after="0" w:line="240" w:lineRule="auto"/>
            </w:pPr>
            <w:r>
              <w:t>B</w:t>
            </w:r>
            <w:r w:rsidR="00AA1A31">
              <w:t>udyn</w:t>
            </w:r>
            <w:r>
              <w:t>e</w:t>
            </w:r>
            <w:r w:rsidR="00203815">
              <w:t>k</w:t>
            </w:r>
            <w:r w:rsidR="00AA1A31">
              <w:t xml:space="preserve"> </w:t>
            </w:r>
            <w:r w:rsidR="00203815">
              <w:t xml:space="preserve">świetlicy wiejskiej w </w:t>
            </w:r>
            <w:r>
              <w:t>Ponięcicach</w:t>
            </w:r>
            <w:r w:rsidR="00203815">
              <w:t xml:space="preserve"> zlokalizowanej przy ul. </w:t>
            </w:r>
            <w:r>
              <w:t>Łąk</w:t>
            </w:r>
            <w:r w:rsidR="00203815">
              <w:t xml:space="preserve">owej </w:t>
            </w:r>
            <w:r>
              <w:t>2</w:t>
            </w:r>
            <w:r w:rsidR="00AA1A31">
              <w:t>. Budynek posiada dojazd drogą</w:t>
            </w:r>
            <w:r>
              <w:t xml:space="preserve"> asfaltową</w:t>
            </w:r>
            <w:r w:rsidR="00AA1A31">
              <w:t xml:space="preserve"> </w:t>
            </w:r>
            <w:r>
              <w:t>o</w:t>
            </w:r>
            <w:r w:rsidR="00AA1A31">
              <w:t xml:space="preserve">d ul. </w:t>
            </w:r>
            <w:r>
              <w:t>Łąk</w:t>
            </w:r>
            <w:r w:rsidR="00203815">
              <w:t>ow</w:t>
            </w:r>
            <w:r w:rsidR="00AA1A31">
              <w:t>ej.</w:t>
            </w:r>
            <w:r w:rsidR="00203815">
              <w:t xml:space="preserve"> </w:t>
            </w:r>
            <w:r>
              <w:t>B</w:t>
            </w:r>
            <w:r w:rsidR="00AA1A31">
              <w:t>udynk</w:t>
            </w:r>
            <w:r w:rsidR="00203815">
              <w:t xml:space="preserve">u ma zostać </w:t>
            </w:r>
            <w:r w:rsidR="00AA1A31">
              <w:t xml:space="preserve"> przeznaczon</w:t>
            </w:r>
            <w:r w:rsidR="00203815">
              <w:t>a</w:t>
            </w:r>
            <w:r w:rsidR="00AA1A31">
              <w:t xml:space="preserve"> na potrzeby działalności statutowej </w:t>
            </w:r>
            <w:r w:rsidR="00203815">
              <w:t xml:space="preserve">Koła Gospodyń Wiejskich </w:t>
            </w:r>
            <w:r>
              <w:t>„Wioskowe Trio” Szonowice</w:t>
            </w:r>
            <w:r w:rsidR="00203815">
              <w:t xml:space="preserve"> oraz będzie  stanowił siedzibę KGW</w:t>
            </w:r>
            <w:r w:rsidR="00AA1A31"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8B6E1" w14:textId="5320AA50" w:rsidR="00AA1A31" w:rsidRDefault="00AA1A31" w:rsidP="00AA1A31">
            <w:pPr>
              <w:widowControl w:val="0"/>
              <w:spacing w:after="0" w:line="240" w:lineRule="auto"/>
            </w:pPr>
            <w:r>
              <w:t xml:space="preserve">Działka nr </w:t>
            </w:r>
            <w:r w:rsidR="00C101A4">
              <w:t>28</w:t>
            </w:r>
            <w:r>
              <w:t>/</w:t>
            </w:r>
            <w:r w:rsidR="00C101A4">
              <w:t>2</w:t>
            </w:r>
            <w:r>
              <w:t xml:space="preserve"> zgodnie z mpzp znajduje się w obszarze oznaczonym symbolem:</w:t>
            </w:r>
          </w:p>
          <w:p w14:paraId="637919E4" w14:textId="59D33697" w:rsidR="00AA1A31" w:rsidRDefault="00C101A4" w:rsidP="00AA1A31">
            <w:pPr>
              <w:widowControl w:val="0"/>
              <w:spacing w:after="0" w:line="240" w:lineRule="auto"/>
            </w:pPr>
            <w:r>
              <w:t>F</w:t>
            </w:r>
            <w:r w:rsidR="00AA1A31">
              <w:t xml:space="preserve"> </w:t>
            </w:r>
            <w:r w:rsidR="00203815">
              <w:t>1</w:t>
            </w:r>
            <w:r w:rsidR="00AA1A31">
              <w:t xml:space="preserve"> UP – tereny zabudowy usługowej – usługi publiczne,</w:t>
            </w:r>
          </w:p>
          <w:p w14:paraId="4629406A" w14:textId="438E1527" w:rsidR="00AA1A31" w:rsidRDefault="00C101A4" w:rsidP="00AA1A31">
            <w:pPr>
              <w:widowControl w:val="0"/>
              <w:spacing w:after="0" w:line="240" w:lineRule="auto"/>
            </w:pPr>
            <w:r>
              <w:t>F 2 KDD i F 4 KDD</w:t>
            </w:r>
            <w:r w:rsidR="00AA1A31">
              <w:t xml:space="preserve"> – tereny </w:t>
            </w:r>
            <w:r>
              <w:t>dróg publicznych klasy dojazdowej</w:t>
            </w:r>
            <w:r w:rsidR="00AA1A31"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90F74" w14:textId="28EECF8A" w:rsidR="00AA1A31" w:rsidRDefault="00AA1A31" w:rsidP="00AA1A31">
            <w:pPr>
              <w:tabs>
                <w:tab w:val="left" w:pos="780"/>
              </w:tabs>
            </w:pPr>
            <w:r>
              <w:t>0,00 zł/mc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F2B308" w14:textId="46F94474" w:rsidR="00AA1A31" w:rsidRDefault="00AA1A31" w:rsidP="00AA1A31">
            <w:pPr>
              <w:widowControl w:val="0"/>
              <w:spacing w:after="0" w:line="240" w:lineRule="auto"/>
            </w:pPr>
            <w:r>
              <w:t>Użycze</w:t>
            </w:r>
            <w:r w:rsidR="00BB040E">
              <w:t>-</w:t>
            </w:r>
            <w:r>
              <w:t>nie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ADDDF" w14:textId="11629066" w:rsidR="00AA1A31" w:rsidRDefault="00AA1A31" w:rsidP="00AA1A31">
            <w:pPr>
              <w:widowControl w:val="0"/>
              <w:spacing w:after="0" w:line="240" w:lineRule="auto"/>
              <w:jc w:val="center"/>
            </w:pPr>
            <w:r>
              <w:t xml:space="preserve">Umowa użyczenia na </w:t>
            </w:r>
            <w:r w:rsidR="00C101A4">
              <w:t>czas nieokreślony</w:t>
            </w:r>
          </w:p>
        </w:tc>
      </w:tr>
    </w:tbl>
    <w:p w14:paraId="0FD376EB" w14:textId="77777777" w:rsidR="00203701" w:rsidRDefault="00203701"/>
    <w:p w14:paraId="3E85BEE2" w14:textId="77777777" w:rsidR="00203701" w:rsidRDefault="00000000">
      <w:r>
        <w:t>Osoby, którym przysługuje pierwszeństwo w nabyciu nieruchomości na podstawie art.34 ust.1 pkt.1 i pkt.2 ustawy o gospodarce nieruchomościami winny złożyć stosowny wniosek w terminie 6 tygodni, licząc od dnia wywieszenia niniejszego wykazu.</w:t>
      </w:r>
    </w:p>
    <w:p w14:paraId="2BF8AFB5" w14:textId="7C1DE44E" w:rsidR="00203701" w:rsidRDefault="00000000">
      <w:r>
        <w:t xml:space="preserve">Powyższy wykaz wywiesza się do wiadomości publicznej na okres 21 dni tj. od dnia </w:t>
      </w:r>
      <w:r w:rsidR="00356D42">
        <w:t>22</w:t>
      </w:r>
      <w:r>
        <w:t>.0</w:t>
      </w:r>
      <w:r w:rsidR="00356D42">
        <w:t>7</w:t>
      </w:r>
      <w:r>
        <w:t>.202</w:t>
      </w:r>
      <w:r w:rsidR="00964F7F">
        <w:t>5</w:t>
      </w:r>
      <w:r>
        <w:t xml:space="preserve"> r. do dnia </w:t>
      </w:r>
      <w:r w:rsidR="00BB040E">
        <w:t>1</w:t>
      </w:r>
      <w:r w:rsidR="00356D42">
        <w:t>2</w:t>
      </w:r>
      <w:r>
        <w:t>.0</w:t>
      </w:r>
      <w:r w:rsidR="00356D42">
        <w:t>8</w:t>
      </w:r>
      <w:r>
        <w:t>.202</w:t>
      </w:r>
      <w:r w:rsidR="00964F7F">
        <w:t>5</w:t>
      </w:r>
      <w:r>
        <w:t>r. w siedzibie Urzędu Gminy Rudnik na tablicy ogłoszeń oraz zamieszcza na stronie internetowej BIP Urzędu Gminy Rudnik bip.gmina-rudnik.pl.</w:t>
      </w:r>
    </w:p>
    <w:sectPr w:rsidR="00203701">
      <w:pgSz w:w="16838" w:h="11906" w:orient="landscape"/>
      <w:pgMar w:top="850" w:right="1417" w:bottom="850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C2825" w14:textId="77777777" w:rsidR="0072643E" w:rsidRDefault="0072643E">
      <w:pPr>
        <w:spacing w:line="240" w:lineRule="auto"/>
      </w:pPr>
      <w:r>
        <w:separator/>
      </w:r>
    </w:p>
  </w:endnote>
  <w:endnote w:type="continuationSeparator" w:id="0">
    <w:p w14:paraId="6710C66A" w14:textId="77777777" w:rsidR="0072643E" w:rsidRDefault="00726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helvetica;sans-serif">
    <w:altName w:val="Liberation Mono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463D9" w14:textId="77777777" w:rsidR="0072643E" w:rsidRDefault="0072643E">
      <w:pPr>
        <w:spacing w:after="0"/>
      </w:pPr>
      <w:r>
        <w:separator/>
      </w:r>
    </w:p>
  </w:footnote>
  <w:footnote w:type="continuationSeparator" w:id="0">
    <w:p w14:paraId="33CA6477" w14:textId="77777777" w:rsidR="0072643E" w:rsidRDefault="007264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01"/>
    <w:rsid w:val="00014763"/>
    <w:rsid w:val="00044D00"/>
    <w:rsid w:val="001539D9"/>
    <w:rsid w:val="00166C5F"/>
    <w:rsid w:val="0020017D"/>
    <w:rsid w:val="00203701"/>
    <w:rsid w:val="00203815"/>
    <w:rsid w:val="00356D42"/>
    <w:rsid w:val="003C2DE0"/>
    <w:rsid w:val="003E24A4"/>
    <w:rsid w:val="00405E3D"/>
    <w:rsid w:val="00490645"/>
    <w:rsid w:val="004D062A"/>
    <w:rsid w:val="005C3414"/>
    <w:rsid w:val="00626C73"/>
    <w:rsid w:val="00664394"/>
    <w:rsid w:val="00677593"/>
    <w:rsid w:val="006C733E"/>
    <w:rsid w:val="006F6445"/>
    <w:rsid w:val="0072643E"/>
    <w:rsid w:val="007276A3"/>
    <w:rsid w:val="007568F8"/>
    <w:rsid w:val="007672A6"/>
    <w:rsid w:val="00787512"/>
    <w:rsid w:val="00825733"/>
    <w:rsid w:val="00830668"/>
    <w:rsid w:val="00845B24"/>
    <w:rsid w:val="008635D7"/>
    <w:rsid w:val="00884D58"/>
    <w:rsid w:val="00906A57"/>
    <w:rsid w:val="00923442"/>
    <w:rsid w:val="00964F7F"/>
    <w:rsid w:val="009A4BED"/>
    <w:rsid w:val="00A275BE"/>
    <w:rsid w:val="00A372CE"/>
    <w:rsid w:val="00A60632"/>
    <w:rsid w:val="00AA1A31"/>
    <w:rsid w:val="00AA7104"/>
    <w:rsid w:val="00B74EEC"/>
    <w:rsid w:val="00B8529B"/>
    <w:rsid w:val="00BB040E"/>
    <w:rsid w:val="00C101A4"/>
    <w:rsid w:val="00C77669"/>
    <w:rsid w:val="00CB7F1D"/>
    <w:rsid w:val="00EF05B0"/>
    <w:rsid w:val="00F115D3"/>
    <w:rsid w:val="00F35215"/>
    <w:rsid w:val="00F42581"/>
    <w:rsid w:val="00F45932"/>
    <w:rsid w:val="16BF6C14"/>
    <w:rsid w:val="254C339D"/>
    <w:rsid w:val="39FD0393"/>
    <w:rsid w:val="48307C58"/>
    <w:rsid w:val="4FA709C3"/>
    <w:rsid w:val="73A9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3A08"/>
  <w15:docId w15:val="{0AE743E7-4BE3-4E30-959A-EA2C9EEE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Wawrzinek</dc:creator>
  <cp:lastModifiedBy>Sylwia Wawrzinek</cp:lastModifiedBy>
  <cp:revision>43</cp:revision>
  <cp:lastPrinted>2025-05-19T08:30:00Z</cp:lastPrinted>
  <dcterms:created xsi:type="dcterms:W3CDTF">2021-07-15T12:06:00Z</dcterms:created>
  <dcterms:modified xsi:type="dcterms:W3CDTF">2025-07-18T08:26:00Z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1045-11.2.0.11417</vt:lpwstr>
  </property>
  <property fmtid="{D5CDD505-2E9C-101B-9397-08002B2CF9AE}" pid="9" name="ICV">
    <vt:lpwstr>8B3AAE0F112A47D5AED45EFE2546BDE9</vt:lpwstr>
  </property>
</Properties>
</file>