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 xml:space="preserve">Załącznik nr 1 do Zarządzenia </w:t>
      </w:r>
    </w:p>
    <w:p>
      <w:pPr>
        <w:jc w:val="right"/>
      </w:pPr>
      <w:r>
        <w:t>Wójt Gminy Rudnik</w:t>
      </w:r>
    </w:p>
    <w:p>
      <w:pPr>
        <w:jc w:val="right"/>
      </w:pPr>
      <w:r>
        <w:t>nr RZW.</w:t>
      </w:r>
      <w:r>
        <w:rPr>
          <w:rFonts w:hint="default"/>
          <w:lang w:val="pl-PL"/>
        </w:rPr>
        <w:t>069</w:t>
      </w:r>
      <w:r>
        <w:t>.202</w:t>
      </w:r>
      <w:r>
        <w:rPr>
          <w:rFonts w:hint="default"/>
          <w:lang w:val="pl-PL"/>
        </w:rPr>
        <w:t>3</w:t>
      </w:r>
      <w:r>
        <w:t xml:space="preserve"> z dnia </w:t>
      </w:r>
      <w:r>
        <w:rPr>
          <w:rFonts w:hint="default"/>
          <w:lang w:val="pl-PL"/>
        </w:rPr>
        <w:t>7</w:t>
      </w:r>
      <w:r>
        <w:t xml:space="preserve"> </w:t>
      </w:r>
      <w:r>
        <w:rPr>
          <w:rFonts w:hint="default"/>
          <w:lang w:val="pl-PL"/>
        </w:rPr>
        <w:t>czerwc</w:t>
      </w:r>
      <w:r>
        <w:t>a 202</w:t>
      </w:r>
      <w:r>
        <w:rPr>
          <w:rFonts w:hint="default"/>
          <w:lang w:val="pl-PL"/>
        </w:rPr>
        <w:t>3</w:t>
      </w:r>
      <w:r>
        <w:t>r.</w:t>
      </w:r>
    </w:p>
    <w:p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WYKAZ</w:t>
      </w:r>
      <w:r>
        <w:rPr>
          <w:rFonts w:hint="default"/>
          <w:b/>
          <w:bCs/>
          <w:sz w:val="24"/>
          <w:szCs w:val="24"/>
          <w:lang w:val="pl-PL"/>
        </w:rPr>
        <w:t xml:space="preserve">  </w:t>
      </w:r>
      <w:r>
        <w:rPr>
          <w:b/>
          <w:bCs/>
          <w:sz w:val="24"/>
          <w:szCs w:val="24"/>
        </w:rPr>
        <w:t xml:space="preserve"> NIERUCHOMOŚCI</w:t>
      </w:r>
      <w:r>
        <w:rPr>
          <w:rFonts w:hint="default"/>
          <w:b/>
          <w:bCs/>
          <w:sz w:val="24"/>
          <w:szCs w:val="24"/>
          <w:lang w:val="pl-PL"/>
        </w:rPr>
        <w:t xml:space="preserve">  </w:t>
      </w:r>
      <w:r>
        <w:rPr>
          <w:b/>
          <w:bCs/>
          <w:sz w:val="24"/>
          <w:szCs w:val="24"/>
        </w:rPr>
        <w:t xml:space="preserve"> PRZEZNACZONYCH</w:t>
      </w:r>
      <w:r>
        <w:rPr>
          <w:rFonts w:hint="default"/>
          <w:b/>
          <w:bCs/>
          <w:sz w:val="24"/>
          <w:szCs w:val="24"/>
          <w:lang w:val="pl-PL"/>
        </w:rPr>
        <w:t xml:space="preserve">  </w:t>
      </w:r>
      <w:r>
        <w:rPr>
          <w:b/>
          <w:bCs/>
          <w:sz w:val="24"/>
          <w:szCs w:val="24"/>
        </w:rPr>
        <w:t xml:space="preserve"> DO</w:t>
      </w:r>
      <w:r>
        <w:rPr>
          <w:rFonts w:hint="default"/>
          <w:b/>
          <w:bCs/>
          <w:sz w:val="24"/>
          <w:szCs w:val="24"/>
          <w:lang w:val="pl-PL"/>
        </w:rPr>
        <w:t xml:space="preserve">  </w:t>
      </w:r>
      <w:r>
        <w:rPr>
          <w:b/>
          <w:bCs/>
          <w:sz w:val="24"/>
          <w:szCs w:val="24"/>
        </w:rPr>
        <w:t xml:space="preserve"> UŻYCZENIA</w:t>
      </w:r>
    </w:p>
    <w:p>
      <w:pPr>
        <w:jc w:val="center"/>
      </w:pPr>
      <w:r>
        <w:t>Na podstawie art. 35 ustawy z dnia 21 sierpnia 1997r. o gospodarce nieruchomościami (t. j. Dz. U. z 202</w:t>
      </w:r>
      <w:r>
        <w:rPr>
          <w:rFonts w:hint="default"/>
          <w:lang w:val="pl-PL"/>
        </w:rPr>
        <w:t>3</w:t>
      </w:r>
      <w:r>
        <w:t xml:space="preserve"> r. poz. </w:t>
      </w:r>
      <w:r>
        <w:rPr>
          <w:rFonts w:hint="default"/>
          <w:lang w:val="pl-PL"/>
        </w:rPr>
        <w:t>344</w:t>
      </w:r>
      <w:r>
        <w:t xml:space="preserve">) Wójt Gminy Rudnik podaje do publicznej wiadomości wykaz nieruchomości przeznaczonych </w:t>
      </w:r>
      <w:r>
        <w:rPr>
          <w:rFonts w:hint="default"/>
          <w:lang w:val="pl-PL"/>
        </w:rPr>
        <w:t xml:space="preserve">do </w:t>
      </w:r>
      <w:r>
        <w:t>użyczenia</w:t>
      </w:r>
    </w:p>
    <w:tbl>
      <w:tblPr>
        <w:tblStyle w:val="7"/>
        <w:tblW w:w="15418" w:type="dxa"/>
        <w:tblInd w:w="-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13"/>
        <w:gridCol w:w="1035"/>
        <w:gridCol w:w="1138"/>
        <w:gridCol w:w="1502"/>
        <w:gridCol w:w="3660"/>
        <w:gridCol w:w="2654"/>
        <w:gridCol w:w="1311"/>
        <w:gridCol w:w="1021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restart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Lp.</w:t>
            </w:r>
          </w:p>
        </w:tc>
        <w:tc>
          <w:tcPr>
            <w:tcW w:w="3086" w:type="dxa"/>
            <w:gridSpan w:val="3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Oznaczenie nieruchomości</w:t>
            </w:r>
          </w:p>
        </w:tc>
        <w:tc>
          <w:tcPr>
            <w:tcW w:w="1502" w:type="dxa"/>
            <w:vMerge w:val="restart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Powierzchnia nieruchomo-ści [ha]</w:t>
            </w:r>
          </w:p>
        </w:tc>
        <w:tc>
          <w:tcPr>
            <w:tcW w:w="3660" w:type="dxa"/>
            <w:vMerge w:val="restart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Opis nieruchomości</w:t>
            </w:r>
          </w:p>
        </w:tc>
        <w:tc>
          <w:tcPr>
            <w:tcW w:w="2654" w:type="dxa"/>
            <w:vMerge w:val="restart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Przeznaczenie nieruchomości i sposób jej zagospodarowania</w:t>
            </w:r>
          </w:p>
        </w:tc>
        <w:tc>
          <w:tcPr>
            <w:tcW w:w="1311" w:type="dxa"/>
            <w:vMerge w:val="restart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rPr>
                <w:rFonts w:eastAsiaTheme="minorHAnsi" w:cstheme="minorBidi"/>
                <w:color w:val="auto"/>
                <w:kern w:val="0"/>
                <w:sz w:val="22"/>
                <w:szCs w:val="22"/>
                <w:lang w:val="pl-PL" w:eastAsia="en-US" w:bidi="ar-SA"/>
              </w:rPr>
              <w:t>Wartość czynszu</w:t>
            </w:r>
            <w:r>
              <w:t xml:space="preserve"> brutto [zł/mc]</w:t>
            </w:r>
          </w:p>
        </w:tc>
        <w:tc>
          <w:tcPr>
            <w:tcW w:w="1021" w:type="dxa"/>
            <w:vMerge w:val="restart"/>
            <w:tcBorders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Forma zbycia</w:t>
            </w:r>
          </w:p>
        </w:tc>
        <w:tc>
          <w:tcPr>
            <w:tcW w:w="1642" w:type="dxa"/>
            <w:vMerge w:val="restart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Termin zagospodaro-wania nieruchomości/ termin wnoszenia opłat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</w:p>
        </w:tc>
        <w:tc>
          <w:tcPr>
            <w:tcW w:w="913" w:type="dxa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  <w:r>
              <w:t xml:space="preserve">Nr działki </w:t>
            </w:r>
          </w:p>
        </w:tc>
        <w:tc>
          <w:tcPr>
            <w:tcW w:w="1035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  <w:r>
              <w:t>Arkusz mapy / obręb</w:t>
            </w:r>
          </w:p>
        </w:tc>
        <w:tc>
          <w:tcPr>
            <w:tcW w:w="1138" w:type="dxa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  <w:r>
              <w:t>Nr księgi wieczystej</w:t>
            </w:r>
          </w:p>
        </w:tc>
        <w:tc>
          <w:tcPr>
            <w:tcW w:w="1502" w:type="dxa"/>
            <w:vMerge w:val="continue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</w:p>
        </w:tc>
        <w:tc>
          <w:tcPr>
            <w:tcW w:w="3660" w:type="dxa"/>
            <w:vMerge w:val="continue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</w:p>
        </w:tc>
        <w:tc>
          <w:tcPr>
            <w:tcW w:w="2654" w:type="dxa"/>
            <w:vMerge w:val="continue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</w:p>
        </w:tc>
        <w:tc>
          <w:tcPr>
            <w:tcW w:w="1311" w:type="dxa"/>
            <w:vMerge w:val="continue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</w:p>
        </w:tc>
        <w:tc>
          <w:tcPr>
            <w:tcW w:w="1021" w:type="dxa"/>
            <w:vMerge w:val="continue"/>
            <w:tcBorders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</w:p>
        </w:tc>
        <w:tc>
          <w:tcPr>
            <w:tcW w:w="1642" w:type="dxa"/>
            <w:vMerge w:val="continue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8" w:type="dxa"/>
            <w:gridSpan w:val="10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UŻYCZENIE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1.</w:t>
            </w:r>
          </w:p>
        </w:tc>
        <w:tc>
          <w:tcPr>
            <w:tcW w:w="913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hint="default"/>
                <w:lang w:val="pl-PL"/>
              </w:rPr>
            </w:pPr>
            <w:r>
              <w:t>3</w:t>
            </w:r>
            <w:r>
              <w:rPr>
                <w:rFonts w:hint="default"/>
                <w:lang w:val="pl-PL"/>
              </w:rPr>
              <w:t>12</w:t>
            </w:r>
          </w:p>
        </w:tc>
        <w:tc>
          <w:tcPr>
            <w:tcW w:w="1035" w:type="dxa"/>
            <w:tcBorders>
              <w:top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rPr>
                <w:rFonts w:hint="default"/>
                <w:lang w:val="pl-PL"/>
              </w:rPr>
              <w:t>1</w:t>
            </w:r>
            <w:r>
              <w:t xml:space="preserve"> </w:t>
            </w:r>
          </w:p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hint="default"/>
                <w:lang w:val="pl-PL"/>
              </w:rPr>
            </w:pPr>
            <w:r>
              <w:t xml:space="preserve">obręb </w:t>
            </w:r>
            <w:r>
              <w:rPr>
                <w:rFonts w:hint="default"/>
                <w:lang w:val="pl-PL"/>
              </w:rPr>
              <w:t>Lasaki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  <w:r>
              <w:rPr>
                <w:rFonts w:ascii="arial;helvetica;sans-serif" w:hAnsi="arial;helvetica;sans-serif"/>
                <w:b w:val="0"/>
                <w:i w:val="0"/>
                <w:caps w:val="0"/>
                <w:smallCaps w:val="0"/>
                <w:color w:val="000000"/>
                <w:spacing w:val="0"/>
                <w:sz w:val="20"/>
              </w:rPr>
              <w:t>GL1R/0006</w:t>
            </w:r>
            <w:r>
              <w:rPr>
                <w:rFonts w:hint="default" w:ascii="arial;helvetica;sans-serif" w:hAnsi="arial;helvetica;sans-serif"/>
                <w:b w:val="0"/>
                <w:i w:val="0"/>
                <w:caps w:val="0"/>
                <w:smallCaps w:val="0"/>
                <w:color w:val="000000"/>
                <w:spacing w:val="0"/>
                <w:sz w:val="20"/>
                <w:lang w:val="pl-PL"/>
              </w:rPr>
              <w:t>2355</w:t>
            </w:r>
            <w:r>
              <w:rPr>
                <w:rFonts w:ascii="arial;helvetica;sans-serif" w:hAnsi="arial;helvetica;sans-serif"/>
                <w:b w:val="0"/>
                <w:i w:val="0"/>
                <w:caps w:val="0"/>
                <w:smallCaps w:val="0"/>
                <w:color w:val="000000"/>
                <w:spacing w:val="0"/>
                <w:sz w:val="20"/>
              </w:rPr>
              <w:t>/</w:t>
            </w:r>
            <w:r>
              <w:rPr>
                <w:rFonts w:hint="default" w:ascii="arial;helvetica;sans-serif" w:hAnsi="arial;helvetica;sans-serif"/>
                <w:b w:val="0"/>
                <w:i w:val="0"/>
                <w:caps w:val="0"/>
                <w:smallCaps w:val="0"/>
                <w:color w:val="000000"/>
                <w:spacing w:val="0"/>
                <w:sz w:val="20"/>
                <w:lang w:val="pl-PL"/>
              </w:rPr>
              <w:t>2</w:t>
            </w:r>
            <w:r>
              <w:t xml:space="preserve"> 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rPr>
                <w:rFonts w:hint="default"/>
                <w:lang w:val="pl-PL"/>
              </w:rPr>
              <w:t>2</w:t>
            </w:r>
            <w:r>
              <w:t>,</w:t>
            </w:r>
            <w:r>
              <w:rPr>
                <w:rFonts w:hint="default"/>
                <w:lang w:val="pl-PL"/>
              </w:rPr>
              <w:t>7437</w:t>
            </w:r>
            <w:r>
              <w:t xml:space="preserve"> ha</w:t>
            </w:r>
          </w:p>
          <w:p>
            <w:pPr>
              <w:widowControl w:val="0"/>
              <w:suppressAutoHyphens/>
              <w:spacing w:before="0" w:after="0" w:line="240" w:lineRule="auto"/>
              <w:jc w:val="center"/>
            </w:pPr>
          </w:p>
        </w:tc>
        <w:tc>
          <w:tcPr>
            <w:tcW w:w="3660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  <w:r>
              <w:t xml:space="preserve">Użytki: </w:t>
            </w:r>
            <w:r>
              <w:rPr>
                <w:rFonts w:hint="default"/>
                <w:lang w:val="pl-PL"/>
              </w:rPr>
              <w:t>Ws</w:t>
            </w:r>
            <w:r>
              <w:t xml:space="preserve"> </w:t>
            </w:r>
            <w:r>
              <w:rPr>
                <w:rFonts w:hint="default"/>
                <w:lang w:val="pl-PL"/>
              </w:rPr>
              <w:t>2,7437</w:t>
            </w:r>
            <w:r>
              <w:t xml:space="preserve"> ha</w:t>
            </w:r>
            <w:r>
              <w:rPr>
                <w:rFonts w:hint="default"/>
                <w:lang w:val="pl-PL"/>
              </w:rPr>
              <w:t xml:space="preserve"> </w:t>
            </w:r>
            <w:r>
              <w:t>– działka stanowi grunty pod wodami powierzchniowymi stojącymi. Działka</w:t>
            </w:r>
            <w:r>
              <w:rPr>
                <w:rFonts w:hint="default"/>
                <w:lang w:val="pl-PL"/>
              </w:rPr>
              <w:t xml:space="preserve"> częściowo stanowi stary bieg rzeki Odra, pozostała </w:t>
            </w:r>
            <w:r>
              <w:t>częś</w:t>
            </w:r>
            <w:r>
              <w:rPr>
                <w:lang w:val="pl-PL"/>
              </w:rPr>
              <w:t>ć</w:t>
            </w:r>
            <w:r>
              <w:rPr>
                <w:rFonts w:hint="default"/>
                <w:lang w:val="pl-PL"/>
              </w:rPr>
              <w:t xml:space="preserve"> działki jest porośnięta drzewami i krzewami i może stanowić tereny podmokłe</w:t>
            </w:r>
            <w:r>
              <w:t>. Działka</w:t>
            </w:r>
            <w:r>
              <w:rPr>
                <w:rFonts w:hint="default"/>
                <w:lang w:val="pl-PL"/>
              </w:rPr>
              <w:t xml:space="preserve"> nie</w:t>
            </w:r>
            <w:r>
              <w:t xml:space="preserve"> jest ogrodzona.</w:t>
            </w:r>
          </w:p>
          <w:p>
            <w:pPr>
              <w:widowControl w:val="0"/>
              <w:suppressAutoHyphens/>
              <w:spacing w:before="0" w:after="0" w:line="240" w:lineRule="auto"/>
            </w:pPr>
            <w:r>
              <w:t xml:space="preserve">Teren o nieregularnym kształcie z dojazdem i dostępnością od ulicy </w:t>
            </w:r>
            <w:r>
              <w:rPr>
                <w:rFonts w:hint="default"/>
                <w:lang w:val="pl-PL"/>
              </w:rPr>
              <w:t>Nadodrzańskiej</w:t>
            </w:r>
            <w:r>
              <w:t xml:space="preserve">  (droga z płyt betonowych).</w:t>
            </w:r>
          </w:p>
          <w:p>
            <w:pPr>
              <w:widowControl w:val="0"/>
              <w:suppressAutoHyphens/>
              <w:spacing w:before="0" w:after="0" w:line="240" w:lineRule="auto"/>
            </w:pPr>
          </w:p>
        </w:tc>
        <w:tc>
          <w:tcPr>
            <w:tcW w:w="2654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  <w:r>
              <w:t>Działka nr 31</w:t>
            </w:r>
            <w:r>
              <w:rPr>
                <w:rFonts w:hint="default"/>
                <w:lang w:val="pl-PL"/>
              </w:rPr>
              <w:t>2</w:t>
            </w:r>
            <w:r>
              <w:t xml:space="preserve"> z</w:t>
            </w:r>
            <w:r>
              <w:rPr>
                <w:rFonts w:hint="default"/>
                <w:lang w:val="pl-PL"/>
              </w:rPr>
              <w:t xml:space="preserve">najduje się poza granicami </w:t>
            </w:r>
            <w:r>
              <w:t>mpzp</w:t>
            </w:r>
            <w:r>
              <w:rPr>
                <w:rFonts w:hint="default"/>
                <w:lang w:val="pl-PL"/>
              </w:rPr>
              <w:t xml:space="preserve">, zgodnie ze studium </w:t>
            </w:r>
            <w:r>
              <w:t xml:space="preserve"> znajduje się w obszarze oznaczonym symbolami:</w:t>
            </w:r>
          </w:p>
          <w:p>
            <w:pPr>
              <w:widowControl w:val="0"/>
              <w:suppressAutoHyphens/>
              <w:spacing w:before="0" w:after="0" w:line="240" w:lineRule="auto"/>
              <w:rPr>
                <w:rFonts w:hint="default"/>
                <w:lang w:val="pl-PL"/>
              </w:rPr>
            </w:pPr>
            <w:r>
              <w:t xml:space="preserve">- </w:t>
            </w:r>
            <w:r>
              <w:rPr>
                <w:rFonts w:hint="default"/>
                <w:lang w:val="pl-PL"/>
              </w:rPr>
              <w:t>WS</w:t>
            </w:r>
            <w:r>
              <w:t xml:space="preserve"> – </w:t>
            </w:r>
            <w:r>
              <w:rPr>
                <w:rFonts w:hint="default"/>
                <w:lang w:val="pl-PL"/>
              </w:rPr>
              <w:t>obsza</w:t>
            </w:r>
            <w:r>
              <w:t xml:space="preserve">ry </w:t>
            </w:r>
            <w:r>
              <w:rPr>
                <w:rFonts w:hint="default"/>
                <w:lang w:val="pl-PL"/>
              </w:rPr>
              <w:t xml:space="preserve">wód stojących, </w:t>
            </w:r>
          </w:p>
          <w:p>
            <w:pPr>
              <w:widowControl w:val="0"/>
              <w:suppressAutoHyphens/>
              <w:spacing w:before="0" w:after="0" w:line="240" w:lineRule="auto"/>
            </w:pPr>
            <w:r>
              <w:t xml:space="preserve">- </w:t>
            </w:r>
            <w:r>
              <w:rPr>
                <w:rFonts w:hint="default"/>
                <w:lang w:val="pl-PL"/>
              </w:rPr>
              <w:t>ZP</w:t>
            </w:r>
            <w:r>
              <w:t xml:space="preserve"> – </w:t>
            </w:r>
            <w:r>
              <w:rPr>
                <w:rFonts w:hint="default"/>
                <w:lang w:val="pl-PL"/>
              </w:rPr>
              <w:t>obsza</w:t>
            </w:r>
            <w:r>
              <w:t xml:space="preserve">ry </w:t>
            </w:r>
            <w:r>
              <w:rPr>
                <w:rFonts w:hint="default"/>
                <w:lang w:val="pl-PL"/>
              </w:rPr>
              <w:t>zieleni publicznej</w:t>
            </w:r>
            <w:r>
              <w:t>,</w:t>
            </w:r>
          </w:p>
          <w:p>
            <w:pPr>
              <w:widowControl w:val="0"/>
              <w:suppressAutoHyphens/>
              <w:spacing w:before="0" w:after="0" w:line="240" w:lineRule="auto"/>
              <w:rPr>
                <w:rFonts w:hint="default"/>
                <w:lang w:val="pl-PL"/>
              </w:rPr>
            </w:pPr>
            <w:r>
              <w:t xml:space="preserve">- </w:t>
            </w:r>
            <w:r>
              <w:rPr>
                <w:rFonts w:hint="default"/>
                <w:lang w:val="pl-PL"/>
              </w:rPr>
              <w:t xml:space="preserve">MN </w:t>
            </w:r>
            <w:r>
              <w:t xml:space="preserve">– </w:t>
            </w:r>
            <w:r>
              <w:rPr>
                <w:rFonts w:hint="default"/>
                <w:lang w:val="pl-PL"/>
              </w:rPr>
              <w:t>obsza</w:t>
            </w:r>
            <w:r>
              <w:t xml:space="preserve">ry </w:t>
            </w:r>
            <w:r>
              <w:rPr>
                <w:rFonts w:hint="default"/>
                <w:lang w:val="pl-PL"/>
              </w:rPr>
              <w:t>zabudowy mieszkaniowej i zagrodowej,</w:t>
            </w:r>
          </w:p>
          <w:p>
            <w:pPr>
              <w:widowControl w:val="0"/>
              <w:suppressAutoHyphens/>
              <w:spacing w:before="0" w:after="0" w:line="240" w:lineRule="auto"/>
            </w:pPr>
            <w:r>
              <w:rPr>
                <w:rFonts w:hint="default"/>
                <w:lang w:val="pl-PL"/>
              </w:rPr>
              <w:t>- R - obszary rolnicze</w:t>
            </w:r>
            <w:r>
              <w:t>.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0,</w:t>
            </w:r>
            <w:r>
              <w:rPr>
                <w:rFonts w:hint="default"/>
                <w:lang w:val="pl-PL"/>
              </w:rPr>
              <w:t>00</w:t>
            </w:r>
            <w:r>
              <w:t xml:space="preserve"> zł/mc</w:t>
            </w:r>
          </w:p>
        </w:tc>
        <w:tc>
          <w:tcPr>
            <w:tcW w:w="1021" w:type="dxa"/>
            <w:tcBorders>
              <w:top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rPr>
                <w:rFonts w:asciiTheme="minorHAnsi" w:hAnsiTheme="minorHAnsi" w:eastAsiaTheme="minorHAnsi" w:cstheme="minorBid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Theme="minorHAnsi" w:cstheme="minorBidi"/>
                <w:color w:val="auto"/>
                <w:kern w:val="0"/>
                <w:sz w:val="22"/>
                <w:szCs w:val="22"/>
                <w:lang w:val="pl-PL" w:eastAsia="en-US" w:bidi="ar-SA"/>
              </w:rPr>
              <w:t>Bezprzetargowa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hint="default"/>
                <w:lang w:val="pl-PL"/>
              </w:rPr>
            </w:pPr>
            <w:r>
              <w:t xml:space="preserve">Umowa użyczenia do </w:t>
            </w:r>
            <w:r>
              <w:rPr>
                <w:rFonts w:hint="default"/>
                <w:lang w:val="pl-PL"/>
              </w:rPr>
              <w:t>12</w:t>
            </w:r>
            <w:r>
              <w:t xml:space="preserve"> </w:t>
            </w:r>
            <w:r>
              <w:rPr>
                <w:rFonts w:hint="default"/>
                <w:lang w:val="pl-PL"/>
              </w:rPr>
              <w:t>miesięcy</w:t>
            </w:r>
          </w:p>
        </w:tc>
      </w:tr>
    </w:tbl>
    <w:p/>
    <w:p>
      <w:r>
        <w:t>Osoby, którym przysługuje pierwszeństwo w nabyciu nieruchomości na podstawie art.34 ust.1 pkt.1 i pkt.2 ustawy o gospodarce nieruchomościami winny złożyć stosowny wniosek w terminie 6 tygodni, licząc od dnia wywieszenia niniejszego wykazu.</w:t>
      </w:r>
    </w:p>
    <w:p>
      <w:pPr>
        <w:widowControl/>
        <w:suppressAutoHyphens/>
        <w:bidi w:val="0"/>
        <w:spacing w:before="0" w:after="160" w:line="259" w:lineRule="auto"/>
        <w:jc w:val="left"/>
      </w:pPr>
      <w:r>
        <w:t xml:space="preserve">Powyższy wykaz wywiesza się do wiadomości publicznej na okres 21 dni tj. od dnia </w:t>
      </w:r>
      <w:r>
        <w:rPr>
          <w:rFonts w:hint="default"/>
          <w:lang w:val="pl-PL"/>
        </w:rPr>
        <w:t>12</w:t>
      </w:r>
      <w:r>
        <w:t>.0</w:t>
      </w:r>
      <w:r>
        <w:rPr>
          <w:rFonts w:hint="default"/>
          <w:lang w:val="pl-PL"/>
        </w:rPr>
        <w:t>6</w:t>
      </w:r>
      <w:r>
        <w:t>.202</w:t>
      </w:r>
      <w:r>
        <w:rPr>
          <w:rFonts w:hint="default"/>
          <w:lang w:val="pl-PL"/>
        </w:rPr>
        <w:t>3</w:t>
      </w:r>
      <w:r>
        <w:t xml:space="preserve"> r. do dnia </w:t>
      </w:r>
      <w:r>
        <w:rPr>
          <w:rFonts w:hint="default"/>
          <w:lang w:val="pl-PL"/>
        </w:rPr>
        <w:t>03</w:t>
      </w:r>
      <w:r>
        <w:t>.0</w:t>
      </w:r>
      <w:r>
        <w:rPr>
          <w:rFonts w:hint="default"/>
          <w:lang w:val="pl-PL"/>
        </w:rPr>
        <w:t>7</w:t>
      </w:r>
      <w:r>
        <w:t>.</w:t>
      </w:r>
      <w:bookmarkStart w:id="0" w:name="_GoBack"/>
      <w:bookmarkEnd w:id="0"/>
      <w:r>
        <w:t>202</w:t>
      </w:r>
      <w:r>
        <w:rPr>
          <w:rFonts w:hint="default"/>
          <w:lang w:val="pl-PL"/>
        </w:rPr>
        <w:t>3</w:t>
      </w:r>
      <w:r>
        <w:t>r. w siedzibie Urzędu Gminy Rudnik na tablicy ogłoszeń oraz zamieszcza na stronie internetowej BIP Urzędu Gminy Rudnik bip.gmina-rudnik.pl.</w:t>
      </w:r>
    </w:p>
    <w:sectPr>
      <w:pgSz w:w="16838" w:h="11906" w:orient="landscape"/>
      <w:pgMar w:top="850" w:right="1417" w:bottom="850" w:left="1417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EE"/>
    <w:family w:val="roman"/>
    <w:pitch w:val="default"/>
    <w:sig w:usb0="E0000AFF" w:usb1="500078FF" w:usb2="00000021" w:usb3="00000000" w:csb0="600001BF" w:csb1="DFF70000"/>
  </w:font>
  <w:font w:name="arial;helvetica;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6BF6C14"/>
    <w:rsid w:val="39FD0393"/>
    <w:rsid w:val="48307C58"/>
    <w:rsid w:val="73A93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List"/>
    <w:basedOn w:val="4"/>
    <w:uiPriority w:val="0"/>
    <w:rPr>
      <w:rFonts w:cs="Arial"/>
    </w:r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agłówek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Indeks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871</Words>
  <Characters>5354</Characters>
  <Paragraphs>156</Paragraphs>
  <TotalTime>23</TotalTime>
  <ScaleCrop>false</ScaleCrop>
  <LinksUpToDate>false</LinksUpToDate>
  <CharactersWithSpaces>6105</CharactersWithSpaces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2021-07-15T12:06:00Z</dcterms:created>
  <dc:creator>Sylwia Wawrzinek</dc:creator>
  <cp:lastModifiedBy>swawrzinek</cp:lastModifiedBy>
  <cp:lastPrinted>2022-04-20T17:01:00Z</cp:lastPrinted>
  <dcterms:modified xsi:type="dcterms:W3CDTF">2023-06-12T06:39:19Z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1045-11.2.0.11417</vt:lpwstr>
  </property>
  <property fmtid="{D5CDD505-2E9C-101B-9397-08002B2CF9AE}" pid="9" name="ICV">
    <vt:lpwstr>8B3AAE0F112A47D5AED45EFE2546BDE9</vt:lpwstr>
  </property>
</Properties>
</file>