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507818E6" w:rsidR="00154354" w:rsidRDefault="00154354" w:rsidP="00154354">
      <w:pPr>
        <w:jc w:val="right"/>
      </w:pPr>
      <w:bookmarkStart w:id="0" w:name="_Hlk102997977"/>
      <w:r>
        <w:t xml:space="preserve">Załącznik </w:t>
      </w:r>
      <w:r w:rsidR="00FB3B95">
        <w:t>nr.4</w:t>
      </w:r>
    </w:p>
    <w:p w14:paraId="17AB3441" w14:textId="77777777" w:rsidR="003923B1" w:rsidRDefault="003923B1" w:rsidP="00154354">
      <w:pPr>
        <w:jc w:val="right"/>
      </w:pPr>
    </w:p>
    <w:p w14:paraId="0CC1D10F" w14:textId="77777777" w:rsidR="003923B1" w:rsidRDefault="003923B1" w:rsidP="00154354">
      <w:pPr>
        <w:jc w:val="right"/>
      </w:pPr>
    </w:p>
    <w:p w14:paraId="6EEF34A4" w14:textId="77777777" w:rsidR="003923B1" w:rsidRDefault="003923B1" w:rsidP="00154354">
      <w:pPr>
        <w:jc w:val="right"/>
      </w:pPr>
    </w:p>
    <w:p w14:paraId="089DDF03" w14:textId="77777777" w:rsidR="003923B1" w:rsidRDefault="003923B1" w:rsidP="00154354">
      <w:pPr>
        <w:jc w:val="right"/>
      </w:pPr>
    </w:p>
    <w:p w14:paraId="64F4AFAF" w14:textId="048C2542" w:rsidR="00154354" w:rsidRPr="00CA1261" w:rsidRDefault="00154354" w:rsidP="00E74361">
      <w:pPr>
        <w:rPr>
          <w:rFonts w:cs="Times New Roman"/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="00BF726F">
        <w:rPr>
          <w:rFonts w:cs="Times New Roman"/>
        </w:rPr>
        <w:t>:</w:t>
      </w:r>
      <w:r w:rsidR="00174FD1" w:rsidRPr="00174FD1">
        <w:t xml:space="preserve"> </w:t>
      </w:r>
      <w:r w:rsidR="00174FD1">
        <w:t>„</w:t>
      </w:r>
      <w:r w:rsidR="003923B1" w:rsidRPr="003923B1">
        <w:t>Statywy i obciążniki sceniczne</w:t>
      </w:r>
      <w:r w:rsidR="003923B1">
        <w:t>”</w:t>
      </w:r>
    </w:p>
    <w:p w14:paraId="1A04A691" w14:textId="77777777" w:rsidR="00154354" w:rsidRPr="004A3EC9" w:rsidRDefault="00154354" w:rsidP="00154354">
      <w:pPr>
        <w:widowControl/>
        <w:numPr>
          <w:ilvl w:val="0"/>
          <w:numId w:val="1"/>
        </w:numPr>
        <w:suppressAutoHyphens w:val="0"/>
        <w:spacing w:after="160" w:line="259" w:lineRule="auto"/>
        <w:jc w:val="both"/>
        <w:textAlignment w:val="auto"/>
        <w:rPr>
          <w:rFonts w:cs="Times New Roman"/>
        </w:rPr>
      </w:pPr>
      <w:r w:rsidRPr="004A3EC9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49FA4BE2" w14:textId="77777777" w:rsidR="00154354" w:rsidRPr="009E09A2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 xml:space="preserve">art. 7 ust. 1 ustawy z dnia 15.04.2022 o szczególnych rozwiązaniach w zakresie przeciwdziałania wspieraniu agresji na Ukrainę oraz służących ochronie bezpieczeństwa narodowego (Dz.U. 2022 poz. 835 dalej: </w:t>
      </w:r>
      <w:proofErr w:type="spellStart"/>
      <w:r w:rsidRPr="00C779B7">
        <w:rPr>
          <w:rFonts w:ascii="Times New Roman" w:hAnsi="Times New Roman" w:cs="Times New Roman"/>
          <w:b/>
          <w:bCs/>
          <w:sz w:val="22"/>
          <w:szCs w:val="22"/>
        </w:rPr>
        <w:t>PrzeciwAgrUkrainaU</w:t>
      </w:r>
      <w:proofErr w:type="spellEnd"/>
      <w:r w:rsidRPr="00C779B7">
        <w:rPr>
          <w:rFonts w:ascii="Times New Roman" w:hAnsi="Times New Roman" w:cs="Times New Roman"/>
          <w:b/>
          <w:bCs/>
          <w:sz w:val="22"/>
          <w:szCs w:val="22"/>
        </w:rPr>
        <w:t>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 xml:space="preserve">7 ust. 1 </w:t>
      </w:r>
      <w:proofErr w:type="spellStart"/>
      <w:r w:rsidRPr="009E09A2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na listę 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154354"/>
    <w:rsid w:val="00174FD1"/>
    <w:rsid w:val="003923B1"/>
    <w:rsid w:val="006A324C"/>
    <w:rsid w:val="00702192"/>
    <w:rsid w:val="00AE45F8"/>
    <w:rsid w:val="00BF726F"/>
    <w:rsid w:val="00E74361"/>
    <w:rsid w:val="00ED010E"/>
    <w:rsid w:val="00ED2A0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11</cp:revision>
  <dcterms:created xsi:type="dcterms:W3CDTF">2022-05-09T12:13:00Z</dcterms:created>
  <dcterms:modified xsi:type="dcterms:W3CDTF">2023-07-05T12:11:00Z</dcterms:modified>
</cp:coreProperties>
</file>