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1E" w:rsidRPr="00762E1E" w:rsidRDefault="00762E1E" w:rsidP="00762E1E">
      <w:pPr>
        <w:rPr>
          <w:rFonts w:ascii="Arial" w:hAnsi="Arial" w:cs="Arial"/>
          <w:sz w:val="18"/>
          <w:szCs w:val="18"/>
        </w:rPr>
      </w:pPr>
      <w:r w:rsidRPr="00762E1E">
        <w:rPr>
          <w:rFonts w:ascii="Arial" w:hAnsi="Arial" w:cs="Arial"/>
          <w:sz w:val="18"/>
          <w:szCs w:val="18"/>
        </w:rPr>
        <w:t>Zał. nr 1 do Regulaminu</w:t>
      </w:r>
      <w:bookmarkStart w:id="0" w:name="_GoBack"/>
      <w:bookmarkEnd w:id="0"/>
    </w:p>
    <w:p w:rsidR="00762E1E" w:rsidRPr="00762E1E" w:rsidRDefault="00762E1E" w:rsidP="00762E1E">
      <w:pPr>
        <w:rPr>
          <w:rFonts w:ascii="Arial" w:hAnsi="Arial" w:cs="Arial"/>
          <w:b/>
          <w:sz w:val="18"/>
          <w:szCs w:val="18"/>
        </w:rPr>
      </w:pPr>
    </w:p>
    <w:p w:rsidR="009601FF" w:rsidRDefault="009601FF" w:rsidP="009601FF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Zakres tematyczny do Powiatowego Konkursu Wiedzy </w:t>
      </w:r>
    </w:p>
    <w:p w:rsidR="009601FF" w:rsidRDefault="009601FF" w:rsidP="009601FF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 xml:space="preserve">Wiem co jem” </w:t>
      </w:r>
    </w:p>
    <w:p w:rsidR="009601FF" w:rsidRDefault="009601FF" w:rsidP="009601FF">
      <w:pPr>
        <w:jc w:val="center"/>
        <w:rPr>
          <w:rFonts w:ascii="Arial" w:hAnsi="Arial" w:cs="Arial"/>
          <w:b/>
          <w:sz w:val="28"/>
          <w:szCs w:val="28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1. Zasady prawidłowego odżywiania</w:t>
      </w:r>
    </w:p>
    <w:p w:rsidR="009601FF" w:rsidRDefault="009601FF" w:rsidP="009601FF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>Piramida Zdrowego Żywienia i Aktywności Fizycznej</w:t>
      </w:r>
    </w:p>
    <w:p w:rsidR="009601FF" w:rsidRDefault="009601FF" w:rsidP="009601FF">
      <w:pPr>
        <w:numPr>
          <w:ilvl w:val="0"/>
          <w:numId w:val="2"/>
        </w:numPr>
        <w:jc w:val="both"/>
      </w:pPr>
      <w:r>
        <w:rPr>
          <w:rFonts w:ascii="Arial" w:hAnsi="Arial" w:cs="Arial"/>
        </w:rPr>
        <w:t>10 Zasad Zdrowego Odżywiania</w:t>
      </w:r>
    </w:p>
    <w:p w:rsidR="009601FF" w:rsidRDefault="009601FF" w:rsidP="009601FF">
      <w:pPr>
        <w:ind w:left="360"/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2. Otyłość</w:t>
      </w:r>
    </w:p>
    <w:p w:rsidR="009601FF" w:rsidRDefault="009601FF" w:rsidP="009601FF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>Przyczyny otyłości</w:t>
      </w:r>
    </w:p>
    <w:p w:rsidR="009601FF" w:rsidRDefault="009601FF" w:rsidP="009601FF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>Następstwa otyłości: cukrzyca, choroby układu krążenia, choroby układu kostnego</w:t>
      </w:r>
    </w:p>
    <w:p w:rsidR="009601FF" w:rsidRDefault="009601FF" w:rsidP="009601FF">
      <w:pPr>
        <w:numPr>
          <w:ilvl w:val="0"/>
          <w:numId w:val="11"/>
        </w:numPr>
      </w:pPr>
      <w:r>
        <w:rPr>
          <w:rFonts w:ascii="Arial" w:hAnsi="Arial" w:cs="Arial"/>
        </w:rPr>
        <w:t>Metody służące ocenie masy ciała (BMI, wskaźnik WHR)</w:t>
      </w:r>
    </w:p>
    <w:p w:rsidR="009601FF" w:rsidRDefault="009601FF" w:rsidP="009601FF">
      <w:pPr>
        <w:numPr>
          <w:ilvl w:val="0"/>
          <w:numId w:val="11"/>
        </w:numPr>
        <w:jc w:val="both"/>
      </w:pPr>
      <w:r>
        <w:rPr>
          <w:rFonts w:ascii="Arial" w:hAnsi="Arial" w:cs="Arial"/>
        </w:rPr>
        <w:t>BMI – definicja, znaczenie i kryteria tj. niedowaga, norma, nadwaga, otyłość</w:t>
      </w:r>
    </w:p>
    <w:p w:rsidR="009601FF" w:rsidRDefault="009601FF" w:rsidP="009601FF">
      <w:pPr>
        <w:ind w:left="360"/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3. Higiena</w:t>
      </w:r>
    </w:p>
    <w:p w:rsidR="009601FF" w:rsidRDefault="009601FF" w:rsidP="009601FF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Higiena osobista</w:t>
      </w:r>
    </w:p>
    <w:p w:rsidR="009601FF" w:rsidRDefault="009601FF" w:rsidP="009601FF">
      <w:pPr>
        <w:numPr>
          <w:ilvl w:val="0"/>
          <w:numId w:val="3"/>
        </w:numPr>
        <w:jc w:val="both"/>
      </w:pPr>
      <w:r>
        <w:rPr>
          <w:rFonts w:ascii="Arial" w:hAnsi="Arial" w:cs="Arial"/>
        </w:rPr>
        <w:t>Choroby brudnych rąk</w:t>
      </w:r>
    </w:p>
    <w:p w:rsidR="009601FF" w:rsidRDefault="009601FF" w:rsidP="009601FF">
      <w:pPr>
        <w:ind w:left="360"/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4. Aktywność fizyczna</w:t>
      </w:r>
    </w:p>
    <w:p w:rsidR="009601FF" w:rsidRDefault="009601FF" w:rsidP="009601FF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Znaczenie aktywności fizycznej w życiu codziennym</w:t>
      </w:r>
    </w:p>
    <w:p w:rsidR="009601FF" w:rsidRDefault="009601FF" w:rsidP="009601FF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Zalecana dzienna aktywność fizyczna (rodzaje i czas trwania dla dzieci i dla dorosłych)</w:t>
      </w:r>
    </w:p>
    <w:p w:rsidR="009601FF" w:rsidRDefault="009601FF" w:rsidP="009601FF">
      <w:pPr>
        <w:ind w:left="360"/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5. Energia</w:t>
      </w:r>
    </w:p>
    <w:p w:rsidR="009601FF" w:rsidRDefault="009601FF" w:rsidP="009601FF">
      <w:pPr>
        <w:numPr>
          <w:ilvl w:val="0"/>
          <w:numId w:val="13"/>
        </w:numPr>
        <w:jc w:val="both"/>
      </w:pPr>
      <w:r>
        <w:rPr>
          <w:rFonts w:ascii="Arial" w:hAnsi="Arial" w:cs="Arial"/>
        </w:rPr>
        <w:t>Zalecane dzienne spożycie energii z produktów spożywczych (dzieci i młodzież w wieku szkolnym, dorośli)</w:t>
      </w:r>
    </w:p>
    <w:p w:rsidR="009601FF" w:rsidRDefault="009601FF" w:rsidP="009601FF">
      <w:pPr>
        <w:numPr>
          <w:ilvl w:val="0"/>
          <w:numId w:val="13"/>
        </w:numPr>
        <w:jc w:val="both"/>
      </w:pPr>
      <w:r>
        <w:rPr>
          <w:rFonts w:ascii="Arial" w:hAnsi="Arial" w:cs="Arial"/>
        </w:rPr>
        <w:t>Procentowy udział energii z białek, tłuszczy i węglowodanów w codziennym jadłospisie</w:t>
      </w:r>
    </w:p>
    <w:p w:rsidR="009601FF" w:rsidRDefault="009601FF" w:rsidP="009601FF">
      <w:pPr>
        <w:numPr>
          <w:ilvl w:val="0"/>
          <w:numId w:val="13"/>
        </w:numPr>
      </w:pPr>
      <w:r>
        <w:rPr>
          <w:rFonts w:ascii="Arial" w:hAnsi="Arial" w:cs="Arial"/>
        </w:rPr>
        <w:t>Procent dobowego zapotrzebowania energetycznego poszczególnych posiłków</w:t>
      </w:r>
    </w:p>
    <w:p w:rsidR="009601FF" w:rsidRDefault="009601FF" w:rsidP="009601FF">
      <w:pPr>
        <w:numPr>
          <w:ilvl w:val="0"/>
          <w:numId w:val="13"/>
        </w:numPr>
        <w:jc w:val="both"/>
      </w:pPr>
      <w:r>
        <w:rPr>
          <w:rFonts w:ascii="Arial" w:hAnsi="Arial" w:cs="Arial"/>
        </w:rPr>
        <w:t>Ilość energii (kalorii) dostarczanej z jednego grama białka, tłuszczu, węglowodanów i czystego alkoholu</w:t>
      </w:r>
    </w:p>
    <w:p w:rsidR="009601FF" w:rsidRDefault="009601FF" w:rsidP="009601FF">
      <w:pPr>
        <w:ind w:left="360"/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6. Białka</w:t>
      </w:r>
    </w:p>
    <w:p w:rsidR="009601FF" w:rsidRDefault="009601FF" w:rsidP="009601FF">
      <w:pPr>
        <w:numPr>
          <w:ilvl w:val="0"/>
          <w:numId w:val="8"/>
        </w:numPr>
        <w:jc w:val="both"/>
      </w:pPr>
      <w:r>
        <w:rPr>
          <w:rFonts w:ascii="Arial" w:hAnsi="Arial" w:cs="Arial"/>
        </w:rPr>
        <w:t>Źródła białek w diecie</w:t>
      </w:r>
    </w:p>
    <w:p w:rsidR="009601FF" w:rsidRDefault="009601FF" w:rsidP="009601FF">
      <w:pPr>
        <w:numPr>
          <w:ilvl w:val="0"/>
          <w:numId w:val="8"/>
        </w:numPr>
        <w:jc w:val="both"/>
      </w:pPr>
      <w:r>
        <w:rPr>
          <w:rFonts w:ascii="Arial" w:hAnsi="Arial" w:cs="Arial"/>
        </w:rPr>
        <w:t>Znaczenie białek w diecie</w:t>
      </w:r>
    </w:p>
    <w:p w:rsidR="009601FF" w:rsidRDefault="009601FF" w:rsidP="009601FF">
      <w:pPr>
        <w:numPr>
          <w:ilvl w:val="0"/>
          <w:numId w:val="8"/>
        </w:numPr>
        <w:jc w:val="both"/>
      </w:pPr>
      <w:r>
        <w:rPr>
          <w:rFonts w:ascii="Arial" w:hAnsi="Arial" w:cs="Arial"/>
        </w:rPr>
        <w:t>Białka pełnowartościowe i niepełnowartościowe</w:t>
      </w:r>
      <w:r>
        <w:t xml:space="preserve"> - </w:t>
      </w:r>
      <w:r>
        <w:rPr>
          <w:rFonts w:ascii="Arial" w:hAnsi="Arial" w:cs="Arial"/>
        </w:rPr>
        <w:t>definicja, źródła i rola w diecie</w:t>
      </w:r>
    </w:p>
    <w:p w:rsidR="009601FF" w:rsidRDefault="009601FF" w:rsidP="009601FF">
      <w:pPr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7. Tłuszcze</w:t>
      </w:r>
    </w:p>
    <w:p w:rsidR="009601FF" w:rsidRDefault="009601FF" w:rsidP="009601FF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>Źródła tłuszczy w diecie</w:t>
      </w:r>
    </w:p>
    <w:p w:rsidR="009601FF" w:rsidRDefault="009601FF" w:rsidP="009601FF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>Znaczenie tłuszczy w diecie</w:t>
      </w:r>
    </w:p>
    <w:p w:rsidR="009601FF" w:rsidRDefault="009601FF" w:rsidP="009601FF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>Cholesterol – źródła w diecie</w:t>
      </w:r>
    </w:p>
    <w:p w:rsidR="009601FF" w:rsidRDefault="009601FF" w:rsidP="009601FF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>Nasycone kwasy tłuszczowe (NKT), wielonienasycone kwasy tłuszczowe (WNKT) – rola i źródła w diecie</w:t>
      </w:r>
    </w:p>
    <w:p w:rsidR="009601FF" w:rsidRDefault="009601FF" w:rsidP="009601FF">
      <w:pPr>
        <w:numPr>
          <w:ilvl w:val="0"/>
          <w:numId w:val="5"/>
        </w:numPr>
        <w:jc w:val="both"/>
      </w:pPr>
      <w:r>
        <w:rPr>
          <w:rFonts w:ascii="Arial" w:hAnsi="Arial" w:cs="Arial"/>
        </w:rPr>
        <w:t>Tłuszcze zwierzęce i roślinne</w:t>
      </w:r>
      <w:r>
        <w:t xml:space="preserve"> - </w:t>
      </w:r>
      <w:r>
        <w:rPr>
          <w:rFonts w:ascii="Arial" w:hAnsi="Arial" w:cs="Arial"/>
        </w:rPr>
        <w:t>definicja i rola w diecie</w:t>
      </w:r>
    </w:p>
    <w:p w:rsidR="009601FF" w:rsidRDefault="009601FF" w:rsidP="009601FF">
      <w:pPr>
        <w:ind w:left="360"/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8. Węglowodany</w:t>
      </w:r>
    </w:p>
    <w:p w:rsidR="009601FF" w:rsidRDefault="009601FF" w:rsidP="009601FF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>Źródła węglowodanów w diecie</w:t>
      </w:r>
    </w:p>
    <w:p w:rsidR="009601FF" w:rsidRDefault="009601FF" w:rsidP="009601FF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>Znaczenie węglowodanów w diecie</w:t>
      </w:r>
    </w:p>
    <w:p w:rsidR="009601FF" w:rsidRDefault="009601FF" w:rsidP="009601FF">
      <w:pPr>
        <w:numPr>
          <w:ilvl w:val="0"/>
          <w:numId w:val="6"/>
        </w:numPr>
        <w:jc w:val="both"/>
      </w:pPr>
      <w:r>
        <w:rPr>
          <w:rFonts w:ascii="Arial" w:hAnsi="Arial" w:cs="Arial"/>
        </w:rPr>
        <w:t>Podział węglowodanów (jednocukry, dwucukry, wielocukry)</w:t>
      </w:r>
    </w:p>
    <w:p w:rsidR="009601FF" w:rsidRDefault="009601FF" w:rsidP="009601FF">
      <w:pPr>
        <w:numPr>
          <w:ilvl w:val="0"/>
          <w:numId w:val="6"/>
        </w:numPr>
        <w:tabs>
          <w:tab w:val="left" w:pos="1134"/>
        </w:tabs>
        <w:ind w:hanging="11"/>
        <w:jc w:val="both"/>
      </w:pPr>
      <w:r>
        <w:rPr>
          <w:rFonts w:ascii="Arial" w:hAnsi="Arial" w:cs="Arial"/>
        </w:rPr>
        <w:t>Glukoza, fruktoza – definicja i źródła w diecie</w:t>
      </w:r>
    </w:p>
    <w:p w:rsidR="009601FF" w:rsidRDefault="009601FF" w:rsidP="009601FF">
      <w:pPr>
        <w:numPr>
          <w:ilvl w:val="0"/>
          <w:numId w:val="6"/>
        </w:numPr>
        <w:tabs>
          <w:tab w:val="left" w:pos="1134"/>
        </w:tabs>
        <w:ind w:hanging="11"/>
        <w:jc w:val="both"/>
      </w:pPr>
      <w:r>
        <w:rPr>
          <w:rFonts w:ascii="Arial" w:hAnsi="Arial" w:cs="Arial"/>
        </w:rPr>
        <w:t>Laktoza, sacharoza – definicja i źródła w diecie</w:t>
      </w:r>
    </w:p>
    <w:p w:rsidR="009601FF" w:rsidRDefault="009601FF" w:rsidP="009601FF">
      <w:pPr>
        <w:numPr>
          <w:ilvl w:val="0"/>
          <w:numId w:val="6"/>
        </w:numPr>
        <w:tabs>
          <w:tab w:val="left" w:pos="1134"/>
        </w:tabs>
        <w:ind w:hanging="11"/>
        <w:jc w:val="both"/>
      </w:pPr>
      <w:r>
        <w:rPr>
          <w:rFonts w:ascii="Arial" w:hAnsi="Arial" w:cs="Arial"/>
        </w:rPr>
        <w:t>Glikogen, skrobia – definicja i źródła w diecie</w:t>
      </w:r>
    </w:p>
    <w:p w:rsidR="009601FF" w:rsidRDefault="009601FF" w:rsidP="009601FF">
      <w:pPr>
        <w:numPr>
          <w:ilvl w:val="0"/>
          <w:numId w:val="6"/>
        </w:numPr>
        <w:jc w:val="both"/>
      </w:pPr>
      <w:r>
        <w:rPr>
          <w:rFonts w:ascii="Arial" w:hAnsi="Arial" w:cs="Arial"/>
        </w:rPr>
        <w:lastRenderedPageBreak/>
        <w:t>Trawienie węglowodanów</w:t>
      </w:r>
    </w:p>
    <w:p w:rsidR="009601FF" w:rsidRDefault="009601FF" w:rsidP="009601FF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>Błonnik pokarmowy – rola, źródła w diecie oraz zalecane spożycie (AI) dla młodzieży w wieku 10-18 lat</w:t>
      </w:r>
    </w:p>
    <w:p w:rsidR="009601FF" w:rsidRDefault="009601FF" w:rsidP="009601FF">
      <w:pPr>
        <w:numPr>
          <w:ilvl w:val="0"/>
          <w:numId w:val="10"/>
        </w:numPr>
        <w:jc w:val="both"/>
      </w:pPr>
      <w:r>
        <w:rPr>
          <w:rFonts w:ascii="Arial" w:hAnsi="Arial" w:cs="Arial"/>
        </w:rPr>
        <w:t>Cukry dodane w produktach spożywczych - przykłady produktów</w:t>
      </w:r>
    </w:p>
    <w:p w:rsidR="009601FF" w:rsidRDefault="009601FF" w:rsidP="009601FF">
      <w:pPr>
        <w:ind w:left="360"/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9. Składniki mineralne</w:t>
      </w:r>
    </w:p>
    <w:p w:rsidR="009601FF" w:rsidRDefault="009601FF" w:rsidP="009601FF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t>Mikro i makroelementy - przykłady</w:t>
      </w:r>
    </w:p>
    <w:p w:rsidR="009601FF" w:rsidRDefault="009601FF" w:rsidP="009601FF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t>Źródła składników mineralnych w diecie (żelazo, wapń, magnez, jod)</w:t>
      </w:r>
    </w:p>
    <w:p w:rsidR="009601FF" w:rsidRDefault="009601FF" w:rsidP="009601FF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t>Rola składników mineralnych w organizmie (żelazo, wapń, magnez, jod)</w:t>
      </w:r>
    </w:p>
    <w:p w:rsidR="009601FF" w:rsidRDefault="009601FF" w:rsidP="009601FF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t>Zalecane dzienne spożycie (RDA) dla młodzieży w wieku 10-18 lat (żelazo, wapń, magnez, jod)</w:t>
      </w:r>
    </w:p>
    <w:p w:rsidR="009601FF" w:rsidRDefault="009601FF" w:rsidP="009601FF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t>Skutki niedoboru (żelazo, wapń, magnez, jod)</w:t>
      </w:r>
    </w:p>
    <w:p w:rsidR="009601FF" w:rsidRDefault="009601FF" w:rsidP="009601FF">
      <w:pPr>
        <w:ind w:left="360"/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10. Witaminy</w:t>
      </w:r>
    </w:p>
    <w:p w:rsidR="009601FF" w:rsidRDefault="009601FF" w:rsidP="009601FF">
      <w:pPr>
        <w:numPr>
          <w:ilvl w:val="0"/>
          <w:numId w:val="7"/>
        </w:numPr>
        <w:jc w:val="both"/>
      </w:pPr>
      <w:r>
        <w:rPr>
          <w:rFonts w:ascii="Arial" w:hAnsi="Arial" w:cs="Arial"/>
        </w:rPr>
        <w:t>Źródła witamin w diecie (witaminy A, D, K, C, B1)</w:t>
      </w:r>
    </w:p>
    <w:p w:rsidR="009601FF" w:rsidRDefault="009601FF" w:rsidP="009601FF">
      <w:pPr>
        <w:numPr>
          <w:ilvl w:val="0"/>
          <w:numId w:val="7"/>
        </w:numPr>
        <w:jc w:val="both"/>
      </w:pPr>
      <w:r>
        <w:rPr>
          <w:rFonts w:ascii="Arial" w:hAnsi="Arial" w:cs="Arial"/>
        </w:rPr>
        <w:t>Rola witamin w organizmie (witaminy A, D, K, C, B1)</w:t>
      </w:r>
    </w:p>
    <w:p w:rsidR="009601FF" w:rsidRDefault="009601FF" w:rsidP="009601FF">
      <w:pPr>
        <w:numPr>
          <w:ilvl w:val="0"/>
          <w:numId w:val="7"/>
        </w:numPr>
        <w:jc w:val="both"/>
      </w:pPr>
      <w:r>
        <w:rPr>
          <w:rFonts w:ascii="Arial" w:hAnsi="Arial" w:cs="Arial"/>
        </w:rPr>
        <w:t>Przyczyny i skutki niedoboru (witaminy A, D, K, C, B1, PP)</w:t>
      </w:r>
    </w:p>
    <w:p w:rsidR="009601FF" w:rsidRDefault="009601FF" w:rsidP="009601FF">
      <w:pPr>
        <w:numPr>
          <w:ilvl w:val="0"/>
          <w:numId w:val="7"/>
        </w:numPr>
        <w:jc w:val="both"/>
      </w:pPr>
      <w:r>
        <w:rPr>
          <w:rFonts w:ascii="Arial" w:hAnsi="Arial" w:cs="Arial"/>
        </w:rPr>
        <w:t>Witaminy rozpuszczalne w tłuszczach/w wodzie - przykłady</w:t>
      </w:r>
    </w:p>
    <w:p w:rsidR="009601FF" w:rsidRDefault="009601FF" w:rsidP="009601FF">
      <w:pPr>
        <w:numPr>
          <w:ilvl w:val="0"/>
          <w:numId w:val="7"/>
        </w:numPr>
        <w:jc w:val="both"/>
      </w:pPr>
      <w:r>
        <w:rPr>
          <w:rFonts w:ascii="Arial" w:hAnsi="Arial" w:cs="Arial"/>
        </w:rPr>
        <w:t>Przyczyny strat witaminy C w produktach spożywczych – przykłady</w:t>
      </w:r>
    </w:p>
    <w:p w:rsidR="009601FF" w:rsidRDefault="009601FF" w:rsidP="009601FF">
      <w:pPr>
        <w:ind w:left="360"/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11. Woda</w:t>
      </w:r>
    </w:p>
    <w:p w:rsidR="009601FF" w:rsidRDefault="009601FF" w:rsidP="009601FF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Rola wody w diecie</w:t>
      </w:r>
    </w:p>
    <w:p w:rsidR="009601FF" w:rsidRDefault="009601FF" w:rsidP="009601FF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Objawy odwodnienia</w:t>
      </w:r>
    </w:p>
    <w:p w:rsidR="009601FF" w:rsidRDefault="009601FF" w:rsidP="009601FF">
      <w:pPr>
        <w:ind w:left="360"/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12. Produkty spożywcze</w:t>
      </w:r>
    </w:p>
    <w:p w:rsidR="009601FF" w:rsidRDefault="009601FF" w:rsidP="009601FF">
      <w:pPr>
        <w:numPr>
          <w:ilvl w:val="0"/>
          <w:numId w:val="14"/>
        </w:numPr>
        <w:jc w:val="both"/>
      </w:pPr>
      <w:r>
        <w:rPr>
          <w:rFonts w:ascii="Arial" w:hAnsi="Arial" w:cs="Arial"/>
        </w:rPr>
        <w:t>Produkty zakwaszające i alkalizujące organizm - przykłady</w:t>
      </w:r>
    </w:p>
    <w:p w:rsidR="009601FF" w:rsidRDefault="009601FF" w:rsidP="009601FF">
      <w:pPr>
        <w:numPr>
          <w:ilvl w:val="0"/>
          <w:numId w:val="14"/>
        </w:numPr>
        <w:jc w:val="both"/>
      </w:pPr>
      <w:r>
        <w:rPr>
          <w:rFonts w:ascii="Arial" w:hAnsi="Arial" w:cs="Arial"/>
        </w:rPr>
        <w:t>Substancje konserwujące – definicja i znaczenie</w:t>
      </w:r>
    </w:p>
    <w:p w:rsidR="009601FF" w:rsidRDefault="009601FF" w:rsidP="009601FF">
      <w:pPr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  <w:rPr>
          <w:rFonts w:ascii="Arial" w:hAnsi="Arial" w:cs="Arial"/>
        </w:rPr>
      </w:pPr>
    </w:p>
    <w:p w:rsidR="009601FF" w:rsidRDefault="009601FF" w:rsidP="009601FF">
      <w:pPr>
        <w:jc w:val="both"/>
      </w:pPr>
      <w:r>
        <w:rPr>
          <w:rFonts w:ascii="Arial" w:hAnsi="Arial" w:cs="Arial"/>
        </w:rPr>
        <w:t>Źródła informacji:</w:t>
      </w:r>
    </w:p>
    <w:p w:rsidR="009601FF" w:rsidRDefault="009601FF" w:rsidP="009601FF">
      <w:pPr>
        <w:numPr>
          <w:ilvl w:val="0"/>
          <w:numId w:val="9"/>
        </w:numPr>
        <w:jc w:val="both"/>
      </w:pPr>
      <w:r>
        <w:rPr>
          <w:rFonts w:ascii="Arial" w:hAnsi="Arial" w:cs="Arial"/>
          <w:sz w:val="20"/>
          <w:szCs w:val="20"/>
        </w:rPr>
        <w:t xml:space="preserve">Jarosz M. i in.: </w:t>
      </w:r>
      <w:r>
        <w:rPr>
          <w:rFonts w:ascii="Arial" w:hAnsi="Arial" w:cs="Arial"/>
          <w:i/>
          <w:sz w:val="20"/>
          <w:szCs w:val="20"/>
        </w:rPr>
        <w:t>Normy żywienia dla populacji Polski.</w:t>
      </w:r>
      <w:r>
        <w:rPr>
          <w:rFonts w:ascii="Arial" w:hAnsi="Arial" w:cs="Arial"/>
          <w:sz w:val="20"/>
          <w:szCs w:val="20"/>
        </w:rPr>
        <w:t xml:space="preserve"> Instytut Żywności i Żywienia. Warszawa 2017</w:t>
      </w:r>
    </w:p>
    <w:p w:rsidR="009601FF" w:rsidRDefault="009601FF" w:rsidP="009601F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ściągnięcia w formie PDF ze strony internetowej: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https://ncez.pl/abc-zywienia/zasady-zdrowego-zywienia/normy-zywienia-2017</w:t>
        </w:r>
      </w:hyperlink>
    </w:p>
    <w:p w:rsidR="009601FF" w:rsidRDefault="009601FF" w:rsidP="009601F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internetowa Instytutu Żywności i Żywienia:</w:t>
      </w:r>
      <w:r>
        <w:rPr>
          <w:sz w:val="20"/>
          <w:szCs w:val="20"/>
        </w:rPr>
        <w:t xml:space="preserve">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http://www.izz.waw.pl</w:t>
        </w:r>
      </w:hyperlink>
    </w:p>
    <w:p w:rsidR="009601FF" w:rsidRDefault="009601FF" w:rsidP="009601FF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Strona internetowa Narodowego Centrum Edukacji Żywieniowej IŻŻ: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https://ncez.pl/</w:t>
        </w:r>
      </w:hyperlink>
    </w:p>
    <w:p w:rsidR="009601FF" w:rsidRDefault="009601FF" w:rsidP="009601FF">
      <w:pPr>
        <w:numPr>
          <w:ilvl w:val="0"/>
          <w:numId w:val="9"/>
        </w:numPr>
        <w:jc w:val="both"/>
      </w:pPr>
      <w:r>
        <w:rPr>
          <w:rFonts w:ascii="Arial" w:hAnsi="Arial" w:cs="Arial"/>
          <w:sz w:val="20"/>
          <w:szCs w:val="20"/>
        </w:rPr>
        <w:t>Poradnik dla nauczyciela do programu „Trzymaj Formę”</w:t>
      </w:r>
    </w:p>
    <w:p w:rsidR="00C44065" w:rsidRDefault="00C44065"/>
    <w:sectPr w:rsidR="00C4406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9">
    <w:nsid w:val="0000000C"/>
    <w:multiLevelType w:val="single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0"/>
    <w:multiLevelType w:val="singleLevel"/>
    <w:tmpl w:val="00000010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FF"/>
    <w:rsid w:val="006F56D7"/>
    <w:rsid w:val="00762E1E"/>
    <w:rsid w:val="009601FF"/>
    <w:rsid w:val="00C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0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z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zz.w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z.pl/abc-zywienia/zasady-zdrowego-zywienia/normy-zywienia-2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PZIOZ</dc:creator>
  <cp:lastModifiedBy>PZIOZ</cp:lastModifiedBy>
  <cp:revision>2</cp:revision>
  <dcterms:created xsi:type="dcterms:W3CDTF">2020-01-16T07:09:00Z</dcterms:created>
  <dcterms:modified xsi:type="dcterms:W3CDTF">2020-01-16T08:38:00Z</dcterms:modified>
</cp:coreProperties>
</file>