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E804A3">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E804A3">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E804A3">
          <w:pgSz w:w="11906" w:h="16838"/>
          <w:pgMar w:top="1418" w:right="1418" w:bottom="1418" w:left="1418" w:header="709" w:footer="709" w:gutter="0"/>
          <w:cols w:space="708"/>
          <w:docGrid w:linePitch="360"/>
        </w:sectPr>
      </w:pPr>
    </w:p>
    <w:p w14:paraId="3DEC0700" w14:textId="2D2D00AE" w:rsidR="00463520" w:rsidRPr="00183AD0" w:rsidRDefault="00463520" w:rsidP="00463520">
      <w:pPr>
        <w:jc w:val="both"/>
        <w:rPr>
          <w:rFonts w:asciiTheme="majorHAnsi" w:hAnsiTheme="majorHAnsi" w:cstheme="majorHAnsi"/>
        </w:rPr>
      </w:pPr>
      <w:r w:rsidRPr="00183AD0">
        <w:rPr>
          <w:rFonts w:asciiTheme="majorHAnsi" w:hAnsiTheme="majorHAnsi" w:cstheme="majorHAnsi"/>
          <w:b/>
          <w:bCs/>
        </w:rPr>
        <w:lastRenderedPageBreak/>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AC1DFA7" w14:textId="447568B5" w:rsidR="00034318" w:rsidRPr="00183AD0" w:rsidRDefault="00034318" w:rsidP="00CF402D">
      <w:r w:rsidRPr="00183AD0">
        <w:rPr>
          <w:rFonts w:asciiTheme="majorHAnsi" w:hAnsiTheme="majorHAnsi" w:cstheme="majorHAnsi"/>
        </w:rPr>
        <w:t>Przykład:</w:t>
      </w:r>
    </w:p>
    <w:p w14:paraId="543FFC04" w14:textId="77777777" w:rsidR="00AA4B0D" w:rsidRPr="00183AD0" w:rsidRDefault="00AA4B0D" w:rsidP="00034318">
      <w:pPr>
        <w:jc w:val="both"/>
        <w:rPr>
          <w:color w:val="00B050"/>
          <w:sz w:val="32"/>
          <w:szCs w:val="32"/>
        </w:rPr>
        <w:sectPr w:rsidR="00AA4B0D" w:rsidRPr="00183AD0" w:rsidSect="00E804A3">
          <w:pgSz w:w="11906" w:h="16838"/>
          <w:pgMar w:top="1418" w:right="1418" w:bottom="1418" w:left="1418" w:header="709" w:footer="709" w:gutter="0"/>
          <w:cols w:num="2" w:space="708"/>
          <w:docGrid w:linePitch="360"/>
        </w:sectPr>
      </w:pPr>
    </w:p>
    <w:p w14:paraId="6C19DBD2" w14:textId="2970E74F" w:rsidR="00CF402D" w:rsidRPr="00CF402D" w:rsidRDefault="00CF402D" w:rsidP="00CF402D">
      <w:pPr>
        <w:jc w:val="center"/>
        <w:rPr>
          <w:rFonts w:ascii="Courier New" w:hAnsi="Courier New" w:cs="Courier New"/>
          <w:bCs/>
          <w:color w:val="1F3864" w:themeColor="accent1" w:themeShade="80"/>
          <w:sz w:val="32"/>
          <w:szCs w:val="32"/>
        </w:rPr>
      </w:pPr>
      <w:r w:rsidRPr="00CF402D">
        <w:rPr>
          <w:rFonts w:ascii="Courier New" w:hAnsi="Courier New" w:cs="Courier New"/>
          <w:bCs/>
          <w:noProof/>
          <w:color w:val="1F3864" w:themeColor="accent1" w:themeShade="80"/>
          <w:sz w:val="32"/>
          <w:szCs w:val="32"/>
          <w:lang w:eastAsia="pl-PL"/>
        </w:rPr>
        <w:drawing>
          <wp:inline distT="0" distB="0" distL="0" distR="0" wp14:anchorId="6B6683B5" wp14:editId="5082C968">
            <wp:extent cx="6291072" cy="447385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4489" cy="4476287"/>
                    </a:xfrm>
                    <a:prstGeom prst="rect">
                      <a:avLst/>
                    </a:prstGeom>
                  </pic:spPr>
                </pic:pic>
              </a:graphicData>
            </a:graphic>
          </wp:inline>
        </w:drawing>
      </w:r>
    </w:p>
    <w:p w14:paraId="29E28A41" w14:textId="77777777" w:rsidR="00CF402D" w:rsidRDefault="00CF402D" w:rsidP="00034318">
      <w:pPr>
        <w:jc w:val="both"/>
        <w:rPr>
          <w:rFonts w:ascii="Courier New" w:hAnsi="Courier New" w:cs="Courier New"/>
          <w:b/>
          <w:color w:val="1F3864" w:themeColor="accent1" w:themeShade="80"/>
          <w:sz w:val="32"/>
          <w:szCs w:val="32"/>
          <w:u w:val="single"/>
        </w:rPr>
      </w:pPr>
    </w:p>
    <w:p w14:paraId="1D1383B0" w14:textId="43093F14"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2710"/>
        <w:gridCol w:w="3099"/>
        <w:gridCol w:w="3251"/>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 xml:space="preserve">Należy na bieżąco monitorować sąsiedztwo fermy. W przypadku obserwacji dużej ilości dzikich zwierząt należy postarać się o wycięcie okolicznych drzew i </w:t>
            </w:r>
            <w:r w:rsidRPr="00183AD0">
              <w:lastRenderedPageBreak/>
              <w:t>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lastRenderedPageBreak/>
              <w:t xml:space="preserve">Lokalizacja fermy jest to czynnik, na który nie mamy wpływu, jednak istnieje szereg możliwych zabiegów ograniczający wpływ </w:t>
            </w:r>
            <w:r w:rsidRPr="00183AD0">
              <w:lastRenderedPageBreak/>
              <w:t>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lastRenderedPageBreak/>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t>
            </w:r>
            <w:r w:rsidR="00AD6B03" w:rsidRPr="00183AD0">
              <w:lastRenderedPageBreak/>
              <w:t>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xml:space="preserve">. Minimalne wymogi </w:t>
            </w:r>
            <w:r w:rsidRPr="00183AD0">
              <w:lastRenderedPageBreak/>
              <w:t>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w:t>
            </w:r>
            <w:r w:rsidRPr="00183AD0">
              <w:rPr>
                <w:rFonts w:cstheme="minorHAnsi"/>
                <w:szCs w:val="20"/>
              </w:rPr>
              <w:lastRenderedPageBreak/>
              <w:t xml:space="preserve">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lastRenderedPageBreak/>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lastRenderedPageBreak/>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t>Otoczenie budynków inwentarskich</w:t>
            </w:r>
          </w:p>
        </w:tc>
        <w:tc>
          <w:tcPr>
            <w:tcW w:w="5506" w:type="dxa"/>
          </w:tcPr>
          <w:p w14:paraId="702B7B84" w14:textId="0A10558C" w:rsidR="00EE48F1" w:rsidRPr="00183AD0" w:rsidRDefault="00EE48F1" w:rsidP="008F3B48">
            <w:pPr>
              <w:jc w:val="both"/>
            </w:pPr>
            <w:r w:rsidRPr="00183AD0">
              <w:t xml:space="preserve">Powierzchnie przylegające bezpośrednio do budynków inwentarskich należy oczyścić z wszelkich zbędnych urządzeń i materiałów, tak aby nie stanowiły one rezerwuaru dla gryzoni i innych szkodników. </w:t>
            </w:r>
            <w:r w:rsidRPr="00183AD0">
              <w:lastRenderedPageBreak/>
              <w:t>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14:paraId="1E81BA1F" w14:textId="5A9CE052"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w:t>
            </w:r>
            <w:r w:rsidRPr="00183AD0">
              <w:lastRenderedPageBreak/>
              <w:t xml:space="preserve">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lastRenderedPageBreak/>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lastRenderedPageBreak/>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lastRenderedPageBreak/>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w:t>
            </w:r>
            <w:r w:rsidRPr="00183AD0">
              <w:rPr>
                <w:rFonts w:cstheme="minorHAnsi"/>
              </w:rPr>
              <w:lastRenderedPageBreak/>
              <w:t xml:space="preserve">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lastRenderedPageBreak/>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bookmarkStart w:id="0" w:name="_GoBack"/>
        <w:bookmarkEnd w:id="0"/>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 xml:space="preserve">Sprzęt i urządzenia powinny być przydzielone do poszczególnych stref gospodarstwa i odpowiednio oznakowane. Ich </w:t>
            </w:r>
            <w:r w:rsidRPr="00183AD0">
              <w:lastRenderedPageBreak/>
              <w:t>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lastRenderedPageBreak/>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w:t>
            </w:r>
            <w:r w:rsidR="00B2231E" w:rsidRPr="00183AD0">
              <w:lastRenderedPageBreak/>
              <w:t>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lastRenderedPageBreak/>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lastRenderedPageBreak/>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lastRenderedPageBreak/>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Szkolenia dla obsługi musza być udokumentowane, poświadczone podpisem 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w:t>
            </w:r>
            <w:r w:rsidRPr="00183AD0">
              <w:rPr>
                <w:rFonts w:cstheme="minorHAnsi"/>
              </w:rPr>
              <w:lastRenderedPageBreak/>
              <w:t>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lastRenderedPageBreak/>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E804A3">
          <w:type w:val="continuous"/>
          <w:pgSz w:w="11906" w:h="16838"/>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E804A3">
          <w:type w:val="continuous"/>
          <w:pgSz w:w="11906" w:h="16838"/>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E804A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AFAB" w14:textId="77777777" w:rsidR="002868CE" w:rsidRDefault="002868CE" w:rsidP="00000878">
      <w:pPr>
        <w:spacing w:after="0" w:line="240" w:lineRule="auto"/>
      </w:pPr>
      <w:r>
        <w:separator/>
      </w:r>
    </w:p>
  </w:endnote>
  <w:endnote w:type="continuationSeparator" w:id="0">
    <w:p w14:paraId="26F2F330" w14:textId="77777777" w:rsidR="002868CE" w:rsidRDefault="002868CE"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54788"/>
      <w:docPartObj>
        <w:docPartGallery w:val="Page Numbers (Bottom of Page)"/>
        <w:docPartUnique/>
      </w:docPartObj>
    </w:sdtPr>
    <w:sdtEndPr/>
    <w:sdtContent>
      <w:p w14:paraId="1BD6C45F" w14:textId="65806BD6" w:rsidR="00D7132C" w:rsidRDefault="00D7132C">
        <w:pPr>
          <w:pStyle w:val="Stopka"/>
          <w:jc w:val="right"/>
        </w:pPr>
        <w:r>
          <w:t xml:space="preserve">Strona | </w:t>
        </w:r>
        <w:r>
          <w:fldChar w:fldCharType="begin"/>
        </w:r>
        <w:r>
          <w:instrText>PAGE   \* MERGEFORMAT</w:instrText>
        </w:r>
        <w:r>
          <w:fldChar w:fldCharType="separate"/>
        </w:r>
        <w:r w:rsidR="00E804A3">
          <w:rPr>
            <w:noProof/>
          </w:rPr>
          <w:t>17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E0E1" w14:textId="77777777" w:rsidR="002868CE" w:rsidRDefault="002868CE" w:rsidP="00000878">
      <w:pPr>
        <w:spacing w:after="0" w:line="240" w:lineRule="auto"/>
      </w:pPr>
      <w:r>
        <w:separator/>
      </w:r>
    </w:p>
  </w:footnote>
  <w:footnote w:type="continuationSeparator" w:id="0">
    <w:p w14:paraId="4EFE6C70" w14:textId="77777777" w:rsidR="002868CE" w:rsidRDefault="002868CE"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868CE"/>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4E110D"/>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CF402D"/>
    <w:rsid w:val="00D7132C"/>
    <w:rsid w:val="00DA7A6A"/>
    <w:rsid w:val="00E21B3A"/>
    <w:rsid w:val="00E4132A"/>
    <w:rsid w:val="00E742FC"/>
    <w:rsid w:val="00E75E54"/>
    <w:rsid w:val="00E804A3"/>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CFAD-758A-428D-966F-7C63B21F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4202</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admin</cp:lastModifiedBy>
  <cp:revision>3</cp:revision>
  <cp:lastPrinted>2021-12-03T07:41:00Z</cp:lastPrinted>
  <dcterms:created xsi:type="dcterms:W3CDTF">2021-11-03T07:52:00Z</dcterms:created>
  <dcterms:modified xsi:type="dcterms:W3CDTF">2021-12-03T07:41:00Z</dcterms:modified>
</cp:coreProperties>
</file>