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E240" w14:textId="77777777" w:rsidR="007044E0" w:rsidRDefault="007044E0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We would like to inform you that the controller of your personal data, in accordance with the Act of 10 May 2018 and</w:t>
      </w:r>
      <w:r>
        <w:rPr>
          <w:sz w:val="24"/>
          <w:szCs w:val="24"/>
        </w:rPr>
        <w:t xml:space="preserve"> the Regulation of the European Parliament and the Council (EU) 2016/679 of 27 April 2016, </w:t>
      </w:r>
      <w:r>
        <w:rPr>
          <w:color w:val="222222"/>
          <w:sz w:val="24"/>
          <w:szCs w:val="24"/>
          <w:shd w:val="clear" w:color="auto" w:fill="FFFFFF"/>
        </w:rPr>
        <w:t xml:space="preserve">made available to Opera Bałtycka in Gdańsk is Opera Bałtycka in Gdańsk, with its registered office in Gdańsk (80-219), Al. Zwycięstwa 15, e-mail address: </w:t>
      </w:r>
      <w:hyperlink r:id="rId5" w:history="1">
        <w:r>
          <w:rPr>
            <w:rStyle w:val="Hipercze"/>
            <w:sz w:val="24"/>
            <w:szCs w:val="24"/>
            <w:shd w:val="clear" w:color="auto" w:fill="FFFFFF"/>
          </w:rPr>
          <w:t>sekretariat@operabaltycka.pl</w:t>
        </w:r>
      </w:hyperlink>
    </w:p>
    <w:p w14:paraId="6F4CD1CA" w14:textId="77777777" w:rsidR="005C086C" w:rsidRDefault="005C086C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1192AA4" w14:textId="77777777" w:rsidR="007044E0" w:rsidRDefault="007044E0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recipients of the data provided by you may be entities authorised under the provisions of law and entities related to the operation of Opera Bałtycka in Gdańsk </w:t>
      </w:r>
      <w:proofErr w:type="gramStart"/>
      <w:r>
        <w:rPr>
          <w:sz w:val="24"/>
          <w:szCs w:val="24"/>
          <w:shd w:val="clear" w:color="auto" w:fill="FFFFFF"/>
        </w:rPr>
        <w:t>on the basis of</w:t>
      </w:r>
      <w:proofErr w:type="gramEnd"/>
      <w:r>
        <w:rPr>
          <w:sz w:val="24"/>
          <w:szCs w:val="24"/>
          <w:shd w:val="clear" w:color="auto" w:fill="FFFFFF"/>
        </w:rPr>
        <w:t xml:space="preserve"> personal data processing agreement.</w:t>
      </w:r>
      <w:r>
        <w:rPr>
          <w:color w:val="222222"/>
          <w:sz w:val="24"/>
          <w:szCs w:val="24"/>
          <w:shd w:val="clear" w:color="auto" w:fill="FFFFFF"/>
        </w:rPr>
        <w:t xml:space="preserve"> Your data will not be transferred to a third country. </w:t>
      </w:r>
    </w:p>
    <w:p w14:paraId="6D85C3F2" w14:textId="77777777" w:rsidR="005C086C" w:rsidRDefault="005C086C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FBB0A2F" w14:textId="77777777" w:rsidR="005C086C" w:rsidRDefault="00C81470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Your personal data will be stored until the termination of the purpose of their processing and in accordance with the requirements resulting from legal regulations or industry guidelines. </w:t>
      </w:r>
      <w:r>
        <w:rPr>
          <w:sz w:val="24"/>
          <w:szCs w:val="24"/>
          <w:shd w:val="clear" w:color="auto" w:fill="FFFFFF"/>
        </w:rPr>
        <w:t>After the termination of the purpose of processing, they will be digitally removed or physically destroyed in a way that prevents them from being made public.</w:t>
      </w:r>
      <w:r>
        <w:rPr>
          <w:color w:val="222222"/>
          <w:sz w:val="24"/>
          <w:szCs w:val="24"/>
          <w:shd w:val="clear" w:color="auto" w:fill="FFFFFF"/>
        </w:rPr>
        <w:t xml:space="preserve"> The personal data provided will not be subject to automated data processing.</w:t>
      </w:r>
    </w:p>
    <w:p w14:paraId="05827CE0" w14:textId="77777777" w:rsidR="005C086C" w:rsidRPr="007044E0" w:rsidRDefault="005C086C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9FD6202" w14:textId="77777777" w:rsidR="005C086C" w:rsidRPr="005C086C" w:rsidRDefault="007044E0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At the same </w:t>
      </w:r>
      <w:proofErr w:type="gramStart"/>
      <w:r>
        <w:rPr>
          <w:color w:val="222222"/>
          <w:sz w:val="24"/>
          <w:szCs w:val="24"/>
          <w:shd w:val="clear" w:color="auto" w:fill="FFFFFF"/>
        </w:rPr>
        <w:t>time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we would like to inform you that the provision of personal data is voluntary and that you have a full right to access your personal data (request information), and the right to:</w:t>
      </w:r>
    </w:p>
    <w:p w14:paraId="08A5CF41" w14:textId="77777777" w:rsidR="000F7BB8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revoke your consent at any time,</w:t>
      </w:r>
    </w:p>
    <w:p w14:paraId="5C0CB313" w14:textId="77777777" w:rsidR="000F7BB8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request a copy of the data,</w:t>
      </w:r>
    </w:p>
    <w:p w14:paraId="6E3EBE29" w14:textId="77777777" w:rsidR="005C086C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rectification of the data,</w:t>
      </w:r>
    </w:p>
    <w:p w14:paraId="78121810" w14:textId="77777777" w:rsidR="005C086C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to be forgotten (erase the data), </w:t>
      </w:r>
    </w:p>
    <w:p w14:paraId="693210AD" w14:textId="77777777" w:rsidR="005C086C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limit the processing,</w:t>
      </w:r>
    </w:p>
    <w:p w14:paraId="40B6A838" w14:textId="77777777" w:rsidR="000F7BB8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to transfer the data,</w:t>
      </w:r>
    </w:p>
    <w:p w14:paraId="3A605159" w14:textId="77777777" w:rsidR="000F7BB8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to object,</w:t>
      </w:r>
    </w:p>
    <w:p w14:paraId="1C1D977B" w14:textId="77777777" w:rsidR="005C086C" w:rsidRPr="005C086C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be notified of the rectification, </w:t>
      </w:r>
      <w:proofErr w:type="gramStart"/>
      <w:r>
        <w:rPr>
          <w:color w:val="222222"/>
          <w:sz w:val="24"/>
          <w:szCs w:val="24"/>
          <w:shd w:val="clear" w:color="auto" w:fill="FFFFFF"/>
        </w:rPr>
        <w:t>erasure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and restriction of processing.</w:t>
      </w:r>
    </w:p>
    <w:p w14:paraId="3648FC7C" w14:textId="77777777" w:rsidR="007044E0" w:rsidRDefault="007044E0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90B00BB" w14:textId="77777777" w:rsidR="000F7BB8" w:rsidRDefault="000F7BB8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Moreover, we would like to inform you that you have the right to lodge a complaint to the supervisory authority </w:t>
      </w:r>
      <w:r>
        <w:rPr>
          <w:color w:val="4472C4" w:themeColor="accent1"/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the President of the Office for Personal Data Protection.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2627DE0D" w14:textId="77777777" w:rsidR="000F7BB8" w:rsidRPr="007044E0" w:rsidRDefault="000F7BB8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27E6393" w14:textId="77777777" w:rsidR="000F7BB8" w:rsidRDefault="000F7BB8" w:rsidP="000F7BB8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Any comments on the processing of personal data provided to us should be sent by e-mail to the Data Protection Officer at</w:t>
      </w:r>
      <w:r>
        <w:t xml:space="preserve"> </w:t>
      </w:r>
      <w:hyperlink r:id="rId6" w:history="1">
        <w:r>
          <w:rPr>
            <w:rStyle w:val="Hipercze"/>
            <w:sz w:val="24"/>
            <w:szCs w:val="24"/>
            <w:shd w:val="clear" w:color="auto" w:fill="FFFFFF"/>
          </w:rPr>
          <w:t>iod@operabaltycka.pl</w:t>
        </w:r>
      </w:hyperlink>
    </w:p>
    <w:p w14:paraId="25BEE9DA" w14:textId="77777777" w:rsidR="007044E0" w:rsidRPr="007044E0" w:rsidRDefault="007044E0" w:rsidP="005C086C">
      <w:pPr>
        <w:spacing w:after="0" w:line="276" w:lineRule="auto"/>
        <w:jc w:val="both"/>
      </w:pPr>
    </w:p>
    <w:sectPr w:rsidR="007044E0" w:rsidRPr="007044E0" w:rsidSect="00F6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4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8B"/>
    <w:rsid w:val="000C1F2E"/>
    <w:rsid w:val="000C5668"/>
    <w:rsid w:val="000E04A1"/>
    <w:rsid w:val="000E4A04"/>
    <w:rsid w:val="000F7BB8"/>
    <w:rsid w:val="002A433A"/>
    <w:rsid w:val="002F0880"/>
    <w:rsid w:val="002F6F94"/>
    <w:rsid w:val="003F1154"/>
    <w:rsid w:val="00436D6B"/>
    <w:rsid w:val="005C086C"/>
    <w:rsid w:val="007044E0"/>
    <w:rsid w:val="00717141"/>
    <w:rsid w:val="007C118F"/>
    <w:rsid w:val="0098768B"/>
    <w:rsid w:val="00C81470"/>
    <w:rsid w:val="00E74992"/>
    <w:rsid w:val="00F3559A"/>
    <w:rsid w:val="00F3698B"/>
    <w:rsid w:val="00F6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4FDC"/>
  <w15:docId w15:val="{FBF4BF33-A239-4531-AA01-9F41299F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14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4E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C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erabaltycka.pl" TargetMode="External"/><Relationship Id="rId5" Type="http://schemas.openxmlformats.org/officeDocument/2006/relationships/hyperlink" Target="mailto:sekretariat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Gigiewicz</cp:lastModifiedBy>
  <cp:revision>3</cp:revision>
  <dcterms:created xsi:type="dcterms:W3CDTF">2023-11-13T09:33:00Z</dcterms:created>
  <dcterms:modified xsi:type="dcterms:W3CDTF">2023-11-13T09:33:00Z</dcterms:modified>
</cp:coreProperties>
</file>