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0034CF46" w:rsidR="00E95BF8" w:rsidRDefault="00E70326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Specjalisty ds. </w:t>
      </w:r>
      <w:r w:rsidR="006E2823">
        <w:rPr>
          <w:rFonts w:cs="Arial"/>
          <w:b/>
          <w:bCs/>
          <w:color w:val="000000"/>
          <w:sz w:val="32"/>
          <w:szCs w:val="32"/>
        </w:rPr>
        <w:t>księgowości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1404ECE4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E70326">
        <w:rPr>
          <w:rFonts w:cs="Arial"/>
          <w:b/>
          <w:color w:val="000000"/>
        </w:rPr>
        <w:t xml:space="preserve">Specjalista ds. </w:t>
      </w:r>
      <w:r w:rsidR="006E2823">
        <w:rPr>
          <w:rFonts w:cs="Arial"/>
          <w:b/>
          <w:color w:val="000000"/>
        </w:rPr>
        <w:t>księgowości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77777777" w:rsidR="00E95BF8" w:rsidRP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</w:p>
    <w:p w14:paraId="26F803C7" w14:textId="77777777" w:rsidR="006E2823" w:rsidRPr="006E2823" w:rsidRDefault="006E2823" w:rsidP="006E2823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851" w:firstLine="142"/>
        <w:rPr>
          <w:rFonts w:eastAsia="Times New Roman"/>
          <w:lang w:eastAsia="pl-PL"/>
        </w:rPr>
      </w:pPr>
      <w:r w:rsidRPr="006E2823">
        <w:rPr>
          <w:rFonts w:eastAsia="Times New Roman"/>
          <w:lang w:eastAsia="pl-PL"/>
        </w:rPr>
        <w:t>min średnie kierunkowe (ekonomia/finanse/rachunkowość),</w:t>
      </w:r>
    </w:p>
    <w:p w14:paraId="13B5B858" w14:textId="77777777" w:rsidR="006E2823" w:rsidRPr="006E2823" w:rsidRDefault="006E2823" w:rsidP="006E2823">
      <w:pPr>
        <w:pStyle w:val="Akapitzlist"/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851" w:firstLine="142"/>
        <w:rPr>
          <w:rFonts w:ascii="Calibri" w:eastAsia="Times New Roman" w:hAnsi="Calibri" w:cs="Calibri"/>
          <w:lang w:eastAsia="pl-PL"/>
        </w:rPr>
      </w:pPr>
      <w:r w:rsidRPr="006E2823">
        <w:rPr>
          <w:rFonts w:ascii="Calibri" w:eastAsia="Times New Roman" w:hAnsi="Calibri" w:cs="Calibri"/>
          <w:lang w:eastAsia="pl-PL"/>
        </w:rPr>
        <w:t>co najmniej 3-letnie doświadczenie zawodowe na podobnym stanowisku,</w:t>
      </w:r>
    </w:p>
    <w:p w14:paraId="5A865EDC" w14:textId="77777777" w:rsidR="006E2823" w:rsidRDefault="006E2823" w:rsidP="006E2823">
      <w:pPr>
        <w:pStyle w:val="Akapitzlist"/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851" w:firstLine="142"/>
        <w:rPr>
          <w:rFonts w:ascii="Calibri" w:eastAsia="Times New Roman" w:hAnsi="Calibri" w:cs="Calibri"/>
          <w:lang w:eastAsia="pl-PL"/>
        </w:rPr>
      </w:pPr>
      <w:r w:rsidRPr="006E2823">
        <w:rPr>
          <w:rFonts w:ascii="Calibri" w:eastAsia="Times New Roman" w:hAnsi="Calibri" w:cs="Calibri"/>
          <w:lang w:eastAsia="pl-PL"/>
        </w:rPr>
        <w:t xml:space="preserve">praktyczna znajomość i sprawna obsługa programów finansowo-księgowych (mile </w:t>
      </w:r>
    </w:p>
    <w:p w14:paraId="3D6DD3A6" w14:textId="4B2E0A44" w:rsidR="006E2823" w:rsidRPr="006E2823" w:rsidRDefault="006E2823" w:rsidP="006E2823">
      <w:pPr>
        <w:pStyle w:val="Akapitzlist"/>
        <w:spacing w:before="100" w:beforeAutospacing="1" w:after="100" w:afterAutospacing="1" w:line="240" w:lineRule="auto"/>
        <w:ind w:left="993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</w:t>
      </w:r>
      <w:r w:rsidRPr="006E2823">
        <w:rPr>
          <w:rFonts w:ascii="Calibri" w:eastAsia="Times New Roman" w:hAnsi="Calibri" w:cs="Calibri"/>
          <w:lang w:eastAsia="pl-PL"/>
        </w:rPr>
        <w:t>widziany ENOVA),</w:t>
      </w:r>
    </w:p>
    <w:p w14:paraId="395D4C50" w14:textId="77777777" w:rsidR="006E2823" w:rsidRPr="006E2823" w:rsidRDefault="006E2823" w:rsidP="006E2823">
      <w:pPr>
        <w:pStyle w:val="Akapitzlist"/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851" w:firstLine="142"/>
        <w:rPr>
          <w:rFonts w:ascii="Calibri" w:eastAsia="Times New Roman" w:hAnsi="Calibri" w:cs="Calibri"/>
          <w:lang w:eastAsia="pl-PL"/>
        </w:rPr>
      </w:pPr>
      <w:r w:rsidRPr="006E2823">
        <w:rPr>
          <w:rFonts w:ascii="Calibri" w:eastAsia="Times New Roman" w:hAnsi="Calibri" w:cs="Calibri"/>
          <w:lang w:eastAsia="pl-PL"/>
        </w:rPr>
        <w:t>dobra znajomość pakietu MS Office (szczególnie arkusza kalkulacyjnego MS Excel),</w:t>
      </w:r>
    </w:p>
    <w:p w14:paraId="5A0270F7" w14:textId="77777777" w:rsidR="006E2823" w:rsidRDefault="006E2823" w:rsidP="006E2823">
      <w:pPr>
        <w:pStyle w:val="Akapitzlist"/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851" w:firstLine="142"/>
        <w:rPr>
          <w:rFonts w:ascii="Calibri" w:eastAsia="Times New Roman" w:hAnsi="Calibri" w:cs="Calibri"/>
          <w:lang w:eastAsia="pl-PL"/>
        </w:rPr>
      </w:pPr>
      <w:r w:rsidRPr="006E2823">
        <w:rPr>
          <w:rFonts w:ascii="Calibri" w:eastAsia="Times New Roman" w:hAnsi="Calibri" w:cs="Calibri"/>
          <w:lang w:eastAsia="pl-PL"/>
        </w:rPr>
        <w:t xml:space="preserve">praktyczna znajomość polskich standardów rachunkowości oraz przepisów </w:t>
      </w:r>
    </w:p>
    <w:p w14:paraId="4B457E11" w14:textId="006B57C8" w:rsidR="006E2823" w:rsidRPr="006E2823" w:rsidRDefault="006E2823" w:rsidP="006E2823">
      <w:pPr>
        <w:pStyle w:val="Akapitzlist"/>
        <w:spacing w:before="100" w:beforeAutospacing="1" w:after="100" w:afterAutospacing="1" w:line="240" w:lineRule="auto"/>
        <w:ind w:left="993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</w:t>
      </w:r>
      <w:r w:rsidRPr="006E2823">
        <w:rPr>
          <w:rFonts w:ascii="Calibri" w:eastAsia="Times New Roman" w:hAnsi="Calibri" w:cs="Calibri"/>
          <w:lang w:eastAsia="pl-PL"/>
        </w:rPr>
        <w:t>podatkowych VAT,</w:t>
      </w:r>
    </w:p>
    <w:p w14:paraId="44022652" w14:textId="77777777" w:rsidR="006E2823" w:rsidRPr="006E2823" w:rsidRDefault="006E2823" w:rsidP="006E2823">
      <w:pPr>
        <w:pStyle w:val="Akapitzlist"/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851" w:firstLine="142"/>
        <w:rPr>
          <w:rFonts w:ascii="Calibri" w:eastAsia="Times New Roman" w:hAnsi="Calibri" w:cs="Calibri"/>
          <w:lang w:eastAsia="pl-PL"/>
        </w:rPr>
      </w:pPr>
      <w:r w:rsidRPr="006E2823">
        <w:rPr>
          <w:rFonts w:ascii="Calibri" w:eastAsia="Times New Roman" w:hAnsi="Calibri" w:cs="Calibri"/>
          <w:lang w:eastAsia="pl-PL"/>
        </w:rPr>
        <w:t>odpowiedzialność, rzetelność, systematyczność, komunikatywność,</w:t>
      </w:r>
    </w:p>
    <w:p w14:paraId="2184F0F5" w14:textId="77777777" w:rsidR="006E2823" w:rsidRPr="006E2823" w:rsidRDefault="006E2823" w:rsidP="006E2823">
      <w:pPr>
        <w:pStyle w:val="Akapitzlist"/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851" w:firstLine="142"/>
        <w:rPr>
          <w:rFonts w:ascii="Calibri" w:eastAsia="Times New Roman" w:hAnsi="Calibri" w:cs="Calibri"/>
          <w:lang w:eastAsia="pl-PL"/>
        </w:rPr>
      </w:pPr>
      <w:r w:rsidRPr="006E2823">
        <w:rPr>
          <w:rFonts w:ascii="Calibri" w:eastAsia="Times New Roman" w:hAnsi="Calibri" w:cs="Calibri"/>
          <w:lang w:eastAsia="pl-PL"/>
        </w:rPr>
        <w:t>umiejętność organizacji pracy, samodzielność, operatywność.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03E1035F" w14:textId="77777777" w:rsidR="006E2823" w:rsidRPr="00F321D0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6448781E" w14:textId="77777777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Dekretowanie i księgowanie dokumentów kosztowych.</w:t>
      </w:r>
    </w:p>
    <w:p w14:paraId="4B350AD0" w14:textId="77777777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Prowadzenie analityki kont rozrachunkowych, uzgadnianie sald, analiza poszczególnych kont.</w:t>
      </w:r>
    </w:p>
    <w:p w14:paraId="4CECA753" w14:textId="77777777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Kontrola prawidłowości ujęcia wszystkich transakcji w rejestrach VAT, (transakcji krajowych i zagranicznych</w:t>
      </w:r>
    </w:p>
    <w:p w14:paraId="2DDC0C38" w14:textId="77777777" w:rsidR="006E2823" w:rsidRPr="006E2823" w:rsidRDefault="006E2823" w:rsidP="006E2823">
      <w:pPr>
        <w:pStyle w:val="Akapitzlist"/>
        <w:numPr>
          <w:ilvl w:val="0"/>
          <w:numId w:val="32"/>
        </w:numPr>
        <w:spacing w:after="0" w:line="240" w:lineRule="auto"/>
        <w:ind w:left="1276"/>
        <w:rPr>
          <w:rFonts w:eastAsia="Times New Roman" w:cstheme="minorHAnsi"/>
          <w:lang w:eastAsia="pl-PL"/>
        </w:rPr>
      </w:pPr>
      <w:r w:rsidRPr="006E2823">
        <w:rPr>
          <w:rFonts w:eastAsia="Times New Roman" w:cstheme="minorHAnsi"/>
          <w:lang w:eastAsia="pl-PL"/>
        </w:rPr>
        <w:t>Sporządzanie i wysyłanie miesięcznych zeznań VAT (JPK_V7M, VAT-UE) i korekt VAT,</w:t>
      </w:r>
    </w:p>
    <w:p w14:paraId="6DCD9DDA" w14:textId="77777777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Rozliczanie podatku VAT naliczonego związanego ze sprzedażą zwolnioną i opodatkowaną i sporządzanie noty PK,</w:t>
      </w:r>
    </w:p>
    <w:p w14:paraId="042DA86A" w14:textId="77777777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 xml:space="preserve">Rozliczenie roczne podatku VAT,  </w:t>
      </w:r>
    </w:p>
    <w:p w14:paraId="66A2937E" w14:textId="77777777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Udział w zakończeniu roku:</w:t>
      </w:r>
    </w:p>
    <w:p w14:paraId="06013054" w14:textId="77777777" w:rsidR="006E2823" w:rsidRPr="006E2823" w:rsidRDefault="006E2823" w:rsidP="006E2823">
      <w:pPr>
        <w:pStyle w:val="Akapitzlist"/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 xml:space="preserve">- tworzenie załączników do bilansu, </w:t>
      </w:r>
    </w:p>
    <w:p w14:paraId="76A7BB0A" w14:textId="77777777" w:rsidR="006E2823" w:rsidRPr="006E2823" w:rsidRDefault="006E2823" w:rsidP="006E2823">
      <w:pPr>
        <w:pStyle w:val="Akapitzlist"/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- uzgadnianie rozrachunków z odbiorcami i dostawcami i potwierdzania sald</w:t>
      </w:r>
    </w:p>
    <w:p w14:paraId="1BBF5523" w14:textId="77777777" w:rsidR="006E2823" w:rsidRPr="006E2823" w:rsidRDefault="006E2823" w:rsidP="006E2823">
      <w:pPr>
        <w:pStyle w:val="Akapitzlist"/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- wycena inwentaryzacji</w:t>
      </w:r>
    </w:p>
    <w:p w14:paraId="1631E5C7" w14:textId="19451D71" w:rsidR="006E2823" w:rsidRPr="006E2823" w:rsidRDefault="006E2823" w:rsidP="006E2823">
      <w:pPr>
        <w:pStyle w:val="Akapitzlist"/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- wycena arkuszy inwentaryzacyjnych z uwzględnieniem różnic inwentaryzacyjnych</w:t>
      </w:r>
      <w:r>
        <w:rPr>
          <w:rFonts w:cstheme="minorHAnsi"/>
        </w:rPr>
        <w:t>,</w:t>
      </w:r>
    </w:p>
    <w:p w14:paraId="1348B067" w14:textId="5B083270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Księgowanie przychodów i rozchodów materiałowych ilościowo-wartościowych na podstawie dokumentów księgowych</w:t>
      </w:r>
      <w:r>
        <w:rPr>
          <w:rFonts w:cstheme="minorHAnsi"/>
        </w:rPr>
        <w:t>,</w:t>
      </w:r>
    </w:p>
    <w:p w14:paraId="66A4203B" w14:textId="329742B2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Rozliczanie wartości artystycznych – sporządzanie księgi na poszczególne spektakle, ewidencja przychodów i rozchodów</w:t>
      </w:r>
      <w:r>
        <w:rPr>
          <w:rFonts w:cstheme="minorHAnsi"/>
        </w:rPr>
        <w:t>,</w:t>
      </w:r>
    </w:p>
    <w:p w14:paraId="417555D8" w14:textId="6FE669B9" w:rsidR="006E2823" w:rsidRPr="006E2823" w:rsidRDefault="006E2823" w:rsidP="006E2823">
      <w:pPr>
        <w:pStyle w:val="Akapitzlist"/>
        <w:numPr>
          <w:ilvl w:val="0"/>
          <w:numId w:val="32"/>
        </w:numPr>
        <w:spacing w:after="0"/>
        <w:ind w:left="1276"/>
        <w:rPr>
          <w:rFonts w:cstheme="minorHAnsi"/>
        </w:rPr>
      </w:pPr>
      <w:r w:rsidRPr="006E2823">
        <w:rPr>
          <w:rFonts w:cstheme="minorHAnsi"/>
        </w:rPr>
        <w:t>Prowadzenie ewidencji pozabilansowych środków trwałych (o wartości poniżej 10.000,- zł)</w:t>
      </w:r>
      <w:r>
        <w:rPr>
          <w:rFonts w:cstheme="minorHAnsi"/>
        </w:rPr>
        <w:t>,</w:t>
      </w:r>
    </w:p>
    <w:p w14:paraId="3440FAA9" w14:textId="77777777" w:rsidR="00566F9D" w:rsidRPr="006E2823" w:rsidRDefault="00566F9D" w:rsidP="006E2823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7823ED35" w14:textId="2CE20F88" w:rsidR="006E2823" w:rsidRDefault="006E2823" w:rsidP="006E2823">
      <w:pPr>
        <w:shd w:val="clear" w:color="auto" w:fill="FFFFFF"/>
        <w:spacing w:after="0" w:line="240" w:lineRule="auto"/>
      </w:pPr>
    </w:p>
    <w:p w14:paraId="777AA27A" w14:textId="36B82CDD" w:rsidR="006E2823" w:rsidRDefault="006E2823" w:rsidP="006E2823">
      <w:pPr>
        <w:shd w:val="clear" w:color="auto" w:fill="FFFFFF"/>
        <w:spacing w:after="0" w:line="240" w:lineRule="auto"/>
      </w:pPr>
    </w:p>
    <w:p w14:paraId="529DEE94" w14:textId="77777777" w:rsidR="006E2823" w:rsidRDefault="006E2823" w:rsidP="006E2823">
      <w:pPr>
        <w:shd w:val="clear" w:color="auto" w:fill="FFFFFF"/>
        <w:spacing w:after="0" w:line="240" w:lineRule="auto"/>
      </w:pPr>
    </w:p>
    <w:p w14:paraId="3C780D1D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lastRenderedPageBreak/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4235B32C" w:rsidR="00271A02" w:rsidRP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>
        <w:t>poniżej</w:t>
      </w:r>
      <w:r w:rsidRPr="00271A02">
        <w:t xml:space="preserve"> . </w:t>
      </w:r>
    </w:p>
    <w:p w14:paraId="0C4E3BBB" w14:textId="77777777" w:rsidR="00DC5AFF" w:rsidRPr="00271A02" w:rsidRDefault="00DC5AFF" w:rsidP="00271A02">
      <w:p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349A3E17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6E2823">
        <w:rPr>
          <w:rFonts w:cs="Arial"/>
          <w:b/>
          <w:bCs/>
          <w:color w:val="000000"/>
        </w:rPr>
        <w:t>2</w:t>
      </w:r>
      <w:r w:rsidR="00BA6F06">
        <w:rPr>
          <w:rFonts w:cs="Arial"/>
          <w:b/>
          <w:bCs/>
          <w:color w:val="000000"/>
        </w:rPr>
        <w:t>0 lutego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8E12B5" w:rsidRDefault="00DC5AFF" w:rsidP="00DC5AFF">
      <w:r w:rsidRPr="008E12B5">
        <w:t>Opera Bałtycka  w Gdańsku zastrzega sobie możliwość kontaktu tylko z wybranymi kandydatami.</w:t>
      </w:r>
    </w:p>
    <w:p w14:paraId="23091FEE" w14:textId="77777777" w:rsidR="00271A02" w:rsidRDefault="00271A02" w:rsidP="00271A0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ko-KR"/>
        </w:rPr>
      </w:pPr>
      <w:r>
        <w:rPr>
          <w:rFonts w:cstheme="minorHAnsi"/>
          <w:color w:val="222222"/>
          <w:shd w:val="clear" w:color="auto" w:fill="FFFFFF"/>
        </w:rPr>
        <w:t xml:space="preserve">Informujemy,  iż administratorem Państwa danych osobowych zgodnie z </w:t>
      </w:r>
      <w:r>
        <w:rPr>
          <w:rFonts w:cstheme="minorHAnsi"/>
          <w:color w:val="4472C4" w:themeColor="accent1"/>
          <w:shd w:val="clear" w:color="auto" w:fill="FFFFFF"/>
        </w:rPr>
        <w:t>U</w:t>
      </w:r>
      <w:r>
        <w:rPr>
          <w:rFonts w:cstheme="minorHAnsi"/>
          <w:color w:val="222222"/>
          <w:shd w:val="clear" w:color="auto" w:fill="FFFFFF"/>
        </w:rPr>
        <w:t xml:space="preserve">stawą z dnia 10 maja 2018r. o ochronie danych osobowych oraz </w:t>
      </w:r>
      <w:r>
        <w:t xml:space="preserve">Rozporządzeniem  Parlamentu Europejskiego i Rady (UE) 2016/679 z dnia 27 kwietnia 2016 r. </w:t>
      </w:r>
      <w:r>
        <w:rPr>
          <w:rFonts w:cstheme="minorHAnsi"/>
          <w:color w:val="222222"/>
          <w:shd w:val="clear" w:color="auto" w:fill="FFFFFF"/>
        </w:rPr>
        <w:t xml:space="preserve"> udostępnionych Operze Bałtyckiej w Gdańsku  jest Opera Bałtycka w Gdańsku, z siedzibą w Gdańsku (80-219), przy Al. Zwycięstwa 15, adres poczty elektronicznej: </w:t>
      </w:r>
      <w:hyperlink r:id="rId6" w:history="1">
        <w:r>
          <w:rPr>
            <w:rStyle w:val="Hipercze"/>
            <w:rFonts w:cstheme="minorHAnsi"/>
            <w:shd w:val="clear" w:color="auto" w:fill="FFFFFF"/>
          </w:rPr>
          <w:t>sekretariat@operabaltycka.pl</w:t>
        </w:r>
      </w:hyperlink>
    </w:p>
    <w:p w14:paraId="301AA18A" w14:textId="77777777" w:rsidR="00271A02" w:rsidRDefault="00271A02" w:rsidP="00271A02">
      <w:pPr>
        <w:spacing w:after="120" w:line="240" w:lineRule="auto"/>
        <w:ind w:left="709"/>
        <w:jc w:val="both"/>
        <w:rPr>
          <w:rFonts w:eastAsiaTheme="minorEastAsia"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Udostępnione przez Państwa dokumenty będą przetwarzane wyłącznie w celach rekrutacyjnych. </w:t>
      </w:r>
    </w:p>
    <w:p w14:paraId="08B3E7D4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>
        <w:rPr>
          <w:rFonts w:cstheme="minorHAnsi"/>
          <w:shd w:val="clear" w:color="auto" w:fill="FFFFFF"/>
        </w:rPr>
        <w:t>przepisów prawa oraz podmioty związane z funkcjonowaniem Opery Bałtyckiej w Gdańsku na podstawie umowy powierzenia przetwarzania danych.</w:t>
      </w:r>
      <w:r>
        <w:rPr>
          <w:rFonts w:cstheme="minorHAnsi"/>
          <w:color w:val="222222"/>
          <w:shd w:val="clear" w:color="auto" w:fill="FFFFFF"/>
        </w:rPr>
        <w:t xml:space="preserve"> Państwa dane nie będą przekazywane do państwa trzeciego. </w:t>
      </w:r>
    </w:p>
    <w:p w14:paraId="78D1686F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Państwa dane osobowe będą przechowywane do momentu ustania celu ich przetwarzania i  zgodnie z wymaganiami wynikającymi z przepisów prawa lub wytycznych branżowych. </w:t>
      </w:r>
      <w:r>
        <w:rPr>
          <w:rFonts w:cstheme="minorHAnsi"/>
          <w:shd w:val="clear" w:color="auto" w:fill="FFFFFF"/>
        </w:rPr>
        <w:t>Po ustaniu celu przetwarzania zostaną informatycznie wykasowane lub fizycznie zlikwidowane w sposób zabezpieczających ich upublicznienie</w:t>
      </w:r>
      <w:r>
        <w:rPr>
          <w:rFonts w:cstheme="minorHAnsi"/>
          <w:b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>Udostępnione dane osobowe  nie będą podlegały formie zautomatyzowanego przetwarzania danych.</w:t>
      </w:r>
    </w:p>
    <w:p w14:paraId="14A061EA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14:paraId="67D8FD96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wycofania zgody w dowolnym momencie,</w:t>
      </w:r>
    </w:p>
    <w:p w14:paraId="0A854A72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żądania kopii danych,</w:t>
      </w:r>
    </w:p>
    <w:p w14:paraId="3685C0EB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sprostowania danych,</w:t>
      </w:r>
    </w:p>
    <w:p w14:paraId="4446D87A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do bycia zapomnianym (usunięcia danych), </w:t>
      </w:r>
    </w:p>
    <w:p w14:paraId="6CEBA9BE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ograniczenia przetwarzania,</w:t>
      </w:r>
    </w:p>
    <w:p w14:paraId="27DBCDAB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do przeniesienia danych,</w:t>
      </w:r>
    </w:p>
    <w:p w14:paraId="366DE579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do sprzeciwu,</w:t>
      </w:r>
    </w:p>
    <w:p w14:paraId="31093052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bycia powiadamianym o sprostowaniu, usunięciu i ograniczeniu przetwarzania.</w:t>
      </w:r>
    </w:p>
    <w:p w14:paraId="488F79B4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Ponadto informujemy, że mają Państwo prawo do złożenia skargi do organu nadzoru</w:t>
      </w:r>
      <w:r>
        <w:rPr>
          <w:rFonts w:cstheme="minorHAnsi"/>
          <w:color w:val="4472C4" w:themeColor="accent1"/>
          <w:shd w:val="clear" w:color="auto" w:fill="FFFFFF"/>
        </w:rPr>
        <w:t xml:space="preserve">– </w:t>
      </w:r>
      <w:r>
        <w:rPr>
          <w:rFonts w:cstheme="minorHAnsi"/>
          <w:shd w:val="clear" w:color="auto" w:fill="FFFFFF"/>
        </w:rPr>
        <w:t>Prezesa Urzędu Ochrony Danych Osobowych.</w:t>
      </w:r>
    </w:p>
    <w:p w14:paraId="433CC5E8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7" w:history="1">
        <w:r>
          <w:rPr>
            <w:rStyle w:val="Hipercze"/>
            <w:rFonts w:cstheme="minorHAnsi"/>
            <w:shd w:val="clear" w:color="auto" w:fill="FFFFFF"/>
          </w:rPr>
          <w:t>iod@operabaltycka.pl</w:t>
        </w:r>
      </w:hyperlink>
    </w:p>
    <w:p w14:paraId="0D81351E" w14:textId="77777777" w:rsidR="00271A02" w:rsidRDefault="00271A02" w:rsidP="00271A0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Wyrażenie zgody na przetwarzanie danych:</w:t>
      </w:r>
    </w:p>
    <w:p w14:paraId="30DF7F97" w14:textId="77777777" w:rsidR="00271A02" w:rsidRDefault="00271A02" w:rsidP="00271A02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14:paraId="092E8678" w14:textId="77777777" w:rsidR="00271A02" w:rsidRDefault="00271A02" w:rsidP="00271A02">
      <w:pPr>
        <w:spacing w:after="0"/>
        <w:ind w:left="709"/>
        <w:jc w:val="both"/>
        <w:rPr>
          <w:rFonts w:eastAsiaTheme="minorEastAsia" w:cstheme="minorBidi"/>
        </w:rPr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14:paraId="58E96F6D" w14:textId="77777777" w:rsidR="00271A02" w:rsidRDefault="00271A02" w:rsidP="00271A02">
      <w:pPr>
        <w:pStyle w:val="Akapitzlist"/>
        <w:numPr>
          <w:ilvl w:val="0"/>
          <w:numId w:val="26"/>
        </w:numPr>
        <w:suppressAutoHyphens/>
        <w:spacing w:after="120" w:line="276" w:lineRule="auto"/>
        <w:ind w:left="1276"/>
        <w:jc w:val="both"/>
      </w:pPr>
      <w:r>
        <w:lastRenderedPageBreak/>
        <w:t xml:space="preserve">wyrażam zgodę na przetwarzanie danych osobowych przez Operę Bałtycką w Gdańsku </w:t>
      </w:r>
    </w:p>
    <w:p w14:paraId="0E648D88" w14:textId="77777777" w:rsidR="00271A02" w:rsidRDefault="00271A02" w:rsidP="00271A02">
      <w:pPr>
        <w:pStyle w:val="Akapitzlist"/>
        <w:suppressAutoHyphens/>
        <w:spacing w:after="120"/>
        <w:ind w:left="1276"/>
        <w:jc w:val="both"/>
      </w:pPr>
      <w:r>
        <w:t>(z siedzibą przy Al. Zwycięstwa 15, 80-219 Gdańsk), we wszystkich czynnościach przetwarzania dokonywanych dla potrzeb obecnej rekrutacji</w:t>
      </w:r>
    </w:p>
    <w:p w14:paraId="42964138" w14:textId="77777777" w:rsidR="00271A02" w:rsidRDefault="00271A02" w:rsidP="00271A02">
      <w:pPr>
        <w:pStyle w:val="Akapitzlist"/>
        <w:numPr>
          <w:ilvl w:val="0"/>
          <w:numId w:val="26"/>
        </w:numPr>
        <w:spacing w:after="0" w:line="276" w:lineRule="auto"/>
        <w:ind w:left="1276"/>
        <w:jc w:val="both"/>
      </w:pPr>
      <w:r>
        <w:t xml:space="preserve">wyrażam zgodę na przetwarzanie danych osobowych przez Operę Bałtycką w Gdańsku </w:t>
      </w:r>
    </w:p>
    <w:p w14:paraId="1950DEA2" w14:textId="77777777" w:rsidR="00271A02" w:rsidRDefault="00271A02" w:rsidP="00271A02">
      <w:pPr>
        <w:pStyle w:val="Akapitzlist"/>
        <w:spacing w:after="0"/>
        <w:ind w:left="1276"/>
        <w:jc w:val="both"/>
      </w:pPr>
      <w:r>
        <w:t>(z siedzibą przy Al. Zwycięstwa 15, 80-219 Gdańsk), we wszystkich czynnościach przetwarzania dokonywanych dla potrzeb przyszłych rekrutacji.</w:t>
      </w:r>
    </w:p>
    <w:p w14:paraId="4E79A5CC" w14:textId="77777777" w:rsidR="00271A02" w:rsidRDefault="00271A02" w:rsidP="00271A02">
      <w:pPr>
        <w:spacing w:after="0"/>
        <w:ind w:left="709"/>
        <w:jc w:val="both"/>
      </w:pPr>
    </w:p>
    <w:p w14:paraId="2BDA5EC0" w14:textId="77777777" w:rsidR="00271A02" w:rsidRDefault="00271A02" w:rsidP="00271A02">
      <w:pPr>
        <w:spacing w:after="0"/>
        <w:ind w:left="709"/>
        <w:jc w:val="both"/>
      </w:pPr>
      <w:r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7371A4D8" w14:textId="77777777" w:rsidR="00271A02" w:rsidRDefault="00271A02" w:rsidP="00271A02">
      <w:pPr>
        <w:spacing w:before="100" w:beforeAutospacing="1" w:after="100" w:afterAutospacing="1" w:line="240" w:lineRule="auto"/>
        <w:ind w:left="709"/>
      </w:pPr>
      <w: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69CDDC0A" w14:textId="77777777" w:rsidR="00271A02" w:rsidRDefault="00271A02" w:rsidP="00271A02">
      <w:pPr>
        <w:spacing w:after="0" w:line="240" w:lineRule="auto"/>
        <w:ind w:left="709"/>
      </w:pPr>
      <w:r>
        <w:t>..........................................................................</w:t>
      </w:r>
    </w:p>
    <w:p w14:paraId="197F694A" w14:textId="77777777" w:rsidR="00271A02" w:rsidRDefault="00271A02" w:rsidP="00271A02">
      <w:pPr>
        <w:spacing w:after="0" w:line="240" w:lineRule="auto"/>
        <w:ind w:left="709"/>
      </w:pPr>
      <w:r>
        <w:rPr>
          <w:sz w:val="16"/>
          <w:szCs w:val="16"/>
        </w:rPr>
        <w:t>(data i czytelny podpis osoby wyrażającej zgodę</w:t>
      </w:r>
      <w:r>
        <w:t>)</w:t>
      </w:r>
    </w:p>
    <w:p w14:paraId="47F706D0" w14:textId="77777777" w:rsidR="00271A02" w:rsidRDefault="00271A02" w:rsidP="00271A02">
      <w:pPr>
        <w:ind w:left="709"/>
      </w:pPr>
    </w:p>
    <w:p w14:paraId="6ACD259D" w14:textId="77777777" w:rsidR="00271A02" w:rsidRDefault="00271A02" w:rsidP="00271A02">
      <w:pPr>
        <w:ind w:left="709"/>
      </w:pPr>
      <w:r>
        <w:t>Zapoznałam się / zapoznałem się z klauzulą informacyjną.</w:t>
      </w:r>
    </w:p>
    <w:p w14:paraId="5B28DFE2" w14:textId="77777777" w:rsidR="00271A02" w:rsidRDefault="00271A02" w:rsidP="00271A02">
      <w:pPr>
        <w:spacing w:after="0" w:line="240" w:lineRule="auto"/>
        <w:ind w:left="709"/>
      </w:pPr>
      <w:r>
        <w:t>..........................................................................</w:t>
      </w:r>
    </w:p>
    <w:p w14:paraId="4A21D803" w14:textId="77777777" w:rsidR="00271A02" w:rsidRDefault="00271A02" w:rsidP="00271A02">
      <w:pPr>
        <w:spacing w:after="0" w:line="240" w:lineRule="auto"/>
        <w:ind w:left="709"/>
        <w:rPr>
          <w:sz w:val="16"/>
          <w:szCs w:val="16"/>
        </w:rPr>
      </w:pPr>
      <w:r>
        <w:rPr>
          <w:sz w:val="16"/>
          <w:szCs w:val="16"/>
        </w:rPr>
        <w:t>(data i czytelny podpis)</w:t>
      </w:r>
    </w:p>
    <w:p w14:paraId="203E1B0C" w14:textId="77777777" w:rsidR="00DC5AFF" w:rsidRP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09A06DB6" w14:textId="77777777" w:rsidR="00AC3B76" w:rsidRDefault="00AC3B76"/>
    <w:p w14:paraId="6A9D8421" w14:textId="77777777" w:rsidR="008E12B5" w:rsidRDefault="008E12B5"/>
    <w:p w14:paraId="37E2DBDA" w14:textId="77777777" w:rsidR="008E12B5" w:rsidRDefault="008E12B5"/>
    <w:sectPr w:rsidR="008E12B5" w:rsidSect="00566F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2"/>
  </w:num>
  <w:num w:numId="2" w16cid:durableId="1776247478">
    <w:abstractNumId w:val="15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7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3"/>
  </w:num>
  <w:num w:numId="11" w16cid:durableId="1669627824">
    <w:abstractNumId w:val="7"/>
  </w:num>
  <w:num w:numId="12" w16cid:durableId="1442265206">
    <w:abstractNumId w:val="11"/>
  </w:num>
  <w:num w:numId="13" w16cid:durableId="1404641568">
    <w:abstractNumId w:val="9"/>
  </w:num>
  <w:num w:numId="14" w16cid:durableId="1226726162">
    <w:abstractNumId w:val="26"/>
  </w:num>
  <w:num w:numId="15" w16cid:durableId="182017411">
    <w:abstractNumId w:val="25"/>
  </w:num>
  <w:num w:numId="16" w16cid:durableId="1071930416">
    <w:abstractNumId w:val="18"/>
  </w:num>
  <w:num w:numId="17" w16cid:durableId="1479305045">
    <w:abstractNumId w:val="14"/>
  </w:num>
  <w:num w:numId="18" w16cid:durableId="1065882802">
    <w:abstractNumId w:val="17"/>
  </w:num>
  <w:num w:numId="19" w16cid:durableId="188764392">
    <w:abstractNumId w:val="20"/>
  </w:num>
  <w:num w:numId="20" w16cid:durableId="1511676162">
    <w:abstractNumId w:val="19"/>
  </w:num>
  <w:num w:numId="21" w16cid:durableId="614798886">
    <w:abstractNumId w:val="3"/>
  </w:num>
  <w:num w:numId="22" w16cid:durableId="1626161191">
    <w:abstractNumId w:val="16"/>
  </w:num>
  <w:num w:numId="23" w16cid:durableId="158808459">
    <w:abstractNumId w:val="10"/>
  </w:num>
  <w:num w:numId="24" w16cid:durableId="1614438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27"/>
  </w:num>
  <w:num w:numId="28" w16cid:durableId="1811482863">
    <w:abstractNumId w:val="8"/>
  </w:num>
  <w:num w:numId="29" w16cid:durableId="325862222">
    <w:abstractNumId w:val="22"/>
  </w:num>
  <w:num w:numId="30" w16cid:durableId="1252661711">
    <w:abstractNumId w:val="5"/>
  </w:num>
  <w:num w:numId="31" w16cid:durableId="1448623689">
    <w:abstractNumId w:val="13"/>
  </w:num>
  <w:num w:numId="32" w16cid:durableId="319961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7E36AF"/>
    <w:rsid w:val="00835BAE"/>
    <w:rsid w:val="00851442"/>
    <w:rsid w:val="00853DCF"/>
    <w:rsid w:val="008E12B5"/>
    <w:rsid w:val="00900D52"/>
    <w:rsid w:val="00996C20"/>
    <w:rsid w:val="009B4AB8"/>
    <w:rsid w:val="00A27865"/>
    <w:rsid w:val="00AA0A66"/>
    <w:rsid w:val="00AC3B76"/>
    <w:rsid w:val="00BA6F06"/>
    <w:rsid w:val="00C832C7"/>
    <w:rsid w:val="00D94717"/>
    <w:rsid w:val="00DC5AFF"/>
    <w:rsid w:val="00E02423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erabaltycka.pl" TargetMode="Externa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Anna Czaja</cp:lastModifiedBy>
  <cp:revision>3</cp:revision>
  <cp:lastPrinted>2021-10-27T15:13:00Z</cp:lastPrinted>
  <dcterms:created xsi:type="dcterms:W3CDTF">2023-01-25T13:03:00Z</dcterms:created>
  <dcterms:modified xsi:type="dcterms:W3CDTF">2023-01-30T12:36:00Z</dcterms:modified>
</cp:coreProperties>
</file>