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-252095</wp:posOffset>
            </wp:positionH>
            <wp:positionV relativeFrom="paragraph">
              <wp:posOffset>-720090</wp:posOffset>
            </wp:positionV>
            <wp:extent cx="6105525" cy="895350"/>
            <wp:effectExtent l="0" t="0" r="0" b="0"/>
            <wp:wrapSquare wrapText="larges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45/2021 z dnia 11.05.2021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t xml:space="preserve">Usługa szkoleniowa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l-PL" w:eastAsia="pl-PL"/>
              </w:rPr>
              <w:t xml:space="preserve">–  dla uczestników projektu „Daj sobie szansę” i ich najbliższego otoczenia </w:t>
              <w:tab/>
              <w:t xml:space="preserve">w ramach Regionalnego Programu Operacyjnego Województwa Śląskiego na lata 2014-2020. Projekt jest współfinansowany ze środków Unii Europejskiej w ramach Europejskiego </w:t>
              <w:tab/>
              <w:t>Funduszu społecznego.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Część l zamówienia: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/>
              </w:rPr>
              <w:t>trening kompetencji i umiejętności społecznych w wymiarze 50 godzin dydaktycznych, dla każdej z 3 grup (max 25 osobowych),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l-PL" w:eastAsia="pl-PL"/>
              </w:rPr>
              <w:t>Część ll zamówienia: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poradnictwo w zakresie wizażu i kreowania wizerunku w wymiarze 36 godzin dydaktycznych, dla każdej z 2 grup (max 15 osobowych),</w:t>
            </w:r>
          </w:p>
          <w:p>
            <w:pPr>
              <w:pStyle w:val="Standard"/>
              <w:widowControl w:val="false"/>
              <w:spacing w:lineRule="atLeast" w:line="200"/>
              <w:ind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Część lll zamówienia:</w:t>
            </w:r>
          </w:p>
          <w:p>
            <w:pPr>
              <w:pStyle w:val="Standard"/>
              <w:widowControl w:val="false"/>
              <w:spacing w:lineRule="atLeast" w:line="200"/>
              <w:ind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grupy samopomocy w wymiarze 60 godzin dydaktycznych, dla każdej z dwóch grup (1 grupę będą stanowić osoby niepełnosprawne)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single"/>
                <w:lang w:val="pl-PL" w:eastAsia="pl-PL"/>
              </w:rPr>
              <w:t xml:space="preserve">Zamawiający dopuszczał możliwość składania ofert częściowych tj. na </w:t>
              <w:tab/>
              <w:t>wybrane lub wszystkie części zamówienia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49 290,00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11 545,22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25.05.2021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Agata Banasiak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Wykonawca musi posiadać wpis do Rejestru Instytucji Szkoleniowych, prowadzonego przez Wojewódzki Urząd Pracy właściwy ze względu na siedzibę instytucji szkoleniowej,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Wykaz wykonanych usług obejmujących przedmiot zamówienia potwierdzonych 3 referencjami(w okresie ostatnich 3 lat przed upływem terminu składania ofert, a jeżeli okres prowadzenia działalności jest krótszy w tym okresie),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Przedstawić wykaz osób, które będą uczestniczyć w wykonywaniu zamówienia wraz z informacjami na temat ich kwalifikacji zawodowych, doświadczenia i wykształcenia niezbędnych do wykonania zamówienia,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Zamawiający przyjmuje oferty cząstkowe.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Wykonawca zostanie wybrany poprzez porównanie cenowe całości zamówienia i wybranie najkorzystniejszej oferty.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70"/>
              <w:gridCol w:w="3060"/>
              <w:gridCol w:w="1365"/>
              <w:gridCol w:w="1635"/>
              <w:gridCol w:w="963"/>
              <w:gridCol w:w="1650"/>
            </w:tblGrid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pacing w:before="0" w:after="0"/>
                    <w:ind w:left="0" w:right="0" w:hanging="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INVENTUM Sp. z o. o.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pacing w:before="0" w:after="0"/>
                    <w:ind w:left="0" w:right="0" w:hanging="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ul. Mikołaja Reja 20A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napToGrid w:val="false"/>
                    <w:spacing w:lineRule="auto" w:line="276" w:before="0" w:after="0"/>
                    <w:ind w:left="0" w:right="0" w:hanging="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33-300 Nowy Sącz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22 050,00zł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ll: 10 656,00zł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lll: 14 400,00zł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Oferta nie spełnia warunków w cz. III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Genesis Hubert Olchawa</w:t>
                    <w:br/>
                    <w:t>ul. Laskowa 462</w:t>
                    <w:br/>
                    <w:t>34-602 Laskowa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45 900,00zł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Kwota przekracza wartość jaką Zamawiający zamierza przeznaczyć na sfinansowanie zamówienia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 xml:space="preserve">Centrum Kształcenia Ustawicznego im. Wojciecha  Korfantego </w:t>
                    <w:br/>
                    <w:t>ul. Powstańców Śląskich 10</w:t>
                    <w:br/>
                    <w:t>41-902 Bytom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22 200,00zł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MS Consensus Mirosław Serbinowicz</w:t>
                    <w:br/>
                    <w:t>ul. Legionów 102B/54</w:t>
                    <w:br/>
                    <w:t>81-472 Gdynia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  <w:lang w:val="en-US"/>
                    </w:rPr>
                    <w:t>Dla części l: 36 000,00zł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Kwota przekracza wartość jaką Zamawiający zamierza przeznaczyć na sfinansowanie zamówienia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BPR Consulting Paulina Rydz</w:t>
                    <w:br/>
                    <w:t>ul. Radwańska 27/2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en-US"/>
                    </w:rPr>
                    <w:t>90-540 Łódź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  <w:lang w:val="en-US"/>
                    </w:rPr>
                    <w:t>Dla części l: 34 350,00zł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Kwota przekracza wartość jaką Zamawiający zamierza przeznaczyć na sfinansowanie zamówienia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Strefa Rozwoju Danuta Rynkiewicz</w:t>
                    <w:br/>
                    <w:t>ul. Emilii Plater 1a/53</w:t>
                    <w:br/>
                    <w:t>05-500 Piaseczno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01.06.2021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14 400,00zł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ll:</w:t>
                    <w:br/>
                    <w:t>8 064,00zł</w:t>
                    <w:br/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  <w:lang w:val="en-US"/>
                    </w:rPr>
                    <w:t>Dla części lll: 11 520,00zł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Oferta nie spełnia warunków w cz. II, III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AS EDUKACJA Marcin Batko</w:t>
                    <w:br/>
                    <w:t>ul. Mariacka 33</w:t>
                    <w:br/>
                    <w:t>40-014 Katowice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08.06.2021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  <w:lang w:val="en-US"/>
                    </w:rPr>
                    <w:t>Dla części ll: 10 198,80zł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  <w:u w:val="none"/>
                      <w:lang w:val="pl-PL"/>
                    </w:rPr>
                    <w:t>Gabinet Socjoterapii Kancelaria Mediacyjna Dorota Czerkies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ul. H. Modrzejewskiej 2a/10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  <w:u w:val="none"/>
                      <w:lang w:val="pl-PL"/>
                    </w:rPr>
                    <w:t>44-100 Gliwice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08.06.2021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14 250,00zł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lll: 11 400,00zł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Oferta nie spełnia warunków w cz. III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Patryk Stępień „PAT” Coaching i Szkolenia”</w:t>
                    <w:br/>
                    <w:t>ul. Wrocławska 94</w:t>
                    <w:br/>
                    <w:t>58-306 Wałbrzych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04.06.2021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26 250,00zł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Szkoła Męskiego Stylu Agnieszka Świst-Kamińska</w:t>
                    <w:br/>
                    <w:t>ul. Jacka Kaczmarskiego 2/3</w:t>
                    <w:br/>
                    <w:t>81-230 Gdynia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07.06.2021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24 900,00zł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  <w:lang w:val="en-US"/>
                    </w:rPr>
                    <w:t>Dla części ll: 11 952,00zł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Dominika Jarosz Pracownia Rozwoju Osobistego</w:t>
                    <w:br/>
                    <w:t>ul. Korabnicka 82d</w:t>
                    <w:br/>
                    <w:t>32-050 Skawina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07.06.2021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51 750,00zł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ll: 23 040,00zł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lll: 41 400,00zł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Kwota  w cz. </w:t>
                    <w:br/>
                    <w:t>I, II, III przekracza wartość jaką Zamawiający zamierza przeznaczyć na sfinansowanie zamówienia</w:t>
                  </w:r>
                </w:p>
              </w:tc>
            </w:tr>
            <w:tr>
              <w:trPr/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Make-Up Olga Grzeszek</w:t>
                    <w:br/>
                    <w:t>ul. Zimowit 5/1</w:t>
                    <w:br/>
                    <w:t>35-605 Rzeszów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ll: 12 240,00zł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144" w:hRule="atLeast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GRUPA CSW DELTA Sp. z o. o.</w:t>
                    <w:br/>
                    <w:t>ul. Mikołaja Kopernika 17</w:t>
                    <w:br/>
                    <w:t>28-300 Jędrzejów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22 275,00zł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lll: 17 360,40 zł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Oferta nie spełnia warunków w cz. III</w:t>
                  </w:r>
                </w:p>
              </w:tc>
            </w:tr>
            <w:tr>
              <w:trPr>
                <w:trHeight w:val="1144" w:hRule="atLeast"/>
              </w:trPr>
              <w:tc>
                <w:tcPr>
                  <w:tcW w:w="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60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 xml:space="preserve">Mega Centrum Rozwoju </w:t>
                    <w:br/>
                    <w:t>ul. Narutowicza 7a</w:t>
                    <w:br/>
                    <w:t>41-933 Bytom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 35 250,00zł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ll: 24 840,00zł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lll: 34 800,00zł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Kwota oferowana </w:t>
                    <w:br/>
                    <w:t>w cz. I, II, III przekracza sfinansowanie zamówienia</w:t>
                  </w:r>
                </w:p>
              </w:tc>
            </w:tr>
            <w:tr>
              <w:trPr>
                <w:trHeight w:val="1144" w:hRule="atLeast"/>
              </w:trPr>
              <w:tc>
                <w:tcPr>
                  <w:tcW w:w="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60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Dominika Charyton Szkolenia</w:t>
                    <w:br/>
                    <w:t>ul. Czereśniowa 24</w:t>
                    <w:br/>
                    <w:t>42-680 Tarnowskie Góry</w:t>
                  </w:r>
                </w:p>
              </w:tc>
              <w:tc>
                <w:tcPr>
                  <w:tcW w:w="1365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635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Dla części l: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14 100,00zł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W części I -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Dominika Charyton Szkolenia, ul. Czereśniowa 24, 42-680 Tarnowskie Góry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W części II -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AS EDUKACJA Marcin Batko, ul. Mariacka 33, 40-014 Katowice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Wykonawcy zaoferowali najkorzystniejsze ceny w  I,II części zamówienia. Oferty zgodne z wymogami Zamawiającego.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 części I: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- Genesis Hubert Olchawa, ul. Laskowa 462, 34-602 Laskowa,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  <w:br/>
              <w:t xml:space="preserve">-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MS Consensus Mirosław Serbinowicz, ul. Legionów 102B/54, 81-472 Gdynia,</w:t>
              <w:br/>
              <w:t xml:space="preserve">- BPR Consulting Paulina Rydz, ul. Radwańska 27/2,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90-540 Łódź,</w:t>
              <w:br/>
              <w:t xml:space="preserve">-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Dominika Jarosz Pracownia Rozwoju Osobistego, ul. Korabnicka 82d, 32-050 Skawina,</w:t>
              <w:br/>
              <w:t>- Mega Centrum Rozwoju, ul. Narutowicza 7a, 41-933 Bytom,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 części II: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Strefa Rozwoju Danuta Rynkiewicz, ul. Emilii Plater 1a/53, 05-500 Piaseczno,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- Dominika Jarosz Pracownia Rozwoju Osobistego, ul. Korabnicka 82d, 32-050 Skawina,</w:t>
              <w:br/>
              <w:t>- Mega Centrum Rozwoju, ul. Narutowicza 7a, 41-933 Bytom,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rPr>
                <w:b w:val="false"/>
                <w:b w:val="false"/>
                <w:bCs w:val="false"/>
                <w:lang w:val="pl-PL"/>
              </w:rPr>
            </w:pPr>
            <w:r>
              <w:rPr>
                <w:b w:val="false"/>
                <w:bCs w:val="false"/>
                <w:lang w:val="pl-PL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 części III: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INVENTUM Sp. z o. o., ul. Mikołaja Reja 20A, 33-300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Nowy Sącz,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- Strefa Rozwoju Danuta Rynkiewicz, ul. Emilii Plater 1a/53, 05-500 Piaseczno,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hang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- Dominika Jarosz Pracownia Rozwoju Osobistego, ul. Korabnicka 82d, 32-050 Skawina,</w:t>
              <w:br/>
              <w:t>- GRUPA CSW DELTA Sp. z o. o., ul. Mikołaja Kopernika 17, 28-300 Jędrzejów,</w:t>
              <w:br/>
              <w:t>- Mega Centrum Rozwoju, ul. Narutowicza 7a, 41-933 Bytom,</w:t>
              <w:br/>
              <w:t xml:space="preserve">-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  <w:lang w:val="pl-PL"/>
              </w:rPr>
              <w:t xml:space="preserve">Gabinet Socjoterapii Kancelaria Mediacyjna Dorota Czerkies,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 xml:space="preserve">ul. H. Modrzejewskiej 2a/10,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  <w:lang w:val="pl-PL"/>
              </w:rPr>
              <w:t>44-100 Gliwice.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12.07.2021r w części III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 25.06.2021 numer 45/2021/1 w części I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29.02.2021 numer 45/2021/2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</w:rPr>
              <w:t>w części II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</w:rPr>
              <w:t>REFERENT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Agata Banasiak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Akceptacja Dyrektora MOPR Piekary Śląskie: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</w:t>
            </w:r>
            <w:r>
              <w:rPr>
                <w:rFonts w:cs="Arial" w:ascii="Arial" w:hAnsi="Arial"/>
                <w:sz w:val="20"/>
                <w:szCs w:val="20"/>
              </w:rPr>
              <w:t>DYREKTOR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Miejskiego Ośrodka Pomocy Rodzinie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sz w:val="20"/>
                <w:szCs w:val="20"/>
              </w:rPr>
              <w:t>w Piekarach Śląskich</w:t>
            </w:r>
          </w:p>
          <w:p>
            <w:pPr>
              <w:pStyle w:val="Standard"/>
              <w:widowControl w:val="false"/>
              <w:spacing w:before="0" w:after="0"/>
              <w:ind w:left="4963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1134" w:top="188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45/2021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4FB-877E-44CF-9140-DED488E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Application>LibreOffice/7.1.1.2$Windows_X86_64 LibreOffice_project/fe0b08f4af1bacafe4c7ecc87ce55bb426164676</Application>
  <AppVersion>15.0000</AppVersion>
  <Pages>5</Pages>
  <Words>1034</Words>
  <Characters>6431</Characters>
  <CharactersWithSpaces>7350</CharactersWithSpaces>
  <Paragraphs>164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2021-07-15T13:40:16Z</cp:lastPrinted>
  <dcterms:modified xsi:type="dcterms:W3CDTF">2021-07-16T13:34:47Z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