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65" w:leader="none"/>
        </w:tabs>
        <w:jc w:val="both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column">
                  <wp:posOffset>-414655</wp:posOffset>
                </wp:positionH>
                <wp:positionV relativeFrom="paragraph">
                  <wp:posOffset>-218440</wp:posOffset>
                </wp:positionV>
                <wp:extent cx="6836410" cy="3111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680" cy="30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35680" cy="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600"/>
                            <a:ext cx="6835680" cy="0"/>
                          </a:xfrm>
                          <a:prstGeom prst="line">
                            <a:avLst/>
                          </a:prstGeom>
                          <a:ln cap="sq"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32.65pt;margin-top:-17.2pt;width:538.2pt;height:2.35pt" coordorigin="-653,-344" coordsize="10764,47">
                <v:line id="shape_0" from="-653,-344" to="10111,-344" stroked="t" style="position:absolute">
                  <v:stroke color="black" weight="9360" joinstyle="miter" endcap="square"/>
                  <v:fill o:detectmouseclick="t" on="false"/>
                  <w10:wrap type="none"/>
                </v:line>
                <v:line id="shape_0" from="-653,-296" to="10111,-296" stroked="t" style="position:absolute">
                  <v:stroke color="black" weight="25560" joinstyle="miter" endcap="square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>Piekary Śląskie,  08.03.2021r.</w:t>
      </w:r>
    </w:p>
    <w:p>
      <w:pPr>
        <w:pStyle w:val="Normal"/>
        <w:tabs>
          <w:tab w:val="clear" w:pos="708"/>
          <w:tab w:val="left" w:pos="206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Nr sprawy 20/2021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INFORMACJA O WYNIKU POSTĘPOWANIA </w:t>
      </w:r>
    </w:p>
    <w:p>
      <w:pPr>
        <w:pStyle w:val="Standard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>Dotyczy</w:t>
      </w:r>
      <w:r>
        <w:rPr>
          <w:rFonts w:cs="Arial" w:ascii="Arial" w:hAnsi="Arial"/>
          <w:color w:val="000000"/>
        </w:rPr>
        <w:t xml:space="preserve">: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usługi szkoleniowej – treningi kompetencji i umiejętności społecznych w wymiarze 30 godzin dydaktycznych dla każdej z  2 grup </w:t>
      </w: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(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ok. 13 osobowych) uczestników projektu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,,Twoje życie – Twój wybór” w ramach Regionalnego Programu Operacyjnego Województwa Śląskiego na lata 2014-2020. Projekt jest współfinansowany ze środków Unii Europejskiej w ramach Europejskiego Funduszu Społecznego.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mallCaps/>
        </w:rPr>
      </w:pPr>
      <w:r>
        <w:rPr>
          <w:rFonts w:cs="Arial" w:ascii="Arial" w:hAnsi="Arial"/>
          <w:b/>
          <w:bCs/>
          <w:smallCaps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25.02.2021r. na stronie internetowej Ośrodka, oraz na bazie konkurencyjności zostało ogłoszone Zapytanie ofertowe.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dniu 04.03.2021r. upłynął termin składania Ofert.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</w:rPr>
        <w:t>W odpowiedzi na ogłoszenie wpłynęło 21 ofert: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4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0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838"/>
        <w:gridCol w:w="3556"/>
        <w:gridCol w:w="2836"/>
        <w:gridCol w:w="2409"/>
      </w:tblGrid>
      <w:tr>
        <w:trPr/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Wykonawca/adres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Cena w zł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</w:rPr>
              <w:t>netto/brutto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Uwagi</w:t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Strefa Rozwoju Danuta Rynkiewicz,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Emilii Plater 1a/53,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05-500 Piaseczno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5 200,00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5 200,00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Zakład Usługowo-Wytwórczo-Handlowy „ELPAX” Sp. z o.o.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Łużycka 11,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41-902 Bytom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28 340,00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28 340,00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NOVA Centrum Edukacji Sp. z o.o.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76" w:leader="none"/>
              </w:tabs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3 Maja 26,</w:t>
              <w:tab/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40-096 Katowice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7 280,00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7 280,00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Dominika Charyton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Czereśniowa 24,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42-680 Tarnowskie Góry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4 550,00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4 550,00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5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Rajos Consulting Rafał Stelmasik,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Budowlanych 3,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37-550 Radymno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3 848,00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3 848,00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6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Genesis Hubert Olchawa,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Laskowa 462,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34-602 Laskowa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11 700,00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11 700,00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7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Faktoria Sara Kruszyna,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ul. Parkowa  nr 1, lok. 18,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44-193 Knurów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4 794,40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4 794,40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8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Awans Ośrodek Usług Oświatowych Dorota Skrobarczyk,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Marii Kuncewiczowej 2 lokal 1,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42-207 Częstochowa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6 500,00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6 500,00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9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Instytut Rozwoju Zasobów Ludzkich Krzysztof Błażowski,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Powstańców Śląskich 26/2,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45-087 Opole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5 200,00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5 200,00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10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Reactive Monika Zygmuntowicz,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Kamieniec 3,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43-450 Ustroń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3 250,00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3 250,00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Wyjaśniono rażąco niską cenę.</w:t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11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Essor S.C. Szkolenia I Doradztwo,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Główna 95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32-329 Bolesław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5 980,00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5 980,00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12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 xml:space="preserve">Sun&amp;More Sp. z o.o.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Madalińskiego 8 lok 215,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70-101 Szczecin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7 280,00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7 280,00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13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Inventum Sp. z o.o.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ul. Mikołaja Reja 20A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33-300 Nowy Sącz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4 680,00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4 680,00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Mobilne Usługi Biurowe M.A. Gumińska Marta Gumińska,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A. Mickiewicza 2A/1,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99-210 Uniejów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6 500,00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Brutto:6 500,00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Poprawiono niejasności w ofercie</w:t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15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Mindy Academy Tymoteusz Cabaj,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Kopernika 5/33,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26-300 Opoczno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7 540,00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  <w:lang w:val="en-US"/>
              </w:rPr>
              <w:t>7 540,00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16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BPR Consulting Paulina Rydz,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Radwańska 27/2U,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90-540 Łódź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do doręczeń: ul. Wólczańska 241 lok. 21,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93-035 Łódź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8 112,00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8 112,00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17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Centrum Nauki i Biznesu,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„</w:t>
            </w:r>
            <w:r>
              <w:rPr>
                <w:rFonts w:cs="Arial" w:ascii="Arial" w:hAnsi="Arial"/>
              </w:rPr>
              <w:t xml:space="preserve">Żak” Sp. z o.o.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Milionowa 21,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93-105 Łódź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7 020,00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7 020,00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Łętowski Consulting Szkolenia Doradztwo Rozwój Mateusz Łętowski,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Style w:val="Breakpossible"/>
                <w:rFonts w:ascii="Arial" w:hAnsi="Arial" w:cs="Arial"/>
              </w:rPr>
            </w:pPr>
            <w:r>
              <w:rPr>
                <w:rStyle w:val="Breakpossible"/>
                <w:rFonts w:cs="Arial" w:ascii="Arial" w:hAnsi="Arial"/>
              </w:rPr>
              <w:t>ul. Zdrojowa 30A,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Style w:val="Breakpossible"/>
                <w:rFonts w:cs="Arial" w:ascii="Arial" w:hAnsi="Arial"/>
              </w:rPr>
              <w:t>43-600 Jaworzno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7 957,82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 7 957,82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Logos Centrum Edukacyjne Jan Romańczuk Tomasz Wysocki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Wyszyńskiego 6 lok.44,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18-400 Łomża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Netto: 5 700,50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Brutto: 5 700,50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Poprawiono omyłkę rachunkową</w:t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  <w:t>20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Doksam Sp. z o.o.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Wincentego Pola 16,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44-100 Gliwice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27 638,00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27 638,00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21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Grupa CSW Delta Sp. z o.o.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ul. Kopernika 17,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28-300 Jędrzejów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Netto: 5 536,70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Brutto:</w:t>
            </w:r>
            <w:r>
              <w:rPr/>
              <w:t xml:space="preserve"> </w:t>
            </w:r>
            <w:r>
              <w:rPr>
                <w:rFonts w:cs="Arial" w:ascii="Arial" w:hAnsi="Arial"/>
              </w:rPr>
              <w:t>5 536,70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true"/>
        <w:spacing w:lineRule="auto" w:line="276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Oferta najkorzystniejsza:</w:t>
      </w:r>
    </w:p>
    <w:p>
      <w:pPr>
        <w:pStyle w:val="Normal"/>
        <w:snapToGrid w:val="false"/>
        <w:spacing w:lineRule="auto" w:line="276"/>
        <w:ind w:firstLine="709"/>
        <w:rPr>
          <w:rFonts w:ascii="Arial" w:hAnsi="Arial" w:cs="Arial"/>
        </w:rPr>
      </w:pPr>
      <w:r>
        <w:rPr>
          <w:rFonts w:cs="Arial" w:ascii="Arial" w:hAnsi="Arial"/>
        </w:rPr>
        <w:t>Reactive Monika Zygmuntowicz,</w:t>
      </w:r>
    </w:p>
    <w:p>
      <w:pPr>
        <w:pStyle w:val="Normal"/>
        <w:snapToGrid w:val="false"/>
        <w:spacing w:lineRule="auto" w:line="276"/>
        <w:ind w:firstLine="709"/>
        <w:rPr>
          <w:rFonts w:ascii="Arial" w:hAnsi="Arial" w:cs="Arial"/>
        </w:rPr>
      </w:pPr>
      <w:r>
        <w:rPr>
          <w:rFonts w:cs="Arial" w:ascii="Arial" w:hAnsi="Arial"/>
        </w:rPr>
        <w:t>ul. Kamieniec 3,</w:t>
      </w:r>
    </w:p>
    <w:p>
      <w:pPr>
        <w:pStyle w:val="Normal"/>
        <w:suppressAutoHyphens w:val="true"/>
        <w:spacing w:lineRule="auto" w:line="276"/>
        <w:ind w:left="720" w:hanging="0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43-450 Ustroń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…………………………………………………</w:t>
      </w:r>
      <w:r>
        <w:rPr>
          <w:rFonts w:cs="Arial" w:ascii="Arial" w:hAnsi="Arial"/>
          <w:b/>
          <w:bCs/>
        </w:rPr>
        <w:t>..</w:t>
      </w:r>
    </w:p>
    <w:p>
      <w:pPr>
        <w:pStyle w:val="Normal"/>
        <w:ind w:left="496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Kierownika Zamawiającego lub osoby upoważnionej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-518795</wp:posOffset>
          </wp:positionH>
          <wp:positionV relativeFrom="paragraph">
            <wp:posOffset>-449580</wp:posOffset>
          </wp:positionV>
          <wp:extent cx="2327275" cy="1276350"/>
          <wp:effectExtent l="0" t="0" r="0" b="0"/>
          <wp:wrapSquare wrapText="bothSides"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504" r="-277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>
        <w:rFonts w:cs="Arial" w:ascii="Arial" w:hAnsi="Arial"/>
      </w:rPr>
      <w:tab/>
    </w:r>
  </w:p>
  <w:p>
    <w:pPr>
      <w:pStyle w:val="Normal"/>
      <w:tabs>
        <w:tab w:val="clear" w:pos="708"/>
        <w:tab w:val="left" w:pos="2065" w:leader="none"/>
      </w:tabs>
      <w:jc w:val="both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45e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45e0"/>
    <w:rPr/>
  </w:style>
  <w:style w:type="character" w:styleId="Breakpossible" w:customStyle="1">
    <w:name w:val="breakpossible"/>
    <w:basedOn w:val="DefaultParagraphFont"/>
    <w:qFormat/>
    <w:rsid w:val="002645e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45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2645e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FC297-AD87-47B7-A7BF-6F3F43F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LibreOffice/7.1.1.2$Windows_X86_64 LibreOffice_project/fe0b08f4af1bacafe4c7ecc87ce55bb426164676</Application>
  <AppVersion>15.0000</AppVersion>
  <Pages>4</Pages>
  <Words>506</Words>
  <Characters>2836</Characters>
  <CharactersWithSpaces>3234</CharactersWithSpaces>
  <Paragraphs>153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2021-03-08T11:44:00Z</dcterms:created>
  <dc:creator>Mmalota</dc:creator>
  <dc:description/>
  <dc:language>pl-PL</dc:language>
  <cp:lastModifiedBy/>
  <cp:lastPrinted>2021-03-08T13:23:00Z</cp:lastPrinted>
  <dcterms:modified xsi:type="dcterms:W3CDTF">2021-03-25T10:44:14Z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