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124</w:t>
      </w:r>
      <w:r>
        <w:rPr>
          <w:rFonts w:cs="Arial" w:ascii="Arial" w:hAnsi="Arial"/>
          <w:sz w:val="20"/>
        </w:rPr>
        <w:t>/2020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/>
      </w:pPr>
      <w:r>
        <w:rPr>
          <w:rFonts w:cs="Arial" w:ascii="Arial" w:hAnsi="Arial"/>
          <w:sz w:val="20"/>
        </w:rPr>
        <w:t xml:space="preserve">tel. 32 287-95-03 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Przygotowanie i wydawanie jednodaniowych gorących posiłków dla osób korzystających z </w:t>
        <w:tab/>
        <w:t>pomocy społecznej.</w:t>
      </w:r>
    </w:p>
    <w:p>
      <w:pPr>
        <w:pStyle w:val="Standard"/>
        <w:ind w:left="709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Część l: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Cena netto za 1 posiłek……………………………….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brutto za 1 posiłek………………………………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z części l netto……………………………………..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w części l brutto……………………………………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Część ll: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Cena netto za 1 posiłek………………………………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brutto za 1 posiłek……………………………..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z części ll netto…………………………………….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z części ll brutto…………………………………..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LibreOffice/6.2.3.2$Windows_x86 LibreOffice_project/aecc05fe267cc68dde00352a451aa867b3b546ac</Application>
  <Pages>1</Pages>
  <Words>139</Words>
  <Characters>1306</Characters>
  <CharactersWithSpaces>1458</CharactersWithSpaces>
  <Paragraphs>31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2019-09-30T12:50:18Z</cp:lastPrinted>
  <dcterms:modified xsi:type="dcterms:W3CDTF">2020-12-10T10:15:07Z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