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8345" cy="117729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640" cy="117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25pt;height:92.6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-2493010</wp:posOffset>
                </wp:positionH>
                <wp:positionV relativeFrom="paragraph">
                  <wp:posOffset>130810</wp:posOffset>
                </wp:positionV>
                <wp:extent cx="7388225" cy="635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3875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875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6.35pt;margin-top:10.3pt;width:581.7pt;height:0pt" coordorigin="-3927,206" coordsize="11634,0">
                <v:line id="shape_0" from="-3926,206" to="7707,206" stroked="t" style="position:absolute">
                  <v:stroke color="black" weight="9360" joinstyle="miter" endcap="flat"/>
                  <v:fill o:detectmouseclick="t" on="false"/>
                </v:line>
                <v:line id="shape_0" from="-3926,206" to="7707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114</w:t>
      </w:r>
      <w:r>
        <w:rPr>
          <w:rFonts w:cs="Arial" w:ascii="Arial" w:hAnsi="Arial"/>
          <w:sz w:val="20"/>
        </w:rPr>
        <w:t>/2020</w: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dnia  </w:t>
      </w:r>
      <w:r>
        <w:rPr>
          <w:rFonts w:cs="Arial" w:ascii="Arial" w:hAnsi="Arial"/>
          <w:sz w:val="20"/>
        </w:rPr>
        <w:t>05.10</w:t>
      </w:r>
      <w:r>
        <w:rPr>
          <w:rFonts w:cs="Arial" w:ascii="Arial" w:hAnsi="Arial"/>
          <w:sz w:val="20"/>
        </w:rPr>
        <w:t>.2020r.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Agata Banasiak  tel.32 287-95-03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wew.642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Świadczenie kompleksowej usługi pogrzebowej dla zmarłych mieszkańców Piekar Śląskich, wykonywanej na zlecenie Miejskiego Ośrodka Pomocy Rodzinie.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sk</w:t>
      </w:r>
      <w:r>
        <w:rPr>
          <w:rFonts w:cs="Arial" w:ascii="Arial" w:hAnsi="Arial"/>
          <w:color w:val="000000"/>
          <w:sz w:val="20"/>
          <w:szCs w:val="20"/>
        </w:rPr>
        <w:t>ła</w:t>
      </w:r>
      <w:r>
        <w:rPr>
          <w:rFonts w:cs="Arial" w:ascii="Arial" w:hAnsi="Arial"/>
          <w:color w:val="000000"/>
          <w:sz w:val="20"/>
          <w:szCs w:val="20"/>
        </w:rPr>
        <w:t>d usługi wchodzą następujące części składowe: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retekstu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a) pochówek tradycyjny osoby dorosłej:</w:t>
      </w:r>
    </w:p>
    <w:p>
      <w:pPr>
        <w:pStyle w:val="Tretekstu"/>
        <w:spacing w:lineRule="auto" w:line="240" w:before="0" w:after="0"/>
        <w:ind w:left="1134" w:right="0" w:hanging="1134"/>
        <w:jc w:val="left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usługa pogrzebowa w przypadku pochówku tradycyjnego obejmuje:</w:t>
      </w:r>
    </w:p>
    <w:p>
      <w:pPr>
        <w:pStyle w:val="Tretekstu"/>
        <w:pageBreakBefore w:val="false"/>
        <w:spacing w:lineRule="auto" w:line="240" w:before="0" w:after="0"/>
        <w:ind w:left="170" w:right="0" w:hanging="17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 xml:space="preserve">- odbiór i transport zwłok z miejsca wskazanego przez MOPR, Policję lub jednostkę służby zdrowia do domu pogrzebowego lub jeśli jest to konieczne do chłodni </w:t>
      </w:r>
      <w:r>
        <w:rPr>
          <w:rFonts w:ascii="Arial" w:hAnsi="Arial"/>
          <w:b w:val="false"/>
          <w:sz w:val="20"/>
          <w:szCs w:val="20"/>
        </w:rPr>
        <w:t>(cena za transport na terenie Piekar Śl., oraz poza Piekarami Śl. ) - ryczałt</w:t>
      </w:r>
      <w:r>
        <w:rPr>
          <w:rFonts w:ascii="Arial" w:hAnsi="Arial"/>
          <w:b w:val="false"/>
          <w:sz w:val="20"/>
          <w:szCs w:val="20"/>
        </w:rPr>
        <w:t>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 xml:space="preserve">- przechowywanie zwłok w domu pogrzebowym </w:t>
      </w:r>
      <w:r>
        <w:rPr>
          <w:rFonts w:ascii="Arial" w:hAnsi="Arial"/>
          <w:b w:val="false"/>
          <w:sz w:val="20"/>
          <w:szCs w:val="20"/>
        </w:rPr>
        <w:t>(ryczałt- niezależnie od okresu przechowywania zwłok)</w:t>
      </w:r>
      <w:r>
        <w:rPr>
          <w:rFonts w:ascii="Arial" w:hAnsi="Arial"/>
          <w:b w:val="false"/>
          <w:sz w:val="20"/>
          <w:szCs w:val="20"/>
        </w:rPr>
        <w:t>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 xml:space="preserve">- przechowywanie zwłok w chłodni </w:t>
      </w:r>
      <w:r>
        <w:rPr>
          <w:rFonts w:ascii="Arial" w:hAnsi="Arial"/>
          <w:b w:val="false"/>
          <w:sz w:val="20"/>
          <w:szCs w:val="20"/>
        </w:rPr>
        <w:t>(ryczałt- niezależnie od okresu przechowywania zwłok),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przygotowanie zwłok do pochówku w tym mycie, kosmetykę i ubranie zwłok,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zakup ubrania i obuwia dla zmarłego,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zakup i dostarczenie trumny w miejsce wskazane przez MOPR,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 xml:space="preserve">- wykopanie, zakopanie, uformowanie grobu oraz opłata za grób </w:t>
      </w:r>
      <w:r>
        <w:rPr>
          <w:rFonts w:ascii="Arial" w:hAnsi="Arial"/>
          <w:b w:val="false"/>
          <w:sz w:val="20"/>
          <w:szCs w:val="20"/>
        </w:rPr>
        <w:t>za</w:t>
      </w:r>
      <w:r>
        <w:rPr>
          <w:rFonts w:ascii="Arial" w:hAnsi="Arial"/>
          <w:b w:val="false"/>
          <w:sz w:val="20"/>
          <w:szCs w:val="20"/>
        </w:rPr>
        <w:t xml:space="preserve"> 20 lat,</w:t>
      </w:r>
    </w:p>
    <w:p>
      <w:pPr>
        <w:pStyle w:val="Tretekstu"/>
        <w:pageBreakBefore w:val="false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dokonanie pochówku klientów MOPR z obsługą żałobników i ceremonią zgodnie z wyznaniem zmarłego oraz uregulowanie za powyższe cel opłat,</w:t>
      </w:r>
    </w:p>
    <w:p>
      <w:pPr>
        <w:pStyle w:val="Tretekstu"/>
        <w:pageBreakBefore w:val="false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dostarczenie i postawienie tabliczki nagrobkowej oraz krzyża na grobie lub innego symbolu religijnego w zależności od wyznania,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wywieszenie klepsydry.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</w:t>
      </w:r>
      <w:r>
        <w:rPr>
          <w:rFonts w:cs="Arial" w:ascii="Arial" w:hAnsi="Arial"/>
          <w:b/>
          <w:color w:val="000000"/>
          <w:sz w:val="20"/>
          <w:szCs w:val="20"/>
        </w:rPr>
        <w:t>pochówek tradycyjny dziecka:</w:t>
      </w:r>
    </w:p>
    <w:p>
      <w:pPr>
        <w:pStyle w:val="Tretekstu"/>
        <w:spacing w:lineRule="auto" w:line="240" w:before="0" w:after="0"/>
        <w:ind w:left="1134" w:right="0" w:hanging="1134"/>
        <w:jc w:val="left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usługa pogrzebowa w przypadku pochówku tradycyjnego obejmuje:</w:t>
      </w:r>
    </w:p>
    <w:p>
      <w:pPr>
        <w:pStyle w:val="Tretekstu"/>
        <w:pageBreakBefore w:val="false"/>
        <w:spacing w:lineRule="auto" w:line="240" w:before="0" w:after="0"/>
        <w:ind w:left="170" w:right="0" w:hanging="17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 xml:space="preserve">- odbiór i transport zwłok z miejsca wskazanego przez MOPR, Policję lub jednostkę służby zdrowia do domu pogrzebowego lub jeśli jest to konieczne do chłodni </w:t>
      </w:r>
      <w:r>
        <w:rPr>
          <w:rFonts w:ascii="Arial" w:hAnsi="Arial"/>
          <w:b w:val="false"/>
          <w:sz w:val="20"/>
          <w:szCs w:val="20"/>
        </w:rPr>
        <w:t>(cena za transport na terenie Piekar Śl., oraz poza Piekarami Śl. ) - ryczałt</w:t>
      </w:r>
      <w:r>
        <w:rPr>
          <w:rFonts w:ascii="Arial" w:hAnsi="Arial"/>
          <w:b w:val="false"/>
          <w:sz w:val="20"/>
          <w:szCs w:val="20"/>
        </w:rPr>
        <w:t>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 xml:space="preserve">- przechowywanie zwłok w domu pogrzebowym </w:t>
      </w:r>
      <w:r>
        <w:rPr>
          <w:rFonts w:ascii="Arial" w:hAnsi="Arial"/>
          <w:b w:val="false"/>
          <w:sz w:val="20"/>
          <w:szCs w:val="20"/>
        </w:rPr>
        <w:t>(ryczałt- niezależnie od okresu przechowywania zwłok)</w:t>
      </w:r>
      <w:r>
        <w:rPr>
          <w:rFonts w:ascii="Arial" w:hAnsi="Arial"/>
          <w:b w:val="false"/>
          <w:sz w:val="20"/>
          <w:szCs w:val="20"/>
        </w:rPr>
        <w:t>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 xml:space="preserve">- przechowywanie zwłok w chłodni </w:t>
      </w:r>
      <w:r>
        <w:rPr>
          <w:rFonts w:ascii="Arial" w:hAnsi="Arial"/>
          <w:b w:val="false"/>
          <w:sz w:val="20"/>
          <w:szCs w:val="20"/>
        </w:rPr>
        <w:t>(ryczałt- niezależnie od okresu przechowywania zwłok),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przygotowanie zwłok do pochówku w tym mycie, kosmetykę i ubranie zwłok,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zakup ubrania i obuwia dla zmarłego,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zakup i dostarczenie trumny w miejsce wskazane przez MOPR,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 xml:space="preserve">- wykopanie, zakopanie, uformowanie grobu oraz opłata za grób </w:t>
      </w:r>
      <w:r>
        <w:rPr>
          <w:rFonts w:ascii="Arial" w:hAnsi="Arial"/>
          <w:b w:val="false"/>
          <w:sz w:val="20"/>
          <w:szCs w:val="20"/>
        </w:rPr>
        <w:t>za</w:t>
      </w:r>
      <w:r>
        <w:rPr>
          <w:rFonts w:ascii="Arial" w:hAnsi="Arial"/>
          <w:b w:val="false"/>
          <w:sz w:val="20"/>
          <w:szCs w:val="20"/>
        </w:rPr>
        <w:t xml:space="preserve"> 20 lat,</w:t>
      </w:r>
    </w:p>
    <w:p>
      <w:pPr>
        <w:pStyle w:val="Tretekstu"/>
        <w:pageBreakBefore w:val="false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dokonanie pochówku klientów MOPR z obsługą żałobników i ceremonią zgodnie z wyznaniem zmarłego oraz uregulowanie za powyższe cel opłat,</w:t>
      </w:r>
    </w:p>
    <w:p>
      <w:pPr>
        <w:pStyle w:val="Tretekstu"/>
        <w:pageBreakBefore w:val="false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dostarczenie i postawienie tabliczki nagrobkowej oraz krzyża na grobie lub innego symbolu religijnego w zależności od wyznania,</w:t>
      </w:r>
    </w:p>
    <w:p>
      <w:pPr>
        <w:pStyle w:val="Tretekstu"/>
        <w:spacing w:lineRule="auto" w:line="240" w:before="0" w:after="0"/>
        <w:jc w:val="right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8345" cy="1177290"/>
                <wp:effectExtent l="0" t="0" r="0" b="0"/>
                <wp:wrapSquare wrapText="bothSides"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640" cy="117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25pt;height:92.6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7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-2534285</wp:posOffset>
                </wp:positionH>
                <wp:positionV relativeFrom="paragraph">
                  <wp:posOffset>153035</wp:posOffset>
                </wp:positionV>
                <wp:extent cx="7388225" cy="635"/>
                <wp:effectExtent l="0" t="0" r="0" b="0"/>
                <wp:wrapSquare wrapText="bothSides"/>
                <wp:docPr id="8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3875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875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9.55pt;margin-top:12.05pt;width:581.7pt;height:0pt" coordorigin="-3991,241" coordsize="11634,0">
                <v:line id="shape_0" from="-3991,241" to="7642,241" stroked="t" style="position:absolute">
                  <v:stroke color="black" weight="9360" joinstyle="miter" endcap="flat"/>
                  <v:fill o:detectmouseclick="t" on="false"/>
                </v:line>
                <v:line id="shape_0" from="-3991,241" to="7642,24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ascii="Arial" w:hAnsi="Arial"/>
          <w:b w:val="false"/>
          <w:sz w:val="20"/>
          <w:szCs w:val="20"/>
        </w:rPr>
        <w:t>Nr sprawy 114/2020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t>- wywieszenie klepsydry.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) </w:t>
      </w:r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z w:val="20"/>
        </w:rPr>
        <w:t>remacja osoby dorosłej</w:t>
        <w:br/>
      </w:r>
      <w:r>
        <w:rPr>
          <w:rFonts w:ascii="Arial" w:hAnsi="Arial"/>
          <w:b w:val="false"/>
          <w:bCs w:val="false"/>
          <w:sz w:val="20"/>
        </w:rPr>
        <w:t>w</w:t>
      </w:r>
      <w:r>
        <w:rPr>
          <w:rFonts w:ascii="Arial" w:hAnsi="Arial"/>
          <w:b w:val="false"/>
          <w:sz w:val="20"/>
        </w:rPr>
        <w:t xml:space="preserve"> przypadku kremacji zwłok usługa pogrzebowa obejmuje: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 xml:space="preserve">- odbiór i transport zwłok z miejsca wskazanego przez MOPR, Policję lub jednostkę służby zdrowia do domu pogrzebowego lub jeśli jest to konieczne do chłodni </w:t>
      </w:r>
      <w:r>
        <w:rPr>
          <w:rFonts w:ascii="Arial" w:hAnsi="Arial"/>
          <w:b w:val="false"/>
          <w:sz w:val="20"/>
          <w:szCs w:val="20"/>
        </w:rPr>
        <w:t>(cena za transport na terenie Piekar Śl., oraz poza Piekarami Śl. ) - ryczałt</w:t>
      </w:r>
      <w:r>
        <w:rPr>
          <w:rFonts w:ascii="Arial" w:hAnsi="Arial"/>
          <w:b w:val="false"/>
          <w:sz w:val="20"/>
          <w:szCs w:val="20"/>
        </w:rPr>
        <w:t>,</w:t>
      </w:r>
      <w:r>
        <w:rPr>
          <w:rFonts w:ascii="Arial" w:hAnsi="Arial"/>
          <w:b w:val="false"/>
          <w:sz w:val="20"/>
        </w:rPr>
        <w:t xml:space="preserve"> 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 xml:space="preserve">- przechowywanie zwłok w domu pogrzebowym </w:t>
      </w:r>
      <w:r>
        <w:rPr>
          <w:rFonts w:ascii="Arial" w:hAnsi="Arial"/>
          <w:b w:val="false"/>
          <w:sz w:val="20"/>
          <w:szCs w:val="20"/>
        </w:rPr>
        <w:t>(ryczałt- niezależnie od okresu przechowywania zwłok)</w:t>
      </w:r>
      <w:r>
        <w:rPr>
          <w:rFonts w:ascii="Arial" w:hAnsi="Arial"/>
          <w:b w:val="false"/>
          <w:sz w:val="20"/>
        </w:rPr>
        <w:t xml:space="preserve"> 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 xml:space="preserve">- przechowywanie zwłok w chłodni </w:t>
      </w:r>
      <w:r>
        <w:rPr>
          <w:rFonts w:ascii="Arial" w:hAnsi="Arial"/>
          <w:b w:val="false"/>
          <w:sz w:val="20"/>
          <w:szCs w:val="20"/>
        </w:rPr>
        <w:t>(ryczałt- niezależnie od okresu przechowywania zwłok)</w:t>
      </w:r>
      <w:r>
        <w:rPr>
          <w:rFonts w:ascii="Arial" w:hAnsi="Arial"/>
          <w:b w:val="false"/>
          <w:sz w:val="20"/>
        </w:rPr>
        <w:t>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przygotowanie zwłok do pochówku w tym mycie, kosmetykę i ubranie zwłok,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zakup ubrania i obuwia dla zmarłego,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zakup i dostarczenie trumny do spalenia,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kremacja,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zakup i dostarczenie urny,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 xml:space="preserve">- wykopanie, zakopanie, uformowanie grobu oraz opłata za grób </w:t>
      </w:r>
      <w:r>
        <w:rPr>
          <w:rFonts w:ascii="Arial" w:hAnsi="Arial"/>
          <w:b w:val="false"/>
          <w:sz w:val="20"/>
        </w:rPr>
        <w:t>za</w:t>
      </w:r>
      <w:r>
        <w:rPr>
          <w:rFonts w:ascii="Arial" w:hAnsi="Arial"/>
          <w:b w:val="false"/>
          <w:sz w:val="20"/>
        </w:rPr>
        <w:t xml:space="preserve"> 20 lat,</w:t>
      </w:r>
    </w:p>
    <w:p>
      <w:pPr>
        <w:pStyle w:val="Tretekstu"/>
        <w:pageBreakBefore w:val="false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dokonanie pochówku klientów MOPR z obsługą żałobników i ceremonią zgodnie z wyznaniem zmarłego</w:t>
      </w:r>
    </w:p>
    <w:p>
      <w:pPr>
        <w:pStyle w:val="Tretekstu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oraz uregulowanie za powyższe cel opłat,</w:t>
      </w:r>
    </w:p>
    <w:p>
      <w:pPr>
        <w:pStyle w:val="Tretekstu"/>
        <w:pageBreakBefore w:val="false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dostarczenie i postawienie tabliczki nagrobkowej oraz krzyża na grobie lub innego symbolu religijnego w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zależności od wyznania,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wywieszenie klepsydry.</w:t>
      </w:r>
    </w:p>
    <w:p>
      <w:pPr>
        <w:pStyle w:val="Tretekstu"/>
        <w:spacing w:lineRule="auto" w:line="240" w:before="0" w:after="0"/>
        <w:ind w:left="1134" w:right="0" w:hanging="113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Tretekstu"/>
        <w:spacing w:lineRule="auto" w:line="240" w:before="0" w:after="0"/>
        <w:rPr>
          <w:rFonts w:ascii="Arial" w:hAnsi="Arial"/>
        </w:rPr>
      </w:pPr>
      <w:r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 xml:space="preserve">) </w:t>
      </w:r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z w:val="20"/>
        </w:rPr>
        <w:t xml:space="preserve">remacja </w:t>
      </w:r>
      <w:r>
        <w:rPr>
          <w:rFonts w:ascii="Arial" w:hAnsi="Arial"/>
          <w:b/>
          <w:sz w:val="20"/>
        </w:rPr>
        <w:t>dziecka</w:t>
      </w:r>
      <w:r>
        <w:rPr>
          <w:rFonts w:ascii="Arial" w:hAnsi="Arial"/>
          <w:b/>
          <w:sz w:val="20"/>
        </w:rPr>
        <w:br/>
      </w:r>
      <w:r>
        <w:rPr>
          <w:rFonts w:ascii="Arial" w:hAnsi="Arial"/>
          <w:b w:val="false"/>
          <w:bCs w:val="false"/>
          <w:sz w:val="20"/>
        </w:rPr>
        <w:t>w</w:t>
      </w:r>
      <w:r>
        <w:rPr>
          <w:rFonts w:ascii="Arial" w:hAnsi="Arial"/>
          <w:b w:val="false"/>
          <w:sz w:val="20"/>
        </w:rPr>
        <w:t xml:space="preserve"> przypadku kremacji zwłok usługa pogrzebowa obejmuje: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 xml:space="preserve">- odbiór i transport zwłok z miejsca wskazanego przez MOPR, Policję lub jednostkę służby zdrowia do domu pogrzebowego lub jeśli jest to konieczne do chłodni </w:t>
      </w:r>
      <w:r>
        <w:rPr>
          <w:rFonts w:ascii="Arial" w:hAnsi="Arial"/>
          <w:b w:val="false"/>
          <w:sz w:val="20"/>
          <w:szCs w:val="20"/>
        </w:rPr>
        <w:t>(cena za transport na terenie Piekar Śl., oraz poza Piekarami Śl. ) - ryczałt</w:t>
      </w:r>
      <w:r>
        <w:rPr>
          <w:rFonts w:ascii="Arial" w:hAnsi="Arial"/>
          <w:b w:val="false"/>
          <w:sz w:val="20"/>
          <w:szCs w:val="20"/>
        </w:rPr>
        <w:t>,</w:t>
      </w:r>
      <w:r>
        <w:rPr>
          <w:rFonts w:ascii="Arial" w:hAnsi="Arial"/>
          <w:b w:val="false"/>
          <w:sz w:val="20"/>
        </w:rPr>
        <w:t xml:space="preserve"> 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 xml:space="preserve">- przechowywanie zwłok w domu pogrzebowym </w:t>
      </w:r>
      <w:r>
        <w:rPr>
          <w:rFonts w:ascii="Arial" w:hAnsi="Arial"/>
          <w:b w:val="false"/>
          <w:sz w:val="20"/>
          <w:szCs w:val="20"/>
        </w:rPr>
        <w:t>(ryczałt- niezależnie od okresu przechowywania zwłok)</w:t>
      </w:r>
      <w:r>
        <w:rPr>
          <w:rFonts w:ascii="Arial" w:hAnsi="Arial"/>
          <w:b w:val="false"/>
          <w:sz w:val="20"/>
        </w:rPr>
        <w:t xml:space="preserve"> 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 xml:space="preserve">- przechowywanie zwłok w chłodni </w:t>
      </w:r>
      <w:r>
        <w:rPr>
          <w:rFonts w:ascii="Arial" w:hAnsi="Arial"/>
          <w:b w:val="false"/>
          <w:sz w:val="20"/>
          <w:szCs w:val="20"/>
        </w:rPr>
        <w:t>(ryczałt- niezależnie od okresu przechowywania zwłok)</w:t>
      </w:r>
      <w:r>
        <w:rPr>
          <w:rFonts w:ascii="Arial" w:hAnsi="Arial"/>
          <w:b w:val="false"/>
          <w:sz w:val="20"/>
        </w:rPr>
        <w:t>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przygotowanie zwłok do pochówku w tym mycie, kosmetykę i ubranie zwłok,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zakup ubrania i obuwia dla zmarłego,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zakup i dostarczenie trumny do spalenia,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kremacja,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zakup i dostarczenie urny,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 xml:space="preserve">- wykopanie, zakopanie, uformowanie grobu oraz opłata za grób </w:t>
      </w:r>
      <w:r>
        <w:rPr>
          <w:rFonts w:ascii="Arial" w:hAnsi="Arial"/>
          <w:b w:val="false"/>
          <w:sz w:val="20"/>
        </w:rPr>
        <w:t>za</w:t>
      </w:r>
      <w:r>
        <w:rPr>
          <w:rFonts w:ascii="Arial" w:hAnsi="Arial"/>
          <w:b w:val="false"/>
          <w:sz w:val="20"/>
        </w:rPr>
        <w:t xml:space="preserve"> 20 lat,</w:t>
      </w:r>
    </w:p>
    <w:p>
      <w:pPr>
        <w:pStyle w:val="Tretekstu"/>
        <w:pageBreakBefore w:val="false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dokonanie pochówku klientów MOPR z obsługą żałobników i ceremonią zgodnie z wyznaniem zmarłego</w:t>
      </w:r>
    </w:p>
    <w:p>
      <w:pPr>
        <w:pStyle w:val="Tretekstu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oraz uregulowanie za powyższe cel opłat,</w:t>
      </w:r>
    </w:p>
    <w:p>
      <w:pPr>
        <w:pStyle w:val="Tretekstu"/>
        <w:pageBreakBefore w:val="false"/>
        <w:spacing w:lineRule="auto" w:line="240" w:before="0" w:after="0"/>
        <w:ind w:left="113" w:right="0" w:hanging="113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- dostarczenie i postawienie tabliczki nagrobkowej oraz krzyża na grobie lub innego symbolu religijnego w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Arial" w:hAnsi="Arial"/>
          <w:b w:val="false"/>
          <w:sz w:val="20"/>
        </w:rPr>
      </w:pPr>
      <w:r>
        <w:rPr>
          <w:rFonts w:ascii="Arial" w:hAnsi="Arial"/>
          <w:b w:val="false"/>
          <w:sz w:val="20"/>
        </w:rPr>
        <w:t>zależności od wyznania,</w:t>
      </w:r>
    </w:p>
    <w:p>
      <w:pPr>
        <w:pStyle w:val="Tretekstu"/>
        <w:spacing w:lineRule="auto" w:line="240" w:before="0" w:after="0"/>
        <w:ind w:left="1134" w:right="0" w:hanging="1134"/>
        <w:jc w:val="both"/>
        <w:rPr>
          <w:rFonts w:ascii="Arial" w:hAnsi="Arial" w:eastAsia="Times New Roman" w:cs="Arial"/>
          <w:b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sz w:val="20"/>
          <w:szCs w:val="20"/>
          <w:lang w:eastAsia="pl-PL"/>
        </w:rPr>
        <w:t xml:space="preserve">- wywieszenie klepsydry. </w:t>
      </w:r>
    </w:p>
    <w:p>
      <w:pPr>
        <w:pStyle w:val="Tretekstu"/>
        <w:spacing w:lineRule="auto" w:line="240" w:before="0" w:after="0"/>
        <w:ind w:left="1134" w:right="0" w:hanging="113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 xml:space="preserve">W ramach zawartej umowy Wykonawca zobowiązuje się zrealizować następujące części składowe zmówienia w danej ilości: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</w:t>
      </w:r>
      <w:r>
        <w:rPr>
          <w:rFonts w:eastAsia="Times New Roman" w:cs="Arial" w:ascii="Arial" w:hAnsi="Arial"/>
          <w:sz w:val="20"/>
          <w:szCs w:val="20"/>
          <w:lang w:eastAsia="pl-PL"/>
        </w:rPr>
        <w:t>1x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 pogrzeb tradycyjny osoby dorosłej;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</w:t>
      </w:r>
      <w:r>
        <w:rPr>
          <w:rFonts w:eastAsia="Times New Roman" w:cs="Arial" w:ascii="Arial" w:hAnsi="Arial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x </w:t>
      </w:r>
      <w:r>
        <w:rPr>
          <w:rFonts w:eastAsia="Times New Roman" w:cs="Arial" w:ascii="Arial" w:hAnsi="Arial"/>
          <w:sz w:val="20"/>
          <w:szCs w:val="20"/>
          <w:lang w:eastAsia="pl-PL"/>
        </w:rPr>
        <w:t>kremacj</w:t>
      </w:r>
      <w:r>
        <w:rPr>
          <w:rFonts w:eastAsia="Times New Roman" w:cs="Arial" w:ascii="Arial" w:hAnsi="Arial"/>
          <w:sz w:val="20"/>
          <w:szCs w:val="20"/>
          <w:lang w:eastAsia="pl-PL"/>
        </w:rPr>
        <w:t>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osoby dorosłej;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1 x </w:t>
      </w:r>
      <w:r>
        <w:rPr>
          <w:rFonts w:eastAsia="Times New Roman" w:cs="Arial" w:ascii="Arial" w:hAnsi="Arial"/>
          <w:sz w:val="20"/>
          <w:szCs w:val="20"/>
          <w:lang w:eastAsia="pl-PL"/>
        </w:rPr>
        <w:t>pochówek tradycyjny dziecka.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1 x kremacja dziecka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-663575</wp:posOffset>
            </wp:positionH>
            <wp:positionV relativeFrom="paragraph">
              <wp:posOffset>-590550</wp:posOffset>
            </wp:positionV>
            <wp:extent cx="2336165" cy="1284605"/>
            <wp:effectExtent l="0" t="0" r="0" b="0"/>
            <wp:wrapSquare wrapText="bothSides"/>
            <wp:docPr id="9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-2562860</wp:posOffset>
                </wp:positionH>
                <wp:positionV relativeFrom="paragraph">
                  <wp:posOffset>198755</wp:posOffset>
                </wp:positionV>
                <wp:extent cx="7388225" cy="635"/>
                <wp:effectExtent l="0" t="0" r="0" b="0"/>
                <wp:wrapSquare wrapText="bothSides"/>
                <wp:docPr id="10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3875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8756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201.85pt;margin-top:15.65pt;width:581.7pt;height:0pt" coordorigin="-4037,313" coordsize="11634,0">
                <v:line id="shape_0" from="-4036,313" to="7597,313" stroked="t" style="position:absolute">
                  <v:stroke color="black" weight="9360" joinstyle="miter" endcap="flat"/>
                  <v:fill o:detectmouseclick="t" on="false"/>
                </v:line>
                <v:line id="shape_0" from="-4036,313" to="7597,313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Nr sprawy 114/2020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;sans-serif" w:hAnsi="Arial;sans-serif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effect w:val="none"/>
          <w:lang w:val="pl-PL" w:eastAsia="pl-PL"/>
        </w:rPr>
        <w:t xml:space="preserve">Wymiar </w:t>
      </w:r>
      <w:r>
        <w:rPr>
          <w:rFonts w:eastAsia="Times New Roman" w:cs="Arial" w:ascii="Arial;sans-serif" w:hAnsi="Arial;sans-serif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effect w:val="none"/>
          <w:lang w:val="pl-PL" w:eastAsia="pl-PL"/>
        </w:rPr>
        <w:t>i poszczególne części składowe usługi mogą</w:t>
      </w:r>
      <w:r>
        <w:rPr>
          <w:rFonts w:eastAsia="Times New Roman" w:cs="Arial" w:ascii="Arial;sans-serif" w:hAnsi="Arial;sans-serif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effect w:val="none"/>
          <w:lang w:val="pl-PL" w:eastAsia="pl-PL"/>
        </w:rPr>
        <w:t xml:space="preserve"> ule</w:t>
      </w:r>
      <w:r>
        <w:rPr>
          <w:rFonts w:eastAsia="Times New Roman" w:cs="Arial" w:ascii="Arial;sans-serif" w:hAnsi="Arial;sans-serif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effect w:val="none"/>
          <w:lang w:val="pl-PL" w:eastAsia="pl-PL"/>
        </w:rPr>
        <w:t>c</w:t>
      </w:r>
      <w:r>
        <w:rPr>
          <w:rFonts w:eastAsia="Times New Roman" w:cs="Arial" w:ascii="Arial;sans-serif" w:hAnsi="Arial;sans-serif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effect w:val="none"/>
          <w:lang w:val="pl-PL" w:eastAsia="pl-PL"/>
        </w:rPr>
        <w:t xml:space="preserve"> zmianie </w:t>
      </w:r>
      <w:r>
        <w:rPr>
          <w:rFonts w:eastAsia="Times New Roman" w:cs="Arial" w:ascii="Arial;sans-serif" w:hAnsi="Arial;sans-serif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effect w:val="none"/>
          <w:lang w:val="pl-PL" w:eastAsia="pl-PL"/>
        </w:rPr>
        <w:t>w czasie obowiązywania umowy</w:t>
      </w:r>
      <w:r>
        <w:rPr>
          <w:rFonts w:eastAsia="Times New Roman" w:cs="Arial" w:ascii="Arial;sans-serif" w:hAnsi="Arial;sans-serif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effect w:val="none"/>
          <w:lang w:val="pl-PL" w:eastAsia="pl-PL"/>
        </w:rPr>
        <w:t xml:space="preserve"> zgodnie z </w:t>
      </w:r>
      <w:r>
        <w:rPr>
          <w:rFonts w:eastAsia="Times New Roman" w:cs="Arial" w:ascii="Arial;sans-serif" w:hAnsi="Arial;sans-serif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effect w:val="none"/>
          <w:lang w:val="pl-PL" w:eastAsia="pl-PL"/>
        </w:rPr>
        <w:t xml:space="preserve">aktualnym </w:t>
      </w:r>
      <w:r>
        <w:rPr>
          <w:rFonts w:eastAsia="Times New Roman" w:cs="Arial" w:ascii="Arial;sans-serif" w:hAnsi="Arial;sans-serif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effect w:val="none"/>
          <w:lang w:val="pl-PL" w:eastAsia="pl-PL"/>
        </w:rPr>
        <w:t xml:space="preserve">zapotrzebowaniem 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od momentu zawarcia umowy do 31.12.2020r.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ofertowy, proszę złożyć w sekretariacie Miejskiego Ośrodka Pomocy Rodzinie przy ul.Bpa Nankera 103 w Piekarach Śląskich, przesłać pocztą na powyższy adres (liczy 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8345" cy="1177290"/>
                <wp:effectExtent l="0" t="0" r="0" b="0"/>
                <wp:wrapSquare wrapText="bothSides"/>
                <wp:docPr id="1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640" cy="117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25pt;height:92.6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6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12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.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10.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2020r. do godz. 15.00</w: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/>
      </w:r>
    </w:p>
    <w:sectPr>
      <w:footerReference w:type="default" r:id="rId7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auto"/>
    <w:pitch w:val="default"/>
  </w:font>
  <w:font w:name="Arial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86">
    <w:name w:val="ListLabel 86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7">
    <w:name w:val="ListLabel 87"/>
    <w:qFormat/>
    <w:rPr>
      <w:rFonts w:cs="OpenSymbol"/>
      <w:sz w:val="20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Arial" w:hAnsi="Arial" w:cs="Arial"/>
      <w:sz w:val="20"/>
    </w:rPr>
  </w:style>
  <w:style w:type="character" w:styleId="ListLabel97">
    <w:name w:val="ListLabel 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98">
    <w:name w:val="ListLabel 98"/>
    <w:qFormat/>
    <w:rPr>
      <w:rFonts w:cs="Open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Arial"/>
      <w:sz w:val="20"/>
    </w:rPr>
  </w:style>
  <w:style w:type="character" w:styleId="ListLabel108">
    <w:name w:val="ListLabel 10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Arial"/>
      <w:sz w:val="20"/>
    </w:rPr>
  </w:style>
  <w:style w:type="character" w:styleId="ListLabel119">
    <w:name w:val="ListLabel 11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ascii="Arial" w:hAnsi="Arial" w:cs="Arial"/>
      <w:sz w:val="20"/>
    </w:rPr>
  </w:style>
  <w:style w:type="character" w:styleId="ListLabel148">
    <w:name w:val="ListLabel 14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Arial" w:hAnsi="Arial" w:cs="Arial"/>
      <w:sz w:val="20"/>
    </w:rPr>
  </w:style>
  <w:style w:type="character" w:styleId="ListLabel177">
    <w:name w:val="ListLabel 17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78">
    <w:name w:val="ListLabel 178"/>
    <w:qFormat/>
    <w:rPr>
      <w:rFonts w:ascii="Arial" w:hAnsi="Arial" w:cs="Arial"/>
      <w:sz w:val="20"/>
    </w:rPr>
  </w:style>
  <w:style w:type="character" w:styleId="ListLabel179">
    <w:name w:val="ListLabel 17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0">
    <w:name w:val="ListLabel 18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Arial"/>
      <w:sz w:val="20"/>
    </w:rPr>
  </w:style>
  <w:style w:type="character" w:styleId="ListLabel183">
    <w:name w:val="ListLabel 18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4">
    <w:name w:val="ListLabel 184"/>
    <w:qFormat/>
    <w:rPr>
      <w:rFonts w:ascii="Arial" w:hAnsi="Arial" w:cs="Arial"/>
      <w:sz w:val="20"/>
    </w:rPr>
  </w:style>
  <w:style w:type="character" w:styleId="ListLabel185">
    <w:name w:val="ListLabel 18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6">
    <w:name w:val="ListLabel 186"/>
    <w:qFormat/>
    <w:rPr>
      <w:rFonts w:ascii="Arial" w:hAnsi="Arial" w:cs="Arial"/>
      <w:sz w:val="20"/>
    </w:rPr>
  </w:style>
  <w:style w:type="character" w:styleId="ListLabel187">
    <w:name w:val="ListLabel 18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8">
    <w:name w:val="ListLabel 188"/>
    <w:qFormat/>
    <w:rPr>
      <w:rFonts w:ascii="Arial" w:hAnsi="Arial" w:cs="Arial"/>
      <w:sz w:val="20"/>
    </w:rPr>
  </w:style>
  <w:style w:type="character" w:styleId="ListLabel189">
    <w:name w:val="ListLabel 18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0">
    <w:name w:val="ListLabel 190"/>
    <w:qFormat/>
    <w:rPr>
      <w:rFonts w:ascii="Arial" w:hAnsi="Arial" w:cs="Arial"/>
      <w:sz w:val="20"/>
    </w:rPr>
  </w:style>
  <w:style w:type="character" w:styleId="ListLabel191">
    <w:name w:val="ListLabel 19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2">
    <w:name w:val="ListLabel 192"/>
    <w:qFormat/>
    <w:rPr>
      <w:rFonts w:ascii="Arial" w:hAnsi="Arial" w:cs="Arial"/>
      <w:sz w:val="20"/>
    </w:rPr>
  </w:style>
  <w:style w:type="character" w:styleId="ListLabel193">
    <w:name w:val="ListLabel 19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4">
    <w:name w:val="ListLabel 194"/>
    <w:qFormat/>
    <w:rPr>
      <w:rFonts w:ascii="Arial" w:hAnsi="Arial" w:cs="Arial"/>
      <w:sz w:val="20"/>
    </w:rPr>
  </w:style>
  <w:style w:type="character" w:styleId="ListLabel195">
    <w:name w:val="ListLabel 19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6">
    <w:name w:val="ListLabel 196"/>
    <w:qFormat/>
    <w:rPr>
      <w:rFonts w:ascii="Arial" w:hAnsi="Arial" w:cs="Arial"/>
      <w:sz w:val="20"/>
    </w:rPr>
  </w:style>
  <w:style w:type="character" w:styleId="ListLabel197">
    <w:name w:val="ListLabel 1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8">
    <w:name w:val="ListLabel 198"/>
    <w:qFormat/>
    <w:rPr>
      <w:rFonts w:ascii="Arial" w:hAnsi="Arial" w:cs="Arial"/>
      <w:sz w:val="20"/>
    </w:rPr>
  </w:style>
  <w:style w:type="character" w:styleId="ListLabel199">
    <w:name w:val="ListLabel 19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0">
    <w:name w:val="ListLabel 200"/>
    <w:qFormat/>
    <w:rPr>
      <w:rFonts w:ascii="Arial" w:hAnsi="Arial" w:cs="Arial"/>
      <w:sz w:val="20"/>
    </w:rPr>
  </w:style>
  <w:style w:type="character" w:styleId="ListLabel201">
    <w:name w:val="ListLabel 20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2">
    <w:name w:val="ListLabel 202"/>
    <w:qFormat/>
    <w:rPr>
      <w:rFonts w:ascii="Arial" w:hAnsi="Arial" w:cs="Arial"/>
      <w:sz w:val="20"/>
    </w:rPr>
  </w:style>
  <w:style w:type="character" w:styleId="ListLabel203">
    <w:name w:val="ListLabel 20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4">
    <w:name w:val="ListLabel 204"/>
    <w:qFormat/>
    <w:rPr>
      <w:rFonts w:ascii="Arial" w:hAnsi="Arial" w:cs="Arial"/>
      <w:sz w:val="20"/>
    </w:rPr>
  </w:style>
  <w:style w:type="character" w:styleId="ListLabel205">
    <w:name w:val="ListLabel 205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6">
    <w:name w:val="ListLabel 206"/>
    <w:qFormat/>
    <w:rPr>
      <w:rFonts w:ascii="Arial" w:hAnsi="Arial" w:cs="Arial"/>
      <w:sz w:val="20"/>
    </w:rPr>
  </w:style>
  <w:style w:type="character" w:styleId="ListLabel207">
    <w:name w:val="ListLabel 207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8">
    <w:name w:val="ListLabel 208"/>
    <w:qFormat/>
    <w:rPr>
      <w:rFonts w:ascii="Arial" w:hAnsi="Arial" w:cs="Arial"/>
      <w:sz w:val="20"/>
    </w:rPr>
  </w:style>
  <w:style w:type="character" w:styleId="ListLabel209">
    <w:name w:val="ListLabel 209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10">
    <w:name w:val="ListLabel 210"/>
    <w:qFormat/>
    <w:rPr>
      <w:rFonts w:ascii="Arial" w:hAnsi="Arial" w:cs="OpenSymbol"/>
      <w:b w:val="false"/>
      <w:sz w:val="20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Arial" w:hAnsi="Arial" w:cs="Arial"/>
      <w:sz w:val="20"/>
    </w:rPr>
  </w:style>
  <w:style w:type="character" w:styleId="ListLabel220">
    <w:name w:val="ListLabel 22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21">
    <w:name w:val="ListLabel 221"/>
    <w:qFormat/>
    <w:rPr>
      <w:rFonts w:ascii="Arial" w:hAnsi="Arial" w:cs="OpenSymbol"/>
      <w:b w:val="false"/>
      <w:sz w:val="20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ascii="Arial" w:hAnsi="Arial" w:cs="Arial"/>
      <w:sz w:val="20"/>
    </w:rPr>
  </w:style>
  <w:style w:type="character" w:styleId="ListLabel231">
    <w:name w:val="ListLabel 231"/>
    <w:qFormat/>
    <w:rPr>
      <w:rFonts w:ascii="Arial" w:hAnsi="Arial" w:eastAsia="Times New Roman" w:cs="Arial"/>
      <w:b w:val="false"/>
      <w:bCs w:val="false"/>
      <w:color w:val="000000"/>
      <w:sz w:val="20"/>
      <w:szCs w:val="20"/>
      <w:lang w:val="pl-PL" w:eastAsia="pl-PL"/>
    </w:rPr>
  </w:style>
  <w:style w:type="character" w:styleId="ListLabel232">
    <w:name w:val="ListLabel 23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3">
    <w:name w:val="ListLabel 233"/>
    <w:qFormat/>
    <w:rPr>
      <w:rFonts w:ascii="Arial" w:hAnsi="Arial" w:cs="Arial"/>
      <w:sz w:val="20"/>
    </w:rPr>
  </w:style>
  <w:style w:type="character" w:styleId="ListLabel234">
    <w:name w:val="ListLabel 23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5">
    <w:name w:val="ListLabel 235"/>
    <w:qFormat/>
    <w:rPr>
      <w:rFonts w:ascii="Arial" w:hAnsi="Arial" w:cs="Arial"/>
      <w:sz w:val="20"/>
    </w:rPr>
  </w:style>
  <w:style w:type="character" w:styleId="ListLabel236">
    <w:name w:val="ListLabel 23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7">
    <w:name w:val="ListLabel 237"/>
    <w:qFormat/>
    <w:rPr>
      <w:rFonts w:ascii="Arial" w:hAnsi="Arial" w:cs="Arial"/>
      <w:sz w:val="20"/>
    </w:rPr>
  </w:style>
  <w:style w:type="character" w:styleId="ListLabel238">
    <w:name w:val="ListLabel 23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9">
    <w:name w:val="ListLabel 239"/>
    <w:qFormat/>
    <w:rPr>
      <w:rFonts w:ascii="Arial" w:hAnsi="Arial" w:cs="Arial"/>
      <w:sz w:val="20"/>
    </w:rPr>
  </w:style>
  <w:style w:type="character" w:styleId="ListLabel240">
    <w:name w:val="ListLabel 24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1">
    <w:name w:val="ListLabel 241"/>
    <w:qFormat/>
    <w:rPr>
      <w:rFonts w:ascii="Arial" w:hAnsi="Arial" w:cs="Arial"/>
      <w:sz w:val="20"/>
    </w:rPr>
  </w:style>
  <w:style w:type="character" w:styleId="ListLabel242">
    <w:name w:val="ListLabel 24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3">
    <w:name w:val="ListLabel 243"/>
    <w:qFormat/>
    <w:rPr>
      <w:rFonts w:ascii="Arial" w:hAnsi="Arial" w:cs="Arial"/>
      <w:sz w:val="20"/>
    </w:rPr>
  </w:style>
  <w:style w:type="character" w:styleId="ListLabel244">
    <w:name w:val="ListLabel 24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5">
    <w:name w:val="ListLabel 245"/>
    <w:qFormat/>
    <w:rPr>
      <w:rFonts w:ascii="Arial" w:hAnsi="Arial" w:cs="Arial"/>
      <w:sz w:val="20"/>
    </w:rPr>
  </w:style>
  <w:style w:type="character" w:styleId="ListLabel246">
    <w:name w:val="ListLabel 24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7">
    <w:name w:val="ListLabel 247"/>
    <w:qFormat/>
    <w:rPr>
      <w:rFonts w:ascii="Arial" w:hAnsi="Arial" w:cs="Arial"/>
      <w:sz w:val="20"/>
    </w:rPr>
  </w:style>
  <w:style w:type="character" w:styleId="ListLabel248">
    <w:name w:val="ListLabel 24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9">
    <w:name w:val="ListLabel 249"/>
    <w:qFormat/>
    <w:rPr>
      <w:rFonts w:ascii="Arial" w:hAnsi="Arial" w:cs="Arial"/>
      <w:sz w:val="20"/>
    </w:rPr>
  </w:style>
  <w:style w:type="character" w:styleId="ListLabel250">
    <w:name w:val="ListLabel 25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51">
    <w:name w:val="ListLabel 251"/>
    <w:qFormat/>
    <w:rPr>
      <w:rFonts w:ascii="Arial" w:hAnsi="Arial" w:cs="Arial"/>
      <w:sz w:val="20"/>
    </w:rPr>
  </w:style>
  <w:style w:type="character" w:styleId="ListLabel252">
    <w:name w:val="ListLabel 25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hyperlink" Target="mailto:zamowienia@mopr.piekary.pl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LibreOffice/6.2.3.2$Windows_x86 LibreOffice_project/aecc05fe267cc68dde00352a451aa867b3b546ac</Application>
  <Pages>3</Pages>
  <Words>925</Words>
  <Characters>5615</Characters>
  <CharactersWithSpaces>6445</CharactersWithSpaces>
  <Paragraphs>107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dcterms:modified xsi:type="dcterms:W3CDTF">2020-10-05T13:27:26Z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