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1360" cy="117030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1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7pt;height:92.0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-2502535</wp:posOffset>
                </wp:positionH>
                <wp:positionV relativeFrom="paragraph">
                  <wp:posOffset>130810</wp:posOffset>
                </wp:positionV>
                <wp:extent cx="6850380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9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97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7.05pt;margin-top:10.3pt;width:539.3pt;height:0pt" coordorigin="-3941,206" coordsize="10786,0">
                <v:line id="shape_0" from="-3941,206" to="6845,206" stroked="t" style="position:absolute">
                  <v:stroke color="black" weight="9360" joinstyle="miter" endcap="flat"/>
                  <v:fill o:detectmouseclick="t" on="false"/>
                </v:line>
                <v:line id="shape_0" from="-3941,206" to="6845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161/2019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cs="Arial" w:ascii="Arial" w:hAnsi="Arial"/>
          <w:sz w:val="20"/>
        </w:rPr>
        <w:t>4.10</w:t>
      </w:r>
      <w:r>
        <w:rPr>
          <w:rFonts w:cs="Arial" w:ascii="Arial" w:hAnsi="Arial"/>
          <w:sz w:val="20"/>
        </w:rPr>
        <w:t>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materiałów biurowych na potrzeby Działu Finansowo – Księgowego Miejskiego Ośrodka Pomocy Rodzinie przy ul. Nankera 103, 41-943 Piekary Ślą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s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kie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materiałów biurowych na potrzeby Działu Finansowo – Księgowego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rolka do kalkulatora Citizen 57mmx40m – 100 sztuk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do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16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.10.2019r.</w:t>
      </w:r>
    </w:p>
    <w:p>
      <w:pPr>
        <w:pStyle w:val="Normal"/>
        <w:widowControl/>
        <w:suppressAutoHyphens w:val="false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1360" cy="1170305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1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7pt;height:92.0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 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11.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10.2019r.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LibreOffice/6.2.3.2$Windows_x86 LibreOffice_project/aecc05fe267cc68dde00352a451aa867b3b546ac</Application>
  <Pages>1</Pages>
  <Words>220</Words>
  <Characters>1539</Characters>
  <CharactersWithSpaces>1726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dcterms:modified xsi:type="dcterms:W3CDTF">2019-10-04T08:34:23Z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