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b w:val="1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b w:val="1"/>
          <w:sz w:val="20"/>
          <w:szCs w:val="20"/>
          <w:rtl w:val="0"/>
        </w:rPr>
        <w:t xml:space="preserve">Zapytanie ofertowe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b w:val="1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b w:val="1"/>
          <w:sz w:val="20"/>
          <w:szCs w:val="20"/>
          <w:rtl w:val="0"/>
        </w:rPr>
        <w:t xml:space="preserve">dla zamówienia publicznego o wartości powyżej 50 000 zł do 30 000 euro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Data: 15 grudnia 2020 r. 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Zamawiający: Dom Kultury “Krzemień” w Szczecinie</w:t>
      </w:r>
    </w:p>
    <w:p w:rsidR="00000000" w:rsidDel="00000000" w:rsidP="00000000" w:rsidRDefault="00000000" w:rsidRPr="00000000" w14:paraId="00000006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zaprasza do złożenia oferty na: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Przedmiot zamówienia: Zakup elementów wyposażenia oświetleniowego, t.j.: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kratownica quatro 8m ścianka 2 mm, czarna, atestowana kompatybilna z Eurotruss, wraz z rękawem składanym na przewody, 12 szt przewodów przekrój 12mm.,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wyciągnik elektryczny dla kratownicy, wraz z kompletem mocowań, oraz sterownikiem klasy: dopuszczonym do użytku nad ludźmi,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instalacja stała (ukryta w korytach,w kolorze ściany),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sterownik  wciągnika przystosowany do rozbudowy o kolejne kratownice, zamocowane na stałe w miejscu wskazanym przez zamawiającego,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minimum 6 szt reflektor teatralny PC professional  z klapami i możliwością regulacji DMX,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fallowspot min. 300w led z irys, dimmer, zmienna barwą led, efekt strobo,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minimum 4 szt blinder  professional z możliwością regulacji DMX,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spliter DMX 8 kanałów qut 2 wejscia zlinkowane,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komplet haków do urządzeń,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komplet linek zabezpieczających,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komplet przewody DMX i prądowych-czarne professional odpowiedniej długości,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Sterownik DMX przystosowany do urządzeń inteligentnych: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Kontrola 80 urządzeń do 40 kanałów każdy (1024 kanałów)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600 scen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Każda sekwencja może przechowywać 600 kroków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Inteligentny jogwheels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Biblioteka R20 obsługiwane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Obsługiwane pamięci USB FAT32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Wymiary 656 x 550 x 145 mm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Case do sterownika,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dwukrotne szkolenie pracownika ze sterownika pierwsze po montażu i  kolejny na żądanie,  z 14 dniowym wyprzedzeniem,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instalacja stała koloru czarnego,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stabilny statyw do followspot z łożyskiem,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montaż i programowanie.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72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Udzielający zamówienia prosi o wskazanie w ofercie: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ceny,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marek i modeli urządzeń,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kosztów przeglądu, oraz ich częstotliwości,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okresu gwarancji,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udźwigu mostu oświetleniowego,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określenia terminu realizacji,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okazania atestów i certyfikatów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informacji o  czasie rozpatrzenia reklamacji, oraz sprzętu zastępczego, montażu/demontażu, kosztów transportu.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realizacji/wykonania zamówienia: do 31 grudnia 2020 r.</w:t>
      </w:r>
    </w:p>
    <w:p w:rsidR="00000000" w:rsidDel="00000000" w:rsidP="00000000" w:rsidRDefault="00000000" w:rsidRPr="00000000" w14:paraId="00000030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Kryteria wyboru wykonawcy: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cena,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jakość,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serwis gwarancyjny,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16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wykonania zamówienia.</w:t>
      </w:r>
    </w:p>
    <w:p w:rsidR="00000000" w:rsidDel="00000000" w:rsidP="00000000" w:rsidRDefault="00000000" w:rsidRPr="00000000" w14:paraId="00000035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Miejsce i termin złożenia oferty przez wykonawcę: Dom Kultury “Krzemień” w Szczecinie, Krzemienna 10, 70-742 Szczecin, w terminie do 21 grudnia 2020 r. do godz. 11:59.</w:t>
      </w:r>
    </w:p>
    <w:p w:rsidR="00000000" w:rsidDel="00000000" w:rsidP="00000000" w:rsidRDefault="00000000" w:rsidRPr="00000000" w14:paraId="00000036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otwarcia ofert: 21 grudnia, godz. 12:00</w:t>
      </w:r>
    </w:p>
    <w:p w:rsidR="00000000" w:rsidDel="00000000" w:rsidP="00000000" w:rsidRDefault="00000000" w:rsidRPr="00000000" w14:paraId="00000037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Okres związania ofertą: 30 dni</w:t>
      </w:r>
    </w:p>
    <w:p w:rsidR="00000000" w:rsidDel="00000000" w:rsidP="00000000" w:rsidRDefault="00000000" w:rsidRPr="00000000" w14:paraId="00000038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Osoba upoważniona do kontaktu z wykonawcami: Jarosław Poźniak</w:t>
        <w:br w:type="textWrapping"/>
        <w:t xml:space="preserve">Kontakt: technika@krzemien.art, tel. 91 46 34 224</w:t>
      </w:r>
    </w:p>
    <w:p w:rsidR="00000000" w:rsidDel="00000000" w:rsidP="00000000" w:rsidRDefault="00000000" w:rsidRPr="00000000" w14:paraId="00000039">
      <w:pPr>
        <w:spacing w:after="160" w:lineRule="auto"/>
        <w:jc w:val="both"/>
        <w:rPr/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Sposób przygotowania oferty: w języku polskim, w formie pisemnej.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 Extra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ExtraCondensed-regular.ttf"/><Relationship Id="rId2" Type="http://schemas.openxmlformats.org/officeDocument/2006/relationships/font" Target="fonts/FiraSansExtraCondensed-bold.ttf"/><Relationship Id="rId3" Type="http://schemas.openxmlformats.org/officeDocument/2006/relationships/font" Target="fonts/FiraSansExtraCondensed-italic.ttf"/><Relationship Id="rId4" Type="http://schemas.openxmlformats.org/officeDocument/2006/relationships/font" Target="fonts/FiraSansExtra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