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WPROWADZENIE DO SPRAWOZDANIA FINANSOWEGO, OBEJMUJACE W SZCZEGÓLNOŚCI: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nazwę jednostki</w:t>
      </w:r>
    </w:p>
    <w:p w:rsidR="00C05DAD" w:rsidRDefault="00766A75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Miejska Biblioteka Publiczna im dr Tadeusza Rakowieckiego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siedzibę jednostki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66A75">
        <w:rPr>
          <w:rFonts w:ascii="Times New Roman" w:hAnsi="Times New Roman" w:cs="Times New Roman"/>
          <w:b/>
          <w:sz w:val="24"/>
          <w:szCs w:val="24"/>
        </w:rPr>
        <w:t>Hajnówce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adres jednostki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17-2</w:t>
      </w:r>
      <w:r w:rsidR="00766A7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A75">
        <w:rPr>
          <w:rFonts w:ascii="Times New Roman" w:hAnsi="Times New Roman" w:cs="Times New Roman"/>
          <w:b/>
          <w:sz w:val="24"/>
          <w:szCs w:val="24"/>
        </w:rPr>
        <w:t>Hajnówka ul. 3 Maja 45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podstawowy przedmiot działalności jednostki</w:t>
      </w:r>
    </w:p>
    <w:p w:rsidR="00766A75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Działalność </w:t>
      </w:r>
      <w:r w:rsidR="00766A75">
        <w:rPr>
          <w:rFonts w:ascii="Times New Roman" w:hAnsi="Times New Roman" w:cs="Times New Roman"/>
          <w:b/>
          <w:sz w:val="24"/>
          <w:szCs w:val="24"/>
        </w:rPr>
        <w:t>bibliotek. Zachowanie dziedzictwa narodowego, organizując i zapewniając dostęp do zasobów dorobku nauki i kultury polskiej i światowej. Upowszechniając wiedzę służącą  rozwijaniu i zaspokajaniu potrzeb czytelniczych, edukacyjnych i rozwojowi kultury.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wskazanie okresu objętego sprawozdaniem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01.01.2020 do 31.12.2020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wskazanie, że sprawozdanie finansowe zawiera dane łączne *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sprawozdanie jednostkowe  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omówienie przyjętych zasad (polityki rachunkowości), w tym metod wyceny aktywów i pasywów (także amortyzacji). </w:t>
      </w:r>
    </w:p>
    <w:p w:rsidR="00C05DAD" w:rsidRDefault="00C05DAD" w:rsidP="00C05D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dokonywania odpisów amortyzacyjnych lub umorzeniowych środków trwałych i wartości niematerialnych i prawnych,</w:t>
      </w:r>
    </w:p>
    <w:p w:rsidR="00C05DAD" w:rsidRDefault="00C05DAD" w:rsidP="00C05DAD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Amortyzacja ( umorzenia) środków trwałych oblicza się według stawek określonych w wykazie rocznych stawek amortyzacyjnych. Jeżeli środki trwałe uległy ulepszeniu w wyniku przebudowy, rozbudowy , rekonstrukcji, adaptacji lub modernizacji, wartość początkową powiększa się o sumę wydatków na ich ulepszenie, w tym także o wydatki na nabycie części składowych , których jednostkowa cena nabycia przekracza 1.000,00 zł. Środki trwałe uważa się za ulepszone, gdy suma wydatków poniesionych na ich rozbudowę, przebudowę, rekonstrukcję, adaptację lub modernizację przekracza 10.000,00 zł i wydatki te powodują wzrost wartości użytkowej w stosunku do wartości z dnia przyjęcia środków trwałych do używania, mierzonej w szczególności okresem używania oraz kosztami ich eksploatacji.. Jednorazowo, przez spisanie w koszty w miesiącu przyjęcia do używania mogą być umorzone pozostałe środki trwałe oraz wartości niematerialne i prawne o wartości nieprzekraczającej wielkości ustalonej w przepisach o podatku dochodowym od osób prawnych. dla których odpisy amortyzacyjne są</w:t>
      </w:r>
      <w:r>
        <w:rPr>
          <w:rFonts w:ascii="Times New Roman" w:hAnsi="Times New Roman" w:cs="Times New Roman"/>
        </w:rPr>
        <w:t xml:space="preserve"> uznawane za koszt uzyskania przychodu w 100% ich wartości, w momencie oddania do użytkowania</w:t>
      </w:r>
    </w:p>
    <w:p w:rsidR="00C05DAD" w:rsidRDefault="00C05DAD" w:rsidP="00C05D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wyceny nieruchomości oraz wartości niematerialnych i prawnych zaliczanych do inwestycji, a także aktywów finansowych,</w:t>
      </w:r>
    </w:p>
    <w:p w:rsidR="00C05DAD" w:rsidRDefault="00C05DAD" w:rsidP="00C05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ogółu kosztów pozostających w bezpośrednim związku z ich nabyciem lub wytworzeniem, pomniejszonych o odpisy z tytułu trwałej utraty 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ewidencji szczegółowej rzeczowych składników aktywów obrotowych oraz ich wyceny na dzień bilansowy,</w:t>
      </w:r>
    </w:p>
    <w:p w:rsidR="00C05DAD" w:rsidRDefault="00C05DAD" w:rsidP="00C05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Według cen nabycia  lub kosztów wytworzenia zmniejszonych o odpisy amortyzacyjne lub umorzeniowe, a także odpisy z tytułu trwałej utraty wartości. 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dokonywania odpisów aktualizujących wartość aktywów,</w:t>
      </w:r>
    </w:p>
    <w:p w:rsidR="00C05DAD" w:rsidRDefault="00C05DAD" w:rsidP="00C05D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 wyceny zapasów i środków pieniężnych,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Wyceny dokonuje się według wartości nominalnej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kwalifikacji umów leasingu,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ustalania wyniku finansowego (kalkulacyjny lub porównawczy).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finansowy sporządza się  w wariancie  porównawczym, na który składają się wynik działalności operacyjnej , w tym z tytułu pozostałych przychodów i kosztów operacyjnych, wynik operacji gospodarczych. Dokonuje się zestawienia  przychodów z kosztami. Porównanie to pozwala na ustalenie wyniku bilansowego netto.  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inne informacje 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Propozycja co do sposobu podziału zysku lub pokrycia stary za rok obrotowy. 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Instytucja zakończyła rok obrotowy </w:t>
      </w:r>
      <w:r w:rsidR="00766A75">
        <w:rPr>
          <w:rFonts w:ascii="Times New Roman" w:hAnsi="Times New Roman" w:cs="Times New Roman"/>
          <w:sz w:val="24"/>
          <w:szCs w:val="24"/>
        </w:rPr>
        <w:t xml:space="preserve"> stratą  w wysokości 8 143,59</w:t>
      </w:r>
      <w:r>
        <w:rPr>
          <w:rFonts w:ascii="Times New Roman" w:hAnsi="Times New Roman" w:cs="Times New Roman"/>
          <w:sz w:val="24"/>
          <w:szCs w:val="24"/>
        </w:rPr>
        <w:t>zł. W związku z p</w:t>
      </w:r>
      <w:r w:rsidR="00766A75">
        <w:rPr>
          <w:rFonts w:ascii="Times New Roman" w:hAnsi="Times New Roman" w:cs="Times New Roman"/>
          <w:sz w:val="24"/>
          <w:szCs w:val="24"/>
        </w:rPr>
        <w:t>owyższym proponuje się dokonać pokrycia straty z</w:t>
      </w:r>
      <w:r>
        <w:rPr>
          <w:rFonts w:ascii="Times New Roman" w:hAnsi="Times New Roman" w:cs="Times New Roman"/>
          <w:sz w:val="24"/>
          <w:szCs w:val="24"/>
        </w:rPr>
        <w:t xml:space="preserve"> funduszu rezerwowego, którego wartość na</w:t>
      </w:r>
      <w:r w:rsidR="00766A75">
        <w:rPr>
          <w:rFonts w:ascii="Times New Roman" w:hAnsi="Times New Roman" w:cs="Times New Roman"/>
          <w:sz w:val="24"/>
          <w:szCs w:val="24"/>
        </w:rPr>
        <w:t xml:space="preserve"> dzień bilansowy wynosi 29 014,93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DODATKOWE INFORMACJE I OBJAŚNIENIA OBEJMUJĄ W SZCZEGÓŁOWOŚCI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- podobne przedstawienie stanów i tytułów zmian dotychczasowej amortyzacji lub umorzeni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tbl>
      <w:tblPr>
        <w:tblW w:w="90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"/>
        <w:gridCol w:w="1094"/>
        <w:gridCol w:w="1018"/>
        <w:gridCol w:w="957"/>
        <w:gridCol w:w="1010"/>
        <w:gridCol w:w="899"/>
        <w:gridCol w:w="933"/>
        <w:gridCol w:w="963"/>
        <w:gridCol w:w="944"/>
        <w:gridCol w:w="899"/>
      </w:tblGrid>
      <w:tr w:rsidR="00C05DAD" w:rsidTr="00C05DAD">
        <w:trPr>
          <w:trHeight w:val="165"/>
          <w:tblCellSpacing w:w="0" w:type="dxa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pl-PL"/>
              </w:rPr>
              <w:t>Główne składniki aktywów trwałych</w:t>
            </w:r>
          </w:p>
        </w:tc>
      </w:tr>
      <w:tr w:rsidR="00C05DAD" w:rsidTr="00C05DAD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grupy rodzajowej składnika aktywów według układu w bilansie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początkowa- stan na początek roku obrotowego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 wartości początkowej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 wartości początkowej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roku obrotowego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Umorzenie-stan na początek roku obrotowego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Zwiększenie, zmniejszenie w ciągu roku obrotowego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Umorzenie- stan na koniec roku obrotowego</w:t>
            </w:r>
          </w:p>
        </w:tc>
      </w:tr>
      <w:tr w:rsidR="00C05DAD" w:rsidTr="00C05DA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aktualizacja -zmniejszenia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amortyzacja za rok obrotowy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05DAD" w:rsidTr="00C05DAD">
        <w:trPr>
          <w:trHeight w:val="1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</w:tr>
      <w:tr w:rsidR="00C05DAD" w:rsidTr="00C05DAD">
        <w:trPr>
          <w:trHeight w:val="1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66A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4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4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66A75">
            <w:pPr>
              <w:spacing w:line="254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4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4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4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4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C05DAD" w:rsidTr="00C05DAD">
        <w:trPr>
          <w:trHeight w:val="7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Grunty stanowiące własność j.s.t. przekazane w użytkowanie wieczyste innym podmiotom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  <w:p w:rsidR="00C05DAD" w:rsidRDefault="00C05DA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0,000,00</w:t>
            </w:r>
          </w:p>
        </w:tc>
      </w:tr>
      <w:tr w:rsidR="00C05DAD" w:rsidTr="00C05DAD">
        <w:trPr>
          <w:trHeight w:val="71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Budynki, lokale i obiekty inżynierii lądowej i wodnej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DAD" w:rsidRDefault="00766A7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DAD" w:rsidRDefault="00C05DAD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C05DAD" w:rsidRDefault="00766A7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66A75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66A75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66A75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66A75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C05DAD" w:rsidTr="00C05DAD">
        <w:trPr>
          <w:trHeight w:val="74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Urządzenia techniczne i maszyny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66A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</w:t>
            </w:r>
            <w:r w:rsidR="00C05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66A75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66A75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66A75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  <w:r w:rsidR="00C05DA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</w:tr>
      <w:tr w:rsidR="00C05DAD" w:rsidTr="00C05DAD">
        <w:trPr>
          <w:trHeight w:val="1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C05DAD" w:rsidTr="00C05DAD">
        <w:trPr>
          <w:trHeight w:val="1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Inne środki trwałe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66A75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66A75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66A75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66A75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C05DAD" w:rsidTr="00C05DAD">
        <w:trPr>
          <w:trHeight w:val="6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Wartości niematerialne i prawne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C05DAD" w:rsidTr="00C05DAD">
        <w:trPr>
          <w:trHeight w:val="401"/>
          <w:tblCellSpacing w:w="0" w:type="dxa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pl-PL"/>
              </w:rPr>
              <w:t xml:space="preserve">Pozostałe środki trwałe konto 013 </w:t>
            </w:r>
          </w:p>
          <w:p w:rsidR="00C05DAD" w:rsidRDefault="00C05DAD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stan na początek roku </w:t>
            </w:r>
            <w:r w:rsidR="00766A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357 800,62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zł</w:t>
            </w:r>
          </w:p>
          <w:p w:rsidR="00C05DAD" w:rsidRDefault="00766A75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*zwiększenia 9 927,28</w:t>
            </w:r>
            <w:r w:rsidR="00C05D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zł</w:t>
            </w:r>
          </w:p>
          <w:p w:rsidR="00C05DAD" w:rsidRDefault="00766A75">
            <w:pPr>
              <w:spacing w:line="165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*zmniejszenia 2 595,78</w:t>
            </w:r>
            <w:r w:rsidR="00C05D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zł</w:t>
            </w:r>
          </w:p>
          <w:p w:rsidR="00C05DAD" w:rsidRDefault="00C05DAD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stan na koniec roku, t</w:t>
            </w:r>
            <w:r w:rsidR="00766A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j. na 31.12.2020r. –  365 132,12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zł</w:t>
            </w:r>
          </w:p>
          <w:p w:rsidR="00C05DAD" w:rsidRDefault="00C05DAD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pl-PL"/>
              </w:rPr>
              <w:t>Zbiory biblioteczne konto 014</w:t>
            </w:r>
          </w:p>
          <w:p w:rsidR="00C05DAD" w:rsidRDefault="00D32B80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stan na początek roku -933 092,81</w:t>
            </w:r>
            <w:r w:rsidR="00C05D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zł</w:t>
            </w:r>
          </w:p>
          <w:p w:rsidR="00C05DAD" w:rsidRDefault="00D32B80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*zwiększenia  68 709,02</w:t>
            </w:r>
            <w:r w:rsidR="00C05D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zł</w:t>
            </w:r>
          </w:p>
          <w:p w:rsidR="00C05DAD" w:rsidRDefault="00D32B80">
            <w:pPr>
              <w:spacing w:line="165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*zmniejszenia 11 511,76</w:t>
            </w:r>
            <w:r w:rsidR="00C05D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zł</w:t>
            </w:r>
          </w:p>
          <w:p w:rsidR="00C05DAD" w:rsidRDefault="00C05DAD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stan na koniec r</w:t>
            </w:r>
            <w:r w:rsidR="00D32B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oku, tj. na 31.12.2020r. –  990 290,07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zł</w:t>
            </w:r>
          </w:p>
          <w:p w:rsidR="00C05DAD" w:rsidRDefault="00C05DAD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pl-PL"/>
              </w:rPr>
              <w:t xml:space="preserve">Wartości niematerialne i prawne konto 020 </w:t>
            </w:r>
          </w:p>
          <w:p w:rsidR="00C05DAD" w:rsidRDefault="00D32B80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stan na początek roku 21 017,38</w:t>
            </w:r>
            <w:r w:rsidR="00C05D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zł</w:t>
            </w:r>
          </w:p>
          <w:p w:rsidR="00C05DAD" w:rsidRDefault="00C05DAD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*zwiększenia .0,00 zł</w:t>
            </w:r>
          </w:p>
          <w:p w:rsidR="00C05DAD" w:rsidRDefault="00C05DAD">
            <w:pPr>
              <w:spacing w:line="165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*zmniejszenia 0,00 zł</w:t>
            </w:r>
          </w:p>
          <w:p w:rsidR="00C05DAD" w:rsidRDefault="00C05DAD" w:rsidP="00D32B80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stan na koniec roku, tj. na 31.12.2020r.  </w:t>
            </w:r>
            <w:r w:rsidR="00D32B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21 017,38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zł</w:t>
            </w:r>
          </w:p>
        </w:tc>
      </w:tr>
    </w:tbl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/>
          <w:sz w:val="24"/>
          <w:szCs w:val="24"/>
        </w:rPr>
        <w:t>aktualną wartość rynkową środków trwałych, w tym dóbr kultury - o ile jednostka dysponuje takimi informacjami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Instytucja nie dysponuje takimi informacjami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pPr w:leftFromText="141" w:rightFromText="141" w:bottomFromText="160" w:vertAnchor="text" w:horzAnchor="margin" w:tblpY="220"/>
        <w:tblOverlap w:val="never"/>
        <w:tblW w:w="894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"/>
        <w:gridCol w:w="2330"/>
        <w:gridCol w:w="4816"/>
        <w:gridCol w:w="1530"/>
      </w:tblGrid>
      <w:tr w:rsidR="00C05DAD" w:rsidTr="00C05DAD">
        <w:trPr>
          <w:trHeight w:val="397"/>
          <w:tblCellSpacing w:w="0" w:type="dxa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Aktualna wartość rynkowa środków trwałych, w tym dóbr kultury (o ile jednostka dysponuje takimi informacjami)</w:t>
            </w:r>
          </w:p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stan na dzień 31 grudnia 2020roku.</w:t>
            </w:r>
          </w:p>
        </w:tc>
      </w:tr>
      <w:tr w:rsidR="00C05DAD" w:rsidTr="00C05DAD">
        <w:trPr>
          <w:trHeight w:val="9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Grupa środków trwałych (wg KŚT)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Wartość rynkowa (brutto)</w:t>
            </w:r>
          </w:p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stan na koniec roku obrotowego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Uwagi</w:t>
            </w:r>
          </w:p>
        </w:tc>
      </w:tr>
      <w:tr w:rsidR="00C05DAD" w:rsidTr="00C05DAD">
        <w:trPr>
          <w:trHeight w:val="9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C05DAD" w:rsidTr="00C05DAD">
        <w:trPr>
          <w:trHeight w:val="2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sz w:val="20"/>
                <w:szCs w:val="20"/>
                <w:lang w:eastAsia="pl-PL"/>
              </w:rPr>
            </w:pPr>
          </w:p>
        </w:tc>
      </w:tr>
      <w:tr w:rsidR="00C05DAD" w:rsidTr="00C05DAD">
        <w:trPr>
          <w:trHeight w:val="23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kwotę dokonanych w trakcie roku obrotowego odpisów aktualizujących wartość aktywów trwałych odrębnie dla długoterminowych aktywów niefinansowych oraz długoterminowych aktywów finansowych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wartość gruntów użytkowanych wieczyście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Instytucja nie posiada prawa wieczystego użytkowania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-68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"/>
        <w:gridCol w:w="2083"/>
        <w:gridCol w:w="1760"/>
        <w:gridCol w:w="1942"/>
        <w:gridCol w:w="1953"/>
        <w:gridCol w:w="1094"/>
      </w:tblGrid>
      <w:tr w:rsidR="00C05DAD" w:rsidTr="00C05DAD">
        <w:trPr>
          <w:trHeight w:val="246"/>
          <w:tblCellSpacing w:w="0" w:type="dxa"/>
        </w:trPr>
        <w:tc>
          <w:tcPr>
            <w:tcW w:w="9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gruntów użytkowanych wieczyście</w:t>
            </w:r>
          </w:p>
        </w:tc>
      </w:tr>
      <w:tr w:rsidR="00C05DAD" w:rsidTr="00C05DAD">
        <w:trPr>
          <w:trHeight w:val="56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Wyszczególnienie gruntów użytkowanych wieczyście - dane identyfikujące grunt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Wartość gruntów użytkowanych wieczyście w trakcie roku obrotowego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 wartości gruntów użytkowanych wieczyście w trakcie roku obrotowego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Zmniejszenie wartości gruntów użytkowanych wieczyście w trakcie roku obrotowego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Stan na koniec roku obrotowego </w:t>
            </w:r>
          </w:p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(3+4-5)</w:t>
            </w:r>
          </w:p>
        </w:tc>
      </w:tr>
      <w:tr w:rsidR="00C05DAD" w:rsidTr="00C05DAD">
        <w:trPr>
          <w:trHeight w:val="1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</w:tr>
      <w:tr w:rsidR="00C05DAD" w:rsidTr="00C05DAD">
        <w:trPr>
          <w:trHeight w:val="24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Powierzchnia (m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C05DAD" w:rsidTr="00C05DAD">
        <w:trPr>
          <w:trHeight w:val="1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Wartość (zł)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00,00,00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0,000,00</w:t>
            </w:r>
          </w:p>
        </w:tc>
      </w:tr>
    </w:tbl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wartość nieamortyzowanych lub nieumarzanych przez jednostkę środków trwałych, używanych na podstawie umów najmu, dzierżawy i innych umów, w tym z tytułu umów leasingu.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-68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"/>
        <w:gridCol w:w="1486"/>
        <w:gridCol w:w="2585"/>
        <w:gridCol w:w="1106"/>
        <w:gridCol w:w="1178"/>
        <w:gridCol w:w="2426"/>
      </w:tblGrid>
      <w:tr w:rsidR="00C05DAD" w:rsidTr="00C05DAD">
        <w:trPr>
          <w:trHeight w:val="247"/>
          <w:tblCellSpacing w:w="0" w:type="dxa"/>
        </w:trPr>
        <w:tc>
          <w:tcPr>
            <w:tcW w:w="9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Środki trwałe nieamortyzowane lub nieumarzane</w:t>
            </w:r>
          </w:p>
        </w:tc>
      </w:tr>
      <w:tr w:rsidR="00C05DAD" w:rsidTr="00C05DAD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według KŚT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Stan na początek roku obrotowego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Zmiany w trakcie roku obrotowego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Stan na koniec roku obrotowego </w:t>
            </w:r>
          </w:p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(3+4-5)</w:t>
            </w:r>
          </w:p>
        </w:tc>
      </w:tr>
      <w:tr w:rsidR="00C05DAD" w:rsidTr="00C05DA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05DAD" w:rsidTr="00C05DAD">
        <w:trPr>
          <w:trHeight w:val="11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</w:tr>
      <w:tr w:rsidR="00C05DAD" w:rsidTr="00C05DAD">
        <w:trPr>
          <w:trHeight w:val="247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</w:t>
            </w:r>
          </w:p>
        </w:tc>
      </w:tr>
      <w:tr w:rsidR="00C05DAD" w:rsidTr="00C05DAD">
        <w:trPr>
          <w:trHeight w:val="1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:rsidR="00C05DAD" w:rsidRDefault="00C05DAD" w:rsidP="00C05DAD">
      <w:pPr>
        <w:spacing w:line="180" w:lineRule="atLeast"/>
        <w:ind w:left="0" w:firstLine="0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Pozostałe środki trwałe nieamortyzowane i nieumarzane / zespoły komputerowe</w:t>
      </w:r>
    </w:p>
    <w:p w:rsidR="00C05DAD" w:rsidRDefault="00C05DAD" w:rsidP="00C05DAD">
      <w:pPr>
        <w:spacing w:line="180" w:lineRule="atLeast"/>
        <w:ind w:left="0" w:firstLine="0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stan na początek roku 0,00zł</w:t>
      </w:r>
    </w:p>
    <w:p w:rsidR="00C05DAD" w:rsidRDefault="00C05DAD" w:rsidP="00C05DAD">
      <w:pPr>
        <w:spacing w:line="180" w:lineRule="atLeast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*zwiększenia 0,00 zł</w:t>
      </w:r>
    </w:p>
    <w:p w:rsidR="00C05DAD" w:rsidRDefault="00C05DAD" w:rsidP="00C05DAD">
      <w:pPr>
        <w:spacing w:line="165" w:lineRule="atLeast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*zmniejszenia.0,00. zł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stan na koniec roku, tj. na 31.12.2020r   zł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liczbę oraz wartość posiadanych papierów wartościowych, w tym akcji i udziałów oraz dłużnych papierów wartościowych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zagrożonych).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9"/>
        <w:gridCol w:w="1200"/>
        <w:gridCol w:w="2237"/>
        <w:gridCol w:w="1039"/>
        <w:gridCol w:w="1252"/>
        <w:gridCol w:w="997"/>
        <w:gridCol w:w="2098"/>
      </w:tblGrid>
      <w:tr w:rsidR="00C05DAD" w:rsidTr="00C05DAD">
        <w:trPr>
          <w:trHeight w:val="121"/>
          <w:tblCellSpacing w:w="0" w:type="dxa"/>
        </w:trPr>
        <w:tc>
          <w:tcPr>
            <w:tcW w:w="91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odpisów aktualizujących wartość należności</w:t>
            </w:r>
          </w:p>
        </w:tc>
      </w:tr>
      <w:tr w:rsidR="00C05DAD" w:rsidTr="00C05DA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należności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początek roku obrotowego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Zmiany stanu odpisów w ciągu roku obrotowego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roku obrotowego</w:t>
            </w:r>
          </w:p>
        </w:tc>
      </w:tr>
      <w:tr w:rsidR="00C05DAD" w:rsidTr="00C05DA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wykorzystanie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rozwiązane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05DAD" w:rsidTr="00C05DAD">
        <w:trPr>
          <w:trHeight w:val="1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C05DAD" w:rsidTr="00C05DAD">
        <w:trPr>
          <w:trHeight w:val="11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0,000,00</w:t>
            </w:r>
          </w:p>
        </w:tc>
      </w:tr>
      <w:tr w:rsidR="00C05DAD" w:rsidTr="00C05DAD">
        <w:trPr>
          <w:trHeight w:val="11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dane o stanie rezerw według celu ich utworzenia na początek roku obrotowego, zwiększeniach, wykorzystaniu, rozwiązaniu i stanie końcowym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instytucji kultury  tworzy się fundusz rezerwowy </w:t>
      </w:r>
      <w:r w:rsidR="00D32B80">
        <w:rPr>
          <w:rFonts w:ascii="Times New Roman" w:hAnsi="Times New Roman" w:cs="Times New Roman"/>
        </w:rPr>
        <w:t xml:space="preserve">z zysków </w:t>
      </w:r>
      <w:r>
        <w:rPr>
          <w:rFonts w:ascii="Times New Roman" w:hAnsi="Times New Roman" w:cs="Times New Roman"/>
        </w:rPr>
        <w:t>netto za poprzedni rok obrotowy i przeznacza się na pokrycie strat instytucji kultury.</w:t>
      </w:r>
      <w:r>
        <w:rPr>
          <w:rFonts w:ascii="Times New Roman" w:hAnsi="Times New Roman" w:cs="Times New Roman"/>
          <w:sz w:val="24"/>
          <w:szCs w:val="24"/>
        </w:rPr>
        <w:t xml:space="preserve"> Na początek roku 2020</w:t>
      </w:r>
      <w:r w:rsidR="00D32B80">
        <w:rPr>
          <w:rFonts w:ascii="Times New Roman" w:hAnsi="Times New Roman" w:cs="Times New Roman"/>
          <w:sz w:val="24"/>
          <w:szCs w:val="24"/>
        </w:rPr>
        <w:t xml:space="preserve"> fundusz wynosił 30 552,24</w:t>
      </w:r>
      <w:r>
        <w:rPr>
          <w:rFonts w:ascii="Times New Roman" w:hAnsi="Times New Roman" w:cs="Times New Roman"/>
          <w:sz w:val="24"/>
          <w:szCs w:val="24"/>
        </w:rPr>
        <w:t xml:space="preserve">zł . Dokonano </w:t>
      </w:r>
      <w:r w:rsidR="00735014">
        <w:rPr>
          <w:rFonts w:ascii="Times New Roman" w:hAnsi="Times New Roman" w:cs="Times New Roman"/>
          <w:sz w:val="24"/>
          <w:szCs w:val="24"/>
        </w:rPr>
        <w:t>zmniejszenia</w:t>
      </w:r>
      <w:r>
        <w:rPr>
          <w:rFonts w:ascii="Times New Roman" w:hAnsi="Times New Roman" w:cs="Times New Roman"/>
          <w:sz w:val="24"/>
          <w:szCs w:val="24"/>
        </w:rPr>
        <w:t xml:space="preserve"> wartości funduszu o </w:t>
      </w:r>
      <w:r w:rsidR="00735014">
        <w:rPr>
          <w:rFonts w:ascii="Times New Roman" w:hAnsi="Times New Roman" w:cs="Times New Roman"/>
          <w:sz w:val="24"/>
          <w:szCs w:val="24"/>
        </w:rPr>
        <w:t>stratę  za 2019r</w:t>
      </w:r>
      <w:r w:rsidR="00D32B80">
        <w:rPr>
          <w:rFonts w:ascii="Times New Roman" w:hAnsi="Times New Roman" w:cs="Times New Roman"/>
          <w:sz w:val="24"/>
          <w:szCs w:val="24"/>
        </w:rPr>
        <w:t xml:space="preserve"> w wysokości 1 537,31</w:t>
      </w:r>
      <w:r>
        <w:rPr>
          <w:rFonts w:ascii="Times New Roman" w:hAnsi="Times New Roman" w:cs="Times New Roman"/>
          <w:sz w:val="24"/>
          <w:szCs w:val="24"/>
        </w:rPr>
        <w:t>zł. Na koniec roku obrotowego fu</w:t>
      </w:r>
      <w:r w:rsidR="00D32B80">
        <w:rPr>
          <w:rFonts w:ascii="Times New Roman" w:hAnsi="Times New Roman" w:cs="Times New Roman"/>
          <w:sz w:val="24"/>
          <w:szCs w:val="24"/>
        </w:rPr>
        <w:t>ndusz rezerwowy wynosi 29 014,93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podział zobowiązań długoterminowych według pozycji bilansu o pozostałym od dnia bilansowego, przewidywanym umową lub wynikającym z innego tytułu prawnego, okresie spłaty:  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długoterminowe nie wystąpiły.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/>
          <w:sz w:val="24"/>
          <w:szCs w:val="24"/>
        </w:rPr>
        <w:t>powyżej 1 roku do 3 lat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powyżej 3 do 5 lat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powyżej 5 lat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dotyczy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łączną kwotę zobowiązań zabezpieczonych na majątku jednostki ze wskazaniem  charakteru i formy tych zabezpieczeń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łączną kwotę zobowiązań warunkowych, w tym również udzielonych przez jednostkę gwarancji i poręczeń, także wekslowych, niewykazanych w bilansie, ze wskazaniem zobowiązań zabezpieczonych na majątku jednostki oraz charakteru i formy tych zabezpieczeń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dotyczy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wykaz istotnych pozycji czynnych i biernych rozliczeń międzyokresowych, w tym kwotę czynnych rozliczeń międzyokresowych kosztów stanowiących różnicę między wartością otrzymanych finansowych składników aktywów a zobowiązaniem zapłaty za nie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-68"/>
        <w:tblOverlap w:val="never"/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5705"/>
        <w:gridCol w:w="1560"/>
        <w:gridCol w:w="1275"/>
      </w:tblGrid>
      <w:tr w:rsidR="00C05DAD" w:rsidTr="00C05DAD">
        <w:trPr>
          <w:trHeight w:val="276"/>
          <w:tblCellSpacing w:w="0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Pozycja 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Wyszczególnienie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Uwagi</w:t>
            </w:r>
          </w:p>
        </w:tc>
      </w:tr>
      <w:tr w:rsidR="00C05DAD" w:rsidTr="00C05DA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05DAD" w:rsidTr="00C05DAD">
        <w:trPr>
          <w:trHeight w:val="96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05DAD" w:rsidTr="00C05DAD">
        <w:trPr>
          <w:trHeight w:val="96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1.14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łączną kwotę otrzymanych przez jednostkę gwarancji i poręczeń niewykazanych w bilansie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DAD" w:rsidTr="00C05DAD">
        <w:trPr>
          <w:trHeight w:val="96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1.15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kwotę wypłaconych środków pieniężnych na świadczenia pracownicze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7350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176 728,43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DAD" w:rsidTr="00C05DAD">
        <w:trPr>
          <w:trHeight w:val="96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1.16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informacje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  <w:tr w:rsidR="00C05DAD" w:rsidTr="00C05DAD">
        <w:trPr>
          <w:trHeight w:val="96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 odpisów aktualizujących wartość zapasów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DAD" w:rsidTr="00C05DAD">
        <w:trPr>
          <w:trHeight w:val="96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DAD" w:rsidTr="00C05DAD">
        <w:trPr>
          <w:trHeight w:val="96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kwotę i charakter poszczególnych pozycji przychodów lub kosztów o nadzwyczajnej wartości lub które wystąpiły incydentalnie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DAD" w:rsidTr="00C05DAD">
        <w:trPr>
          <w:trHeight w:val="96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DAD" w:rsidTr="00C05DAD">
        <w:trPr>
          <w:trHeight w:val="96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informacje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DAD" w:rsidRDefault="00C05DAD">
            <w:pPr>
              <w:spacing w:line="256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łączną kwotę otrzymanych przez jednostkę gwarancji i poręczeń niewykazanych w bilansie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dotyczy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kwotę wypłaconych środków pieniężnych na świadczenia pracownicze  i inne świadczenie  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/>
      </w:tblPr>
      <w:tblGrid>
        <w:gridCol w:w="483"/>
        <w:gridCol w:w="5620"/>
        <w:gridCol w:w="3021"/>
      </w:tblGrid>
      <w:tr w:rsidR="00C05DAD" w:rsidTr="00C05D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Lp</w:t>
            </w:r>
            <w:proofErr w:type="spellEnd"/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Wyszczególnienie świadczeń pracowniczych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Kwota wypłaconych środków</w:t>
            </w:r>
          </w:p>
        </w:tc>
      </w:tr>
      <w:tr w:rsidR="00C05DAD" w:rsidTr="00C05D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tytułu wynagrodzeń osób fizycznych zatrudnionych na umowę o pracę, umowy zlecenia i o dzieło, umowy agencyjnej i innych umów zgodnie z odrębnymi przepisami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A61CC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459 271,89</w:t>
            </w:r>
          </w:p>
        </w:tc>
      </w:tr>
      <w:tr w:rsidR="00C05DAD" w:rsidTr="00C05D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tytułu ubezpieczeń społecznych i innych świadczeń na rzecz pracowników i osób fizycznych zatrudnionych na odstawie umowy o  pracę, umowy zlecenia i o dzieło, które nie są zaliczane do wynagrodzeń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A61CC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90 395,53</w:t>
            </w:r>
          </w:p>
        </w:tc>
      </w:tr>
      <w:tr w:rsidR="00C05DAD" w:rsidTr="00C05D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Dodatkowe wynagrodzenie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D32B8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31 439,66</w:t>
            </w:r>
          </w:p>
        </w:tc>
      </w:tr>
      <w:tr w:rsidR="00C05DAD" w:rsidTr="00C05D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 w tym: premie, nagrody jubileuszowe i inne , odprawy emerytalno-rentowe, odprawy pieniężne w związku z rozwiązaniem stosunku pracy , ekwiwalent urlopowy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D32B8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7 000,00</w:t>
            </w:r>
          </w:p>
        </w:tc>
      </w:tr>
      <w:tr w:rsidR="00C05DAD" w:rsidTr="00C05D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ZFŚS, BHP, szkolenia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A61CC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22 565,08</w:t>
            </w:r>
          </w:p>
        </w:tc>
      </w:tr>
    </w:tbl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inne informacje</w:t>
      </w:r>
    </w:p>
    <w:p w:rsidR="00C05DAD" w:rsidRDefault="00A61CC8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Średnioroczne zatrudnienie 11,17 etatu </w:t>
      </w:r>
      <w:r w:rsidR="00C05DAD">
        <w:rPr>
          <w:rFonts w:ascii="Times New Roman" w:hAnsi="Times New Roman" w:cs="Times New Roman"/>
          <w:sz w:val="24"/>
          <w:szCs w:val="24"/>
        </w:rPr>
        <w:t>Zatrudnienie na dzień 31.12.20</w:t>
      </w:r>
      <w:r w:rsidR="00BB4EA9">
        <w:rPr>
          <w:rFonts w:ascii="Times New Roman" w:hAnsi="Times New Roman" w:cs="Times New Roman"/>
          <w:sz w:val="24"/>
          <w:szCs w:val="24"/>
        </w:rPr>
        <w:t>20</w:t>
      </w:r>
      <w:r w:rsidR="007D1C03">
        <w:rPr>
          <w:rFonts w:ascii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="007D1C03">
        <w:rPr>
          <w:rFonts w:ascii="Times New Roman" w:hAnsi="Times New Roman" w:cs="Times New Roman"/>
          <w:sz w:val="24"/>
          <w:szCs w:val="24"/>
        </w:rPr>
        <w:t>osó</w:t>
      </w:r>
      <w:r w:rsidR="00C05DAD">
        <w:rPr>
          <w:rFonts w:ascii="Times New Roman" w:hAnsi="Times New Roman" w:cs="Times New Roman"/>
          <w:sz w:val="24"/>
          <w:szCs w:val="24"/>
        </w:rPr>
        <w:t xml:space="preserve">b  </w:t>
      </w:r>
      <w:r>
        <w:rPr>
          <w:rFonts w:ascii="Times New Roman" w:hAnsi="Times New Roman" w:cs="Times New Roman"/>
          <w:sz w:val="24"/>
          <w:szCs w:val="24"/>
        </w:rPr>
        <w:t xml:space="preserve"> co stanowi 9,5</w:t>
      </w:r>
      <w:r w:rsidR="00C05DAD">
        <w:rPr>
          <w:rFonts w:ascii="Times New Roman" w:hAnsi="Times New Roman" w:cs="Times New Roman"/>
          <w:sz w:val="24"/>
          <w:szCs w:val="24"/>
        </w:rPr>
        <w:t>etatu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wysokość odpisów aktualizujących wartość zapasów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koszt wytworzenia środków trwałych w budowie, w tym odsetki oraz różnice kursowe, które powiększyły koszt wytworzenia środków trwałych w budowie w roku obrotowym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kwotę i charakter poszczególnych pozycji przychodów lub kosztów o nadzwyczajnej wartości lub które wystąpiły incydentalnie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dotyczy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informację o kwocie należności z tytułu podatków realizowanych przez organy podatkowe podległe ministrowi właściwemu do spraw finansów publicznych wykazywanych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sprawozdaniu z wykonania planu dochodów budżetowych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inne informacje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Inne informacje niż wymienione powyżej, jeżeli mogłyby w istotny sposób wpłynąć na ocenę sytuacji majątkowej i finansowej oraz wynik finansowy jednostki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wystąpiły</w:t>
      </w: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DAD" w:rsidRDefault="00C05DAD" w:rsidP="00C05DAD"/>
    <w:p w:rsidR="00C05DAD" w:rsidRDefault="00C05DAD" w:rsidP="00C05DAD"/>
    <w:p w:rsidR="00D47692" w:rsidRDefault="00D47692"/>
    <w:sectPr w:rsidR="00D47692" w:rsidSect="00FD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3B8"/>
    <w:multiLevelType w:val="hybridMultilevel"/>
    <w:tmpl w:val="29B4401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C05DAD"/>
    <w:rsid w:val="00105B2A"/>
    <w:rsid w:val="00647AC0"/>
    <w:rsid w:val="00735014"/>
    <w:rsid w:val="00766A75"/>
    <w:rsid w:val="007D1C03"/>
    <w:rsid w:val="00A61CC8"/>
    <w:rsid w:val="00BB4EA9"/>
    <w:rsid w:val="00C05DAD"/>
    <w:rsid w:val="00D32B80"/>
    <w:rsid w:val="00D47692"/>
    <w:rsid w:val="00F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DAD"/>
    <w:pPr>
      <w:spacing w:after="0" w:line="276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DAD"/>
    <w:pPr>
      <w:ind w:left="720"/>
      <w:contextualSpacing/>
    </w:pPr>
  </w:style>
  <w:style w:type="paragraph" w:customStyle="1" w:styleId="Default">
    <w:name w:val="Default"/>
    <w:rsid w:val="00C05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0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29FD-611D-4E6B-90F1-DE884B11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1806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-Księgowość</dc:creator>
  <cp:lastModifiedBy>Pracownik</cp:lastModifiedBy>
  <cp:revision>2</cp:revision>
  <cp:lastPrinted>2021-03-10T11:56:00Z</cp:lastPrinted>
  <dcterms:created xsi:type="dcterms:W3CDTF">2021-03-10T12:06:00Z</dcterms:created>
  <dcterms:modified xsi:type="dcterms:W3CDTF">2021-03-10T12:06:00Z</dcterms:modified>
</cp:coreProperties>
</file>