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960"/>
        <w:gridCol w:w="960"/>
        <w:gridCol w:w="960"/>
        <w:gridCol w:w="1300"/>
        <w:gridCol w:w="4645"/>
      </w:tblGrid>
      <w:tr w:rsidR="00B61AFF" w:rsidRPr="00B61AFF" w:rsidTr="00B61AFF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FF" w:rsidRPr="00B61AFF" w:rsidRDefault="00B61AFF" w:rsidP="00B61AFF">
            <w:pPr>
              <w:spacing w:after="0" w:line="240" w:lineRule="auto"/>
              <w:ind w:right="-1295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FF" w:rsidRPr="00B61AFF" w:rsidRDefault="00B61AFF" w:rsidP="00B61AFF">
            <w:pPr>
              <w:spacing w:after="0" w:line="240" w:lineRule="auto"/>
              <w:ind w:right="-1295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FF" w:rsidRPr="00B61AFF" w:rsidRDefault="00B61AFF" w:rsidP="00B61AFF">
            <w:pPr>
              <w:spacing w:after="0" w:line="240" w:lineRule="auto"/>
              <w:ind w:right="-1295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FF" w:rsidRPr="00B61AFF" w:rsidRDefault="00B61AFF" w:rsidP="00B61AFF">
            <w:pPr>
              <w:spacing w:after="0" w:line="240" w:lineRule="auto"/>
              <w:ind w:right="-1295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FF" w:rsidRPr="00B61AFF" w:rsidRDefault="00B61AFF" w:rsidP="00B61AFF">
            <w:pPr>
              <w:spacing w:after="0" w:line="240" w:lineRule="auto"/>
              <w:ind w:right="-1295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AFF" w:rsidRPr="00B61AFF" w:rsidRDefault="00B61AFF" w:rsidP="00B61AFF">
            <w:pPr>
              <w:spacing w:after="0" w:line="240" w:lineRule="auto"/>
              <w:ind w:right="-1295"/>
              <w:jc w:val="right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>
              <w:rPr>
                <w:rFonts w:ascii="Cambria" w:hAnsi="Cambria" w:cs="Arial"/>
                <w:sz w:val="16"/>
                <w:szCs w:val="16"/>
                <w:lang w:eastAsia="pl-PL"/>
              </w:rPr>
              <w:t xml:space="preserve">    </w:t>
            </w:r>
            <w:r w:rsidRPr="00B61AFF">
              <w:rPr>
                <w:rFonts w:ascii="Cambria" w:hAnsi="Cambria" w:cs="Arial"/>
                <w:sz w:val="16"/>
                <w:szCs w:val="16"/>
                <w:lang w:eastAsia="pl-PL"/>
              </w:rPr>
              <w:t xml:space="preserve"> Załącznik nr </w:t>
            </w:r>
            <w:r>
              <w:rPr>
                <w:rFonts w:ascii="Cambria" w:hAnsi="Cambria" w:cs="Arial"/>
                <w:sz w:val="16"/>
                <w:szCs w:val="16"/>
                <w:lang w:eastAsia="pl-PL"/>
              </w:rPr>
              <w:t>5</w:t>
            </w:r>
          </w:p>
        </w:tc>
      </w:tr>
    </w:tbl>
    <w:p w:rsidR="00B61AFF" w:rsidRPr="005F5043" w:rsidRDefault="00B61AFF" w:rsidP="00514BF2">
      <w:pPr>
        <w:pStyle w:val="Bezodstpw"/>
        <w:rPr>
          <w:rFonts w:asciiTheme="majorHAnsi" w:hAnsiTheme="majorHAnsi"/>
        </w:rPr>
      </w:pPr>
    </w:p>
    <w:tbl>
      <w:tblPr>
        <w:tblW w:w="1063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1"/>
        <w:gridCol w:w="4116"/>
        <w:gridCol w:w="3119"/>
      </w:tblGrid>
      <w:tr w:rsidR="00292FE3" w:rsidRPr="005F5043" w:rsidTr="00F31391">
        <w:trPr>
          <w:trHeight w:val="499"/>
          <w:jc w:val="center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2FE3" w:rsidRPr="0099380C" w:rsidRDefault="00292FE3" w:rsidP="00292FE3">
            <w:pPr>
              <w:jc w:val="center"/>
              <w:rPr>
                <w:rFonts w:asciiTheme="majorHAnsi" w:hAnsiTheme="majorHAnsi"/>
              </w:rPr>
            </w:pPr>
            <w:r w:rsidRPr="0099380C">
              <w:rPr>
                <w:rStyle w:val="Teksttreci29"/>
                <w:rFonts w:asciiTheme="majorHAnsi" w:hAnsiTheme="majorHAnsi"/>
                <w:color w:val="000000"/>
                <w:sz w:val="22"/>
                <w:szCs w:val="22"/>
              </w:rPr>
              <w:t>INFORMACJA DODATKOWA</w:t>
            </w:r>
          </w:p>
        </w:tc>
      </w:tr>
      <w:tr w:rsidR="00292FE3" w:rsidRPr="00B61AFF" w:rsidTr="00292F7F">
        <w:trPr>
          <w:trHeight w:val="28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BE1B03" w:rsidRDefault="00292FE3" w:rsidP="00AE7A2A">
            <w:pPr>
              <w:pStyle w:val="Teksttreci20"/>
              <w:shd w:val="clear" w:color="auto" w:fill="auto"/>
              <w:ind w:left="84" w:right="28"/>
              <w:rPr>
                <w:rFonts w:asciiTheme="majorHAnsi" w:hAnsiTheme="majorHAnsi"/>
              </w:rPr>
            </w:pPr>
            <w:r w:rsidRPr="00BE1B03">
              <w:rPr>
                <w:rStyle w:val="Pogrubienie"/>
                <w:rFonts w:asciiTheme="majorHAnsi" w:hAnsiTheme="majorHAnsi"/>
                <w:color w:val="000000"/>
              </w:rPr>
              <w:t>I.</w:t>
            </w: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4B20DD" w:rsidRDefault="009A29B2" w:rsidP="009A29B2">
            <w:pPr>
              <w:pStyle w:val="Teksttreci20"/>
              <w:shd w:val="clear" w:color="auto" w:fill="auto"/>
              <w:ind w:right="28"/>
              <w:rPr>
                <w:rFonts w:asciiTheme="majorHAnsi" w:hAnsiTheme="majorHAnsi"/>
                <w:sz w:val="18"/>
                <w:szCs w:val="18"/>
              </w:rPr>
            </w:pPr>
            <w:r w:rsidRPr="0099380C">
              <w:rPr>
                <w:rStyle w:val="Pogrubienie"/>
                <w:rFonts w:asciiTheme="majorHAnsi" w:hAnsiTheme="majorHAnsi"/>
                <w:b w:val="0"/>
                <w:color w:val="000000"/>
              </w:rPr>
              <w:t xml:space="preserve"> </w:t>
            </w:r>
            <w:r w:rsidR="00292FE3" w:rsidRPr="004B20DD">
              <w:rPr>
                <w:rStyle w:val="Pogrubienie"/>
                <w:rFonts w:asciiTheme="majorHAnsi" w:hAnsiTheme="majorHAnsi"/>
                <w:color w:val="000000"/>
                <w:sz w:val="18"/>
                <w:szCs w:val="18"/>
              </w:rPr>
              <w:t>Wprowadzenie do sprawozdania finansowego, obejmuje w szczególności:</w:t>
            </w:r>
          </w:p>
        </w:tc>
      </w:tr>
      <w:tr w:rsidR="00292FE3" w:rsidRPr="00B61AFF" w:rsidTr="00292F7F">
        <w:trPr>
          <w:trHeight w:val="178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B739B7" w:rsidRDefault="00292FE3" w:rsidP="00AE7A2A">
            <w:pPr>
              <w:pStyle w:val="Teksttreci20"/>
              <w:shd w:val="clear" w:color="auto" w:fill="auto"/>
              <w:ind w:left="84" w:right="28"/>
              <w:rPr>
                <w:rFonts w:asciiTheme="majorHAnsi" w:hAnsiTheme="majorHAnsi"/>
                <w:b/>
                <w:sz w:val="16"/>
                <w:szCs w:val="16"/>
              </w:rPr>
            </w:pPr>
            <w:r w:rsidRPr="00B739B7">
              <w:rPr>
                <w:rStyle w:val="Teksttreci29"/>
                <w:rFonts w:asciiTheme="majorHAnsi" w:hAnsiTheme="majorHAnsi"/>
                <w:b/>
                <w:color w:val="000000"/>
                <w:sz w:val="16"/>
                <w:szCs w:val="16"/>
              </w:rPr>
              <w:t>1.</w:t>
            </w: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7483E" w:rsidRPr="004B20DD" w:rsidRDefault="00F8792C" w:rsidP="00F5081A">
            <w:pPr>
              <w:pStyle w:val="Bezodstpw"/>
              <w:ind w:left="170" w:right="227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B20DD">
              <w:rPr>
                <w:rFonts w:asciiTheme="majorHAnsi" w:hAnsiTheme="majorHAnsi"/>
                <w:sz w:val="18"/>
                <w:szCs w:val="18"/>
              </w:rPr>
              <w:t xml:space="preserve">Sprawozdanie finansowe </w:t>
            </w:r>
            <w:r w:rsidR="00C16BF4" w:rsidRPr="004B20DD">
              <w:rPr>
                <w:rFonts w:asciiTheme="majorHAnsi" w:hAnsiTheme="majorHAnsi"/>
                <w:sz w:val="18"/>
                <w:szCs w:val="18"/>
              </w:rPr>
              <w:t xml:space="preserve">zawiera dane jednostkowe zakładu i </w:t>
            </w:r>
            <w:r w:rsidR="00693C85" w:rsidRPr="004B20DD">
              <w:rPr>
                <w:rFonts w:asciiTheme="majorHAnsi" w:hAnsiTheme="majorHAnsi"/>
                <w:sz w:val="18"/>
                <w:szCs w:val="18"/>
              </w:rPr>
              <w:t>zostało sporządzone zgodnie z ustawą z dnia</w:t>
            </w:r>
            <w:r w:rsidRPr="004B20D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693C85" w:rsidRPr="004B20DD">
              <w:rPr>
                <w:rFonts w:asciiTheme="majorHAnsi" w:hAnsiTheme="majorHAnsi"/>
                <w:sz w:val="18"/>
                <w:szCs w:val="18"/>
              </w:rPr>
              <w:t xml:space="preserve">29 września 1994 roku o rachunkowości </w:t>
            </w:r>
            <w:r w:rsidR="0027483E" w:rsidRPr="004B20DD">
              <w:rPr>
                <w:rFonts w:asciiTheme="majorHAnsi" w:hAnsiTheme="majorHAnsi"/>
                <w:sz w:val="18"/>
                <w:szCs w:val="18"/>
              </w:rPr>
              <w:t>(Dz.U. z 2018r.</w:t>
            </w:r>
            <w:r w:rsidR="00F5081A" w:rsidRPr="004B20D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27483E" w:rsidRPr="004B20DD">
              <w:rPr>
                <w:rFonts w:asciiTheme="majorHAnsi" w:hAnsiTheme="majorHAnsi"/>
                <w:sz w:val="18"/>
                <w:szCs w:val="18"/>
              </w:rPr>
              <w:t>poz.395 t.j.</w:t>
            </w:r>
            <w:r w:rsidR="002E557F">
              <w:rPr>
                <w:rFonts w:asciiTheme="majorHAnsi" w:hAnsiTheme="majorHAnsi"/>
                <w:sz w:val="18"/>
                <w:szCs w:val="18"/>
              </w:rPr>
              <w:t>,</w:t>
            </w:r>
            <w:r w:rsidR="0027483E" w:rsidRPr="004B20DD">
              <w:rPr>
                <w:rFonts w:asciiTheme="majorHAnsi" w:hAnsiTheme="majorHAnsi"/>
                <w:sz w:val="18"/>
                <w:szCs w:val="18"/>
              </w:rPr>
              <w:t xml:space="preserve"> z późn. zm.) z uwzględnieniem zasad określonych </w:t>
            </w:r>
            <w:r w:rsidRPr="004B20DD">
              <w:rPr>
                <w:rFonts w:asciiTheme="majorHAnsi" w:hAnsiTheme="majorHAnsi"/>
                <w:sz w:val="18"/>
                <w:szCs w:val="18"/>
              </w:rPr>
              <w:t xml:space="preserve">w </w:t>
            </w:r>
            <w:r w:rsidR="0027483E" w:rsidRPr="004B20DD">
              <w:rPr>
                <w:rFonts w:asciiTheme="majorHAnsi" w:hAnsiTheme="majorHAnsi"/>
                <w:sz w:val="18"/>
                <w:szCs w:val="18"/>
              </w:rPr>
              <w:t>rozporządzeniu Ministra Rozwoju i Finansów z dnia 13 września w sprawie rachunkowości</w:t>
            </w:r>
            <w:r w:rsidRPr="004B20D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F5081A" w:rsidRPr="004B20DD">
              <w:rPr>
                <w:rFonts w:asciiTheme="majorHAnsi" w:hAnsiTheme="majorHAnsi"/>
                <w:sz w:val="18"/>
                <w:szCs w:val="18"/>
              </w:rPr>
              <w:t xml:space="preserve">oraz planów kont dla budżetu </w:t>
            </w:r>
            <w:r w:rsidR="0027483E" w:rsidRPr="004B20DD">
              <w:rPr>
                <w:rFonts w:asciiTheme="majorHAnsi" w:hAnsiTheme="majorHAnsi"/>
                <w:sz w:val="18"/>
                <w:szCs w:val="18"/>
              </w:rPr>
              <w:t>państwa, budżetów jednostek samorzą</w:t>
            </w:r>
            <w:r w:rsidR="00F5081A" w:rsidRPr="004B20DD">
              <w:rPr>
                <w:rFonts w:asciiTheme="majorHAnsi" w:hAnsiTheme="majorHAnsi"/>
                <w:sz w:val="18"/>
                <w:szCs w:val="18"/>
              </w:rPr>
              <w:t>du terytorialnego, jednostek</w:t>
            </w:r>
            <w:r w:rsidRPr="004B20D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27483E" w:rsidRPr="004B20DD">
              <w:rPr>
                <w:rFonts w:asciiTheme="majorHAnsi" w:hAnsiTheme="majorHAnsi"/>
                <w:sz w:val="18"/>
                <w:szCs w:val="18"/>
              </w:rPr>
              <w:t>budżetowych, samorządowych zakładów budżetowych, państwowych funduszy celowych oraz państwowych</w:t>
            </w:r>
            <w:r w:rsidRPr="004B20D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27483E" w:rsidRPr="004B20DD">
              <w:rPr>
                <w:rFonts w:asciiTheme="majorHAnsi" w:hAnsiTheme="majorHAnsi"/>
                <w:sz w:val="18"/>
                <w:szCs w:val="18"/>
              </w:rPr>
              <w:t>jednostek budżetowych mających siedzibę poza granicami Rzeczypospoli</w:t>
            </w:r>
            <w:r w:rsidR="00F5081A" w:rsidRPr="004B20DD">
              <w:rPr>
                <w:rFonts w:asciiTheme="majorHAnsi" w:hAnsiTheme="majorHAnsi"/>
                <w:sz w:val="18"/>
                <w:szCs w:val="18"/>
              </w:rPr>
              <w:t>tej Polskiej (Dz. U. z 2017 r.</w:t>
            </w:r>
            <w:r w:rsidR="0027483E" w:rsidRPr="004B20DD">
              <w:rPr>
                <w:rFonts w:asciiTheme="majorHAnsi" w:hAnsiTheme="majorHAnsi"/>
                <w:sz w:val="18"/>
                <w:szCs w:val="18"/>
              </w:rPr>
              <w:t xml:space="preserve"> poz.</w:t>
            </w:r>
            <w:r w:rsidRPr="004B20D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27483E" w:rsidRPr="004B20DD">
              <w:rPr>
                <w:rFonts w:asciiTheme="majorHAnsi" w:hAnsiTheme="majorHAnsi"/>
                <w:sz w:val="18"/>
                <w:szCs w:val="18"/>
              </w:rPr>
              <w:t xml:space="preserve">1911) </w:t>
            </w:r>
            <w:r w:rsidRPr="004B20DD">
              <w:rPr>
                <w:rFonts w:asciiTheme="majorHAnsi" w:hAnsiTheme="majorHAnsi"/>
                <w:sz w:val="18"/>
                <w:szCs w:val="18"/>
              </w:rPr>
              <w:t>przy założeniu kontynuow</w:t>
            </w:r>
            <w:r w:rsidR="00F5081A" w:rsidRPr="004B20DD">
              <w:rPr>
                <w:rFonts w:asciiTheme="majorHAnsi" w:hAnsiTheme="majorHAnsi"/>
                <w:sz w:val="18"/>
                <w:szCs w:val="18"/>
              </w:rPr>
              <w:t xml:space="preserve">ania działalności gospodarczej </w:t>
            </w:r>
            <w:r w:rsidRPr="004B20DD">
              <w:rPr>
                <w:rFonts w:asciiTheme="majorHAnsi" w:hAnsiTheme="majorHAnsi"/>
                <w:sz w:val="18"/>
                <w:szCs w:val="18"/>
              </w:rPr>
              <w:t>w dającej się przewidzieć przyszłości, gdyż nie istnieją okoliczności wskazujące za zagrożenie kontynuowania przez niego działalności.</w:t>
            </w:r>
          </w:p>
          <w:p w:rsidR="00693C85" w:rsidRPr="00C16BF4" w:rsidRDefault="00693C85" w:rsidP="00C16BF4">
            <w:pPr>
              <w:spacing w:after="0" w:line="240" w:lineRule="auto"/>
              <w:ind w:right="28"/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292FE3" w:rsidRPr="00B61AFF" w:rsidTr="00292F7F">
        <w:trPr>
          <w:trHeight w:val="34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B739B7" w:rsidRDefault="00292FE3" w:rsidP="00AE7A2A">
            <w:pPr>
              <w:pStyle w:val="Teksttreci20"/>
              <w:shd w:val="clear" w:color="auto" w:fill="auto"/>
              <w:ind w:left="84" w:right="28"/>
              <w:rPr>
                <w:rFonts w:asciiTheme="majorHAnsi" w:hAnsiTheme="majorHAnsi"/>
                <w:b/>
                <w:sz w:val="16"/>
                <w:szCs w:val="16"/>
              </w:rPr>
            </w:pPr>
            <w:r w:rsidRPr="00B739B7">
              <w:rPr>
                <w:rStyle w:val="Teksttreci29"/>
                <w:rFonts w:asciiTheme="majorHAnsi" w:hAnsiTheme="majorHAnsi"/>
                <w:b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27224B" w:rsidRDefault="00292FE3" w:rsidP="00D96A20">
            <w:pPr>
              <w:pStyle w:val="Teksttreci20"/>
              <w:shd w:val="clear" w:color="auto" w:fill="auto"/>
              <w:ind w:left="113" w:right="28"/>
              <w:rPr>
                <w:rFonts w:asciiTheme="majorHAnsi" w:hAnsiTheme="majorHAnsi"/>
                <w:sz w:val="18"/>
                <w:szCs w:val="18"/>
              </w:rPr>
            </w:pPr>
            <w:r w:rsidRPr="0027224B">
              <w:rPr>
                <w:rStyle w:val="Teksttreci29"/>
                <w:rFonts w:asciiTheme="majorHAnsi" w:hAnsiTheme="majorHAnsi"/>
                <w:color w:val="000000"/>
                <w:sz w:val="18"/>
                <w:szCs w:val="18"/>
              </w:rPr>
              <w:t>nazwę jednostki</w:t>
            </w:r>
          </w:p>
        </w:tc>
      </w:tr>
      <w:tr w:rsidR="00292FE3" w:rsidRPr="00B61AFF" w:rsidTr="00292F7F">
        <w:trPr>
          <w:trHeight w:val="34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B739B7" w:rsidRDefault="00292FE3" w:rsidP="00AE7A2A">
            <w:pPr>
              <w:spacing w:after="0" w:line="240" w:lineRule="auto"/>
              <w:ind w:left="28" w:right="28"/>
              <w:rPr>
                <w:rStyle w:val="Teksttreci29"/>
                <w:rFonts w:asciiTheme="majorHAnsi" w:hAnsiTheme="maj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ED4B0E" w:rsidRDefault="00693C85" w:rsidP="00812905">
            <w:pPr>
              <w:spacing w:after="0" w:line="240" w:lineRule="auto"/>
              <w:ind w:left="28" w:right="28" w:firstLine="93"/>
              <w:rPr>
                <w:rStyle w:val="Teksttreci29"/>
                <w:rFonts w:asciiTheme="majorHAnsi" w:hAnsiTheme="majorHAnsi"/>
                <w:color w:val="000000"/>
                <w:sz w:val="20"/>
                <w:szCs w:val="20"/>
              </w:rPr>
            </w:pPr>
            <w:r w:rsidRPr="00ED4B0E">
              <w:rPr>
                <w:rStyle w:val="Teksttreci29"/>
                <w:rFonts w:asciiTheme="majorHAnsi" w:hAnsiTheme="majorHAnsi"/>
                <w:color w:val="000000"/>
                <w:sz w:val="20"/>
                <w:szCs w:val="20"/>
              </w:rPr>
              <w:t>Zakład Gospodarki Mieszkaniowej Zakład Budżetowy</w:t>
            </w:r>
          </w:p>
        </w:tc>
      </w:tr>
      <w:tr w:rsidR="00292FE3" w:rsidRPr="00B61AFF" w:rsidTr="00292F7F">
        <w:trPr>
          <w:trHeight w:val="35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B739B7" w:rsidRDefault="00292FE3" w:rsidP="00AE7A2A">
            <w:pPr>
              <w:pStyle w:val="Teksttreci20"/>
              <w:shd w:val="clear" w:color="auto" w:fill="auto"/>
              <w:ind w:left="84" w:right="28"/>
              <w:rPr>
                <w:rFonts w:asciiTheme="majorHAnsi" w:hAnsiTheme="majorHAnsi"/>
                <w:b/>
                <w:sz w:val="16"/>
                <w:szCs w:val="16"/>
              </w:rPr>
            </w:pPr>
            <w:r w:rsidRPr="00B739B7">
              <w:rPr>
                <w:rStyle w:val="Teksttreci29"/>
                <w:rFonts w:asciiTheme="majorHAnsi" w:hAnsiTheme="majorHAnsi"/>
                <w:b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27224B" w:rsidRDefault="00292FE3" w:rsidP="00D96A20">
            <w:pPr>
              <w:pStyle w:val="Teksttreci20"/>
              <w:shd w:val="clear" w:color="auto" w:fill="auto"/>
              <w:ind w:left="113" w:right="28"/>
              <w:rPr>
                <w:rFonts w:asciiTheme="majorHAnsi" w:hAnsiTheme="majorHAnsi"/>
                <w:sz w:val="18"/>
                <w:szCs w:val="18"/>
              </w:rPr>
            </w:pPr>
            <w:r w:rsidRPr="0027224B">
              <w:rPr>
                <w:rStyle w:val="Teksttreci29"/>
                <w:rFonts w:asciiTheme="majorHAnsi" w:hAnsiTheme="majorHAnsi"/>
                <w:color w:val="000000"/>
                <w:sz w:val="18"/>
                <w:szCs w:val="18"/>
              </w:rPr>
              <w:t>siedzibę jednostki</w:t>
            </w:r>
          </w:p>
        </w:tc>
      </w:tr>
      <w:tr w:rsidR="00292FE3" w:rsidRPr="00B61AFF" w:rsidTr="00292F7F">
        <w:trPr>
          <w:trHeight w:val="34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B739B7" w:rsidRDefault="00292FE3" w:rsidP="00AE7A2A">
            <w:pPr>
              <w:spacing w:after="0" w:line="240" w:lineRule="auto"/>
              <w:ind w:left="28" w:right="28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ED4B0E" w:rsidRDefault="00693C85" w:rsidP="00812905">
            <w:pPr>
              <w:spacing w:after="0" w:line="240" w:lineRule="auto"/>
              <w:ind w:left="28" w:right="28" w:firstLine="93"/>
              <w:rPr>
                <w:rFonts w:asciiTheme="majorHAnsi" w:hAnsiTheme="majorHAnsi"/>
                <w:sz w:val="20"/>
                <w:szCs w:val="20"/>
              </w:rPr>
            </w:pPr>
            <w:r w:rsidRPr="00ED4B0E">
              <w:rPr>
                <w:rFonts w:asciiTheme="majorHAnsi" w:hAnsiTheme="majorHAnsi"/>
                <w:sz w:val="20"/>
                <w:szCs w:val="20"/>
              </w:rPr>
              <w:t>17-200 Hajnówka</w:t>
            </w:r>
            <w:r w:rsidR="00FD0873" w:rsidRPr="00ED4B0E">
              <w:rPr>
                <w:rFonts w:asciiTheme="majorHAnsi" w:hAnsiTheme="majorHAnsi"/>
                <w:sz w:val="20"/>
                <w:szCs w:val="20"/>
              </w:rPr>
              <w:t xml:space="preserve"> ul. Parkowa 6</w:t>
            </w:r>
          </w:p>
        </w:tc>
      </w:tr>
      <w:tr w:rsidR="00292FE3" w:rsidRPr="00B61AFF" w:rsidTr="00292F7F">
        <w:trPr>
          <w:trHeight w:val="35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B739B7" w:rsidRDefault="00292FE3" w:rsidP="00AE7A2A">
            <w:pPr>
              <w:pStyle w:val="Teksttreci20"/>
              <w:shd w:val="clear" w:color="auto" w:fill="auto"/>
              <w:ind w:left="84" w:right="28"/>
              <w:rPr>
                <w:rFonts w:asciiTheme="majorHAnsi" w:hAnsiTheme="majorHAnsi"/>
                <w:b/>
                <w:sz w:val="16"/>
                <w:szCs w:val="16"/>
              </w:rPr>
            </w:pPr>
            <w:r w:rsidRPr="00B739B7">
              <w:rPr>
                <w:rStyle w:val="Teksttreci29"/>
                <w:rFonts w:asciiTheme="majorHAnsi" w:hAnsiTheme="majorHAnsi"/>
                <w:b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27224B" w:rsidRDefault="00292FE3" w:rsidP="00D96A20">
            <w:pPr>
              <w:pStyle w:val="Teksttreci20"/>
              <w:shd w:val="clear" w:color="auto" w:fill="auto"/>
              <w:ind w:left="113" w:right="28"/>
              <w:rPr>
                <w:rFonts w:asciiTheme="majorHAnsi" w:hAnsiTheme="majorHAnsi"/>
                <w:sz w:val="18"/>
                <w:szCs w:val="18"/>
              </w:rPr>
            </w:pPr>
            <w:r w:rsidRPr="0027224B">
              <w:rPr>
                <w:rStyle w:val="Teksttreci29"/>
                <w:rFonts w:asciiTheme="majorHAnsi" w:hAnsiTheme="majorHAnsi"/>
                <w:color w:val="000000"/>
                <w:sz w:val="18"/>
                <w:szCs w:val="18"/>
              </w:rPr>
              <w:t>adres jednostki</w:t>
            </w:r>
          </w:p>
        </w:tc>
      </w:tr>
      <w:tr w:rsidR="00292FE3" w:rsidRPr="00B61AFF" w:rsidTr="00292F7F">
        <w:trPr>
          <w:trHeight w:val="34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B739B7" w:rsidRDefault="00292FE3" w:rsidP="00AE7A2A">
            <w:pPr>
              <w:spacing w:after="0" w:line="240" w:lineRule="auto"/>
              <w:ind w:left="28" w:right="28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ED4B0E" w:rsidRDefault="00FD0873" w:rsidP="00812905">
            <w:pPr>
              <w:spacing w:after="0" w:line="240" w:lineRule="auto"/>
              <w:ind w:left="28" w:right="28" w:firstLine="93"/>
              <w:rPr>
                <w:rFonts w:asciiTheme="majorHAnsi" w:hAnsiTheme="majorHAnsi"/>
                <w:sz w:val="20"/>
                <w:szCs w:val="20"/>
              </w:rPr>
            </w:pPr>
            <w:r w:rsidRPr="00ED4B0E">
              <w:rPr>
                <w:rFonts w:asciiTheme="majorHAnsi" w:hAnsiTheme="majorHAnsi"/>
                <w:sz w:val="20"/>
                <w:szCs w:val="20"/>
              </w:rPr>
              <w:t>17-200 Hajnówka ul. Parkowa 6</w:t>
            </w:r>
          </w:p>
        </w:tc>
      </w:tr>
      <w:tr w:rsidR="00292FE3" w:rsidRPr="00B61AFF" w:rsidTr="00292F7F">
        <w:trPr>
          <w:trHeight w:val="33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B739B7" w:rsidRDefault="00292FE3" w:rsidP="00AE7A2A">
            <w:pPr>
              <w:pStyle w:val="Teksttreci20"/>
              <w:shd w:val="clear" w:color="auto" w:fill="auto"/>
              <w:ind w:left="84" w:right="28"/>
              <w:rPr>
                <w:rFonts w:asciiTheme="majorHAnsi" w:hAnsiTheme="majorHAnsi"/>
                <w:b/>
                <w:sz w:val="16"/>
                <w:szCs w:val="16"/>
              </w:rPr>
            </w:pPr>
            <w:r w:rsidRPr="00B739B7">
              <w:rPr>
                <w:rStyle w:val="Teksttreci29"/>
                <w:rFonts w:asciiTheme="majorHAnsi" w:hAnsiTheme="majorHAnsi"/>
                <w:b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27224B" w:rsidRDefault="00292FE3" w:rsidP="00D96A20">
            <w:pPr>
              <w:pStyle w:val="Teksttreci20"/>
              <w:shd w:val="clear" w:color="auto" w:fill="auto"/>
              <w:ind w:left="113" w:right="28"/>
              <w:rPr>
                <w:rFonts w:asciiTheme="majorHAnsi" w:hAnsiTheme="majorHAnsi"/>
                <w:sz w:val="18"/>
                <w:szCs w:val="18"/>
              </w:rPr>
            </w:pPr>
            <w:r w:rsidRPr="0027224B">
              <w:rPr>
                <w:rStyle w:val="Teksttreci29"/>
                <w:rFonts w:asciiTheme="majorHAnsi" w:hAnsiTheme="majorHAnsi"/>
                <w:color w:val="000000"/>
                <w:sz w:val="18"/>
                <w:szCs w:val="18"/>
              </w:rPr>
              <w:t>podstawowy przedmiot działalności jednostki</w:t>
            </w:r>
          </w:p>
        </w:tc>
      </w:tr>
      <w:tr w:rsidR="00292FE3" w:rsidRPr="00B61AFF" w:rsidTr="00292F7F">
        <w:trPr>
          <w:trHeight w:val="34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B61AFF" w:rsidRDefault="00292FE3" w:rsidP="00AE7A2A">
            <w:pPr>
              <w:spacing w:after="0" w:line="240" w:lineRule="auto"/>
              <w:ind w:left="28" w:right="28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0873" w:rsidRPr="004B20DD" w:rsidRDefault="00FD0873" w:rsidP="00F23E64">
            <w:pPr>
              <w:pStyle w:val="Bezodstpw"/>
              <w:numPr>
                <w:ilvl w:val="0"/>
                <w:numId w:val="7"/>
              </w:numPr>
              <w:spacing w:before="120"/>
              <w:ind w:left="527" w:right="227" w:hanging="357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B20DD">
              <w:rPr>
                <w:rFonts w:asciiTheme="majorHAnsi" w:hAnsiTheme="majorHAnsi"/>
                <w:sz w:val="18"/>
                <w:szCs w:val="18"/>
              </w:rPr>
              <w:t>Przedmiotem działania Zakładu jest  zarządzanie  przekazanym mieniem komunalnym Miasta Hajnówka obejmującym przede wszystkim budynki</w:t>
            </w:r>
            <w:r w:rsidR="004933C3" w:rsidRPr="004B20D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BD5887" w:rsidRPr="004B20DD">
              <w:rPr>
                <w:rFonts w:asciiTheme="majorHAnsi" w:hAnsiTheme="majorHAnsi"/>
                <w:sz w:val="18"/>
                <w:szCs w:val="18"/>
              </w:rPr>
              <w:t xml:space="preserve">mieszkalne, użytkowe </w:t>
            </w:r>
            <w:r w:rsidRPr="004B20DD">
              <w:rPr>
                <w:rFonts w:asciiTheme="majorHAnsi" w:hAnsiTheme="majorHAnsi"/>
                <w:sz w:val="18"/>
                <w:szCs w:val="18"/>
              </w:rPr>
              <w:t>oraz lokale mieszkalne i użytkowe i inne nieruchomości.</w:t>
            </w:r>
          </w:p>
          <w:p w:rsidR="00FD0873" w:rsidRPr="004B20DD" w:rsidRDefault="00FD0873" w:rsidP="00F5081A">
            <w:pPr>
              <w:pStyle w:val="Bezodstpw"/>
              <w:numPr>
                <w:ilvl w:val="0"/>
                <w:numId w:val="7"/>
              </w:numPr>
              <w:ind w:left="527" w:right="227" w:hanging="357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B20DD">
              <w:rPr>
                <w:rFonts w:asciiTheme="majorHAnsi" w:hAnsiTheme="majorHAnsi"/>
                <w:sz w:val="18"/>
                <w:szCs w:val="18"/>
              </w:rPr>
              <w:t>Z</w:t>
            </w:r>
            <w:r w:rsidR="00F5081A" w:rsidRPr="004B20DD">
              <w:rPr>
                <w:rFonts w:asciiTheme="majorHAnsi" w:hAnsiTheme="majorHAnsi"/>
                <w:sz w:val="18"/>
                <w:szCs w:val="18"/>
              </w:rPr>
              <w:t xml:space="preserve">arządzanie i administrowanie </w:t>
            </w:r>
            <w:r w:rsidRPr="004B20DD">
              <w:rPr>
                <w:rFonts w:asciiTheme="majorHAnsi" w:hAnsiTheme="majorHAnsi"/>
                <w:sz w:val="18"/>
                <w:szCs w:val="18"/>
              </w:rPr>
              <w:t>wspólnot</w:t>
            </w:r>
            <w:r w:rsidR="00F5081A" w:rsidRPr="004B20DD">
              <w:rPr>
                <w:rFonts w:asciiTheme="majorHAnsi" w:hAnsiTheme="majorHAnsi"/>
                <w:sz w:val="18"/>
                <w:szCs w:val="18"/>
              </w:rPr>
              <w:t>ami mieszkaniowymi z udziałem Gminy Miejskiej Hajnówka l</w:t>
            </w:r>
            <w:r w:rsidRPr="004B20DD">
              <w:rPr>
                <w:rFonts w:asciiTheme="majorHAnsi" w:hAnsiTheme="majorHAnsi"/>
                <w:sz w:val="18"/>
                <w:szCs w:val="18"/>
              </w:rPr>
              <w:t>ub innymi, zgodnie z obowiązującymi przepisami.</w:t>
            </w:r>
          </w:p>
          <w:p w:rsidR="00FD0873" w:rsidRPr="004B20DD" w:rsidRDefault="00F5081A" w:rsidP="00F5081A">
            <w:pPr>
              <w:pStyle w:val="Bezodstpw"/>
              <w:numPr>
                <w:ilvl w:val="0"/>
                <w:numId w:val="7"/>
              </w:numPr>
              <w:ind w:left="527" w:right="227" w:hanging="357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B20DD">
              <w:rPr>
                <w:rFonts w:asciiTheme="majorHAnsi" w:hAnsiTheme="majorHAnsi"/>
                <w:sz w:val="18"/>
                <w:szCs w:val="18"/>
              </w:rPr>
              <w:t>Zarządzanie i administrowanie</w:t>
            </w:r>
            <w:r w:rsidR="00FD0873" w:rsidRPr="004B20DD">
              <w:rPr>
                <w:rFonts w:asciiTheme="majorHAnsi" w:hAnsiTheme="majorHAnsi"/>
                <w:sz w:val="18"/>
                <w:szCs w:val="18"/>
              </w:rPr>
              <w:t xml:space="preserve"> infrastruktu</w:t>
            </w:r>
            <w:r w:rsidRPr="004B20DD">
              <w:rPr>
                <w:rFonts w:asciiTheme="majorHAnsi" w:hAnsiTheme="majorHAnsi"/>
                <w:sz w:val="18"/>
                <w:szCs w:val="18"/>
              </w:rPr>
              <w:t xml:space="preserve">rą techniczną związaną z </w:t>
            </w:r>
            <w:r w:rsidR="00FD0873" w:rsidRPr="004B20DD">
              <w:rPr>
                <w:rFonts w:asciiTheme="majorHAnsi" w:hAnsiTheme="majorHAnsi"/>
                <w:sz w:val="18"/>
                <w:szCs w:val="18"/>
              </w:rPr>
              <w:t>zarządzanym mieniem.</w:t>
            </w:r>
          </w:p>
          <w:p w:rsidR="00FD0873" w:rsidRPr="004B20DD" w:rsidRDefault="00FD0873" w:rsidP="00F5081A">
            <w:pPr>
              <w:pStyle w:val="Bezodstpw"/>
              <w:numPr>
                <w:ilvl w:val="0"/>
                <w:numId w:val="7"/>
              </w:numPr>
              <w:ind w:left="527" w:right="227" w:hanging="357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B20DD">
              <w:rPr>
                <w:rFonts w:asciiTheme="majorHAnsi" w:hAnsiTheme="majorHAnsi"/>
                <w:sz w:val="18"/>
                <w:szCs w:val="18"/>
              </w:rPr>
              <w:t>Administrowanie komunalnymi gruntami zabudowanymi i niezabudowanymi przyległymi do administrowanych i zarządzanych nieruchomości budynkowych.</w:t>
            </w:r>
          </w:p>
          <w:p w:rsidR="00FD0873" w:rsidRPr="004B20DD" w:rsidRDefault="00FD0873" w:rsidP="00F5081A">
            <w:pPr>
              <w:pStyle w:val="Bezodstpw"/>
              <w:numPr>
                <w:ilvl w:val="0"/>
                <w:numId w:val="7"/>
              </w:numPr>
              <w:ind w:left="527" w:right="227" w:hanging="357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B20DD">
              <w:rPr>
                <w:rFonts w:asciiTheme="majorHAnsi" w:hAnsiTheme="majorHAnsi"/>
                <w:sz w:val="18"/>
                <w:szCs w:val="18"/>
              </w:rPr>
              <w:t xml:space="preserve">Wykonywanie funkcji inwestora bezpośredniego w zarządzanym budownictwie mieszkaniowym </w:t>
            </w:r>
            <w:r w:rsidR="00F5081A" w:rsidRPr="004B20DD">
              <w:rPr>
                <w:rFonts w:asciiTheme="majorHAnsi" w:hAnsiTheme="majorHAnsi"/>
                <w:sz w:val="18"/>
                <w:szCs w:val="18"/>
              </w:rPr>
              <w:t xml:space="preserve">i użytkowym </w:t>
            </w:r>
            <w:r w:rsidRPr="004B20DD">
              <w:rPr>
                <w:rFonts w:asciiTheme="majorHAnsi" w:hAnsiTheme="majorHAnsi"/>
                <w:sz w:val="18"/>
                <w:szCs w:val="18"/>
              </w:rPr>
              <w:t>oraz infrastrukturze technicznej.</w:t>
            </w:r>
          </w:p>
          <w:p w:rsidR="00FD0873" w:rsidRPr="004B20DD" w:rsidRDefault="00FD0873" w:rsidP="00F5081A">
            <w:pPr>
              <w:pStyle w:val="Bezodstpw"/>
              <w:numPr>
                <w:ilvl w:val="0"/>
                <w:numId w:val="7"/>
              </w:numPr>
              <w:ind w:left="527" w:right="227" w:hanging="357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B20DD">
              <w:rPr>
                <w:rFonts w:asciiTheme="majorHAnsi" w:hAnsiTheme="majorHAnsi"/>
                <w:sz w:val="18"/>
                <w:szCs w:val="18"/>
              </w:rPr>
              <w:t>Przygotowanie projektów programów gospodarowania mieszkaniowym zasobem Gminy Miejskiej Hajnówka i przedkładanie ich właściwym organom .</w:t>
            </w:r>
          </w:p>
          <w:p w:rsidR="00FD0873" w:rsidRPr="004B20DD" w:rsidRDefault="00FD0873" w:rsidP="00F5081A">
            <w:pPr>
              <w:pStyle w:val="Bezodstpw"/>
              <w:numPr>
                <w:ilvl w:val="0"/>
                <w:numId w:val="7"/>
              </w:numPr>
              <w:ind w:left="527" w:right="227" w:hanging="357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B20DD">
              <w:rPr>
                <w:rFonts w:asciiTheme="majorHAnsi" w:hAnsiTheme="majorHAnsi"/>
                <w:sz w:val="18"/>
                <w:szCs w:val="18"/>
              </w:rPr>
              <w:t>Reprezentowanie Gminy Miejskiej Hajnówka we wspólnotach mieszkani</w:t>
            </w:r>
            <w:r w:rsidR="00F5081A" w:rsidRPr="004B20DD">
              <w:rPr>
                <w:rFonts w:asciiTheme="majorHAnsi" w:hAnsiTheme="majorHAnsi"/>
                <w:sz w:val="18"/>
                <w:szCs w:val="18"/>
              </w:rPr>
              <w:t xml:space="preserve">owych w zakresie pełnomocnictw udzielonych przez </w:t>
            </w:r>
            <w:r w:rsidRPr="004B20DD">
              <w:rPr>
                <w:rFonts w:asciiTheme="majorHAnsi" w:hAnsiTheme="majorHAnsi"/>
                <w:sz w:val="18"/>
                <w:szCs w:val="18"/>
              </w:rPr>
              <w:t>Burmistrza Miasta Hajnówka.</w:t>
            </w:r>
          </w:p>
          <w:p w:rsidR="00FD0873" w:rsidRPr="004B20DD" w:rsidRDefault="00FD0873" w:rsidP="00F5081A">
            <w:pPr>
              <w:pStyle w:val="Bezodstpw"/>
              <w:numPr>
                <w:ilvl w:val="0"/>
                <w:numId w:val="7"/>
              </w:numPr>
              <w:ind w:left="527" w:right="227" w:hanging="357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B20DD">
              <w:rPr>
                <w:rFonts w:asciiTheme="majorHAnsi" w:hAnsiTheme="majorHAnsi"/>
                <w:sz w:val="18"/>
                <w:szCs w:val="18"/>
              </w:rPr>
              <w:t>Zawieranie umów najmu lo</w:t>
            </w:r>
            <w:r w:rsidR="00F5081A" w:rsidRPr="004B20DD">
              <w:rPr>
                <w:rFonts w:asciiTheme="majorHAnsi" w:hAnsiTheme="majorHAnsi"/>
                <w:sz w:val="18"/>
                <w:szCs w:val="18"/>
              </w:rPr>
              <w:t xml:space="preserve">kali mieszkalnych i użytkowych </w:t>
            </w:r>
            <w:r w:rsidRPr="004B20DD">
              <w:rPr>
                <w:rFonts w:asciiTheme="majorHAnsi" w:hAnsiTheme="majorHAnsi"/>
                <w:sz w:val="18"/>
                <w:szCs w:val="18"/>
              </w:rPr>
              <w:t xml:space="preserve">na podstawie wydanych przez </w:t>
            </w:r>
            <w:r w:rsidR="00F5081A" w:rsidRPr="004B20DD">
              <w:rPr>
                <w:rFonts w:asciiTheme="majorHAnsi" w:hAnsiTheme="majorHAnsi"/>
                <w:sz w:val="18"/>
                <w:szCs w:val="18"/>
              </w:rPr>
              <w:t>Urząd Miasta Hajnówka skierowań</w:t>
            </w:r>
            <w:r w:rsidRPr="004B20DD">
              <w:rPr>
                <w:rFonts w:asciiTheme="majorHAnsi" w:hAnsiTheme="majorHAnsi"/>
                <w:sz w:val="18"/>
                <w:szCs w:val="18"/>
              </w:rPr>
              <w:t xml:space="preserve"> oraz przekazywanie ich do użytkowania najemcom.</w:t>
            </w:r>
          </w:p>
          <w:p w:rsidR="00FD0873" w:rsidRPr="004B20DD" w:rsidRDefault="00FD0873" w:rsidP="00F5081A">
            <w:pPr>
              <w:pStyle w:val="Bezodstpw"/>
              <w:numPr>
                <w:ilvl w:val="0"/>
                <w:numId w:val="7"/>
              </w:numPr>
              <w:ind w:left="527" w:right="227" w:hanging="357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B20DD">
              <w:rPr>
                <w:rFonts w:asciiTheme="majorHAnsi" w:hAnsiTheme="majorHAnsi"/>
                <w:sz w:val="18"/>
                <w:szCs w:val="18"/>
              </w:rPr>
              <w:t>Dbałość o stan techniczny zarządzanych zasobów, planowanie i  realizacja remontów, modernizacji, rozbudowy, nadbudowy itp..</w:t>
            </w:r>
          </w:p>
          <w:p w:rsidR="00FD0873" w:rsidRPr="004B20DD" w:rsidRDefault="00F5081A" w:rsidP="00F5081A">
            <w:pPr>
              <w:pStyle w:val="Bezodstpw"/>
              <w:numPr>
                <w:ilvl w:val="0"/>
                <w:numId w:val="7"/>
              </w:numPr>
              <w:ind w:left="527" w:right="227" w:hanging="357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B20DD">
              <w:rPr>
                <w:rFonts w:asciiTheme="majorHAnsi" w:hAnsiTheme="majorHAnsi"/>
                <w:sz w:val="18"/>
                <w:szCs w:val="18"/>
              </w:rPr>
              <w:t>Możliwość wykonywania drobnych usług zgodnych z prowadzoną działalnością dla użytkowników</w:t>
            </w:r>
            <w:r w:rsidR="00FD0873" w:rsidRPr="004B20DD">
              <w:rPr>
                <w:rFonts w:asciiTheme="majorHAnsi" w:hAnsiTheme="majorHAnsi"/>
                <w:sz w:val="18"/>
                <w:szCs w:val="18"/>
              </w:rPr>
              <w:t xml:space="preserve"> administrowanych zasobów.</w:t>
            </w:r>
          </w:p>
          <w:p w:rsidR="00292FE3" w:rsidRPr="00F23E64" w:rsidRDefault="00F5081A" w:rsidP="00F23E64">
            <w:pPr>
              <w:pStyle w:val="Bezodstpw"/>
              <w:numPr>
                <w:ilvl w:val="0"/>
                <w:numId w:val="7"/>
              </w:numPr>
              <w:spacing w:after="120"/>
              <w:ind w:left="527" w:right="227" w:hanging="357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B20DD">
              <w:rPr>
                <w:rFonts w:asciiTheme="majorHAnsi" w:hAnsiTheme="majorHAnsi"/>
                <w:sz w:val="18"/>
                <w:szCs w:val="18"/>
              </w:rPr>
              <w:t>Możliwość wykonywania innych doraźnych zadań w ramach prowadzonej działalności.</w:t>
            </w:r>
          </w:p>
        </w:tc>
      </w:tr>
      <w:tr w:rsidR="00292FE3" w:rsidRPr="00B61AFF" w:rsidTr="00292F7F">
        <w:trPr>
          <w:trHeight w:val="33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B739B7" w:rsidRDefault="00292FE3" w:rsidP="00AE7A2A">
            <w:pPr>
              <w:pStyle w:val="Teksttreci20"/>
              <w:shd w:val="clear" w:color="auto" w:fill="auto"/>
              <w:ind w:left="84" w:right="28"/>
              <w:rPr>
                <w:rFonts w:asciiTheme="majorHAnsi" w:hAnsiTheme="majorHAnsi"/>
                <w:b/>
                <w:sz w:val="16"/>
                <w:szCs w:val="16"/>
              </w:rPr>
            </w:pPr>
            <w:r w:rsidRPr="00B739B7">
              <w:rPr>
                <w:rStyle w:val="Teksttreci29"/>
                <w:rFonts w:asciiTheme="majorHAnsi" w:hAnsiTheme="majorHAnsi"/>
                <w:b/>
                <w:color w:val="000000"/>
                <w:sz w:val="16"/>
                <w:szCs w:val="16"/>
              </w:rPr>
              <w:t>2.</w:t>
            </w: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BE1B03" w:rsidRDefault="00292FE3" w:rsidP="00D96A20">
            <w:pPr>
              <w:pStyle w:val="Teksttreci20"/>
              <w:shd w:val="clear" w:color="auto" w:fill="auto"/>
              <w:ind w:left="113" w:right="28"/>
              <w:rPr>
                <w:rFonts w:asciiTheme="majorHAnsi" w:hAnsiTheme="majorHAnsi"/>
                <w:sz w:val="19"/>
                <w:szCs w:val="19"/>
              </w:rPr>
            </w:pPr>
            <w:r w:rsidRPr="00BE1B03">
              <w:rPr>
                <w:rStyle w:val="Teksttreci29"/>
                <w:rFonts w:asciiTheme="majorHAnsi" w:hAnsiTheme="majorHAnsi"/>
                <w:color w:val="000000"/>
              </w:rPr>
              <w:t>wskazanie okresu objętego sprawozdaniem</w:t>
            </w:r>
          </w:p>
        </w:tc>
      </w:tr>
      <w:tr w:rsidR="00292FE3" w:rsidRPr="00B61AFF" w:rsidTr="00292F7F">
        <w:trPr>
          <w:trHeight w:val="34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B739B7" w:rsidRDefault="00292FE3" w:rsidP="00AE7A2A">
            <w:pPr>
              <w:spacing w:after="0" w:line="240" w:lineRule="auto"/>
              <w:ind w:left="28" w:right="28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6A20" w:rsidRPr="00F23E64" w:rsidRDefault="00F8792C" w:rsidP="00F23E64">
            <w:pPr>
              <w:spacing w:before="120" w:after="120" w:line="240" w:lineRule="auto"/>
              <w:ind w:left="113" w:right="28"/>
              <w:rPr>
                <w:rFonts w:asciiTheme="majorHAnsi" w:hAnsiTheme="majorHAnsi"/>
                <w:sz w:val="18"/>
                <w:szCs w:val="18"/>
              </w:rPr>
            </w:pPr>
            <w:r w:rsidRPr="004B20DD">
              <w:rPr>
                <w:rFonts w:asciiTheme="majorHAnsi" w:hAnsiTheme="majorHAnsi"/>
                <w:sz w:val="18"/>
                <w:szCs w:val="18"/>
              </w:rPr>
              <w:t>Sprawozdanie</w:t>
            </w:r>
            <w:r w:rsidR="004933C3" w:rsidRPr="004B20DD">
              <w:rPr>
                <w:rFonts w:asciiTheme="majorHAnsi" w:hAnsiTheme="majorHAnsi"/>
                <w:sz w:val="18"/>
                <w:szCs w:val="18"/>
              </w:rPr>
              <w:t xml:space="preserve"> finansowe obejmuje okres </w:t>
            </w:r>
            <w:r w:rsidRPr="004B20DD">
              <w:rPr>
                <w:rFonts w:asciiTheme="majorHAnsi" w:hAnsiTheme="majorHAnsi"/>
                <w:sz w:val="18"/>
                <w:szCs w:val="18"/>
              </w:rPr>
              <w:t>od 1 stycznia 201</w:t>
            </w:r>
            <w:r w:rsidR="00F5081A" w:rsidRPr="004B20DD">
              <w:rPr>
                <w:rFonts w:asciiTheme="majorHAnsi" w:hAnsiTheme="majorHAnsi"/>
                <w:sz w:val="18"/>
                <w:szCs w:val="18"/>
              </w:rPr>
              <w:t>9</w:t>
            </w:r>
            <w:r w:rsidR="00B75549" w:rsidRPr="004B20D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4B20DD">
              <w:rPr>
                <w:rFonts w:asciiTheme="majorHAnsi" w:hAnsiTheme="majorHAnsi"/>
                <w:sz w:val="18"/>
                <w:szCs w:val="18"/>
              </w:rPr>
              <w:t>roku do 31 gru</w:t>
            </w:r>
            <w:r w:rsidR="004933C3" w:rsidRPr="004B20DD">
              <w:rPr>
                <w:rFonts w:asciiTheme="majorHAnsi" w:hAnsiTheme="majorHAnsi"/>
                <w:sz w:val="18"/>
                <w:szCs w:val="18"/>
              </w:rPr>
              <w:t>dnia 201</w:t>
            </w:r>
            <w:r w:rsidR="00F5081A" w:rsidRPr="004B20DD">
              <w:rPr>
                <w:rFonts w:asciiTheme="majorHAnsi" w:hAnsiTheme="majorHAnsi"/>
                <w:sz w:val="18"/>
                <w:szCs w:val="18"/>
              </w:rPr>
              <w:t>9</w:t>
            </w:r>
            <w:r w:rsidRPr="004B20D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4933C3" w:rsidRPr="004B20DD">
              <w:rPr>
                <w:rFonts w:asciiTheme="majorHAnsi" w:hAnsiTheme="majorHAnsi"/>
                <w:sz w:val="18"/>
                <w:szCs w:val="18"/>
              </w:rPr>
              <w:t>r</w:t>
            </w:r>
            <w:r w:rsidRPr="004B20DD">
              <w:rPr>
                <w:rFonts w:asciiTheme="majorHAnsi" w:hAnsiTheme="majorHAnsi"/>
                <w:sz w:val="18"/>
                <w:szCs w:val="18"/>
              </w:rPr>
              <w:t>oku.</w:t>
            </w:r>
          </w:p>
        </w:tc>
      </w:tr>
      <w:tr w:rsidR="00292FE3" w:rsidRPr="00B61AFF" w:rsidTr="00292F7F">
        <w:trPr>
          <w:trHeight w:val="36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B739B7" w:rsidRDefault="00292FE3" w:rsidP="00AE7A2A">
            <w:pPr>
              <w:pStyle w:val="Teksttreci20"/>
              <w:shd w:val="clear" w:color="auto" w:fill="auto"/>
              <w:ind w:left="84" w:right="28"/>
              <w:rPr>
                <w:rFonts w:asciiTheme="majorHAnsi" w:hAnsiTheme="majorHAnsi"/>
                <w:b/>
                <w:sz w:val="16"/>
                <w:szCs w:val="16"/>
              </w:rPr>
            </w:pPr>
            <w:r w:rsidRPr="00B739B7">
              <w:rPr>
                <w:rStyle w:val="Teksttreci29"/>
                <w:rFonts w:asciiTheme="majorHAnsi" w:hAnsiTheme="majorHAnsi"/>
                <w:b/>
                <w:color w:val="000000"/>
                <w:sz w:val="16"/>
                <w:szCs w:val="16"/>
              </w:rPr>
              <w:t>3.</w:t>
            </w: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BE1B03" w:rsidRDefault="00292FE3" w:rsidP="00D96A20">
            <w:pPr>
              <w:pStyle w:val="Teksttreci20"/>
              <w:shd w:val="clear" w:color="auto" w:fill="auto"/>
              <w:ind w:left="113" w:right="28"/>
              <w:rPr>
                <w:rFonts w:asciiTheme="majorHAnsi" w:hAnsiTheme="majorHAnsi"/>
                <w:sz w:val="19"/>
                <w:szCs w:val="19"/>
              </w:rPr>
            </w:pPr>
            <w:r w:rsidRPr="00BE1B03">
              <w:rPr>
                <w:rStyle w:val="Teksttreci29"/>
                <w:rFonts w:asciiTheme="majorHAnsi" w:hAnsiTheme="majorHAnsi"/>
                <w:color w:val="000000"/>
              </w:rPr>
              <w:t xml:space="preserve">wskazanie, że sprawozdanie finansowe zawiera dane łączne, </w:t>
            </w:r>
          </w:p>
        </w:tc>
      </w:tr>
      <w:tr w:rsidR="00292FE3" w:rsidRPr="00B61AFF" w:rsidTr="00292F7F">
        <w:trPr>
          <w:trHeight w:val="36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B739B7" w:rsidRDefault="00292FE3" w:rsidP="00AE7A2A">
            <w:pPr>
              <w:spacing w:after="0" w:line="240" w:lineRule="auto"/>
              <w:ind w:left="28" w:right="28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F23E64" w:rsidRDefault="005F5043" w:rsidP="00684CBB">
            <w:pPr>
              <w:spacing w:after="0" w:line="240" w:lineRule="auto"/>
              <w:ind w:left="113" w:right="28"/>
              <w:rPr>
                <w:rFonts w:asciiTheme="majorHAnsi" w:hAnsiTheme="majorHAnsi"/>
                <w:sz w:val="18"/>
                <w:szCs w:val="18"/>
              </w:rPr>
            </w:pPr>
            <w:r w:rsidRPr="00F23E64">
              <w:rPr>
                <w:rFonts w:asciiTheme="majorHAnsi" w:hAnsiTheme="majorHAnsi"/>
                <w:sz w:val="18"/>
                <w:szCs w:val="18"/>
              </w:rPr>
              <w:t xml:space="preserve">Nie </w:t>
            </w:r>
            <w:r w:rsidR="007E77A3" w:rsidRPr="00F23E64">
              <w:rPr>
                <w:rFonts w:asciiTheme="majorHAnsi" w:hAnsiTheme="majorHAnsi"/>
                <w:sz w:val="18"/>
                <w:szCs w:val="18"/>
              </w:rPr>
              <w:t>dotyczy</w:t>
            </w:r>
          </w:p>
        </w:tc>
      </w:tr>
      <w:tr w:rsidR="00292FE3" w:rsidRPr="00B61AFF" w:rsidTr="00292F7F">
        <w:trPr>
          <w:trHeight w:val="31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B739B7" w:rsidRDefault="00292FE3" w:rsidP="00AE7A2A">
            <w:pPr>
              <w:pStyle w:val="Teksttreci20"/>
              <w:shd w:val="clear" w:color="auto" w:fill="auto"/>
              <w:ind w:left="84" w:right="28"/>
              <w:rPr>
                <w:rFonts w:asciiTheme="majorHAnsi" w:hAnsiTheme="majorHAnsi"/>
                <w:b/>
                <w:sz w:val="16"/>
                <w:szCs w:val="16"/>
              </w:rPr>
            </w:pPr>
            <w:r w:rsidRPr="00B739B7">
              <w:rPr>
                <w:rStyle w:val="Teksttreci29"/>
                <w:rFonts w:asciiTheme="majorHAnsi" w:hAnsiTheme="majorHAnsi"/>
                <w:b/>
                <w:color w:val="000000"/>
                <w:sz w:val="16"/>
                <w:szCs w:val="16"/>
              </w:rPr>
              <w:t>4.</w:t>
            </w: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BE1B03" w:rsidRDefault="00292FE3" w:rsidP="00D96A20">
            <w:pPr>
              <w:pStyle w:val="Teksttreci20"/>
              <w:shd w:val="clear" w:color="auto" w:fill="auto"/>
              <w:ind w:left="113" w:right="28"/>
              <w:rPr>
                <w:rFonts w:asciiTheme="majorHAnsi" w:hAnsiTheme="majorHAnsi"/>
                <w:sz w:val="19"/>
                <w:szCs w:val="19"/>
              </w:rPr>
            </w:pPr>
            <w:r w:rsidRPr="00BE1B03">
              <w:rPr>
                <w:rStyle w:val="Teksttreci29"/>
                <w:rFonts w:asciiTheme="majorHAnsi" w:hAnsiTheme="majorHAnsi"/>
                <w:color w:val="000000"/>
              </w:rPr>
              <w:t>omówienie przyjętych zasad (polityki) rachunkowości, w tym metod wyceny aktywów i pasywów (także</w:t>
            </w:r>
            <w:r w:rsidR="009D17F3" w:rsidRPr="00BE1B03">
              <w:rPr>
                <w:rStyle w:val="Teksttreci29"/>
                <w:rFonts w:asciiTheme="majorHAnsi" w:hAnsiTheme="majorHAnsi"/>
                <w:color w:val="000000"/>
              </w:rPr>
              <w:t xml:space="preserve"> </w:t>
            </w:r>
            <w:r w:rsidRPr="00BE1B03">
              <w:rPr>
                <w:rStyle w:val="Teksttreci29"/>
                <w:rFonts w:asciiTheme="majorHAnsi" w:hAnsiTheme="majorHAnsi"/>
                <w:color w:val="000000"/>
              </w:rPr>
              <w:t>amortyzacji)</w:t>
            </w:r>
          </w:p>
        </w:tc>
      </w:tr>
      <w:tr w:rsidR="00292FE3" w:rsidRPr="00B61AFF" w:rsidTr="00292F7F">
        <w:trPr>
          <w:trHeight w:val="34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B61AFF" w:rsidRDefault="00292FE3" w:rsidP="00AE7A2A">
            <w:pPr>
              <w:spacing w:after="0" w:line="240" w:lineRule="auto"/>
              <w:ind w:left="28" w:right="28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35737" w:rsidRPr="004B20DD" w:rsidRDefault="002B5536" w:rsidP="002B5536">
            <w:pPr>
              <w:pStyle w:val="Bezodstpw"/>
              <w:spacing w:before="120"/>
              <w:ind w:left="170" w:right="227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B20DD">
              <w:rPr>
                <w:rFonts w:asciiTheme="majorHAnsi" w:hAnsiTheme="majorHAnsi"/>
                <w:sz w:val="18"/>
                <w:szCs w:val="18"/>
              </w:rPr>
              <w:t xml:space="preserve">    </w:t>
            </w:r>
            <w:r w:rsidR="00A35737" w:rsidRPr="004B20DD">
              <w:rPr>
                <w:rFonts w:asciiTheme="majorHAnsi" w:hAnsiTheme="majorHAnsi"/>
                <w:sz w:val="18"/>
                <w:szCs w:val="18"/>
              </w:rPr>
              <w:t>Zakład zobowiązany jest stosować przyjęte zasady ( politykę)</w:t>
            </w:r>
            <w:r w:rsidR="00A35737" w:rsidRPr="004B20DD">
              <w:rPr>
                <w:rFonts w:asciiTheme="majorHAnsi" w:hAnsiTheme="majorHAnsi"/>
                <w:color w:val="FF0000"/>
                <w:sz w:val="18"/>
                <w:szCs w:val="18"/>
              </w:rPr>
              <w:t xml:space="preserve"> </w:t>
            </w:r>
            <w:r w:rsidR="00A35737" w:rsidRPr="004B20DD">
              <w:rPr>
                <w:rFonts w:asciiTheme="majorHAnsi" w:hAnsiTheme="majorHAnsi"/>
                <w:sz w:val="18"/>
                <w:szCs w:val="18"/>
              </w:rPr>
              <w:t>rachunkowości rzetelnie i jasno przedstawiając</w:t>
            </w:r>
            <w:r w:rsidR="00F5081A" w:rsidRPr="004B20DD">
              <w:rPr>
                <w:rFonts w:asciiTheme="majorHAnsi" w:hAnsiTheme="majorHAnsi"/>
                <w:sz w:val="18"/>
                <w:szCs w:val="18"/>
              </w:rPr>
              <w:t xml:space="preserve"> sytuację majątkową i finansową</w:t>
            </w:r>
            <w:r w:rsidR="00A35737" w:rsidRPr="004B20DD">
              <w:rPr>
                <w:rFonts w:asciiTheme="majorHAnsi" w:hAnsiTheme="majorHAnsi"/>
                <w:sz w:val="18"/>
                <w:szCs w:val="18"/>
              </w:rPr>
              <w:t xml:space="preserve"> oraz wynik </w:t>
            </w:r>
            <w:r w:rsidRPr="004B20DD">
              <w:rPr>
                <w:rFonts w:asciiTheme="majorHAnsi" w:hAnsiTheme="majorHAnsi"/>
                <w:sz w:val="18"/>
                <w:szCs w:val="18"/>
              </w:rPr>
              <w:t xml:space="preserve">finansowy </w:t>
            </w:r>
            <w:r w:rsidR="00A35737" w:rsidRPr="004B20DD">
              <w:rPr>
                <w:rFonts w:asciiTheme="majorHAnsi" w:hAnsiTheme="majorHAnsi"/>
                <w:sz w:val="18"/>
                <w:szCs w:val="18"/>
              </w:rPr>
              <w:t>zakładu.</w:t>
            </w:r>
          </w:p>
          <w:p w:rsidR="00A35737" w:rsidRPr="004B20DD" w:rsidRDefault="002B5536" w:rsidP="002B5536">
            <w:pPr>
              <w:pStyle w:val="Bezodstpw"/>
              <w:ind w:left="170" w:right="227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B20DD">
              <w:rPr>
                <w:rFonts w:asciiTheme="majorHAnsi" w:hAnsiTheme="majorHAnsi"/>
                <w:sz w:val="18"/>
                <w:szCs w:val="18"/>
              </w:rPr>
              <w:t xml:space="preserve">    </w:t>
            </w:r>
            <w:r w:rsidR="00A35737" w:rsidRPr="004B20DD">
              <w:rPr>
                <w:rFonts w:asciiTheme="majorHAnsi" w:hAnsiTheme="majorHAnsi"/>
                <w:sz w:val="18"/>
                <w:szCs w:val="18"/>
              </w:rPr>
              <w:t>Rachunkowość obejmuje wszystkie zdarzenia, w tym operacje</w:t>
            </w:r>
            <w:r w:rsidRPr="004B20DD">
              <w:rPr>
                <w:rFonts w:asciiTheme="majorHAnsi" w:hAnsiTheme="majorHAnsi"/>
                <w:sz w:val="18"/>
                <w:szCs w:val="18"/>
              </w:rPr>
              <w:t xml:space="preserve"> gospodarcze, które ujmuje się </w:t>
            </w:r>
            <w:r w:rsidR="00A35737" w:rsidRPr="004B20DD">
              <w:rPr>
                <w:rFonts w:asciiTheme="majorHAnsi" w:hAnsiTheme="majorHAnsi"/>
                <w:sz w:val="18"/>
                <w:szCs w:val="18"/>
              </w:rPr>
              <w:t xml:space="preserve">w księgach </w:t>
            </w:r>
            <w:r w:rsidRPr="004B20DD">
              <w:rPr>
                <w:rFonts w:asciiTheme="majorHAnsi" w:hAnsiTheme="majorHAnsi"/>
                <w:sz w:val="18"/>
                <w:szCs w:val="18"/>
              </w:rPr>
              <w:t xml:space="preserve">rachunkowych </w:t>
            </w:r>
            <w:r w:rsidR="00A35737" w:rsidRPr="004B20DD">
              <w:rPr>
                <w:rFonts w:asciiTheme="majorHAnsi" w:hAnsiTheme="majorHAnsi"/>
                <w:sz w:val="18"/>
                <w:szCs w:val="18"/>
              </w:rPr>
              <w:t>na podstawie dowodów księgowych zgodnie z ich treścią ekonomiczn</w:t>
            </w:r>
            <w:r w:rsidRPr="004B20DD">
              <w:rPr>
                <w:rFonts w:asciiTheme="majorHAnsi" w:hAnsiTheme="majorHAnsi"/>
                <w:sz w:val="18"/>
                <w:szCs w:val="18"/>
              </w:rPr>
              <w:t>ą ujmujących zapisy</w:t>
            </w:r>
            <w:r w:rsidR="0099380C" w:rsidRPr="004B20D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A35737" w:rsidRPr="004B20DD">
              <w:rPr>
                <w:rFonts w:asciiTheme="majorHAnsi" w:hAnsiTheme="majorHAnsi"/>
                <w:sz w:val="18"/>
                <w:szCs w:val="18"/>
              </w:rPr>
              <w:t>zdarzeń w porządku ch</w:t>
            </w:r>
            <w:r w:rsidRPr="004B20DD">
              <w:rPr>
                <w:rFonts w:asciiTheme="majorHAnsi" w:hAnsiTheme="majorHAnsi"/>
                <w:sz w:val="18"/>
                <w:szCs w:val="18"/>
              </w:rPr>
              <w:t xml:space="preserve">ronologicznym i systematycznym </w:t>
            </w:r>
            <w:r w:rsidR="00A35737" w:rsidRPr="004B20DD">
              <w:rPr>
                <w:rFonts w:asciiTheme="majorHAnsi" w:hAnsiTheme="majorHAnsi"/>
                <w:sz w:val="18"/>
                <w:szCs w:val="18"/>
              </w:rPr>
              <w:t>w język</w:t>
            </w:r>
            <w:r w:rsidRPr="004B20DD">
              <w:rPr>
                <w:rFonts w:asciiTheme="majorHAnsi" w:hAnsiTheme="majorHAnsi"/>
                <w:sz w:val="18"/>
                <w:szCs w:val="18"/>
              </w:rPr>
              <w:t>u polskim i w walucie polskiej.</w:t>
            </w:r>
          </w:p>
          <w:p w:rsidR="007D6A87" w:rsidRDefault="004E44C9" w:rsidP="0090505A">
            <w:pPr>
              <w:pStyle w:val="Bezodstpw"/>
              <w:spacing w:after="240"/>
              <w:ind w:left="170" w:right="227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B20D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2B5536" w:rsidRPr="004B20DD">
              <w:rPr>
                <w:rFonts w:asciiTheme="majorHAnsi" w:hAnsiTheme="majorHAnsi"/>
                <w:sz w:val="18"/>
                <w:szCs w:val="18"/>
              </w:rPr>
              <w:t xml:space="preserve">   </w:t>
            </w:r>
            <w:r w:rsidR="00202639" w:rsidRPr="004B20DD">
              <w:rPr>
                <w:rFonts w:asciiTheme="majorHAnsi" w:hAnsiTheme="majorHAnsi"/>
                <w:sz w:val="18"/>
                <w:szCs w:val="18"/>
              </w:rPr>
              <w:t>Przyjęte zasady (politykę) rachunkowo</w:t>
            </w:r>
            <w:r w:rsidR="002B5536" w:rsidRPr="004B20DD">
              <w:rPr>
                <w:rFonts w:asciiTheme="majorHAnsi" w:hAnsiTheme="majorHAnsi"/>
                <w:sz w:val="18"/>
                <w:szCs w:val="18"/>
              </w:rPr>
              <w:t xml:space="preserve">ści stosuje się w sposób ciągły </w:t>
            </w:r>
            <w:r w:rsidR="00202639" w:rsidRPr="004B20DD">
              <w:rPr>
                <w:rFonts w:asciiTheme="majorHAnsi" w:hAnsiTheme="majorHAnsi"/>
                <w:sz w:val="18"/>
                <w:szCs w:val="18"/>
              </w:rPr>
              <w:t>dokonując w kolejnych</w:t>
            </w:r>
            <w:r w:rsidR="002B5536" w:rsidRPr="004B20DD">
              <w:rPr>
                <w:rFonts w:asciiTheme="majorHAnsi" w:hAnsiTheme="majorHAnsi"/>
                <w:sz w:val="18"/>
                <w:szCs w:val="18"/>
              </w:rPr>
              <w:t xml:space="preserve"> latach obrotowych</w:t>
            </w:r>
            <w:r w:rsidRPr="004B20D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83791F" w:rsidRPr="004B20DD">
              <w:rPr>
                <w:rFonts w:asciiTheme="majorHAnsi" w:hAnsiTheme="majorHAnsi"/>
                <w:sz w:val="18"/>
                <w:szCs w:val="18"/>
              </w:rPr>
              <w:t>jednakowego grupowania op</w:t>
            </w:r>
            <w:r w:rsidR="002B5536" w:rsidRPr="004B20DD">
              <w:rPr>
                <w:rFonts w:asciiTheme="majorHAnsi" w:hAnsiTheme="majorHAnsi"/>
                <w:sz w:val="18"/>
                <w:szCs w:val="18"/>
              </w:rPr>
              <w:t>eracji gospodarczych</w:t>
            </w:r>
            <w:r w:rsidR="0083791F" w:rsidRPr="004B20DD">
              <w:rPr>
                <w:rFonts w:asciiTheme="majorHAnsi" w:hAnsiTheme="majorHAnsi"/>
                <w:sz w:val="18"/>
                <w:szCs w:val="18"/>
              </w:rPr>
              <w:t>, jednakowej wyceny aktywów i pasywów (w tym także dokonywania odpisów am</w:t>
            </w:r>
            <w:r w:rsidR="002B5536" w:rsidRPr="004B20DD">
              <w:rPr>
                <w:rFonts w:asciiTheme="majorHAnsi" w:hAnsiTheme="majorHAnsi"/>
                <w:sz w:val="18"/>
                <w:szCs w:val="18"/>
              </w:rPr>
              <w:t>ortyzacyjnych i umorzeniowych), W</w:t>
            </w:r>
            <w:r w:rsidR="0083791F" w:rsidRPr="004B20DD">
              <w:rPr>
                <w:rFonts w:asciiTheme="majorHAnsi" w:hAnsiTheme="majorHAnsi"/>
                <w:sz w:val="18"/>
                <w:szCs w:val="18"/>
              </w:rPr>
              <w:t>ynik finansowy</w:t>
            </w:r>
            <w:r w:rsidR="002B5536" w:rsidRPr="004B20DD">
              <w:rPr>
                <w:rFonts w:asciiTheme="majorHAnsi" w:hAnsiTheme="majorHAnsi"/>
                <w:sz w:val="18"/>
                <w:szCs w:val="18"/>
              </w:rPr>
              <w:t xml:space="preserve"> ustala się</w:t>
            </w:r>
            <w:r w:rsidR="00D326D3" w:rsidRPr="004B20DD">
              <w:rPr>
                <w:rFonts w:asciiTheme="majorHAnsi" w:hAnsiTheme="majorHAnsi"/>
                <w:sz w:val="18"/>
                <w:szCs w:val="18"/>
              </w:rPr>
              <w:t xml:space="preserve"> i sprawozdanie finansowe </w:t>
            </w:r>
            <w:r w:rsidR="002B5536" w:rsidRPr="004B20DD">
              <w:rPr>
                <w:rFonts w:asciiTheme="majorHAnsi" w:hAnsiTheme="majorHAnsi"/>
                <w:sz w:val="18"/>
                <w:szCs w:val="18"/>
              </w:rPr>
              <w:t xml:space="preserve">sporządza się tak, aby za </w:t>
            </w:r>
            <w:r w:rsidR="00D326D3" w:rsidRPr="004B20DD">
              <w:rPr>
                <w:rFonts w:asciiTheme="majorHAnsi" w:hAnsiTheme="majorHAnsi"/>
                <w:sz w:val="18"/>
                <w:szCs w:val="18"/>
              </w:rPr>
              <w:t xml:space="preserve">kolejne lata informacje z nich wynikające były porównywalne. Przyjęte </w:t>
            </w:r>
            <w:r w:rsidR="009D1BB5" w:rsidRPr="004B20DD">
              <w:rPr>
                <w:rFonts w:asciiTheme="majorHAnsi" w:hAnsiTheme="majorHAnsi"/>
                <w:sz w:val="18"/>
                <w:szCs w:val="18"/>
              </w:rPr>
              <w:t>zasady rachunkowości</w:t>
            </w:r>
            <w:r w:rsidR="0099380C" w:rsidRPr="004B20D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9D1BB5" w:rsidRPr="004B20DD">
              <w:rPr>
                <w:rFonts w:asciiTheme="majorHAnsi" w:hAnsiTheme="majorHAnsi"/>
                <w:sz w:val="18"/>
                <w:szCs w:val="18"/>
              </w:rPr>
              <w:t xml:space="preserve">są zgodne z przepisami ustawy z dnia 29 września 1994r o rachunkowości </w:t>
            </w:r>
            <w:r w:rsidRPr="004B20DD">
              <w:rPr>
                <w:rFonts w:asciiTheme="majorHAnsi" w:hAnsiTheme="majorHAnsi"/>
                <w:sz w:val="18"/>
                <w:szCs w:val="18"/>
              </w:rPr>
              <w:t>oraz Rozporządzeniem</w:t>
            </w:r>
            <w:r w:rsidR="0099380C" w:rsidRPr="004B20DD">
              <w:rPr>
                <w:rFonts w:asciiTheme="majorHAnsi" w:hAnsiTheme="majorHAnsi"/>
                <w:sz w:val="18"/>
                <w:szCs w:val="18"/>
              </w:rPr>
              <w:t xml:space="preserve"> Ministra Rozwoju</w:t>
            </w:r>
            <w:r w:rsidRPr="004B20D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9D1BB5" w:rsidRPr="004B20DD">
              <w:rPr>
                <w:rFonts w:asciiTheme="majorHAnsi" w:hAnsiTheme="majorHAnsi"/>
                <w:sz w:val="18"/>
                <w:szCs w:val="18"/>
              </w:rPr>
              <w:t>i Finansów z dnia 13 wr</w:t>
            </w:r>
            <w:r w:rsidRPr="004B20DD">
              <w:rPr>
                <w:rFonts w:asciiTheme="majorHAnsi" w:hAnsiTheme="majorHAnsi"/>
                <w:sz w:val="18"/>
                <w:szCs w:val="18"/>
              </w:rPr>
              <w:t xml:space="preserve">ześnia w sprawie rachunkowości </w:t>
            </w:r>
            <w:r w:rsidR="009D1BB5" w:rsidRPr="004B20DD">
              <w:rPr>
                <w:rFonts w:asciiTheme="majorHAnsi" w:hAnsiTheme="majorHAnsi"/>
                <w:sz w:val="18"/>
                <w:szCs w:val="18"/>
              </w:rPr>
              <w:t>oraz planów kont</w:t>
            </w:r>
            <w:r w:rsidR="0099380C" w:rsidRPr="004B20D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2B5536" w:rsidRPr="004B20DD">
              <w:rPr>
                <w:rFonts w:asciiTheme="majorHAnsi" w:hAnsiTheme="majorHAnsi"/>
                <w:sz w:val="18"/>
                <w:szCs w:val="18"/>
              </w:rPr>
              <w:t xml:space="preserve">dla budżetu </w:t>
            </w:r>
            <w:r w:rsidR="009D1BB5" w:rsidRPr="004B20DD">
              <w:rPr>
                <w:rFonts w:asciiTheme="majorHAnsi" w:hAnsiTheme="majorHAnsi"/>
                <w:sz w:val="18"/>
                <w:szCs w:val="18"/>
              </w:rPr>
              <w:t>państwa, budżetów jednostek</w:t>
            </w:r>
            <w:r w:rsidR="0099380C" w:rsidRPr="004B20D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9D1BB5" w:rsidRPr="004B20DD">
              <w:rPr>
                <w:rFonts w:asciiTheme="majorHAnsi" w:hAnsiTheme="majorHAnsi"/>
                <w:sz w:val="18"/>
                <w:szCs w:val="18"/>
              </w:rPr>
              <w:t>samorząd</w:t>
            </w:r>
            <w:r w:rsidRPr="004B20DD">
              <w:rPr>
                <w:rFonts w:asciiTheme="majorHAnsi" w:hAnsiTheme="majorHAnsi"/>
                <w:sz w:val="18"/>
                <w:szCs w:val="18"/>
              </w:rPr>
              <w:t xml:space="preserve">u terytorialnego , jednostek </w:t>
            </w:r>
            <w:r w:rsidR="009D1BB5" w:rsidRPr="004B20DD">
              <w:rPr>
                <w:rFonts w:asciiTheme="majorHAnsi" w:hAnsiTheme="majorHAnsi"/>
                <w:sz w:val="18"/>
                <w:szCs w:val="18"/>
              </w:rPr>
              <w:t xml:space="preserve">budżetowych, samorządowych zakładów budżetowych, państwowych funduszy </w:t>
            </w:r>
            <w:r w:rsidRPr="004B20DD">
              <w:rPr>
                <w:rFonts w:asciiTheme="majorHAnsi" w:hAnsiTheme="majorHAnsi"/>
                <w:sz w:val="18"/>
                <w:szCs w:val="18"/>
              </w:rPr>
              <w:t>celowych oraz państwowych</w:t>
            </w:r>
            <w:r w:rsidR="009D1BB5" w:rsidRPr="004B20DD">
              <w:rPr>
                <w:rFonts w:asciiTheme="majorHAnsi" w:hAnsiTheme="majorHAnsi"/>
                <w:sz w:val="18"/>
                <w:szCs w:val="18"/>
              </w:rPr>
              <w:t xml:space="preserve"> jednostek budżetowych mających siedzibę poza granicami Rzeczypospolitej Polskiej</w:t>
            </w:r>
            <w:r w:rsidR="0099380C" w:rsidRPr="004B20D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9D1BB5" w:rsidRPr="004B20DD">
              <w:rPr>
                <w:rFonts w:asciiTheme="majorHAnsi" w:hAnsiTheme="majorHAnsi"/>
                <w:sz w:val="18"/>
                <w:szCs w:val="18"/>
              </w:rPr>
              <w:t>(Dz. U. z 2017 roku poz.1911</w:t>
            </w:r>
            <w:r w:rsidRPr="004B20DD">
              <w:rPr>
                <w:rFonts w:asciiTheme="majorHAnsi" w:hAnsiTheme="majorHAnsi"/>
                <w:sz w:val="18"/>
                <w:szCs w:val="18"/>
              </w:rPr>
              <w:t xml:space="preserve"> z późn.zm.</w:t>
            </w:r>
            <w:r w:rsidR="002B5536" w:rsidRPr="004B20DD">
              <w:rPr>
                <w:rFonts w:asciiTheme="majorHAnsi" w:hAnsiTheme="majorHAnsi"/>
                <w:sz w:val="18"/>
                <w:szCs w:val="18"/>
              </w:rPr>
              <w:t>)</w:t>
            </w:r>
            <w:r w:rsidRPr="004B20DD"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90505A" w:rsidRPr="0090505A" w:rsidRDefault="0090505A" w:rsidP="0090505A">
            <w:pPr>
              <w:pStyle w:val="Bezodstpw"/>
              <w:ind w:left="170" w:right="227"/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  <w:p w:rsidR="004E44C9" w:rsidRPr="004B20DD" w:rsidRDefault="002B5536" w:rsidP="0090505A">
            <w:pPr>
              <w:pStyle w:val="Bezodstpw"/>
              <w:spacing w:after="60"/>
              <w:ind w:left="170" w:right="227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B20DD">
              <w:rPr>
                <w:rFonts w:asciiTheme="majorHAnsi" w:hAnsiTheme="majorHAnsi"/>
                <w:sz w:val="18"/>
                <w:szCs w:val="18"/>
              </w:rPr>
              <w:t xml:space="preserve">    </w:t>
            </w:r>
            <w:r w:rsidR="004E44C9" w:rsidRPr="004B20DD">
              <w:rPr>
                <w:rFonts w:asciiTheme="majorHAnsi" w:hAnsiTheme="majorHAnsi"/>
                <w:sz w:val="18"/>
                <w:szCs w:val="18"/>
              </w:rPr>
              <w:t xml:space="preserve"> Przyjęte zasady dokonywania odpisów amortyzacyjnych lub umorzeniowych od środków trwałych oraz </w:t>
            </w:r>
            <w:r w:rsidR="0099380C" w:rsidRPr="004B20DD">
              <w:rPr>
                <w:rFonts w:asciiTheme="majorHAnsi" w:hAnsiTheme="majorHAnsi"/>
                <w:sz w:val="18"/>
                <w:szCs w:val="18"/>
              </w:rPr>
              <w:t xml:space="preserve">wartości </w:t>
            </w:r>
            <w:r w:rsidR="00A04E1C" w:rsidRPr="004B20DD">
              <w:rPr>
                <w:rFonts w:asciiTheme="majorHAnsi" w:hAnsiTheme="majorHAnsi"/>
                <w:sz w:val="18"/>
                <w:szCs w:val="18"/>
              </w:rPr>
              <w:t>niematerialnych i prawnych stosowane są w oparciu o</w:t>
            </w:r>
            <w:r w:rsidR="004E44C9" w:rsidRPr="004B20D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4B20DD">
              <w:rPr>
                <w:rFonts w:asciiTheme="majorHAnsi" w:hAnsiTheme="majorHAnsi"/>
                <w:sz w:val="18"/>
                <w:szCs w:val="18"/>
              </w:rPr>
              <w:t xml:space="preserve">stawki przewidziane w wykazie </w:t>
            </w:r>
            <w:r w:rsidR="004E44C9" w:rsidRPr="004B20DD">
              <w:rPr>
                <w:rFonts w:asciiTheme="majorHAnsi" w:hAnsiTheme="majorHAnsi"/>
                <w:sz w:val="18"/>
                <w:szCs w:val="18"/>
              </w:rPr>
              <w:t>rocznych stawek amortyzacyjnych stanowiących załącznik do ustawy o podatku dochodowym od osób prawnych.</w:t>
            </w:r>
          </w:p>
          <w:p w:rsidR="009D1BB5" w:rsidRPr="004B20DD" w:rsidRDefault="004E44C9" w:rsidP="00D544EC">
            <w:pPr>
              <w:pStyle w:val="Bezodstpw"/>
              <w:spacing w:after="60"/>
              <w:ind w:left="170" w:right="227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B20D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58623E" w:rsidRPr="004B20DD">
              <w:rPr>
                <w:rFonts w:asciiTheme="majorHAnsi" w:hAnsiTheme="majorHAnsi"/>
                <w:sz w:val="18"/>
                <w:szCs w:val="18"/>
              </w:rPr>
              <w:t>Aktywa i pasywa wycenia się według następujących zasad:</w:t>
            </w:r>
          </w:p>
          <w:p w:rsidR="00D544EC" w:rsidRPr="004B20DD" w:rsidRDefault="00A8498C" w:rsidP="00D544EC">
            <w:pPr>
              <w:pStyle w:val="Bezodstpw"/>
              <w:spacing w:after="60"/>
              <w:ind w:left="170" w:right="227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B20DD">
              <w:rPr>
                <w:rFonts w:asciiTheme="majorHAnsi" w:hAnsiTheme="majorHAnsi"/>
                <w:sz w:val="18"/>
                <w:szCs w:val="18"/>
              </w:rPr>
              <w:t>Na dzień bilan</w:t>
            </w:r>
            <w:r w:rsidR="00D544EC" w:rsidRPr="004B20DD">
              <w:rPr>
                <w:rFonts w:asciiTheme="majorHAnsi" w:hAnsiTheme="majorHAnsi"/>
                <w:sz w:val="18"/>
                <w:szCs w:val="18"/>
              </w:rPr>
              <w:t xml:space="preserve">sowy środki trwałe wycenia się </w:t>
            </w:r>
            <w:r w:rsidRPr="004B20DD">
              <w:rPr>
                <w:rFonts w:asciiTheme="majorHAnsi" w:hAnsiTheme="majorHAnsi"/>
                <w:sz w:val="18"/>
                <w:szCs w:val="18"/>
              </w:rPr>
              <w:t>według ceny historycznej z uwzględnieniem zasady</w:t>
            </w:r>
            <w:r w:rsidR="00D544EC" w:rsidRPr="004B20D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4B20DD">
              <w:rPr>
                <w:rFonts w:asciiTheme="majorHAnsi" w:hAnsiTheme="majorHAnsi"/>
                <w:sz w:val="18"/>
                <w:szCs w:val="18"/>
              </w:rPr>
              <w:t xml:space="preserve">ostrożności w wartości netto tj. </w:t>
            </w:r>
            <w:r w:rsidR="00D544EC" w:rsidRPr="004B20DD">
              <w:rPr>
                <w:rFonts w:asciiTheme="majorHAnsi" w:hAnsiTheme="majorHAnsi"/>
                <w:sz w:val="18"/>
                <w:szCs w:val="18"/>
              </w:rPr>
              <w:t xml:space="preserve">pomniejszonej o odpisy </w:t>
            </w:r>
            <w:r w:rsidRPr="004B20DD">
              <w:rPr>
                <w:rFonts w:asciiTheme="majorHAnsi" w:hAnsiTheme="majorHAnsi"/>
                <w:sz w:val="18"/>
                <w:szCs w:val="18"/>
              </w:rPr>
              <w:t>umorzeniowe ustalone na dzień bilansowy. Środki trwałe o wartości równej i wyższej niż 10.000zł i okresie użytkowania ponad rok są umarzane i amortyzowane za okres całego roku wg stawek określonych w przepisach o podatku dochodo</w:t>
            </w:r>
            <w:r w:rsidR="00D544EC" w:rsidRPr="004B20DD">
              <w:rPr>
                <w:rFonts w:asciiTheme="majorHAnsi" w:hAnsiTheme="majorHAnsi"/>
                <w:sz w:val="18"/>
                <w:szCs w:val="18"/>
              </w:rPr>
              <w:t xml:space="preserve">wym od osób prawnych. </w:t>
            </w:r>
            <w:r w:rsidRPr="004B20DD">
              <w:rPr>
                <w:rFonts w:asciiTheme="majorHAnsi" w:hAnsiTheme="majorHAnsi"/>
                <w:sz w:val="18"/>
                <w:szCs w:val="18"/>
              </w:rPr>
              <w:t>W zakładzie przyjęto metodę liniową dla wszystkich środków trwałych</w:t>
            </w:r>
            <w:r w:rsidR="00553345" w:rsidRPr="004B20DD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Pr="004B20DD">
              <w:rPr>
                <w:rFonts w:asciiTheme="majorHAnsi" w:hAnsiTheme="majorHAnsi"/>
                <w:sz w:val="18"/>
                <w:szCs w:val="18"/>
              </w:rPr>
              <w:t xml:space="preserve">Umorzenia środków trwałych </w:t>
            </w:r>
            <w:r w:rsidR="0056368D" w:rsidRPr="004B20DD">
              <w:rPr>
                <w:rFonts w:asciiTheme="majorHAnsi" w:hAnsiTheme="majorHAnsi"/>
                <w:sz w:val="18"/>
                <w:szCs w:val="18"/>
              </w:rPr>
              <w:t>oraz</w:t>
            </w:r>
            <w:r w:rsidRPr="004B20D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56368D" w:rsidRPr="004B20DD">
              <w:rPr>
                <w:rFonts w:asciiTheme="majorHAnsi" w:hAnsiTheme="majorHAnsi"/>
                <w:sz w:val="18"/>
                <w:szCs w:val="18"/>
              </w:rPr>
              <w:t xml:space="preserve">wartości niematerialnych i prawnych </w:t>
            </w:r>
            <w:r w:rsidRPr="004B20DD">
              <w:rPr>
                <w:rFonts w:asciiTheme="majorHAnsi" w:hAnsiTheme="majorHAnsi"/>
                <w:sz w:val="18"/>
                <w:szCs w:val="18"/>
              </w:rPr>
              <w:t xml:space="preserve">ponad 10 000,00 zł nalicza  się od ich wartości początkowej brutto metodą liniową proporcjonalnie do okresu użytkowania zgodnie z aktualnie obowiązującymi stawkami </w:t>
            </w:r>
            <w:r w:rsidR="00D544EC" w:rsidRPr="004B20DD">
              <w:rPr>
                <w:rFonts w:asciiTheme="majorHAnsi" w:hAnsiTheme="majorHAnsi"/>
                <w:sz w:val="18"/>
                <w:szCs w:val="18"/>
              </w:rPr>
              <w:t xml:space="preserve">umorzeniowo-amortyzacyjnymi ustalonymi w przepisach </w:t>
            </w:r>
            <w:r w:rsidRPr="004B20DD">
              <w:rPr>
                <w:rFonts w:asciiTheme="majorHAnsi" w:hAnsiTheme="majorHAnsi"/>
                <w:sz w:val="18"/>
                <w:szCs w:val="18"/>
              </w:rPr>
              <w:t>o podatku dochodowym od osób prawnych.</w:t>
            </w:r>
            <w:r w:rsidR="00553345" w:rsidRPr="004B20D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4B20DD">
              <w:rPr>
                <w:rFonts w:asciiTheme="majorHAnsi" w:hAnsiTheme="majorHAnsi"/>
                <w:sz w:val="18"/>
                <w:szCs w:val="18"/>
              </w:rPr>
              <w:t>Nie umarza się gruntów.</w:t>
            </w:r>
            <w:r w:rsidR="00C33D5E" w:rsidRPr="004B20D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4B20DD">
              <w:rPr>
                <w:rFonts w:asciiTheme="majorHAnsi" w:hAnsiTheme="majorHAnsi"/>
                <w:sz w:val="18"/>
                <w:szCs w:val="18"/>
              </w:rPr>
              <w:t>Pozostałe środki trwałe o wartości jednostkowej od 2</w:t>
            </w:r>
            <w:r w:rsidR="001F5BF5" w:rsidRPr="004B20D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4B20DD">
              <w:rPr>
                <w:rFonts w:asciiTheme="majorHAnsi" w:hAnsiTheme="majorHAnsi"/>
                <w:sz w:val="18"/>
                <w:szCs w:val="18"/>
              </w:rPr>
              <w:t>500zł do 10</w:t>
            </w:r>
            <w:r w:rsidR="001F5BF5" w:rsidRPr="004B20D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4B20DD">
              <w:rPr>
                <w:rFonts w:asciiTheme="majorHAnsi" w:hAnsiTheme="majorHAnsi"/>
                <w:sz w:val="18"/>
                <w:szCs w:val="18"/>
              </w:rPr>
              <w:t>000zł oraz okres użytkowania przekraczający rok  odpisuje się jednorazowo w koszty i podlegają ewidencji ilościowo-wartościowej.</w:t>
            </w:r>
            <w:r w:rsidR="00A35737" w:rsidRPr="004B20D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4B20DD">
              <w:rPr>
                <w:rFonts w:asciiTheme="majorHAnsi" w:hAnsiTheme="majorHAnsi"/>
                <w:sz w:val="18"/>
                <w:szCs w:val="18"/>
              </w:rPr>
              <w:t>Do po</w:t>
            </w:r>
            <w:r w:rsidR="00D544EC" w:rsidRPr="004B20DD">
              <w:rPr>
                <w:rFonts w:asciiTheme="majorHAnsi" w:hAnsiTheme="majorHAnsi"/>
                <w:sz w:val="18"/>
                <w:szCs w:val="18"/>
              </w:rPr>
              <w:t xml:space="preserve">zostałych środków trwałych nie </w:t>
            </w:r>
            <w:r w:rsidRPr="004B20DD">
              <w:rPr>
                <w:rFonts w:asciiTheme="majorHAnsi" w:hAnsiTheme="majorHAnsi"/>
                <w:sz w:val="18"/>
                <w:szCs w:val="18"/>
              </w:rPr>
              <w:t>zalicza się składników majątkowych o wartości nieprzekraczającej 2500 zł , które traktowane są jako materiały.</w:t>
            </w:r>
          </w:p>
          <w:p w:rsidR="00C33D5E" w:rsidRPr="004B20DD" w:rsidRDefault="00D544EC" w:rsidP="00D544EC">
            <w:pPr>
              <w:pStyle w:val="Bezodstpw"/>
              <w:spacing w:after="60"/>
              <w:ind w:left="170" w:right="227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B20DD">
              <w:rPr>
                <w:rFonts w:asciiTheme="majorHAnsi" w:hAnsiTheme="majorHAnsi"/>
                <w:sz w:val="18"/>
                <w:szCs w:val="18"/>
              </w:rPr>
              <w:t xml:space="preserve">   </w:t>
            </w:r>
            <w:r w:rsidR="00A8498C" w:rsidRPr="004B20D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4B20DD">
              <w:rPr>
                <w:rFonts w:asciiTheme="majorHAnsi" w:hAnsiTheme="majorHAnsi"/>
                <w:sz w:val="18"/>
                <w:szCs w:val="18"/>
              </w:rPr>
              <w:t>Do środków trwałych pozostałych</w:t>
            </w:r>
            <w:r w:rsidR="00A8498C" w:rsidRPr="004B20D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4B20DD">
              <w:rPr>
                <w:rFonts w:asciiTheme="majorHAnsi" w:hAnsiTheme="majorHAnsi"/>
                <w:sz w:val="18"/>
                <w:szCs w:val="18"/>
              </w:rPr>
              <w:t xml:space="preserve">zakład </w:t>
            </w:r>
            <w:r w:rsidR="00A8498C" w:rsidRPr="004B20DD">
              <w:rPr>
                <w:rFonts w:asciiTheme="majorHAnsi" w:hAnsiTheme="majorHAnsi"/>
                <w:sz w:val="18"/>
                <w:szCs w:val="18"/>
              </w:rPr>
              <w:t>prowadzi</w:t>
            </w:r>
            <w:r w:rsidRPr="004B20DD">
              <w:rPr>
                <w:rFonts w:asciiTheme="majorHAnsi" w:hAnsiTheme="majorHAnsi"/>
                <w:sz w:val="18"/>
                <w:szCs w:val="18"/>
              </w:rPr>
              <w:t xml:space="preserve"> e</w:t>
            </w:r>
            <w:r w:rsidR="00A8498C" w:rsidRPr="004B20DD">
              <w:rPr>
                <w:rFonts w:asciiTheme="majorHAnsi" w:hAnsiTheme="majorHAnsi"/>
                <w:sz w:val="18"/>
                <w:szCs w:val="18"/>
              </w:rPr>
              <w:t>widencję ilościową i ilościowo-</w:t>
            </w:r>
            <w:r w:rsidRPr="004B20DD">
              <w:rPr>
                <w:rFonts w:asciiTheme="majorHAnsi" w:hAnsiTheme="majorHAnsi"/>
                <w:sz w:val="18"/>
                <w:szCs w:val="18"/>
              </w:rPr>
              <w:t>w</w:t>
            </w:r>
            <w:r w:rsidR="00A8498C" w:rsidRPr="004B20DD">
              <w:rPr>
                <w:rFonts w:asciiTheme="majorHAnsi" w:hAnsiTheme="majorHAnsi"/>
                <w:sz w:val="18"/>
                <w:szCs w:val="18"/>
              </w:rPr>
              <w:t>artościow</w:t>
            </w:r>
            <w:r w:rsidRPr="004B20DD">
              <w:rPr>
                <w:rFonts w:asciiTheme="majorHAnsi" w:hAnsiTheme="majorHAnsi"/>
                <w:sz w:val="18"/>
                <w:szCs w:val="18"/>
              </w:rPr>
              <w:t>ą.</w:t>
            </w:r>
          </w:p>
          <w:p w:rsidR="00A8498C" w:rsidRPr="004B20DD" w:rsidRDefault="00C33D5E" w:rsidP="002B5536">
            <w:pPr>
              <w:pStyle w:val="Bezodstpw"/>
              <w:ind w:left="170" w:right="227"/>
              <w:jc w:val="both"/>
              <w:rPr>
                <w:rFonts w:ascii="Cambria" w:hAnsi="Cambria"/>
                <w:sz w:val="18"/>
                <w:szCs w:val="18"/>
              </w:rPr>
            </w:pPr>
            <w:r w:rsidRPr="004B20D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D544EC" w:rsidRPr="004B20DD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Pr="004B20D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A8498C" w:rsidRPr="004B20DD">
              <w:rPr>
                <w:rFonts w:asciiTheme="majorHAnsi" w:hAnsiTheme="majorHAnsi"/>
                <w:bCs/>
                <w:sz w:val="18"/>
                <w:szCs w:val="18"/>
              </w:rPr>
              <w:t>Środki trwałe w budowie (inwestycje)</w:t>
            </w:r>
            <w:r w:rsidR="00A8498C" w:rsidRPr="004B20DD">
              <w:rPr>
                <w:rFonts w:asciiTheme="majorHAnsi" w:hAnsiTheme="majorHAnsi"/>
                <w:sz w:val="18"/>
                <w:szCs w:val="18"/>
              </w:rPr>
              <w:t xml:space="preserve"> to koszty poniesione w okresie budowy, montażu, przystosowania,</w:t>
            </w:r>
            <w:r w:rsidR="00D544EC" w:rsidRPr="004B20D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A8498C" w:rsidRPr="004B20DD">
              <w:rPr>
                <w:rFonts w:asciiTheme="majorHAnsi" w:hAnsiTheme="majorHAnsi"/>
                <w:sz w:val="18"/>
                <w:szCs w:val="18"/>
              </w:rPr>
              <w:t>ulepszenia i nabycia podstawowych środków trwałych oraz koszty nabycia pozostałych środków trwałych stanowiących pierwsze wyposażenie nowych obiektów zliczone do dnia bilansowego lub do dnia zakończenia</w:t>
            </w:r>
            <w:r w:rsidR="009D17F3" w:rsidRPr="004B20D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2F6C5B" w:rsidRPr="004B20DD">
              <w:rPr>
                <w:rFonts w:asciiTheme="majorHAnsi" w:hAnsiTheme="majorHAnsi"/>
                <w:sz w:val="18"/>
                <w:szCs w:val="18"/>
              </w:rPr>
              <w:t xml:space="preserve">inwestycji. </w:t>
            </w:r>
          </w:p>
          <w:p w:rsidR="00A8498C" w:rsidRPr="004B20DD" w:rsidRDefault="00A8498C" w:rsidP="002B5536">
            <w:pPr>
              <w:pStyle w:val="Bezodstpw"/>
              <w:ind w:left="170" w:right="227"/>
              <w:jc w:val="both"/>
              <w:rPr>
                <w:rFonts w:ascii="Cambria" w:hAnsi="Cambria"/>
                <w:sz w:val="18"/>
                <w:szCs w:val="18"/>
              </w:rPr>
            </w:pPr>
            <w:r w:rsidRPr="004B20DD">
              <w:rPr>
                <w:rFonts w:ascii="Cambria" w:hAnsi="Cambria"/>
                <w:sz w:val="18"/>
                <w:szCs w:val="18"/>
              </w:rPr>
              <w:t xml:space="preserve"> </w:t>
            </w:r>
            <w:r w:rsidR="00C33D5E" w:rsidRPr="004B20DD">
              <w:rPr>
                <w:rFonts w:ascii="Cambria" w:hAnsi="Cambria"/>
                <w:bCs/>
                <w:sz w:val="18"/>
                <w:szCs w:val="18"/>
              </w:rPr>
              <w:t xml:space="preserve"> </w:t>
            </w:r>
            <w:r w:rsidR="00D544EC" w:rsidRPr="004B20DD">
              <w:rPr>
                <w:rFonts w:ascii="Cambria" w:hAnsi="Cambria"/>
                <w:bCs/>
                <w:sz w:val="18"/>
                <w:szCs w:val="18"/>
              </w:rPr>
              <w:t xml:space="preserve">   </w:t>
            </w:r>
            <w:r w:rsidRPr="004B20DD">
              <w:rPr>
                <w:rFonts w:ascii="Cambria" w:hAnsi="Cambria"/>
                <w:bCs/>
                <w:sz w:val="18"/>
                <w:szCs w:val="18"/>
              </w:rPr>
              <w:t>Wartości niematerialne i prawne</w:t>
            </w:r>
            <w:r w:rsidRPr="004B20DD">
              <w:rPr>
                <w:rFonts w:ascii="Cambria" w:hAnsi="Cambria"/>
                <w:sz w:val="18"/>
                <w:szCs w:val="18"/>
              </w:rPr>
              <w:t xml:space="preserve"> wycenia się:</w:t>
            </w:r>
          </w:p>
          <w:p w:rsidR="00A8498C" w:rsidRPr="004B20DD" w:rsidRDefault="00A8498C" w:rsidP="002B5536">
            <w:pPr>
              <w:pStyle w:val="Bezodstpw"/>
              <w:ind w:left="170" w:right="227"/>
              <w:jc w:val="both"/>
              <w:rPr>
                <w:rFonts w:ascii="Cambria" w:hAnsi="Cambria"/>
                <w:sz w:val="18"/>
                <w:szCs w:val="18"/>
              </w:rPr>
            </w:pPr>
            <w:r w:rsidRPr="004B20DD">
              <w:rPr>
                <w:rFonts w:ascii="Cambria" w:hAnsi="Cambria"/>
                <w:sz w:val="18"/>
                <w:szCs w:val="18"/>
              </w:rPr>
              <w:t>- pochodzące z zakupu nabyte ze środków własnych</w:t>
            </w:r>
            <w:r w:rsidR="00D544EC" w:rsidRPr="004B20DD">
              <w:rPr>
                <w:rFonts w:ascii="Cambria" w:hAnsi="Cambria"/>
                <w:sz w:val="18"/>
                <w:szCs w:val="18"/>
              </w:rPr>
              <w:t xml:space="preserve">  wycenia się w cenie nabycia, </w:t>
            </w:r>
          </w:p>
          <w:p w:rsidR="00A8498C" w:rsidRPr="004B20DD" w:rsidRDefault="00A8498C" w:rsidP="002B5536">
            <w:pPr>
              <w:pStyle w:val="Bezodstpw"/>
              <w:ind w:left="170" w:right="227"/>
              <w:jc w:val="both"/>
              <w:rPr>
                <w:rFonts w:ascii="Cambria" w:hAnsi="Cambria"/>
                <w:sz w:val="18"/>
                <w:szCs w:val="18"/>
              </w:rPr>
            </w:pPr>
            <w:r w:rsidRPr="004B20DD">
              <w:rPr>
                <w:rFonts w:ascii="Cambria" w:hAnsi="Cambria"/>
                <w:sz w:val="18"/>
                <w:szCs w:val="18"/>
              </w:rPr>
              <w:t>- otrzymane nieodpłatnie na podstawie decyzji właściwego or</w:t>
            </w:r>
            <w:r w:rsidR="00D544EC" w:rsidRPr="004B20DD">
              <w:rPr>
                <w:rFonts w:ascii="Cambria" w:hAnsi="Cambria"/>
                <w:sz w:val="18"/>
                <w:szCs w:val="18"/>
              </w:rPr>
              <w:t>ganu przyjmuje się do ewidencji</w:t>
            </w:r>
            <w:r w:rsidRPr="004B20DD">
              <w:rPr>
                <w:rFonts w:ascii="Cambria" w:hAnsi="Cambria"/>
                <w:sz w:val="18"/>
                <w:szCs w:val="18"/>
              </w:rPr>
              <w:t xml:space="preserve"> według wartości księgowej z poprzedniego miejsca użytkowania, </w:t>
            </w:r>
          </w:p>
          <w:p w:rsidR="004B20DD" w:rsidRDefault="00A8498C" w:rsidP="004B20DD">
            <w:pPr>
              <w:pStyle w:val="Bezodstpw"/>
              <w:ind w:left="170" w:right="227"/>
              <w:jc w:val="both"/>
              <w:rPr>
                <w:rFonts w:ascii="Cambria" w:hAnsi="Cambria"/>
                <w:sz w:val="18"/>
                <w:szCs w:val="18"/>
              </w:rPr>
            </w:pPr>
            <w:r w:rsidRPr="004B20DD">
              <w:rPr>
                <w:rFonts w:ascii="Cambria" w:hAnsi="Cambria"/>
                <w:sz w:val="18"/>
                <w:szCs w:val="18"/>
              </w:rPr>
              <w:t>- otrzymane na podstawie darowizny w wartości rynkowej na dzień nabycia. Wartość rynkowa określana jest</w:t>
            </w:r>
            <w:r w:rsidR="00D544EC" w:rsidRPr="004B20DD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4B20DD">
              <w:rPr>
                <w:rFonts w:ascii="Cambria" w:hAnsi="Cambria"/>
                <w:sz w:val="18"/>
                <w:szCs w:val="18"/>
              </w:rPr>
              <w:t>na podstawie przeciętnych cen stosowanych w obrocie rzeczami tego samego rodzaju i gatunku, z uwzględnieniem ich stanu i stopnia zużycia.</w:t>
            </w:r>
          </w:p>
          <w:p w:rsidR="005B6BE9" w:rsidRPr="004B20DD" w:rsidRDefault="004B20DD" w:rsidP="00E86BFA">
            <w:pPr>
              <w:pStyle w:val="Bezodstpw"/>
              <w:spacing w:after="60"/>
              <w:ind w:left="170" w:right="227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   </w:t>
            </w:r>
            <w:r w:rsidR="00A8498C" w:rsidRPr="004B20DD">
              <w:rPr>
                <w:rFonts w:ascii="Cambria" w:hAnsi="Cambria"/>
                <w:sz w:val="18"/>
                <w:szCs w:val="18"/>
              </w:rPr>
              <w:t>Wartości niematerialne i prawne o wartości</w:t>
            </w:r>
            <w:r w:rsidR="005B6BE9" w:rsidRPr="004B20D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56368D" w:rsidRPr="004B20DD">
              <w:rPr>
                <w:rFonts w:asciiTheme="majorHAnsi" w:hAnsiTheme="majorHAnsi"/>
                <w:sz w:val="18"/>
                <w:szCs w:val="18"/>
              </w:rPr>
              <w:t xml:space="preserve">początkowej </w:t>
            </w:r>
            <w:r w:rsidR="001F5BF5" w:rsidRPr="004B20DD">
              <w:rPr>
                <w:rFonts w:asciiTheme="majorHAnsi" w:hAnsiTheme="majorHAnsi"/>
                <w:sz w:val="18"/>
                <w:szCs w:val="18"/>
              </w:rPr>
              <w:t xml:space="preserve">wyższej </w:t>
            </w:r>
            <w:r w:rsidR="0056368D" w:rsidRPr="004B20DD">
              <w:rPr>
                <w:rFonts w:asciiTheme="majorHAnsi" w:hAnsiTheme="majorHAnsi"/>
                <w:sz w:val="18"/>
                <w:szCs w:val="18"/>
              </w:rPr>
              <w:t>od wartości ustalonej w przepisach</w:t>
            </w:r>
            <w:r w:rsidR="00CF6C5B" w:rsidRPr="004B20DD">
              <w:rPr>
                <w:rFonts w:asciiTheme="majorHAnsi" w:hAnsiTheme="majorHAnsi"/>
                <w:sz w:val="18"/>
                <w:szCs w:val="18"/>
              </w:rPr>
              <w:t xml:space="preserve"> o podatku dochodowym dla osób p</w:t>
            </w:r>
            <w:r w:rsidR="0056368D" w:rsidRPr="004B20DD">
              <w:rPr>
                <w:rFonts w:asciiTheme="majorHAnsi" w:hAnsiTheme="majorHAnsi"/>
                <w:sz w:val="18"/>
                <w:szCs w:val="18"/>
              </w:rPr>
              <w:t xml:space="preserve">rawnych </w:t>
            </w:r>
            <w:r w:rsidR="00A8498C" w:rsidRPr="004B20DD">
              <w:rPr>
                <w:rFonts w:ascii="Cambria" w:hAnsi="Cambria"/>
                <w:sz w:val="18"/>
                <w:szCs w:val="18"/>
              </w:rPr>
              <w:t>p</w:t>
            </w:r>
            <w:r w:rsidR="00D544EC" w:rsidRPr="004B20DD">
              <w:rPr>
                <w:rFonts w:ascii="Cambria" w:hAnsi="Cambria"/>
                <w:sz w:val="18"/>
                <w:szCs w:val="18"/>
              </w:rPr>
              <w:t>odlegają umarze</w:t>
            </w:r>
            <w:r w:rsidR="005B6BE9" w:rsidRPr="004B20DD">
              <w:rPr>
                <w:rFonts w:ascii="Cambria" w:hAnsi="Cambria"/>
                <w:sz w:val="18"/>
                <w:szCs w:val="18"/>
              </w:rPr>
              <w:t xml:space="preserve">niu </w:t>
            </w:r>
            <w:r w:rsidR="0056368D" w:rsidRPr="004B20DD">
              <w:rPr>
                <w:rFonts w:asciiTheme="majorHAnsi" w:hAnsiTheme="majorHAnsi"/>
                <w:sz w:val="18"/>
                <w:szCs w:val="18"/>
              </w:rPr>
              <w:t>na podstawie aktualnego planu amortyzacji według stawek amortyzacyjnych</w:t>
            </w:r>
            <w:r w:rsidR="00D544EC" w:rsidRPr="004B20D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5B6BE9" w:rsidRPr="004B20DD">
              <w:rPr>
                <w:rFonts w:asciiTheme="majorHAnsi" w:hAnsiTheme="majorHAnsi"/>
                <w:sz w:val="18"/>
                <w:szCs w:val="18"/>
              </w:rPr>
              <w:t>ustalony</w:t>
            </w:r>
            <w:r w:rsidR="0056368D" w:rsidRPr="004B20DD">
              <w:rPr>
                <w:rFonts w:asciiTheme="majorHAnsi" w:hAnsiTheme="majorHAnsi"/>
                <w:sz w:val="18"/>
                <w:szCs w:val="18"/>
              </w:rPr>
              <w:t>ch przez kierownika zakładu z uwzględnieniem zasad określonych w ustawie</w:t>
            </w:r>
            <w:r w:rsidR="005B6BE9" w:rsidRPr="004B20DD">
              <w:rPr>
                <w:rFonts w:asciiTheme="majorHAnsi" w:hAnsiTheme="majorHAnsi"/>
                <w:sz w:val="18"/>
                <w:szCs w:val="18"/>
              </w:rPr>
              <w:t xml:space="preserve"> o podatku dochodowym od osób prawnych. </w:t>
            </w:r>
          </w:p>
          <w:p w:rsidR="00A8498C" w:rsidRPr="004B20DD" w:rsidRDefault="00D24BFA" w:rsidP="00E86BFA">
            <w:pPr>
              <w:pStyle w:val="Bezodstpw"/>
              <w:spacing w:after="60"/>
              <w:ind w:left="170" w:right="227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B20DD">
              <w:rPr>
                <w:rFonts w:asciiTheme="majorHAnsi" w:hAnsiTheme="majorHAnsi"/>
                <w:sz w:val="18"/>
                <w:szCs w:val="18"/>
              </w:rPr>
              <w:t xml:space="preserve">   </w:t>
            </w:r>
            <w:r w:rsidR="00C33D5E" w:rsidRPr="004B20D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A8498C" w:rsidRPr="004B20DD">
              <w:rPr>
                <w:rFonts w:asciiTheme="majorHAnsi" w:hAnsiTheme="majorHAnsi"/>
                <w:sz w:val="18"/>
                <w:szCs w:val="18"/>
              </w:rPr>
              <w:t>Zapasy rzeczowych a</w:t>
            </w:r>
            <w:r w:rsidRPr="004B20DD">
              <w:rPr>
                <w:rFonts w:asciiTheme="majorHAnsi" w:hAnsiTheme="majorHAnsi"/>
                <w:sz w:val="18"/>
                <w:szCs w:val="18"/>
              </w:rPr>
              <w:t>ktywów obrotowych ( materiały) wycenia się</w:t>
            </w:r>
            <w:r w:rsidR="00A8498C" w:rsidRPr="004B20DD">
              <w:rPr>
                <w:rFonts w:asciiTheme="majorHAnsi" w:hAnsiTheme="majorHAnsi"/>
                <w:sz w:val="18"/>
                <w:szCs w:val="18"/>
              </w:rPr>
              <w:t xml:space="preserve"> w cenach ewidencyjnych równym cenom zakupu lub nabycia. Od składników zaliczanych do zapasów nie dokonuje się odpisów z tytułu trwałej </w:t>
            </w:r>
            <w:r w:rsidR="0099380C" w:rsidRPr="004B20DD">
              <w:rPr>
                <w:rFonts w:asciiTheme="majorHAnsi" w:hAnsiTheme="majorHAnsi"/>
                <w:sz w:val="18"/>
                <w:szCs w:val="18"/>
              </w:rPr>
              <w:t>utraty wartości.</w:t>
            </w:r>
          </w:p>
          <w:p w:rsidR="00A8498C" w:rsidRPr="004B20DD" w:rsidRDefault="004F6C77" w:rsidP="002B5536">
            <w:pPr>
              <w:pStyle w:val="Bezodstpw"/>
              <w:ind w:left="170" w:right="227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B20D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D24BFA" w:rsidRPr="004B20DD">
              <w:rPr>
                <w:rFonts w:asciiTheme="majorHAnsi" w:hAnsiTheme="majorHAnsi"/>
                <w:sz w:val="18"/>
                <w:szCs w:val="18"/>
              </w:rPr>
              <w:t xml:space="preserve">   </w:t>
            </w:r>
            <w:r w:rsidR="00A8498C" w:rsidRPr="004B20DD">
              <w:rPr>
                <w:rFonts w:asciiTheme="majorHAnsi" w:hAnsiTheme="majorHAnsi"/>
                <w:sz w:val="18"/>
                <w:szCs w:val="18"/>
              </w:rPr>
              <w:t>Należności i zobowiązania oraz inne składniki aktywów i pasywów wycenia się według zasad obowiązujących na dzień bilansowy.</w:t>
            </w:r>
          </w:p>
          <w:p w:rsidR="004F6C77" w:rsidRPr="004B20DD" w:rsidRDefault="004F6C77" w:rsidP="002B5536">
            <w:pPr>
              <w:pStyle w:val="Bezodstpw"/>
              <w:ind w:left="170" w:right="227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B20D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D24BFA" w:rsidRPr="004B20DD">
              <w:rPr>
                <w:rFonts w:asciiTheme="majorHAnsi" w:hAnsiTheme="majorHAnsi"/>
                <w:sz w:val="18"/>
                <w:szCs w:val="18"/>
              </w:rPr>
              <w:t xml:space="preserve">   </w:t>
            </w:r>
            <w:r w:rsidR="00A8498C" w:rsidRPr="004B20DD">
              <w:rPr>
                <w:rFonts w:asciiTheme="majorHAnsi" w:hAnsiTheme="majorHAnsi"/>
                <w:sz w:val="18"/>
                <w:szCs w:val="18"/>
              </w:rPr>
              <w:t>Należności długoterminowe i pożyczki na dzień bilansowy wyceniane są w kwocie wymagającej zapłaty, tj. łącznie z należnymi odsetkami, pomniejszonej o ewentualne odpisy aktualizujące wartość należności (zasada ostrożności) według zapisów w art. 35b ust. 1 ustawy o rachunkowości.</w:t>
            </w:r>
          </w:p>
          <w:p w:rsidR="00A8498C" w:rsidRPr="004B20DD" w:rsidRDefault="004F6C77" w:rsidP="00D24BFA">
            <w:pPr>
              <w:pStyle w:val="Bezodstpw"/>
              <w:spacing w:after="60"/>
              <w:ind w:left="170" w:right="227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B20DD">
              <w:rPr>
                <w:rFonts w:asciiTheme="majorHAnsi" w:hAnsiTheme="majorHAnsi"/>
                <w:bCs/>
                <w:sz w:val="18"/>
                <w:szCs w:val="18"/>
              </w:rPr>
              <w:t xml:space="preserve"> </w:t>
            </w:r>
            <w:r w:rsidR="00D24BFA" w:rsidRPr="004B20DD">
              <w:rPr>
                <w:rFonts w:asciiTheme="majorHAnsi" w:hAnsiTheme="majorHAnsi"/>
                <w:bCs/>
                <w:sz w:val="18"/>
                <w:szCs w:val="18"/>
              </w:rPr>
              <w:t xml:space="preserve">   </w:t>
            </w:r>
            <w:r w:rsidR="00A8498C" w:rsidRPr="004B20DD">
              <w:rPr>
                <w:rFonts w:asciiTheme="majorHAnsi" w:hAnsiTheme="majorHAnsi"/>
                <w:bCs/>
                <w:sz w:val="18"/>
                <w:szCs w:val="18"/>
              </w:rPr>
              <w:t>Należności krótkoterminowe</w:t>
            </w:r>
            <w:r w:rsidR="00A8498C" w:rsidRPr="004B20DD">
              <w:rPr>
                <w:rFonts w:asciiTheme="majorHAnsi" w:hAnsiTheme="majorHAnsi"/>
                <w:sz w:val="18"/>
                <w:szCs w:val="18"/>
              </w:rPr>
              <w:t xml:space="preserve"> to należności o terminie spłaty krótszym </w:t>
            </w:r>
            <w:r w:rsidR="00D24BFA" w:rsidRPr="004B20DD">
              <w:rPr>
                <w:rFonts w:asciiTheme="majorHAnsi" w:hAnsiTheme="majorHAnsi"/>
                <w:sz w:val="18"/>
                <w:szCs w:val="18"/>
              </w:rPr>
              <w:t>od jednego roku, licząc od dnia</w:t>
            </w:r>
            <w:r w:rsidRPr="004B20D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A8498C" w:rsidRPr="004B20DD">
              <w:rPr>
                <w:rFonts w:asciiTheme="majorHAnsi" w:hAnsiTheme="majorHAnsi"/>
                <w:sz w:val="18"/>
                <w:szCs w:val="18"/>
              </w:rPr>
              <w:t>bilansowego. Wyceniane są w wartości nominalnej łącznie z podatkiem VAT, a na dzień bilansowy w wysokości wymaganej zapłaty, czyli łącznie z wymagalnymi odsetkami z zachowaniem zasady ostrożnej wyceny, tj. w wysokości netto, czyli po pomniejszeniu o wartość ewentualnych odpisów aktualizujących</w:t>
            </w:r>
            <w:r w:rsidRPr="004B20D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D24BFA" w:rsidRPr="004B20DD">
              <w:rPr>
                <w:rFonts w:asciiTheme="majorHAnsi" w:hAnsiTheme="majorHAnsi"/>
                <w:sz w:val="18"/>
                <w:szCs w:val="18"/>
              </w:rPr>
              <w:t>doty</w:t>
            </w:r>
            <w:r w:rsidRPr="004B20DD">
              <w:rPr>
                <w:rFonts w:asciiTheme="majorHAnsi" w:hAnsiTheme="majorHAnsi"/>
                <w:sz w:val="18"/>
                <w:szCs w:val="18"/>
              </w:rPr>
              <w:t>czą</w:t>
            </w:r>
            <w:r w:rsidR="00A8498C" w:rsidRPr="004B20DD">
              <w:rPr>
                <w:rFonts w:asciiTheme="majorHAnsi" w:hAnsiTheme="majorHAnsi"/>
                <w:sz w:val="18"/>
                <w:szCs w:val="18"/>
              </w:rPr>
              <w:t>cych należności wątpliwych (art. 35b ust. 1 ustawy o rachunkowości).</w:t>
            </w:r>
          </w:p>
          <w:p w:rsidR="00E86BFA" w:rsidRDefault="00D24BFA" w:rsidP="00E86BFA">
            <w:pPr>
              <w:pStyle w:val="Bezodstpw"/>
              <w:spacing w:before="60"/>
              <w:ind w:left="170" w:right="227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B20DD">
              <w:rPr>
                <w:rFonts w:asciiTheme="majorHAnsi" w:hAnsiTheme="majorHAnsi"/>
                <w:sz w:val="18"/>
                <w:szCs w:val="18"/>
              </w:rPr>
              <w:t xml:space="preserve">    </w:t>
            </w:r>
            <w:r w:rsidR="00A8498C" w:rsidRPr="004B20DD">
              <w:rPr>
                <w:rFonts w:asciiTheme="majorHAnsi" w:hAnsiTheme="majorHAnsi"/>
                <w:sz w:val="18"/>
                <w:szCs w:val="18"/>
              </w:rPr>
              <w:t>Odpisy aktualizujące należności  tworzy się w wyniku nadrzędnych zasad rachunkowości. tj. zasady ostrożnej wyceny (art.7 ust.1 u.o.r), zg</w:t>
            </w:r>
            <w:r w:rsidR="004B20DD">
              <w:rPr>
                <w:rFonts w:asciiTheme="majorHAnsi" w:hAnsiTheme="majorHAnsi"/>
                <w:sz w:val="18"/>
                <w:szCs w:val="18"/>
              </w:rPr>
              <w:t>odnie,</w:t>
            </w:r>
            <w:r w:rsidR="00F23E64">
              <w:rPr>
                <w:rFonts w:asciiTheme="majorHAnsi" w:hAnsiTheme="majorHAnsi"/>
                <w:sz w:val="18"/>
                <w:szCs w:val="18"/>
              </w:rPr>
              <w:t xml:space="preserve"> z którą</w:t>
            </w:r>
            <w:r w:rsidR="00A8498C" w:rsidRPr="004B20DD">
              <w:rPr>
                <w:rFonts w:asciiTheme="majorHAnsi" w:hAnsiTheme="majorHAnsi"/>
                <w:sz w:val="18"/>
                <w:szCs w:val="18"/>
              </w:rPr>
              <w:t xml:space="preserve"> w wyniku finansowym, bez względu na jego wysokość, należy uwzględnić między innymi odpisy aktualizujące z tytułu utraty wartości przez aktywa oraz zasady współmierności (art.6.u.o.r.). Ma to miejsce wtedy, gdy istnieje duże prawdopodobieństwo, że kontrolowany</w:t>
            </w:r>
            <w:r w:rsidR="004F6C77" w:rsidRPr="004B20D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A8498C" w:rsidRPr="004B20DD">
              <w:rPr>
                <w:rFonts w:asciiTheme="majorHAnsi" w:hAnsiTheme="majorHAnsi"/>
                <w:sz w:val="18"/>
                <w:szCs w:val="18"/>
              </w:rPr>
              <w:t>składnik aktywów nie przyniesie w przyszłości w znaczącej części lub w całości przewidywanych korzyści ekonomicznych.</w:t>
            </w:r>
          </w:p>
          <w:p w:rsidR="00A8498C" w:rsidRPr="004B20DD" w:rsidRDefault="00E86BFA" w:rsidP="00E86BFA">
            <w:pPr>
              <w:pStyle w:val="Bezodstpw"/>
              <w:spacing w:before="60"/>
              <w:ind w:left="170" w:right="227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</w:t>
            </w:r>
            <w:r w:rsidR="00A8498C" w:rsidRPr="004B20DD">
              <w:rPr>
                <w:rFonts w:asciiTheme="majorHAnsi" w:hAnsiTheme="majorHAnsi"/>
                <w:sz w:val="18"/>
                <w:szCs w:val="18"/>
              </w:rPr>
              <w:t xml:space="preserve">Zgodnie z </w:t>
            </w:r>
            <w:r w:rsidR="00A8498C" w:rsidRPr="004B20DD">
              <w:rPr>
                <w:rFonts w:asciiTheme="majorHAnsi" w:hAnsiTheme="majorHAnsi" w:cs="Arial"/>
                <w:sz w:val="18"/>
                <w:szCs w:val="18"/>
              </w:rPr>
              <w:t>§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8 ust. 1 </w:t>
            </w:r>
            <w:r w:rsidR="00D24BFA" w:rsidRPr="004B20DD">
              <w:rPr>
                <w:rFonts w:asciiTheme="majorHAnsi" w:hAnsiTheme="majorHAnsi"/>
                <w:sz w:val="18"/>
                <w:szCs w:val="18"/>
              </w:rPr>
              <w:t xml:space="preserve">„rozporządzenia” </w:t>
            </w:r>
            <w:r w:rsidR="00A8498C" w:rsidRPr="004B20DD">
              <w:rPr>
                <w:rFonts w:asciiTheme="majorHAnsi" w:hAnsiTheme="majorHAnsi"/>
                <w:sz w:val="18"/>
                <w:szCs w:val="18"/>
              </w:rPr>
              <w:t>wartość należności aktualizuje się zgodnie z przepisami prawa bilansowego.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A8498C" w:rsidRPr="004B20DD">
              <w:rPr>
                <w:rFonts w:asciiTheme="majorHAnsi" w:hAnsiTheme="majorHAnsi"/>
                <w:sz w:val="18"/>
                <w:szCs w:val="18"/>
              </w:rPr>
              <w:t>Wartość należności aktualizuje się uwzględniając stopień prawdopodobieństwa ich zapłaty poprzez dokonanie odpisu aktualizującego w odniesieniu do:</w:t>
            </w:r>
          </w:p>
          <w:p w:rsidR="00A8498C" w:rsidRPr="004B20DD" w:rsidRDefault="00A8498C" w:rsidP="003C6F4A">
            <w:pPr>
              <w:pStyle w:val="Bezodstpw"/>
              <w:numPr>
                <w:ilvl w:val="0"/>
                <w:numId w:val="12"/>
              </w:numPr>
              <w:ind w:left="170" w:right="227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B20DD">
              <w:rPr>
                <w:rFonts w:asciiTheme="majorHAnsi" w:hAnsiTheme="majorHAnsi"/>
                <w:sz w:val="18"/>
                <w:szCs w:val="18"/>
              </w:rPr>
              <w:t xml:space="preserve">należności (wymagalnych i niewymagalnych)  od dłużników postawionych w stan likwidacji </w:t>
            </w:r>
            <w:r w:rsidR="00ED4B0E" w:rsidRPr="004B20DD">
              <w:rPr>
                <w:rFonts w:asciiTheme="majorHAnsi" w:hAnsiTheme="majorHAnsi"/>
                <w:sz w:val="18"/>
                <w:szCs w:val="18"/>
              </w:rPr>
              <w:t>lub w stan upadłości</w:t>
            </w:r>
            <w:r w:rsidRPr="004B20DD">
              <w:rPr>
                <w:rFonts w:asciiTheme="majorHAnsi" w:hAnsiTheme="majorHAnsi"/>
                <w:sz w:val="18"/>
                <w:szCs w:val="18"/>
              </w:rPr>
              <w:t>,</w:t>
            </w:r>
          </w:p>
          <w:p w:rsidR="00A8498C" w:rsidRPr="004B20DD" w:rsidRDefault="00A8498C" w:rsidP="003C6F4A">
            <w:pPr>
              <w:pStyle w:val="Bezodstpw"/>
              <w:numPr>
                <w:ilvl w:val="0"/>
                <w:numId w:val="12"/>
              </w:numPr>
              <w:ind w:left="170" w:right="227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B20DD">
              <w:rPr>
                <w:rFonts w:asciiTheme="majorHAnsi" w:hAnsiTheme="majorHAnsi"/>
                <w:sz w:val="18"/>
                <w:szCs w:val="18"/>
              </w:rPr>
              <w:t>należności (wymagalnych i niewymagalnych)  od d</w:t>
            </w:r>
            <w:r w:rsidR="00D24BFA" w:rsidRPr="004B20DD">
              <w:rPr>
                <w:rFonts w:asciiTheme="majorHAnsi" w:hAnsiTheme="majorHAnsi"/>
                <w:sz w:val="18"/>
                <w:szCs w:val="18"/>
              </w:rPr>
              <w:t>łużników w przypadku oddalenia w</w:t>
            </w:r>
            <w:r w:rsidRPr="004B20DD">
              <w:rPr>
                <w:rFonts w:asciiTheme="majorHAnsi" w:hAnsiTheme="majorHAnsi"/>
                <w:sz w:val="18"/>
                <w:szCs w:val="18"/>
              </w:rPr>
              <w:t>niosku o ogłoszenie upadłości,</w:t>
            </w:r>
          </w:p>
          <w:p w:rsidR="00A8498C" w:rsidRPr="004B20DD" w:rsidRDefault="00A8498C" w:rsidP="003C6F4A">
            <w:pPr>
              <w:pStyle w:val="Bezodstpw"/>
              <w:numPr>
                <w:ilvl w:val="0"/>
                <w:numId w:val="12"/>
              </w:numPr>
              <w:ind w:left="170" w:right="227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B20DD">
              <w:rPr>
                <w:rFonts w:asciiTheme="majorHAnsi" w:hAnsiTheme="majorHAnsi"/>
                <w:sz w:val="18"/>
                <w:szCs w:val="18"/>
              </w:rPr>
              <w:t>należności kwestionowanych przez dłużników oraz należności, z których zapłatą dłużnik zalega a według oceny sytuacji majątkowej i finansowe</w:t>
            </w:r>
            <w:r w:rsidR="00D24BFA" w:rsidRPr="004B20DD">
              <w:rPr>
                <w:rFonts w:asciiTheme="majorHAnsi" w:hAnsiTheme="majorHAnsi"/>
                <w:sz w:val="18"/>
                <w:szCs w:val="18"/>
              </w:rPr>
              <w:t>j dłużnika spłata należności w umownej kwocie nie  jest prawdopodobna.</w:t>
            </w:r>
          </w:p>
          <w:p w:rsidR="00A8498C" w:rsidRPr="004B20DD" w:rsidRDefault="00A8498C" w:rsidP="003C6F4A">
            <w:pPr>
              <w:pStyle w:val="Bezodstpw"/>
              <w:numPr>
                <w:ilvl w:val="0"/>
                <w:numId w:val="12"/>
              </w:numPr>
              <w:ind w:left="170" w:right="227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B20DD">
              <w:rPr>
                <w:rFonts w:asciiTheme="majorHAnsi" w:hAnsiTheme="majorHAnsi"/>
                <w:sz w:val="18"/>
                <w:szCs w:val="18"/>
              </w:rPr>
              <w:t xml:space="preserve">należności stanowiących równowartość kwot podwyższających należności, czyli odsetek, </w:t>
            </w:r>
            <w:r w:rsidR="00D24BFA" w:rsidRPr="004B20DD">
              <w:rPr>
                <w:rFonts w:asciiTheme="majorHAnsi" w:hAnsiTheme="majorHAnsi"/>
                <w:sz w:val="18"/>
                <w:szCs w:val="18"/>
              </w:rPr>
              <w:t>kosztów s</w:t>
            </w:r>
            <w:r w:rsidRPr="004B20DD">
              <w:rPr>
                <w:rFonts w:asciiTheme="majorHAnsi" w:hAnsiTheme="majorHAnsi"/>
                <w:sz w:val="18"/>
                <w:szCs w:val="18"/>
              </w:rPr>
              <w:t>ądowych, kosztów komorniczych itp.,</w:t>
            </w:r>
          </w:p>
          <w:p w:rsidR="00A8498C" w:rsidRPr="004B20DD" w:rsidRDefault="00A8498C" w:rsidP="002B5536">
            <w:pPr>
              <w:pStyle w:val="Bezodstpw"/>
              <w:numPr>
                <w:ilvl w:val="0"/>
                <w:numId w:val="12"/>
              </w:numPr>
              <w:ind w:left="170" w:right="227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B20DD">
              <w:rPr>
                <w:rFonts w:asciiTheme="majorHAnsi" w:hAnsiTheme="majorHAnsi"/>
                <w:sz w:val="18"/>
                <w:szCs w:val="18"/>
              </w:rPr>
              <w:t>należno</w:t>
            </w:r>
            <w:r w:rsidR="00BE2AEF" w:rsidRPr="004B20DD">
              <w:rPr>
                <w:rFonts w:asciiTheme="majorHAnsi" w:hAnsiTheme="majorHAnsi"/>
                <w:sz w:val="18"/>
                <w:szCs w:val="18"/>
              </w:rPr>
              <w:t>ści przeterminowanych lub nie</w:t>
            </w:r>
            <w:r w:rsidRPr="004B20DD">
              <w:rPr>
                <w:rFonts w:asciiTheme="majorHAnsi" w:hAnsiTheme="majorHAnsi"/>
                <w:sz w:val="18"/>
                <w:szCs w:val="18"/>
              </w:rPr>
              <w:t xml:space="preserve">przeterminowanych o znacznym stopniu </w:t>
            </w:r>
          </w:p>
          <w:p w:rsidR="00A8498C" w:rsidRPr="004B20DD" w:rsidRDefault="00A8498C" w:rsidP="003C6F4A">
            <w:pPr>
              <w:pStyle w:val="Bezodstpw"/>
              <w:numPr>
                <w:ilvl w:val="0"/>
                <w:numId w:val="12"/>
              </w:numPr>
              <w:spacing w:after="60"/>
              <w:ind w:left="164" w:right="227" w:hanging="357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B20DD">
              <w:rPr>
                <w:rFonts w:asciiTheme="majorHAnsi" w:hAnsiTheme="majorHAnsi"/>
                <w:sz w:val="18"/>
                <w:szCs w:val="18"/>
              </w:rPr>
              <w:t>prawdopodobieństwa nieściągalności, w przypadkach uzas</w:t>
            </w:r>
            <w:r w:rsidR="00BE2AEF" w:rsidRPr="004B20DD">
              <w:rPr>
                <w:rFonts w:asciiTheme="majorHAnsi" w:hAnsiTheme="majorHAnsi"/>
                <w:sz w:val="18"/>
                <w:szCs w:val="18"/>
              </w:rPr>
              <w:t xml:space="preserve">adnionych rodzajem prowadzonej </w:t>
            </w:r>
            <w:r w:rsidRPr="004B20DD">
              <w:rPr>
                <w:rFonts w:asciiTheme="majorHAnsi" w:hAnsiTheme="majorHAnsi"/>
                <w:sz w:val="18"/>
                <w:szCs w:val="18"/>
              </w:rPr>
              <w:t>działalności – w wysokości wiarygodnie oszacowanej kwoty odpi</w:t>
            </w:r>
            <w:r w:rsidR="00D24BFA" w:rsidRPr="004B20DD">
              <w:rPr>
                <w:rFonts w:asciiTheme="majorHAnsi" w:hAnsiTheme="majorHAnsi"/>
                <w:sz w:val="18"/>
                <w:szCs w:val="18"/>
              </w:rPr>
              <w:t>su ogólnego</w:t>
            </w:r>
            <w:r w:rsidR="00F31391" w:rsidRPr="004B20DD">
              <w:rPr>
                <w:rFonts w:asciiTheme="majorHAnsi" w:hAnsiTheme="majorHAnsi"/>
                <w:sz w:val="18"/>
                <w:szCs w:val="18"/>
              </w:rPr>
              <w:t xml:space="preserve">, na należności </w:t>
            </w:r>
            <w:r w:rsidRPr="004B20DD">
              <w:rPr>
                <w:rFonts w:asciiTheme="majorHAnsi" w:hAnsiTheme="majorHAnsi"/>
                <w:sz w:val="18"/>
                <w:szCs w:val="18"/>
              </w:rPr>
              <w:t>zagrożone nieściągalnością.</w:t>
            </w:r>
          </w:p>
          <w:p w:rsidR="009D17F3" w:rsidRPr="004B20DD" w:rsidRDefault="0099380C" w:rsidP="00E86BFA">
            <w:pPr>
              <w:pStyle w:val="Bezodstpw"/>
              <w:spacing w:after="60"/>
              <w:ind w:left="170" w:right="227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B20DD">
              <w:rPr>
                <w:rFonts w:asciiTheme="majorHAnsi" w:hAnsiTheme="majorHAnsi"/>
                <w:bCs/>
                <w:sz w:val="18"/>
                <w:szCs w:val="18"/>
              </w:rPr>
              <w:t xml:space="preserve"> </w:t>
            </w:r>
            <w:r w:rsidR="00D24BFA" w:rsidRPr="004B20DD">
              <w:rPr>
                <w:rFonts w:asciiTheme="majorHAnsi" w:hAnsiTheme="majorHAnsi"/>
                <w:bCs/>
                <w:sz w:val="18"/>
                <w:szCs w:val="18"/>
              </w:rPr>
              <w:t xml:space="preserve">   </w:t>
            </w:r>
            <w:r w:rsidR="00A8498C" w:rsidRPr="004B20DD">
              <w:rPr>
                <w:rFonts w:asciiTheme="majorHAnsi" w:hAnsiTheme="majorHAnsi"/>
                <w:bCs/>
                <w:sz w:val="18"/>
                <w:szCs w:val="18"/>
              </w:rPr>
              <w:t>Środki pieniężne</w:t>
            </w:r>
            <w:r w:rsidR="00A8498C" w:rsidRPr="004B20DD">
              <w:rPr>
                <w:rFonts w:asciiTheme="majorHAnsi" w:hAnsiTheme="majorHAnsi"/>
                <w:sz w:val="18"/>
                <w:szCs w:val="18"/>
              </w:rPr>
              <w:t xml:space="preserve"> na rachunkach bankowych wycenia się według wartości nominalnej.</w:t>
            </w:r>
          </w:p>
          <w:p w:rsidR="00A8498C" w:rsidRPr="004B20DD" w:rsidRDefault="009D17F3" w:rsidP="00D24BFA">
            <w:pPr>
              <w:pStyle w:val="Bezodstpw"/>
              <w:spacing w:after="80"/>
              <w:ind w:left="170" w:right="227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B20D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D24BFA" w:rsidRPr="004B20DD">
              <w:rPr>
                <w:rFonts w:asciiTheme="majorHAnsi" w:hAnsiTheme="majorHAnsi"/>
                <w:sz w:val="18"/>
                <w:szCs w:val="18"/>
              </w:rPr>
              <w:t xml:space="preserve">   </w:t>
            </w:r>
            <w:r w:rsidR="00A8498C" w:rsidRPr="004B20DD">
              <w:rPr>
                <w:rFonts w:asciiTheme="majorHAnsi" w:hAnsiTheme="majorHAnsi"/>
                <w:sz w:val="18"/>
                <w:szCs w:val="18"/>
              </w:rPr>
              <w:t>Rozliczenia międzyokresowe czynne kosztów to koszty już poniesione, ale dotyczące przyszłych okresów sprawozdawczych. Ich wycena bilansowa przebiega na poziomie wartości nominalnej.</w:t>
            </w:r>
          </w:p>
          <w:p w:rsidR="00A8498C" w:rsidRPr="004B20DD" w:rsidRDefault="004F6C77" w:rsidP="0090505A">
            <w:pPr>
              <w:pStyle w:val="Bezodstpw"/>
              <w:spacing w:after="60"/>
              <w:ind w:left="170" w:right="227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B20D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D24BFA" w:rsidRPr="004B20DD">
              <w:rPr>
                <w:rFonts w:asciiTheme="majorHAnsi" w:hAnsiTheme="majorHAnsi"/>
                <w:sz w:val="18"/>
                <w:szCs w:val="18"/>
              </w:rPr>
              <w:t xml:space="preserve">   </w:t>
            </w:r>
            <w:r w:rsidR="002F132C" w:rsidRPr="004B20DD">
              <w:rPr>
                <w:rFonts w:asciiTheme="majorHAnsi" w:hAnsiTheme="majorHAnsi"/>
                <w:sz w:val="18"/>
                <w:szCs w:val="18"/>
              </w:rPr>
              <w:t xml:space="preserve">Zobowiązania </w:t>
            </w:r>
            <w:r w:rsidR="00A8498C" w:rsidRPr="004B20DD">
              <w:rPr>
                <w:rFonts w:asciiTheme="majorHAnsi" w:hAnsiTheme="majorHAnsi"/>
                <w:sz w:val="18"/>
                <w:szCs w:val="18"/>
              </w:rPr>
              <w:t>zakładu</w:t>
            </w:r>
            <w:r w:rsidR="00D24BFA" w:rsidRPr="004B20DD">
              <w:rPr>
                <w:rFonts w:asciiTheme="majorHAnsi" w:hAnsiTheme="majorHAnsi"/>
                <w:sz w:val="18"/>
                <w:szCs w:val="18"/>
              </w:rPr>
              <w:t xml:space="preserve"> z tytułu dostaw wycenia się </w:t>
            </w:r>
            <w:r w:rsidR="00A8498C" w:rsidRPr="004B20DD">
              <w:rPr>
                <w:rFonts w:asciiTheme="majorHAnsi" w:hAnsiTheme="majorHAnsi"/>
                <w:sz w:val="18"/>
                <w:szCs w:val="18"/>
              </w:rPr>
              <w:t>w kwocie wymagającej zapłaty, czyli łącznie z odsetkami naliczonymi na podstawie not odsetkowy</w:t>
            </w:r>
            <w:r w:rsidR="00D24BFA" w:rsidRPr="004B20DD">
              <w:rPr>
                <w:rFonts w:asciiTheme="majorHAnsi" w:hAnsiTheme="majorHAnsi"/>
                <w:sz w:val="18"/>
                <w:szCs w:val="18"/>
              </w:rPr>
              <w:t>ch otrzymanych od kontrahentów.</w:t>
            </w:r>
          </w:p>
          <w:p w:rsidR="00A8498C" w:rsidRPr="004B20DD" w:rsidRDefault="00C62FEE" w:rsidP="002B5536">
            <w:pPr>
              <w:pStyle w:val="Bezodstpw"/>
              <w:ind w:left="170" w:right="227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B20D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D24BFA" w:rsidRPr="004B20DD">
              <w:rPr>
                <w:rFonts w:asciiTheme="majorHAnsi" w:hAnsiTheme="majorHAnsi"/>
                <w:sz w:val="18"/>
                <w:szCs w:val="18"/>
              </w:rPr>
              <w:t xml:space="preserve">   </w:t>
            </w:r>
            <w:r w:rsidR="00A8498C" w:rsidRPr="004B20DD">
              <w:rPr>
                <w:rFonts w:asciiTheme="majorHAnsi" w:hAnsiTheme="majorHAnsi"/>
                <w:sz w:val="18"/>
                <w:szCs w:val="18"/>
              </w:rPr>
              <w:t>Rezerwy w zakładzie występują w postaci:</w:t>
            </w:r>
          </w:p>
          <w:p w:rsidR="00A8498C" w:rsidRPr="004B20DD" w:rsidRDefault="00A8498C" w:rsidP="002B5536">
            <w:pPr>
              <w:pStyle w:val="Bezodstpw"/>
              <w:ind w:left="170" w:right="227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B20DD">
              <w:rPr>
                <w:rFonts w:asciiTheme="majorHAnsi" w:hAnsiTheme="majorHAnsi"/>
                <w:sz w:val="18"/>
                <w:szCs w:val="18"/>
              </w:rPr>
              <w:t>- rozliczeń międzyokresowych kosztów biernych oraz rezerw tworzonych na pewne lub o dużym stopniu prawdopodobieństwa przyszłe zobowiązania (art. 35d ust.1 ustawy o rachunkowości),</w:t>
            </w:r>
          </w:p>
          <w:p w:rsidR="00A8498C" w:rsidRPr="004B20DD" w:rsidRDefault="00A8498C" w:rsidP="00E86BFA">
            <w:pPr>
              <w:pStyle w:val="Bezodstpw"/>
              <w:spacing w:after="60"/>
              <w:ind w:left="170" w:right="227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B20DD">
              <w:rPr>
                <w:rFonts w:asciiTheme="majorHAnsi" w:hAnsiTheme="majorHAnsi"/>
                <w:sz w:val="18"/>
                <w:szCs w:val="18"/>
              </w:rPr>
              <w:t xml:space="preserve">- rezerw na zobowiązania w wyniku przeznaczenia środków własnych zakładu budżetowego na finansowanie </w:t>
            </w:r>
            <w:r w:rsidR="0099380C" w:rsidRPr="004B20D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4B20DD">
              <w:rPr>
                <w:rFonts w:asciiTheme="majorHAnsi" w:hAnsiTheme="majorHAnsi"/>
                <w:sz w:val="18"/>
                <w:szCs w:val="18"/>
              </w:rPr>
              <w:t>inwestycji</w:t>
            </w:r>
            <w:r w:rsidR="00D24BFA" w:rsidRPr="004B20D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514BF2" w:rsidRPr="004B20DD">
              <w:rPr>
                <w:rFonts w:asciiTheme="majorHAnsi" w:hAnsiTheme="majorHAnsi"/>
                <w:sz w:val="18"/>
                <w:szCs w:val="18"/>
              </w:rPr>
              <w:t>(środków trwałych w budowie).</w:t>
            </w:r>
          </w:p>
          <w:p w:rsidR="00A8498C" w:rsidRPr="004B20DD" w:rsidRDefault="0099380C" w:rsidP="002B5536">
            <w:pPr>
              <w:pStyle w:val="Bezodstpw"/>
              <w:ind w:left="170" w:right="227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B20D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ED4B0E" w:rsidRPr="004B20DD">
              <w:rPr>
                <w:rFonts w:asciiTheme="majorHAnsi" w:hAnsiTheme="majorHAnsi"/>
                <w:sz w:val="18"/>
                <w:szCs w:val="18"/>
              </w:rPr>
              <w:t xml:space="preserve">   </w:t>
            </w:r>
            <w:r w:rsidR="00A8498C" w:rsidRPr="004B20DD">
              <w:rPr>
                <w:rFonts w:asciiTheme="majorHAnsi" w:hAnsiTheme="majorHAnsi"/>
                <w:sz w:val="18"/>
                <w:szCs w:val="18"/>
              </w:rPr>
              <w:t>Przychody przyszłych okresów to przychody, które występują w zakładzie:</w:t>
            </w:r>
          </w:p>
          <w:p w:rsidR="00A8498C" w:rsidRPr="004B20DD" w:rsidRDefault="00A8498C" w:rsidP="002B5536">
            <w:pPr>
              <w:pStyle w:val="Bezodstpw"/>
              <w:ind w:left="170" w:right="227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B20DD">
              <w:rPr>
                <w:rFonts w:asciiTheme="majorHAnsi" w:hAnsiTheme="majorHAnsi"/>
                <w:sz w:val="18"/>
                <w:szCs w:val="18"/>
              </w:rPr>
              <w:lastRenderedPageBreak/>
              <w:t>- otrzymanych lub należnych od kontrahentów środków z tytułu świadczeń, których wykonanie nastąpi w przyszłych okresach</w:t>
            </w:r>
            <w:r w:rsidR="00ED4B0E" w:rsidRPr="004B20D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4B20DD">
              <w:rPr>
                <w:rFonts w:asciiTheme="majorHAnsi" w:hAnsiTheme="majorHAnsi"/>
                <w:sz w:val="18"/>
                <w:szCs w:val="18"/>
              </w:rPr>
              <w:t>(art. 41 ust. 1 pkt 1 ustawy o rachunkowości)</w:t>
            </w:r>
            <w:r w:rsidR="00ED4B0E" w:rsidRPr="004B20DD">
              <w:rPr>
                <w:rFonts w:asciiTheme="majorHAnsi" w:hAnsiTheme="majorHAnsi"/>
                <w:sz w:val="18"/>
                <w:szCs w:val="18"/>
              </w:rPr>
              <w:t>;</w:t>
            </w:r>
          </w:p>
          <w:p w:rsidR="00A8498C" w:rsidRPr="004B20DD" w:rsidRDefault="00ED4B0E" w:rsidP="001E62D7">
            <w:pPr>
              <w:pStyle w:val="Bezodstpw"/>
              <w:spacing w:after="120"/>
              <w:ind w:left="170" w:right="227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B20DD">
              <w:rPr>
                <w:rFonts w:asciiTheme="majorHAnsi" w:hAnsiTheme="majorHAnsi"/>
                <w:sz w:val="18"/>
                <w:szCs w:val="18"/>
              </w:rPr>
              <w:t>- należności z kar umownych</w:t>
            </w:r>
            <w:r w:rsidR="00A8498C" w:rsidRPr="004B20DD">
              <w:rPr>
                <w:rFonts w:asciiTheme="majorHAnsi" w:hAnsiTheme="majorHAnsi"/>
                <w:sz w:val="18"/>
                <w:szCs w:val="18"/>
              </w:rPr>
              <w:t xml:space="preserve">. </w:t>
            </w:r>
          </w:p>
          <w:p w:rsidR="00A8498C" w:rsidRPr="004B20DD" w:rsidRDefault="00C62FEE" w:rsidP="00ED4B0E">
            <w:pPr>
              <w:pStyle w:val="Bezodstpw"/>
              <w:ind w:left="170" w:right="227"/>
              <w:rPr>
                <w:rFonts w:asciiTheme="majorHAnsi" w:hAnsiTheme="majorHAnsi"/>
                <w:sz w:val="18"/>
                <w:szCs w:val="18"/>
              </w:rPr>
            </w:pPr>
            <w:r w:rsidRPr="004B20D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A8498C" w:rsidRPr="004B20DD">
              <w:rPr>
                <w:rFonts w:asciiTheme="majorHAnsi" w:hAnsiTheme="majorHAnsi"/>
                <w:sz w:val="18"/>
                <w:szCs w:val="18"/>
              </w:rPr>
              <w:t xml:space="preserve">II. Ustalenie wyniku finansowego </w:t>
            </w:r>
          </w:p>
          <w:p w:rsidR="00A8498C" w:rsidRPr="004B20DD" w:rsidRDefault="00C62FEE" w:rsidP="00ED4B0E">
            <w:pPr>
              <w:pStyle w:val="Bezodstpw"/>
              <w:ind w:left="170" w:right="227"/>
              <w:rPr>
                <w:rFonts w:asciiTheme="majorHAnsi" w:hAnsiTheme="majorHAnsi"/>
                <w:sz w:val="18"/>
                <w:szCs w:val="18"/>
              </w:rPr>
            </w:pPr>
            <w:r w:rsidRPr="004B20D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A8498C" w:rsidRPr="004B20DD">
              <w:rPr>
                <w:rFonts w:asciiTheme="majorHAnsi" w:hAnsiTheme="majorHAnsi"/>
                <w:sz w:val="18"/>
                <w:szCs w:val="18"/>
              </w:rPr>
              <w:t>Wynik finansowy netto przedstawiony w rachunku zysków i strat w załączniku 8 do „rozporządzenia” składa się z:</w:t>
            </w:r>
          </w:p>
          <w:p w:rsidR="00C62FEE" w:rsidRPr="004B20DD" w:rsidRDefault="00E86BFA" w:rsidP="00ED4B0E">
            <w:pPr>
              <w:pStyle w:val="Bezodstpw"/>
              <w:ind w:left="170" w:right="22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- </w:t>
            </w:r>
            <w:r w:rsidR="00A8498C" w:rsidRPr="004B20DD">
              <w:rPr>
                <w:rFonts w:asciiTheme="majorHAnsi" w:hAnsiTheme="majorHAnsi"/>
                <w:sz w:val="18"/>
                <w:szCs w:val="18"/>
              </w:rPr>
              <w:t>zysku (straty) z działalności podstawowej,</w:t>
            </w:r>
          </w:p>
          <w:p w:rsidR="00A8498C" w:rsidRPr="004B20DD" w:rsidRDefault="00E86BFA" w:rsidP="00ED4B0E">
            <w:pPr>
              <w:pStyle w:val="Bezodstpw"/>
              <w:ind w:left="170" w:right="22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</w:t>
            </w:r>
            <w:r w:rsidR="00C62FEE" w:rsidRPr="004B20DD">
              <w:rPr>
                <w:rFonts w:asciiTheme="majorHAnsi" w:hAnsiTheme="majorHAnsi"/>
                <w:sz w:val="18"/>
                <w:szCs w:val="18"/>
              </w:rPr>
              <w:t xml:space="preserve"> z</w:t>
            </w:r>
            <w:r w:rsidR="00A8498C" w:rsidRPr="004B20DD">
              <w:rPr>
                <w:rFonts w:asciiTheme="majorHAnsi" w:hAnsiTheme="majorHAnsi"/>
                <w:sz w:val="18"/>
                <w:szCs w:val="18"/>
              </w:rPr>
              <w:t>ysku (straty) z działalności operacyjnej,</w:t>
            </w:r>
          </w:p>
          <w:p w:rsidR="00A8498C" w:rsidRPr="004B20DD" w:rsidRDefault="00E86BFA" w:rsidP="00ED4B0E">
            <w:pPr>
              <w:pStyle w:val="Bezodstpw"/>
              <w:ind w:left="170" w:right="22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</w:t>
            </w:r>
            <w:r w:rsidR="00C62FEE" w:rsidRPr="004B20D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A8498C" w:rsidRPr="004B20DD">
              <w:rPr>
                <w:rFonts w:asciiTheme="majorHAnsi" w:hAnsiTheme="majorHAnsi"/>
                <w:sz w:val="18"/>
                <w:szCs w:val="18"/>
              </w:rPr>
              <w:t>zysku (straty) z działalności gospodarczej,</w:t>
            </w:r>
          </w:p>
          <w:p w:rsidR="00A8498C" w:rsidRPr="004B20DD" w:rsidRDefault="00E86BFA" w:rsidP="00ED4B0E">
            <w:pPr>
              <w:pStyle w:val="Bezodstpw"/>
              <w:ind w:left="170" w:right="22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</w:t>
            </w:r>
            <w:r w:rsidR="00C62FEE" w:rsidRPr="004B20D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A8498C" w:rsidRPr="004B20DD">
              <w:rPr>
                <w:rFonts w:asciiTheme="majorHAnsi" w:hAnsiTheme="majorHAnsi"/>
                <w:sz w:val="18"/>
                <w:szCs w:val="18"/>
              </w:rPr>
              <w:t>zysku (straty) brutto,</w:t>
            </w:r>
          </w:p>
          <w:p w:rsidR="00A8498C" w:rsidRPr="004B20DD" w:rsidRDefault="00E86BFA" w:rsidP="00ED4B0E">
            <w:pPr>
              <w:pStyle w:val="Bezodstpw"/>
              <w:ind w:left="170" w:right="227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</w:t>
            </w:r>
            <w:r w:rsidR="00C62FEE" w:rsidRPr="004B20D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A8498C" w:rsidRPr="004B20DD">
              <w:rPr>
                <w:rFonts w:asciiTheme="majorHAnsi" w:hAnsiTheme="majorHAnsi"/>
                <w:sz w:val="18"/>
                <w:szCs w:val="18"/>
              </w:rPr>
              <w:t>obowiązkowego obciążenia wyniku finansowego z tytułu podatku dochodowego od osób prawnych oraz nadwyżki środków obrotowych.</w:t>
            </w:r>
          </w:p>
          <w:p w:rsidR="00A8498C" w:rsidRPr="004B20DD" w:rsidRDefault="00C62FEE" w:rsidP="00ED4B0E">
            <w:pPr>
              <w:pStyle w:val="Bezodstpw"/>
              <w:ind w:left="170" w:right="227"/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  <w:r w:rsidRPr="004B20DD">
              <w:rPr>
                <w:rFonts w:asciiTheme="majorHAnsi" w:hAnsiTheme="majorHAnsi"/>
                <w:bCs/>
                <w:sz w:val="18"/>
                <w:szCs w:val="18"/>
              </w:rPr>
              <w:t xml:space="preserve"> </w:t>
            </w:r>
            <w:r w:rsidR="00A8498C" w:rsidRPr="004B20DD">
              <w:rPr>
                <w:rFonts w:asciiTheme="majorHAnsi" w:hAnsiTheme="majorHAnsi"/>
                <w:bCs/>
                <w:sz w:val="18"/>
                <w:szCs w:val="18"/>
              </w:rPr>
              <w:t>W bilansie wykazuje się wynik finansowy netto .</w:t>
            </w:r>
          </w:p>
          <w:p w:rsidR="009E7FD4" w:rsidRPr="004B20DD" w:rsidRDefault="00C62FEE" w:rsidP="00ED4B0E">
            <w:pPr>
              <w:pStyle w:val="Bezodstpw"/>
              <w:ind w:left="170" w:right="227"/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  <w:r w:rsidRPr="004B20DD">
              <w:rPr>
                <w:rFonts w:asciiTheme="majorHAnsi" w:hAnsiTheme="majorHAnsi"/>
                <w:bCs/>
                <w:sz w:val="18"/>
                <w:szCs w:val="18"/>
              </w:rPr>
              <w:t xml:space="preserve"> </w:t>
            </w:r>
            <w:r w:rsidR="00A8498C" w:rsidRPr="004B20DD">
              <w:rPr>
                <w:rFonts w:asciiTheme="majorHAnsi" w:hAnsiTheme="majorHAnsi"/>
                <w:bCs/>
                <w:sz w:val="18"/>
                <w:szCs w:val="18"/>
              </w:rPr>
              <w:t>W zakładach budżetowych rozliczeniu z budżetem podlega nie wynik finansowy, ale stan środków obrotowych na koniec roku.</w:t>
            </w:r>
          </w:p>
          <w:p w:rsidR="009D17F3" w:rsidRPr="009D17F3" w:rsidRDefault="009D17F3" w:rsidP="00C62FEE">
            <w:pPr>
              <w:pStyle w:val="Bezodstpw"/>
              <w:rPr>
                <w:rFonts w:asciiTheme="majorHAnsi" w:hAnsiTheme="majorHAnsi"/>
                <w:bCs/>
                <w:sz w:val="6"/>
                <w:szCs w:val="6"/>
              </w:rPr>
            </w:pPr>
          </w:p>
        </w:tc>
      </w:tr>
      <w:tr w:rsidR="00292FE3" w:rsidRPr="00B61AFF" w:rsidTr="00292F7F">
        <w:trPr>
          <w:trHeight w:val="34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B739B7" w:rsidRDefault="00292FE3" w:rsidP="00AE7A2A">
            <w:pPr>
              <w:pStyle w:val="Teksttreci20"/>
              <w:shd w:val="clear" w:color="auto" w:fill="auto"/>
              <w:ind w:left="84" w:right="28"/>
              <w:rPr>
                <w:rFonts w:asciiTheme="majorHAnsi" w:hAnsiTheme="majorHAnsi"/>
                <w:b/>
                <w:sz w:val="16"/>
                <w:szCs w:val="16"/>
              </w:rPr>
            </w:pPr>
            <w:r w:rsidRPr="00B739B7">
              <w:rPr>
                <w:rStyle w:val="Teksttreci29"/>
                <w:rFonts w:asciiTheme="majorHAnsi" w:hAnsiTheme="majorHAnsi"/>
                <w:b/>
                <w:color w:val="000000"/>
                <w:sz w:val="16"/>
                <w:szCs w:val="16"/>
              </w:rPr>
              <w:lastRenderedPageBreak/>
              <w:t>5.</w:t>
            </w: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BE1B03" w:rsidRDefault="009A29B2" w:rsidP="00F23E64">
            <w:pPr>
              <w:pStyle w:val="Teksttreci20"/>
              <w:shd w:val="clear" w:color="auto" w:fill="auto"/>
              <w:ind w:left="113" w:right="113"/>
              <w:rPr>
                <w:rFonts w:asciiTheme="majorHAnsi" w:hAnsiTheme="majorHAnsi"/>
                <w:sz w:val="19"/>
                <w:szCs w:val="19"/>
              </w:rPr>
            </w:pPr>
            <w:r w:rsidRPr="00BE1B03">
              <w:rPr>
                <w:rStyle w:val="Teksttreci29"/>
                <w:rFonts w:asciiTheme="majorHAnsi" w:hAnsiTheme="majorHAnsi"/>
                <w:color w:val="000000"/>
              </w:rPr>
              <w:t>i</w:t>
            </w:r>
            <w:r w:rsidR="00292FE3" w:rsidRPr="00BE1B03">
              <w:rPr>
                <w:rStyle w:val="Teksttreci29"/>
                <w:rFonts w:asciiTheme="majorHAnsi" w:hAnsiTheme="majorHAnsi"/>
                <w:color w:val="000000"/>
              </w:rPr>
              <w:t>nne informacje</w:t>
            </w:r>
          </w:p>
        </w:tc>
      </w:tr>
      <w:tr w:rsidR="00292FE3" w:rsidRPr="00B61AFF" w:rsidTr="00292F7F">
        <w:trPr>
          <w:trHeight w:val="34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7E06C2" w:rsidRDefault="00292FE3" w:rsidP="00AE7A2A">
            <w:pPr>
              <w:spacing w:after="0" w:line="240" w:lineRule="auto"/>
              <w:ind w:left="28" w:right="28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F23E64" w:rsidRDefault="0006637F" w:rsidP="00684CBB">
            <w:pPr>
              <w:spacing w:after="0" w:line="240" w:lineRule="auto"/>
              <w:ind w:left="113" w:right="28"/>
              <w:rPr>
                <w:rFonts w:asciiTheme="majorHAnsi" w:hAnsiTheme="majorHAnsi"/>
                <w:sz w:val="18"/>
                <w:szCs w:val="18"/>
              </w:rPr>
            </w:pPr>
            <w:r w:rsidRPr="00F23E64">
              <w:rPr>
                <w:rFonts w:asciiTheme="majorHAnsi" w:hAnsiTheme="majorHAnsi"/>
                <w:sz w:val="18"/>
                <w:szCs w:val="18"/>
              </w:rPr>
              <w:t xml:space="preserve">Nie </w:t>
            </w:r>
            <w:r w:rsidR="009D17F3" w:rsidRPr="00F23E64">
              <w:rPr>
                <w:rFonts w:asciiTheme="majorHAnsi" w:hAnsiTheme="majorHAnsi"/>
                <w:sz w:val="18"/>
                <w:szCs w:val="18"/>
              </w:rPr>
              <w:t>dotyczy</w:t>
            </w:r>
          </w:p>
        </w:tc>
      </w:tr>
      <w:tr w:rsidR="00292FE3" w:rsidRPr="00B61AFF" w:rsidTr="00292F7F">
        <w:trPr>
          <w:trHeight w:val="39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7E06C2" w:rsidRDefault="00292FE3" w:rsidP="00AE7A2A">
            <w:pPr>
              <w:pStyle w:val="Teksttreci20"/>
              <w:shd w:val="clear" w:color="auto" w:fill="auto"/>
              <w:ind w:left="84" w:right="28"/>
              <w:rPr>
                <w:rFonts w:asciiTheme="majorHAnsi" w:hAnsiTheme="majorHAnsi"/>
                <w:sz w:val="16"/>
                <w:szCs w:val="16"/>
              </w:rPr>
            </w:pPr>
            <w:r w:rsidRPr="007E06C2">
              <w:rPr>
                <w:rStyle w:val="Pogrubienie"/>
                <w:rFonts w:asciiTheme="majorHAnsi" w:hAnsiTheme="majorHAnsi"/>
                <w:color w:val="000000"/>
                <w:sz w:val="16"/>
                <w:szCs w:val="16"/>
              </w:rPr>
              <w:t>II.</w:t>
            </w: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E2AEF" w:rsidRPr="004B20DD" w:rsidRDefault="00292FE3" w:rsidP="00BE2AEF">
            <w:pPr>
              <w:pStyle w:val="Teksttreci20"/>
              <w:shd w:val="clear" w:color="auto" w:fill="auto"/>
              <w:ind w:left="28" w:right="28" w:firstLine="93"/>
              <w:rPr>
                <w:rFonts w:asciiTheme="majorHAnsi" w:hAnsiTheme="majorHAnsi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4B20DD">
              <w:rPr>
                <w:rStyle w:val="Pogrubienie"/>
                <w:rFonts w:asciiTheme="majorHAnsi" w:hAnsiTheme="majorHAnsi"/>
                <w:color w:val="000000"/>
                <w:sz w:val="18"/>
                <w:szCs w:val="18"/>
              </w:rPr>
              <w:t>Dodatkowe informacje i objaśnienia obejmują w szczególności:</w:t>
            </w:r>
          </w:p>
        </w:tc>
      </w:tr>
      <w:tr w:rsidR="002F132C" w:rsidRPr="00B61AFF" w:rsidTr="00292F7F">
        <w:trPr>
          <w:trHeight w:val="28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F132C" w:rsidRPr="001B013D" w:rsidRDefault="002F132C" w:rsidP="001B013D">
            <w:pPr>
              <w:widowControl w:val="0"/>
              <w:spacing w:after="0" w:line="240" w:lineRule="auto"/>
              <w:ind w:right="28"/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FFFFF"/>
              </w:rPr>
              <w:t>1.</w:t>
            </w: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F132C" w:rsidRPr="00ED4B0E" w:rsidRDefault="002F132C" w:rsidP="00ED4B0E">
            <w:pPr>
              <w:widowControl w:val="0"/>
              <w:spacing w:before="80" w:after="0" w:line="240" w:lineRule="auto"/>
              <w:ind w:left="170" w:right="227"/>
              <w:jc w:val="both"/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92FE3" w:rsidRPr="00B61AFF" w:rsidTr="00292F7F">
        <w:trPr>
          <w:trHeight w:val="864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013D" w:rsidRPr="001B013D" w:rsidRDefault="001B013D" w:rsidP="004B20DD">
            <w:pPr>
              <w:widowControl w:val="0"/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1B013D"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FFFFF"/>
              </w:rPr>
              <w:t>1.</w:t>
            </w:r>
            <w:r w:rsidR="002F132C"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FFFFF"/>
              </w:rPr>
              <w:t>1</w:t>
            </w:r>
          </w:p>
          <w:p w:rsidR="001E62D7" w:rsidRDefault="001E62D7" w:rsidP="00AE7A2A">
            <w:pPr>
              <w:pStyle w:val="Teksttreci20"/>
              <w:shd w:val="clear" w:color="auto" w:fill="auto"/>
              <w:ind w:left="84" w:right="28"/>
              <w:rPr>
                <w:rStyle w:val="Teksttreci29"/>
                <w:rFonts w:asciiTheme="majorHAnsi" w:hAnsiTheme="majorHAnsi"/>
                <w:b/>
                <w:color w:val="000000"/>
                <w:sz w:val="16"/>
                <w:szCs w:val="16"/>
              </w:rPr>
            </w:pPr>
          </w:p>
          <w:p w:rsidR="001B013D" w:rsidRDefault="001B013D" w:rsidP="001B013D">
            <w:pPr>
              <w:widowControl w:val="0"/>
              <w:spacing w:after="0" w:line="240" w:lineRule="auto"/>
              <w:ind w:left="84" w:right="28"/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1B013D" w:rsidRDefault="001B013D" w:rsidP="001B013D">
            <w:pPr>
              <w:widowControl w:val="0"/>
              <w:spacing w:after="0" w:line="240" w:lineRule="auto"/>
              <w:ind w:left="84" w:right="28"/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1B013D" w:rsidRDefault="001B013D" w:rsidP="001B013D">
            <w:pPr>
              <w:widowControl w:val="0"/>
              <w:spacing w:after="0" w:line="240" w:lineRule="auto"/>
              <w:ind w:left="84" w:right="28"/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2F132C" w:rsidRDefault="002F132C" w:rsidP="001B013D">
            <w:pPr>
              <w:widowControl w:val="0"/>
              <w:spacing w:after="0" w:line="240" w:lineRule="auto"/>
              <w:ind w:left="84" w:right="28"/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2F132C" w:rsidRDefault="002F132C" w:rsidP="001B013D">
            <w:pPr>
              <w:widowControl w:val="0"/>
              <w:spacing w:after="0" w:line="240" w:lineRule="auto"/>
              <w:ind w:left="84" w:right="28"/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2F132C" w:rsidRDefault="002F132C" w:rsidP="001B013D">
            <w:pPr>
              <w:widowControl w:val="0"/>
              <w:spacing w:after="0" w:line="240" w:lineRule="auto"/>
              <w:ind w:left="84" w:right="28"/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2F132C" w:rsidRDefault="002F132C" w:rsidP="001B013D">
            <w:pPr>
              <w:widowControl w:val="0"/>
              <w:spacing w:after="0" w:line="240" w:lineRule="auto"/>
              <w:ind w:left="84" w:right="28"/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4B20DD" w:rsidRDefault="004B20DD" w:rsidP="001B013D">
            <w:pPr>
              <w:widowControl w:val="0"/>
              <w:spacing w:after="0" w:line="240" w:lineRule="auto"/>
              <w:ind w:left="84" w:right="28"/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4B20DD" w:rsidRDefault="004B20DD" w:rsidP="001B013D">
            <w:pPr>
              <w:widowControl w:val="0"/>
              <w:spacing w:after="0" w:line="240" w:lineRule="auto"/>
              <w:ind w:left="84" w:right="28"/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4B20DD" w:rsidRDefault="004B20DD" w:rsidP="001B013D">
            <w:pPr>
              <w:widowControl w:val="0"/>
              <w:spacing w:after="0" w:line="240" w:lineRule="auto"/>
              <w:ind w:left="84" w:right="28"/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4B20DD" w:rsidRDefault="004B20DD" w:rsidP="001B013D">
            <w:pPr>
              <w:widowControl w:val="0"/>
              <w:spacing w:after="0" w:line="240" w:lineRule="auto"/>
              <w:ind w:left="84" w:right="28"/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4B20DD" w:rsidRDefault="004B20DD" w:rsidP="001B013D">
            <w:pPr>
              <w:widowControl w:val="0"/>
              <w:spacing w:after="0" w:line="240" w:lineRule="auto"/>
              <w:ind w:left="84" w:right="28"/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4B20DD" w:rsidRDefault="004B20DD" w:rsidP="001B013D">
            <w:pPr>
              <w:widowControl w:val="0"/>
              <w:spacing w:after="0" w:line="240" w:lineRule="auto"/>
              <w:ind w:left="84" w:right="28"/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4B20DD" w:rsidRDefault="004B20DD" w:rsidP="001B013D">
            <w:pPr>
              <w:widowControl w:val="0"/>
              <w:spacing w:after="0" w:line="240" w:lineRule="auto"/>
              <w:ind w:left="84" w:right="28"/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4B20DD" w:rsidRDefault="004B20DD" w:rsidP="001B013D">
            <w:pPr>
              <w:widowControl w:val="0"/>
              <w:spacing w:after="0" w:line="240" w:lineRule="auto"/>
              <w:ind w:left="84" w:right="28"/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4B20DD" w:rsidRDefault="004B20DD" w:rsidP="001B013D">
            <w:pPr>
              <w:widowControl w:val="0"/>
              <w:spacing w:after="0" w:line="240" w:lineRule="auto"/>
              <w:ind w:left="84" w:right="28"/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4B20DD" w:rsidRDefault="004B20DD" w:rsidP="001B013D">
            <w:pPr>
              <w:widowControl w:val="0"/>
              <w:spacing w:after="0" w:line="240" w:lineRule="auto"/>
              <w:ind w:left="84" w:right="28"/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4B20DD" w:rsidRDefault="004B20DD" w:rsidP="001B013D">
            <w:pPr>
              <w:widowControl w:val="0"/>
              <w:spacing w:after="0" w:line="240" w:lineRule="auto"/>
              <w:ind w:left="84" w:right="28"/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4B20DD" w:rsidRDefault="004B20DD" w:rsidP="001B013D">
            <w:pPr>
              <w:widowControl w:val="0"/>
              <w:spacing w:after="0" w:line="240" w:lineRule="auto"/>
              <w:ind w:left="84" w:right="28"/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4B20DD" w:rsidRDefault="004B20DD" w:rsidP="001B013D">
            <w:pPr>
              <w:widowControl w:val="0"/>
              <w:spacing w:after="0" w:line="240" w:lineRule="auto"/>
              <w:ind w:left="84" w:right="28"/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4B20DD" w:rsidRDefault="004B20DD" w:rsidP="001B013D">
            <w:pPr>
              <w:widowControl w:val="0"/>
              <w:spacing w:after="0" w:line="240" w:lineRule="auto"/>
              <w:ind w:left="84" w:right="28"/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4B20DD" w:rsidRDefault="004B20DD" w:rsidP="001B013D">
            <w:pPr>
              <w:widowControl w:val="0"/>
              <w:spacing w:after="0" w:line="240" w:lineRule="auto"/>
              <w:ind w:left="84" w:right="28"/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4B20DD" w:rsidRDefault="004B20DD" w:rsidP="001B013D">
            <w:pPr>
              <w:widowControl w:val="0"/>
              <w:spacing w:after="0" w:line="240" w:lineRule="auto"/>
              <w:ind w:left="84" w:right="28"/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4B20DD" w:rsidRDefault="004B20DD" w:rsidP="001B013D">
            <w:pPr>
              <w:widowControl w:val="0"/>
              <w:spacing w:after="0" w:line="240" w:lineRule="auto"/>
              <w:ind w:left="84" w:right="28"/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4B20DD" w:rsidRDefault="004B20DD" w:rsidP="001B013D">
            <w:pPr>
              <w:widowControl w:val="0"/>
              <w:spacing w:after="0" w:line="240" w:lineRule="auto"/>
              <w:ind w:left="84" w:right="28"/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4B20DD" w:rsidRDefault="004B20DD" w:rsidP="001B013D">
            <w:pPr>
              <w:widowControl w:val="0"/>
              <w:spacing w:after="0" w:line="240" w:lineRule="auto"/>
              <w:ind w:left="84" w:right="28"/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4B20DD" w:rsidRDefault="004B20DD" w:rsidP="001B013D">
            <w:pPr>
              <w:widowControl w:val="0"/>
              <w:spacing w:after="0" w:line="240" w:lineRule="auto"/>
              <w:ind w:left="84" w:right="28"/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4B20DD" w:rsidRDefault="004B20DD" w:rsidP="001B013D">
            <w:pPr>
              <w:widowControl w:val="0"/>
              <w:spacing w:after="0" w:line="240" w:lineRule="auto"/>
              <w:ind w:left="84" w:right="28"/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4B20DD" w:rsidRDefault="004B20DD" w:rsidP="001B013D">
            <w:pPr>
              <w:widowControl w:val="0"/>
              <w:spacing w:after="0" w:line="240" w:lineRule="auto"/>
              <w:ind w:left="84" w:right="28"/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4B20DD" w:rsidRDefault="004B20DD" w:rsidP="001B013D">
            <w:pPr>
              <w:widowControl w:val="0"/>
              <w:spacing w:after="0" w:line="240" w:lineRule="auto"/>
              <w:ind w:left="84" w:right="28"/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4B20DD" w:rsidRDefault="004B20DD" w:rsidP="001B013D">
            <w:pPr>
              <w:widowControl w:val="0"/>
              <w:spacing w:after="0" w:line="240" w:lineRule="auto"/>
              <w:ind w:left="84" w:right="28"/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4B20DD" w:rsidRDefault="004B20DD" w:rsidP="001B013D">
            <w:pPr>
              <w:widowControl w:val="0"/>
              <w:spacing w:after="0" w:line="240" w:lineRule="auto"/>
              <w:ind w:left="84" w:right="28"/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4B20DD" w:rsidRDefault="004B20DD" w:rsidP="001B013D">
            <w:pPr>
              <w:widowControl w:val="0"/>
              <w:spacing w:after="0" w:line="240" w:lineRule="auto"/>
              <w:ind w:left="84" w:right="28"/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4B20DD" w:rsidRDefault="004B20DD" w:rsidP="001B013D">
            <w:pPr>
              <w:widowControl w:val="0"/>
              <w:spacing w:after="0" w:line="240" w:lineRule="auto"/>
              <w:ind w:left="84" w:right="28"/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9D0E8D" w:rsidRDefault="009D0E8D" w:rsidP="001B013D">
            <w:pPr>
              <w:widowControl w:val="0"/>
              <w:spacing w:after="0" w:line="240" w:lineRule="auto"/>
              <w:ind w:left="84" w:right="28"/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9D0E8D" w:rsidRDefault="009D0E8D" w:rsidP="001B013D">
            <w:pPr>
              <w:widowControl w:val="0"/>
              <w:spacing w:after="0" w:line="240" w:lineRule="auto"/>
              <w:ind w:left="84" w:right="28"/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9D0E8D" w:rsidRDefault="009D0E8D" w:rsidP="001B013D">
            <w:pPr>
              <w:widowControl w:val="0"/>
              <w:spacing w:after="0" w:line="240" w:lineRule="auto"/>
              <w:ind w:left="84" w:right="28"/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1E62D7" w:rsidRPr="001B013D" w:rsidRDefault="001E62D7" w:rsidP="001B013D">
            <w:pPr>
              <w:widowControl w:val="0"/>
              <w:spacing w:after="0" w:line="240" w:lineRule="auto"/>
              <w:ind w:left="84" w:right="28"/>
              <w:rPr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4B0E" w:rsidRPr="004B20DD" w:rsidRDefault="00ED4B0E" w:rsidP="00F23E64">
            <w:pPr>
              <w:widowControl w:val="0"/>
              <w:spacing w:after="0" w:line="240" w:lineRule="auto"/>
              <w:ind w:left="170" w:right="227"/>
              <w:jc w:val="both"/>
              <w:rPr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</w:rPr>
            </w:pPr>
            <w:r w:rsidRPr="004B20DD">
              <w:rPr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</w:rPr>
              <w:t>Szczegółowy zakres zmian wartości grup rodzajowych środków trwałych, wartości niematerialnych i prawnych, zawierający stan tych aktywów na początek roku obrotowego, zwiększenia i zmniejszenia z tytułu: aktualizacji wartości, nabycia, rozchodu, przemieszczenia wewnętrznego oraz stan końcowy, a dla majątku amortyzowanego – podobne przedstawienie stanów i tytułów zmian dotychczasowej amortyzacji lub umorzenia przedstawia poniższa tabela:</w:t>
            </w:r>
          </w:p>
          <w:p w:rsidR="000C6B33" w:rsidRDefault="000C6B33" w:rsidP="00ED4B0E">
            <w:pPr>
              <w:widowControl w:val="0"/>
              <w:spacing w:before="80" w:after="0" w:line="240" w:lineRule="auto"/>
              <w:ind w:left="170" w:right="227"/>
              <w:jc w:val="both"/>
              <w:rPr>
                <w:rFonts w:asciiTheme="majorHAnsi" w:hAnsiTheme="majorHAnsi"/>
                <w:color w:val="000000"/>
                <w:sz w:val="16"/>
                <w:szCs w:val="16"/>
                <w:shd w:val="clear" w:color="auto" w:fill="FFFFFF"/>
              </w:rPr>
            </w:pPr>
          </w:p>
          <w:tbl>
            <w:tblPr>
              <w:tblW w:w="10001" w:type="dxa"/>
              <w:tblInd w:w="1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3"/>
              <w:gridCol w:w="992"/>
              <w:gridCol w:w="850"/>
              <w:gridCol w:w="851"/>
              <w:gridCol w:w="992"/>
              <w:gridCol w:w="992"/>
              <w:gridCol w:w="709"/>
              <w:gridCol w:w="851"/>
              <w:gridCol w:w="850"/>
              <w:gridCol w:w="992"/>
              <w:gridCol w:w="929"/>
            </w:tblGrid>
            <w:tr w:rsidR="00BE2AEF" w:rsidTr="007F64D0">
              <w:trPr>
                <w:trHeight w:val="344"/>
              </w:trPr>
              <w:tc>
                <w:tcPr>
                  <w:tcW w:w="10001" w:type="dxa"/>
                  <w:gridSpan w:val="11"/>
                  <w:vAlign w:val="center"/>
                </w:tcPr>
                <w:p w:rsidR="00BE2AEF" w:rsidRPr="00E86BFA" w:rsidRDefault="00BE2AEF" w:rsidP="007F64D0">
                  <w:pPr>
                    <w:widowControl w:val="0"/>
                    <w:spacing w:after="0" w:line="240" w:lineRule="auto"/>
                    <w:jc w:val="center"/>
                    <w:rPr>
                      <w:rFonts w:asciiTheme="majorHAnsi" w:hAnsiTheme="majorHAnsi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E86BFA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  <w:lang w:eastAsia="pl-PL"/>
                    </w:rPr>
                    <w:t>ZESTAWIENIE ŚRODKÓW TRWAŁYCH I UMORZENIA NA DZIEŃ 31.12.20</w:t>
                  </w:r>
                  <w:r w:rsidR="00614BC9" w:rsidRPr="00E86BFA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  <w:lang w:eastAsia="pl-PL"/>
                    </w:rPr>
                    <w:t>19</w:t>
                  </w:r>
                </w:p>
              </w:tc>
            </w:tr>
            <w:tr w:rsidR="00BE2AEF" w:rsidTr="00902DED">
              <w:trPr>
                <w:trHeight w:val="288"/>
              </w:trPr>
              <w:tc>
                <w:tcPr>
                  <w:tcW w:w="4678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:rsidR="00BE2AEF" w:rsidRPr="00E86BFA" w:rsidRDefault="00BE2AEF" w:rsidP="007F64D0">
                  <w:pPr>
                    <w:widowControl w:val="0"/>
                    <w:spacing w:after="0" w:line="240" w:lineRule="auto"/>
                    <w:jc w:val="center"/>
                    <w:rPr>
                      <w:rFonts w:asciiTheme="majorHAnsi" w:hAnsiTheme="majorHAnsi"/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  <w:r w:rsidRPr="00E86BFA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  <w:lang w:eastAsia="pl-PL"/>
                    </w:rPr>
                    <w:t>ŚRODKI TRWAŁE</w:t>
                  </w:r>
                </w:p>
              </w:tc>
              <w:tc>
                <w:tcPr>
                  <w:tcW w:w="5323" w:type="dxa"/>
                  <w:gridSpan w:val="6"/>
                  <w:tcBorders>
                    <w:bottom w:val="single" w:sz="4" w:space="0" w:color="auto"/>
                  </w:tcBorders>
                  <w:vAlign w:val="center"/>
                </w:tcPr>
                <w:p w:rsidR="00BE2AEF" w:rsidRPr="00E86BFA" w:rsidRDefault="00BE2AEF" w:rsidP="007F64D0">
                  <w:pPr>
                    <w:widowControl w:val="0"/>
                    <w:spacing w:after="0" w:line="240" w:lineRule="auto"/>
                    <w:jc w:val="center"/>
                    <w:rPr>
                      <w:rFonts w:asciiTheme="majorHAnsi" w:hAnsiTheme="majorHAnsi"/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  <w:r w:rsidRPr="00E86BFA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  <w:lang w:eastAsia="pl-PL"/>
                    </w:rPr>
                    <w:t>UMORZENIA</w:t>
                  </w:r>
                </w:p>
              </w:tc>
            </w:tr>
            <w:tr w:rsidR="00902DED" w:rsidTr="00902DED">
              <w:trPr>
                <w:trHeight w:val="193"/>
              </w:trPr>
              <w:tc>
                <w:tcPr>
                  <w:tcW w:w="993" w:type="dxa"/>
                  <w:tcBorders>
                    <w:right w:val="single" w:sz="4" w:space="0" w:color="auto"/>
                  </w:tcBorders>
                  <w:vAlign w:val="center"/>
                </w:tcPr>
                <w:p w:rsidR="00BE2AEF" w:rsidRDefault="00BE2AEF" w:rsidP="00BE2AEF">
                  <w:pPr>
                    <w:widowControl w:val="0"/>
                    <w:spacing w:before="80" w:after="0" w:line="240" w:lineRule="auto"/>
                    <w:ind w:left="-32" w:right="227"/>
                    <w:jc w:val="center"/>
                    <w:rPr>
                      <w:rFonts w:asciiTheme="majorHAnsi" w:hAnsiTheme="majorHAnsi"/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  <w:r w:rsidRPr="002D6FB5">
                    <w:rPr>
                      <w:b/>
                      <w:bCs/>
                      <w:sz w:val="14"/>
                      <w:szCs w:val="14"/>
                      <w:lang w:eastAsia="pl-PL"/>
                    </w:rPr>
                    <w:t>Grupa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E2AEF" w:rsidRDefault="00BE2AEF" w:rsidP="00BE2AEF">
                  <w:pPr>
                    <w:widowControl w:val="0"/>
                    <w:spacing w:before="80" w:after="0" w:line="240" w:lineRule="auto"/>
                    <w:ind w:left="-32" w:right="227"/>
                    <w:jc w:val="center"/>
                    <w:rPr>
                      <w:rFonts w:asciiTheme="majorHAnsi" w:hAnsiTheme="majorHAnsi"/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  <w:r w:rsidRPr="002D6FB5">
                    <w:rPr>
                      <w:b/>
                      <w:bCs/>
                      <w:sz w:val="14"/>
                      <w:szCs w:val="14"/>
                      <w:lang w:eastAsia="pl-PL"/>
                    </w:rPr>
                    <w:t>B.O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E2AEF" w:rsidRPr="00BE2AEF" w:rsidRDefault="00BE2AEF" w:rsidP="00902DED">
                  <w:pPr>
                    <w:widowControl w:val="0"/>
                    <w:spacing w:after="0" w:line="240" w:lineRule="auto"/>
                    <w:jc w:val="center"/>
                    <w:rPr>
                      <w:b/>
                      <w:bCs/>
                      <w:sz w:val="14"/>
                      <w:szCs w:val="14"/>
                      <w:lang w:eastAsia="pl-PL"/>
                    </w:rPr>
                  </w:pPr>
                  <w:r>
                    <w:rPr>
                      <w:b/>
                      <w:bCs/>
                      <w:sz w:val="14"/>
                      <w:szCs w:val="14"/>
                      <w:lang w:eastAsia="pl-PL"/>
                    </w:rPr>
                    <w:t>Zwiększe-</w:t>
                  </w:r>
                  <w:r w:rsidRPr="002D6FB5">
                    <w:rPr>
                      <w:b/>
                      <w:bCs/>
                      <w:sz w:val="14"/>
                      <w:szCs w:val="14"/>
                      <w:lang w:eastAsia="pl-PL"/>
                    </w:rPr>
                    <w:t>nia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E2AEF" w:rsidRDefault="00BE2AEF" w:rsidP="00AF7DE6">
                  <w:pPr>
                    <w:widowControl w:val="0"/>
                    <w:spacing w:after="0" w:line="240" w:lineRule="auto"/>
                    <w:jc w:val="center"/>
                    <w:rPr>
                      <w:rFonts w:asciiTheme="majorHAnsi" w:hAnsiTheme="majorHAnsi"/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  <w:r>
                    <w:rPr>
                      <w:b/>
                      <w:bCs/>
                      <w:sz w:val="14"/>
                      <w:szCs w:val="14"/>
                      <w:lang w:eastAsia="pl-PL"/>
                    </w:rPr>
                    <w:t>Z</w:t>
                  </w:r>
                  <w:r w:rsidRPr="002D6FB5">
                    <w:rPr>
                      <w:b/>
                      <w:bCs/>
                      <w:sz w:val="14"/>
                      <w:szCs w:val="14"/>
                      <w:lang w:eastAsia="pl-PL"/>
                    </w:rPr>
                    <w:t>mniej</w:t>
                  </w:r>
                  <w:r>
                    <w:rPr>
                      <w:b/>
                      <w:bCs/>
                      <w:sz w:val="14"/>
                      <w:szCs w:val="14"/>
                      <w:lang w:eastAsia="pl-PL"/>
                    </w:rPr>
                    <w:t>-</w:t>
                  </w:r>
                  <w:r w:rsidRPr="002D6FB5">
                    <w:rPr>
                      <w:b/>
                      <w:bCs/>
                      <w:sz w:val="14"/>
                      <w:szCs w:val="14"/>
                      <w:lang w:eastAsia="pl-PL"/>
                    </w:rPr>
                    <w:t>szenia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E2AEF" w:rsidRDefault="00BE2AEF" w:rsidP="00AF7DE6">
                  <w:pPr>
                    <w:widowControl w:val="0"/>
                    <w:spacing w:after="0" w:line="240" w:lineRule="auto"/>
                    <w:jc w:val="center"/>
                    <w:rPr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2D6FB5">
                    <w:rPr>
                      <w:b/>
                      <w:bCs/>
                      <w:sz w:val="14"/>
                      <w:szCs w:val="14"/>
                      <w:lang w:eastAsia="pl-PL"/>
                    </w:rPr>
                    <w:t>B.Z.</w:t>
                  </w:r>
                </w:p>
                <w:p w:rsidR="00BE2AEF" w:rsidRDefault="00BE2AEF" w:rsidP="00AF7DE6">
                  <w:pPr>
                    <w:widowControl w:val="0"/>
                    <w:spacing w:after="0" w:line="240" w:lineRule="auto"/>
                    <w:jc w:val="center"/>
                    <w:rPr>
                      <w:rFonts w:asciiTheme="majorHAnsi" w:hAnsiTheme="majorHAnsi"/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  <w:r w:rsidRPr="002D6FB5">
                    <w:rPr>
                      <w:b/>
                      <w:bCs/>
                      <w:sz w:val="14"/>
                      <w:szCs w:val="14"/>
                      <w:lang w:eastAsia="pl-PL"/>
                    </w:rPr>
                    <w:t>na dzień 31.12.201</w:t>
                  </w:r>
                  <w:r>
                    <w:rPr>
                      <w:b/>
                      <w:bCs/>
                      <w:sz w:val="14"/>
                      <w:szCs w:val="14"/>
                      <w:lang w:eastAsia="pl-PL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2AEF" w:rsidRPr="002D6FB5" w:rsidRDefault="00BE2AEF" w:rsidP="00AF7DE6">
                  <w:pPr>
                    <w:spacing w:after="0" w:line="240" w:lineRule="auto"/>
                    <w:jc w:val="center"/>
                    <w:rPr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2D6FB5">
                    <w:rPr>
                      <w:b/>
                      <w:bCs/>
                      <w:sz w:val="14"/>
                      <w:szCs w:val="14"/>
                      <w:lang w:eastAsia="pl-PL"/>
                    </w:rPr>
                    <w:t>B.O.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2AEF" w:rsidRPr="002D6FB5" w:rsidRDefault="00BE2AEF" w:rsidP="00AF7DE6">
                  <w:pPr>
                    <w:spacing w:after="0" w:line="240" w:lineRule="auto"/>
                    <w:jc w:val="center"/>
                    <w:rPr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2D6FB5">
                    <w:rPr>
                      <w:b/>
                      <w:bCs/>
                      <w:sz w:val="14"/>
                      <w:szCs w:val="14"/>
                      <w:lang w:eastAsia="pl-PL"/>
                    </w:rPr>
                    <w:t>Zwiększe</w:t>
                  </w:r>
                  <w:r>
                    <w:rPr>
                      <w:b/>
                      <w:bCs/>
                      <w:sz w:val="14"/>
                      <w:szCs w:val="14"/>
                      <w:lang w:eastAsia="pl-PL"/>
                    </w:rPr>
                    <w:t xml:space="preserve"> </w:t>
                  </w:r>
                  <w:r w:rsidRPr="002D6FB5">
                    <w:rPr>
                      <w:b/>
                      <w:bCs/>
                      <w:sz w:val="14"/>
                      <w:szCs w:val="14"/>
                      <w:lang w:eastAsia="pl-PL"/>
                    </w:rPr>
                    <w:t>-nia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2AEF" w:rsidRPr="002D6FB5" w:rsidRDefault="00BE2AEF" w:rsidP="00AF7DE6">
                  <w:pPr>
                    <w:spacing w:after="0" w:line="240" w:lineRule="auto"/>
                    <w:jc w:val="center"/>
                    <w:rPr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2D6FB5">
                    <w:rPr>
                      <w:b/>
                      <w:bCs/>
                      <w:sz w:val="14"/>
                      <w:szCs w:val="14"/>
                      <w:lang w:eastAsia="pl-PL"/>
                    </w:rPr>
                    <w:t>Zmniej-szenia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2AEF" w:rsidRPr="002D6FB5" w:rsidRDefault="00BE2AEF" w:rsidP="00AF7DE6">
                  <w:pPr>
                    <w:spacing w:after="0" w:line="240" w:lineRule="auto"/>
                    <w:jc w:val="center"/>
                    <w:rPr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2D6FB5">
                    <w:rPr>
                      <w:b/>
                      <w:bCs/>
                      <w:sz w:val="14"/>
                      <w:szCs w:val="14"/>
                      <w:lang w:eastAsia="pl-PL"/>
                    </w:rPr>
                    <w:t>Umorzenie za 201</w:t>
                  </w:r>
                  <w:r>
                    <w:rPr>
                      <w:b/>
                      <w:bCs/>
                      <w:sz w:val="14"/>
                      <w:szCs w:val="14"/>
                      <w:lang w:eastAsia="pl-PL"/>
                    </w:rPr>
                    <w:t>9</w:t>
                  </w:r>
                  <w:r w:rsidRPr="002D6FB5">
                    <w:rPr>
                      <w:b/>
                      <w:bCs/>
                      <w:sz w:val="14"/>
                      <w:szCs w:val="14"/>
                      <w:lang w:eastAsia="pl-PL"/>
                    </w:rPr>
                    <w:t>r.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2AEF" w:rsidRPr="002D6FB5" w:rsidRDefault="00BE2AEF" w:rsidP="00AF7DE6">
                  <w:pPr>
                    <w:spacing w:after="0" w:line="240" w:lineRule="auto"/>
                    <w:jc w:val="center"/>
                    <w:rPr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2D6FB5">
                    <w:rPr>
                      <w:b/>
                      <w:bCs/>
                      <w:sz w:val="14"/>
                      <w:szCs w:val="14"/>
                      <w:lang w:eastAsia="pl-PL"/>
                    </w:rPr>
                    <w:t>Umorzenie razem na dzień 31.12.201</w:t>
                  </w:r>
                  <w:r>
                    <w:rPr>
                      <w:b/>
                      <w:bCs/>
                      <w:sz w:val="14"/>
                      <w:szCs w:val="14"/>
                      <w:lang w:eastAsia="pl-PL"/>
                    </w:rPr>
                    <w:t>9</w:t>
                  </w:r>
                  <w:r w:rsidRPr="002D6FB5">
                    <w:rPr>
                      <w:b/>
                      <w:bCs/>
                      <w:sz w:val="14"/>
                      <w:szCs w:val="14"/>
                      <w:lang w:eastAsia="pl-PL"/>
                    </w:rPr>
                    <w:t>r.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2AEF" w:rsidRPr="002D6FB5" w:rsidRDefault="00BE2AEF" w:rsidP="00AF7DE6">
                  <w:pPr>
                    <w:spacing w:after="0" w:line="240" w:lineRule="auto"/>
                    <w:jc w:val="center"/>
                    <w:rPr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2D6FB5">
                    <w:rPr>
                      <w:b/>
                      <w:bCs/>
                      <w:sz w:val="14"/>
                      <w:szCs w:val="14"/>
                      <w:lang w:eastAsia="pl-PL"/>
                    </w:rPr>
                    <w:t>Wartość netto środków trwałych na dzień 31.12.201</w:t>
                  </w:r>
                  <w:r>
                    <w:rPr>
                      <w:b/>
                      <w:bCs/>
                      <w:sz w:val="14"/>
                      <w:szCs w:val="14"/>
                      <w:lang w:eastAsia="pl-PL"/>
                    </w:rPr>
                    <w:t>9</w:t>
                  </w:r>
                  <w:r w:rsidRPr="002D6FB5">
                    <w:rPr>
                      <w:b/>
                      <w:bCs/>
                      <w:sz w:val="14"/>
                      <w:szCs w:val="14"/>
                      <w:lang w:eastAsia="pl-PL"/>
                    </w:rPr>
                    <w:t>r.</w:t>
                  </w:r>
                </w:p>
              </w:tc>
            </w:tr>
            <w:tr w:rsidR="00902DED" w:rsidTr="00902DED">
              <w:trPr>
                <w:trHeight w:val="336"/>
              </w:trPr>
              <w:tc>
                <w:tcPr>
                  <w:tcW w:w="993" w:type="dxa"/>
                </w:tcPr>
                <w:p w:rsidR="00BE2AEF" w:rsidRPr="00861D53" w:rsidRDefault="00BE2AEF" w:rsidP="000C6B33">
                  <w:pPr>
                    <w:widowControl w:val="0"/>
                    <w:spacing w:after="0" w:line="240" w:lineRule="auto"/>
                    <w:jc w:val="both"/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</w:pPr>
                  <w:r w:rsidRPr="00861D53"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  <w:t>GRUPA 0</w:t>
                  </w:r>
                </w:p>
                <w:p w:rsidR="00BE2AEF" w:rsidRPr="000C6B33" w:rsidRDefault="000C6B33" w:rsidP="000C6B33">
                  <w:pPr>
                    <w:widowControl w:val="0"/>
                    <w:spacing w:after="0" w:line="240" w:lineRule="auto"/>
                    <w:jc w:val="both"/>
                    <w:rPr>
                      <w:rFonts w:asciiTheme="majorHAnsi" w:hAnsiTheme="majorHAnsi"/>
                      <w:color w:val="000000"/>
                      <w:sz w:val="10"/>
                      <w:szCs w:val="10"/>
                      <w:shd w:val="clear" w:color="auto" w:fill="FFFFFF"/>
                    </w:rPr>
                  </w:pPr>
                  <w:r w:rsidRPr="000C6B33">
                    <w:rPr>
                      <w:rFonts w:asciiTheme="majorHAnsi" w:hAnsiTheme="majorHAnsi"/>
                      <w:color w:val="000000"/>
                      <w:sz w:val="10"/>
                      <w:szCs w:val="10"/>
                      <w:shd w:val="clear" w:color="auto" w:fill="FFFFFF"/>
                    </w:rPr>
                    <w:t>Grunty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vAlign w:val="center"/>
                </w:tcPr>
                <w:p w:rsidR="00BE2AEF" w:rsidRPr="00AF7DE6" w:rsidRDefault="00AF7DE6" w:rsidP="00AF7DE6">
                  <w:pPr>
                    <w:widowControl w:val="0"/>
                    <w:spacing w:after="0" w:line="240" w:lineRule="auto"/>
                    <w:jc w:val="right"/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</w:pPr>
                  <w:r w:rsidRPr="00AF7DE6"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  <w:t>128</w:t>
                  </w:r>
                  <w:r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  <w:t xml:space="preserve"> </w:t>
                  </w:r>
                  <w:r w:rsidRPr="00AF7DE6"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  <w:t>192,00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  <w:vAlign w:val="center"/>
                </w:tcPr>
                <w:p w:rsidR="00BE2AEF" w:rsidRDefault="00BE2AEF" w:rsidP="00AF7DE6">
                  <w:pPr>
                    <w:widowControl w:val="0"/>
                    <w:spacing w:after="0" w:line="240" w:lineRule="auto"/>
                    <w:jc w:val="right"/>
                    <w:rPr>
                      <w:rFonts w:asciiTheme="majorHAnsi" w:hAnsiTheme="majorHAnsi"/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  <w:vAlign w:val="center"/>
                </w:tcPr>
                <w:p w:rsidR="00BE2AEF" w:rsidRDefault="00BE2AEF" w:rsidP="00AF7DE6">
                  <w:pPr>
                    <w:widowControl w:val="0"/>
                    <w:spacing w:after="0" w:line="240" w:lineRule="auto"/>
                    <w:jc w:val="right"/>
                    <w:rPr>
                      <w:rFonts w:asciiTheme="majorHAnsi" w:hAnsiTheme="majorHAnsi"/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vAlign w:val="center"/>
                </w:tcPr>
                <w:p w:rsidR="00BE2AEF" w:rsidRPr="00AF7DE6" w:rsidRDefault="00AF7DE6" w:rsidP="00AF7DE6">
                  <w:pPr>
                    <w:widowControl w:val="0"/>
                    <w:spacing w:after="0" w:line="240" w:lineRule="auto"/>
                    <w:jc w:val="right"/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</w:pPr>
                  <w:r w:rsidRPr="00AF7DE6"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  <w:t>128</w:t>
                  </w:r>
                  <w:r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  <w:t xml:space="preserve"> </w:t>
                  </w:r>
                  <w:r w:rsidRPr="00AF7DE6"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  <w:t>192,00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vAlign w:val="center"/>
                </w:tcPr>
                <w:p w:rsidR="00BE2AEF" w:rsidRDefault="00BE2AEF" w:rsidP="00AF7DE6">
                  <w:pPr>
                    <w:widowControl w:val="0"/>
                    <w:spacing w:after="0" w:line="240" w:lineRule="auto"/>
                    <w:jc w:val="right"/>
                    <w:rPr>
                      <w:rFonts w:asciiTheme="majorHAnsi" w:hAnsiTheme="majorHAnsi"/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vAlign w:val="center"/>
                </w:tcPr>
                <w:p w:rsidR="00BE2AEF" w:rsidRDefault="00BE2AEF" w:rsidP="00AF7DE6">
                  <w:pPr>
                    <w:widowControl w:val="0"/>
                    <w:spacing w:after="0" w:line="240" w:lineRule="auto"/>
                    <w:jc w:val="right"/>
                    <w:rPr>
                      <w:rFonts w:asciiTheme="majorHAnsi" w:hAnsiTheme="majorHAnsi"/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  <w:vAlign w:val="center"/>
                </w:tcPr>
                <w:p w:rsidR="00BE2AEF" w:rsidRDefault="00BE2AEF" w:rsidP="00AF7DE6">
                  <w:pPr>
                    <w:widowControl w:val="0"/>
                    <w:spacing w:after="0" w:line="240" w:lineRule="auto"/>
                    <w:jc w:val="right"/>
                    <w:rPr>
                      <w:rFonts w:asciiTheme="majorHAnsi" w:hAnsiTheme="majorHAnsi"/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  <w:vAlign w:val="center"/>
                </w:tcPr>
                <w:p w:rsidR="00BE2AEF" w:rsidRDefault="00BE2AEF" w:rsidP="00AF7DE6">
                  <w:pPr>
                    <w:widowControl w:val="0"/>
                    <w:spacing w:after="0" w:line="240" w:lineRule="auto"/>
                    <w:jc w:val="right"/>
                    <w:rPr>
                      <w:rFonts w:asciiTheme="majorHAnsi" w:hAnsiTheme="majorHAnsi"/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vAlign w:val="center"/>
                </w:tcPr>
                <w:p w:rsidR="00BE2AEF" w:rsidRDefault="00BE2AEF" w:rsidP="00AF7DE6">
                  <w:pPr>
                    <w:widowControl w:val="0"/>
                    <w:spacing w:after="0" w:line="240" w:lineRule="auto"/>
                    <w:jc w:val="right"/>
                    <w:rPr>
                      <w:rFonts w:asciiTheme="majorHAnsi" w:hAnsiTheme="majorHAnsi"/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auto"/>
                  </w:tcBorders>
                  <w:vAlign w:val="center"/>
                </w:tcPr>
                <w:p w:rsidR="00BE2AEF" w:rsidRPr="00AF7DE6" w:rsidRDefault="00AF7DE6" w:rsidP="00AF7DE6">
                  <w:pPr>
                    <w:widowControl w:val="0"/>
                    <w:spacing w:after="0" w:line="240" w:lineRule="auto"/>
                    <w:jc w:val="right"/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</w:pPr>
                  <w:r w:rsidRPr="00AF7DE6"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  <w:t>128</w:t>
                  </w:r>
                  <w:r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  <w:t xml:space="preserve"> </w:t>
                  </w:r>
                  <w:r w:rsidRPr="00AF7DE6"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  <w:t>192,00</w:t>
                  </w:r>
                </w:p>
              </w:tc>
            </w:tr>
            <w:tr w:rsidR="00902DED" w:rsidTr="00902DED">
              <w:trPr>
                <w:trHeight w:val="190"/>
              </w:trPr>
              <w:tc>
                <w:tcPr>
                  <w:tcW w:w="993" w:type="dxa"/>
                </w:tcPr>
                <w:p w:rsidR="00861D53" w:rsidRPr="00861D53" w:rsidRDefault="00861D53" w:rsidP="00861D53">
                  <w:pPr>
                    <w:widowControl w:val="0"/>
                    <w:spacing w:before="80" w:after="0" w:line="240" w:lineRule="auto"/>
                    <w:ind w:left="-32" w:right="227"/>
                    <w:jc w:val="both"/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  <w:t>GRUPA I</w:t>
                  </w:r>
                </w:p>
                <w:p w:rsidR="00BE2AEF" w:rsidRPr="000C6B33" w:rsidRDefault="000C6B33" w:rsidP="000C6B33">
                  <w:pPr>
                    <w:widowControl w:val="0"/>
                    <w:spacing w:after="0" w:line="240" w:lineRule="auto"/>
                    <w:rPr>
                      <w:rFonts w:asciiTheme="majorHAnsi" w:hAnsiTheme="majorHAnsi"/>
                      <w:color w:val="000000"/>
                      <w:sz w:val="10"/>
                      <w:szCs w:val="10"/>
                      <w:shd w:val="clear" w:color="auto" w:fill="FFFFFF"/>
                    </w:rPr>
                  </w:pPr>
                  <w:r w:rsidRPr="000C6B33">
                    <w:rPr>
                      <w:rFonts w:asciiTheme="majorHAnsi" w:hAnsiTheme="majorHAnsi"/>
                      <w:color w:val="000000"/>
                      <w:sz w:val="10"/>
                      <w:szCs w:val="10"/>
                      <w:shd w:val="clear" w:color="auto" w:fill="FFFFFF"/>
                    </w:rPr>
                    <w:t>Budynki i lokale …</w:t>
                  </w:r>
                </w:p>
              </w:tc>
              <w:tc>
                <w:tcPr>
                  <w:tcW w:w="992" w:type="dxa"/>
                  <w:vAlign w:val="center"/>
                </w:tcPr>
                <w:p w:rsidR="00BE2AEF" w:rsidRPr="00AF7DE6" w:rsidRDefault="00AF7DE6" w:rsidP="00AF7DE6">
                  <w:pPr>
                    <w:widowControl w:val="0"/>
                    <w:spacing w:after="0" w:line="240" w:lineRule="auto"/>
                    <w:jc w:val="right"/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</w:pPr>
                  <w:r w:rsidRPr="00AF7DE6"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  <w:t>16334544,29</w:t>
                  </w:r>
                </w:p>
              </w:tc>
              <w:tc>
                <w:tcPr>
                  <w:tcW w:w="850" w:type="dxa"/>
                  <w:vAlign w:val="center"/>
                </w:tcPr>
                <w:p w:rsidR="00BE2AEF" w:rsidRPr="00AF7DE6" w:rsidRDefault="00BE2AEF" w:rsidP="00AF7DE6">
                  <w:pPr>
                    <w:widowControl w:val="0"/>
                    <w:spacing w:after="0" w:line="240" w:lineRule="auto"/>
                    <w:jc w:val="right"/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BE2AEF" w:rsidRPr="00AF7DE6" w:rsidRDefault="00AF7DE6" w:rsidP="00AF7DE6">
                  <w:pPr>
                    <w:widowControl w:val="0"/>
                    <w:spacing w:after="0" w:line="240" w:lineRule="auto"/>
                    <w:jc w:val="right"/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  <w:t>542848,88</w:t>
                  </w:r>
                </w:p>
              </w:tc>
              <w:tc>
                <w:tcPr>
                  <w:tcW w:w="992" w:type="dxa"/>
                  <w:vAlign w:val="center"/>
                </w:tcPr>
                <w:p w:rsidR="00BE2AEF" w:rsidRPr="00AF7DE6" w:rsidRDefault="00AF7DE6" w:rsidP="00AF7DE6">
                  <w:pPr>
                    <w:widowControl w:val="0"/>
                    <w:spacing w:after="0" w:line="240" w:lineRule="auto"/>
                    <w:jc w:val="right"/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  <w:t>15</w:t>
                  </w:r>
                  <w:r w:rsidR="00902DED"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  <w:t>791</w:t>
                  </w:r>
                  <w:r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  <w:t>695,41</w:t>
                  </w:r>
                </w:p>
              </w:tc>
              <w:tc>
                <w:tcPr>
                  <w:tcW w:w="992" w:type="dxa"/>
                  <w:vAlign w:val="center"/>
                </w:tcPr>
                <w:p w:rsidR="00BE2AEF" w:rsidRPr="00AF7DE6" w:rsidRDefault="00AF7DE6" w:rsidP="00AF7DE6">
                  <w:pPr>
                    <w:widowControl w:val="0"/>
                    <w:spacing w:after="0" w:line="240" w:lineRule="auto"/>
                    <w:jc w:val="right"/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  <w:t>7963045,89</w:t>
                  </w:r>
                </w:p>
              </w:tc>
              <w:tc>
                <w:tcPr>
                  <w:tcW w:w="709" w:type="dxa"/>
                  <w:vAlign w:val="center"/>
                </w:tcPr>
                <w:p w:rsidR="00BE2AEF" w:rsidRPr="00AF7DE6" w:rsidRDefault="00BE2AEF" w:rsidP="00AF7DE6">
                  <w:pPr>
                    <w:widowControl w:val="0"/>
                    <w:spacing w:after="0" w:line="240" w:lineRule="auto"/>
                    <w:jc w:val="right"/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BE2AEF" w:rsidRPr="00AF7DE6" w:rsidRDefault="00AF7DE6" w:rsidP="00AF7DE6">
                  <w:pPr>
                    <w:widowControl w:val="0"/>
                    <w:spacing w:after="0" w:line="240" w:lineRule="auto"/>
                    <w:jc w:val="right"/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  <w:t>278 171 65</w:t>
                  </w:r>
                </w:p>
              </w:tc>
              <w:tc>
                <w:tcPr>
                  <w:tcW w:w="850" w:type="dxa"/>
                  <w:vAlign w:val="center"/>
                </w:tcPr>
                <w:p w:rsidR="00BE2AEF" w:rsidRPr="00AF7DE6" w:rsidRDefault="00AF7DE6" w:rsidP="00AF7DE6">
                  <w:pPr>
                    <w:widowControl w:val="0"/>
                    <w:spacing w:after="0" w:line="240" w:lineRule="auto"/>
                    <w:jc w:val="right"/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  <w:t>249928,36</w:t>
                  </w:r>
                </w:p>
              </w:tc>
              <w:tc>
                <w:tcPr>
                  <w:tcW w:w="992" w:type="dxa"/>
                  <w:vAlign w:val="center"/>
                </w:tcPr>
                <w:p w:rsidR="00BE2AEF" w:rsidRPr="00AF7DE6" w:rsidRDefault="00AF7DE6" w:rsidP="00AF7DE6">
                  <w:pPr>
                    <w:widowControl w:val="0"/>
                    <w:spacing w:after="0" w:line="240" w:lineRule="auto"/>
                    <w:jc w:val="right"/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  <w:t>7934802,60</w:t>
                  </w:r>
                </w:p>
              </w:tc>
              <w:tc>
                <w:tcPr>
                  <w:tcW w:w="929" w:type="dxa"/>
                  <w:vAlign w:val="center"/>
                </w:tcPr>
                <w:p w:rsidR="00BE2AEF" w:rsidRPr="00AF7DE6" w:rsidRDefault="00AF7DE6" w:rsidP="00AF7DE6">
                  <w:pPr>
                    <w:widowControl w:val="0"/>
                    <w:spacing w:after="0" w:line="240" w:lineRule="auto"/>
                    <w:jc w:val="right"/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  <w:t>7856892,81</w:t>
                  </w:r>
                </w:p>
              </w:tc>
            </w:tr>
            <w:tr w:rsidR="00902DED" w:rsidTr="00902DED">
              <w:trPr>
                <w:trHeight w:val="190"/>
              </w:trPr>
              <w:tc>
                <w:tcPr>
                  <w:tcW w:w="993" w:type="dxa"/>
                </w:tcPr>
                <w:p w:rsidR="000C6B33" w:rsidRPr="00861D53" w:rsidRDefault="000C6B33" w:rsidP="000C6B33">
                  <w:pPr>
                    <w:widowControl w:val="0"/>
                    <w:spacing w:before="80" w:after="0" w:line="240" w:lineRule="auto"/>
                    <w:ind w:left="-32" w:right="227"/>
                    <w:jc w:val="both"/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  <w:t>GRUPA II</w:t>
                  </w:r>
                </w:p>
                <w:p w:rsidR="00BE2AEF" w:rsidRPr="000C6B33" w:rsidRDefault="000C6B33" w:rsidP="000C6B33">
                  <w:pPr>
                    <w:widowControl w:val="0"/>
                    <w:spacing w:after="0" w:line="240" w:lineRule="auto"/>
                    <w:rPr>
                      <w:rFonts w:asciiTheme="majorHAnsi" w:hAnsiTheme="majorHAnsi"/>
                      <w:color w:val="000000"/>
                      <w:sz w:val="10"/>
                      <w:szCs w:val="10"/>
                      <w:shd w:val="clear" w:color="auto" w:fill="FFFFFF"/>
                    </w:rPr>
                  </w:pPr>
                  <w:r w:rsidRPr="000C6B33">
                    <w:rPr>
                      <w:rFonts w:asciiTheme="majorHAnsi" w:hAnsiTheme="majorHAnsi"/>
                      <w:color w:val="000000"/>
                      <w:sz w:val="10"/>
                      <w:szCs w:val="10"/>
                      <w:shd w:val="clear" w:color="auto" w:fill="FFFFFF"/>
                    </w:rPr>
                    <w:t>Obiekty inżynierii lądowe i wodnej</w:t>
                  </w:r>
                </w:p>
              </w:tc>
              <w:tc>
                <w:tcPr>
                  <w:tcW w:w="992" w:type="dxa"/>
                  <w:vAlign w:val="center"/>
                </w:tcPr>
                <w:p w:rsidR="00BE2AEF" w:rsidRPr="00902DED" w:rsidRDefault="00AF7DE6" w:rsidP="00AF7DE6">
                  <w:pPr>
                    <w:widowControl w:val="0"/>
                    <w:spacing w:after="0" w:line="240" w:lineRule="auto"/>
                    <w:jc w:val="right"/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</w:pPr>
                  <w:r w:rsidRPr="00902DED"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  <w:t>529 413,82</w:t>
                  </w:r>
                </w:p>
              </w:tc>
              <w:tc>
                <w:tcPr>
                  <w:tcW w:w="850" w:type="dxa"/>
                  <w:vAlign w:val="center"/>
                </w:tcPr>
                <w:p w:rsidR="00BE2AEF" w:rsidRPr="00902DED" w:rsidRDefault="00BE2AEF" w:rsidP="00AF7DE6">
                  <w:pPr>
                    <w:widowControl w:val="0"/>
                    <w:spacing w:after="0" w:line="240" w:lineRule="auto"/>
                    <w:jc w:val="right"/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BE2AEF" w:rsidRPr="00902DED" w:rsidRDefault="00BE2AEF" w:rsidP="00AF7DE6">
                  <w:pPr>
                    <w:widowControl w:val="0"/>
                    <w:spacing w:after="0" w:line="240" w:lineRule="auto"/>
                    <w:jc w:val="right"/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BE2AEF" w:rsidRPr="00902DED" w:rsidRDefault="00AF7DE6" w:rsidP="00AF7DE6">
                  <w:pPr>
                    <w:widowControl w:val="0"/>
                    <w:spacing w:after="0" w:line="240" w:lineRule="auto"/>
                    <w:jc w:val="right"/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</w:pPr>
                  <w:r w:rsidRPr="00902DED"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  <w:t>529 413,82</w:t>
                  </w:r>
                </w:p>
              </w:tc>
              <w:tc>
                <w:tcPr>
                  <w:tcW w:w="992" w:type="dxa"/>
                  <w:vAlign w:val="center"/>
                </w:tcPr>
                <w:p w:rsidR="00BE2AEF" w:rsidRPr="00902DED" w:rsidRDefault="00AF7DE6" w:rsidP="00AF7DE6">
                  <w:pPr>
                    <w:widowControl w:val="0"/>
                    <w:spacing w:after="0" w:line="240" w:lineRule="auto"/>
                    <w:jc w:val="right"/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</w:pPr>
                  <w:r w:rsidRPr="00902DED"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  <w:t>336 984,45</w:t>
                  </w:r>
                </w:p>
              </w:tc>
              <w:tc>
                <w:tcPr>
                  <w:tcW w:w="709" w:type="dxa"/>
                  <w:vAlign w:val="center"/>
                </w:tcPr>
                <w:p w:rsidR="00BE2AEF" w:rsidRPr="00902DED" w:rsidRDefault="00BE2AEF" w:rsidP="00AF7DE6">
                  <w:pPr>
                    <w:widowControl w:val="0"/>
                    <w:spacing w:after="0" w:line="240" w:lineRule="auto"/>
                    <w:jc w:val="right"/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BE2AEF" w:rsidRPr="00902DED" w:rsidRDefault="00BE2AEF" w:rsidP="00AF7DE6">
                  <w:pPr>
                    <w:widowControl w:val="0"/>
                    <w:spacing w:after="0" w:line="240" w:lineRule="auto"/>
                    <w:jc w:val="right"/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BE2AEF" w:rsidRPr="00902DED" w:rsidRDefault="00AF7DE6" w:rsidP="00902DED">
                  <w:pPr>
                    <w:widowControl w:val="0"/>
                    <w:spacing w:after="0" w:line="240" w:lineRule="auto"/>
                    <w:jc w:val="right"/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</w:pPr>
                  <w:r w:rsidRPr="00902DED"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  <w:t>15</w:t>
                  </w:r>
                  <w:r w:rsidR="00902DED"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  <w:t xml:space="preserve"> </w:t>
                  </w:r>
                  <w:r w:rsidRPr="00902DED"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  <w:t>149,85</w:t>
                  </w:r>
                </w:p>
              </w:tc>
              <w:tc>
                <w:tcPr>
                  <w:tcW w:w="992" w:type="dxa"/>
                  <w:vAlign w:val="center"/>
                </w:tcPr>
                <w:p w:rsidR="00BE2AEF" w:rsidRPr="00902DED" w:rsidRDefault="00AF7DE6" w:rsidP="00AF7DE6">
                  <w:pPr>
                    <w:widowControl w:val="0"/>
                    <w:spacing w:after="0" w:line="240" w:lineRule="auto"/>
                    <w:jc w:val="right"/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</w:pPr>
                  <w:r w:rsidRPr="00902DED"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  <w:t>352 134,30</w:t>
                  </w:r>
                </w:p>
              </w:tc>
              <w:tc>
                <w:tcPr>
                  <w:tcW w:w="929" w:type="dxa"/>
                  <w:vAlign w:val="center"/>
                </w:tcPr>
                <w:p w:rsidR="00BE2AEF" w:rsidRPr="00902DED" w:rsidRDefault="000D0162" w:rsidP="00AF7DE6">
                  <w:pPr>
                    <w:widowControl w:val="0"/>
                    <w:spacing w:after="0" w:line="240" w:lineRule="auto"/>
                    <w:jc w:val="right"/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</w:pPr>
                  <w:r w:rsidRPr="00902DED"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  <w:t>177 279,52</w:t>
                  </w:r>
                </w:p>
              </w:tc>
            </w:tr>
            <w:tr w:rsidR="00902DED" w:rsidTr="00902DED">
              <w:trPr>
                <w:trHeight w:val="190"/>
              </w:trPr>
              <w:tc>
                <w:tcPr>
                  <w:tcW w:w="993" w:type="dxa"/>
                </w:tcPr>
                <w:p w:rsidR="000C6B33" w:rsidRPr="00861D53" w:rsidRDefault="000C6B33" w:rsidP="000C6B33">
                  <w:pPr>
                    <w:widowControl w:val="0"/>
                    <w:spacing w:before="80" w:after="0" w:line="240" w:lineRule="auto"/>
                    <w:ind w:left="-32" w:right="227"/>
                    <w:jc w:val="both"/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  <w:t>GRUPA III</w:t>
                  </w:r>
                </w:p>
                <w:p w:rsidR="00BE2AEF" w:rsidRDefault="000C6B33" w:rsidP="0006637F">
                  <w:pPr>
                    <w:widowControl w:val="0"/>
                    <w:spacing w:after="0" w:line="240" w:lineRule="auto"/>
                    <w:rPr>
                      <w:rFonts w:asciiTheme="majorHAnsi" w:hAnsiTheme="majorHAnsi"/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10"/>
                      <w:szCs w:val="10"/>
                      <w:shd w:val="clear" w:color="auto" w:fill="FFFFFF"/>
                    </w:rPr>
                    <w:t>Kotły i maszyny energetyczne</w:t>
                  </w:r>
                </w:p>
              </w:tc>
              <w:tc>
                <w:tcPr>
                  <w:tcW w:w="992" w:type="dxa"/>
                  <w:vAlign w:val="center"/>
                </w:tcPr>
                <w:p w:rsidR="00BE2AEF" w:rsidRPr="00902DED" w:rsidRDefault="000D0162" w:rsidP="00AF7DE6">
                  <w:pPr>
                    <w:widowControl w:val="0"/>
                    <w:spacing w:after="0" w:line="240" w:lineRule="auto"/>
                    <w:jc w:val="right"/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</w:pPr>
                  <w:r w:rsidRPr="00902DED"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  <w:t>47 525,00,</w:t>
                  </w:r>
                </w:p>
              </w:tc>
              <w:tc>
                <w:tcPr>
                  <w:tcW w:w="850" w:type="dxa"/>
                  <w:vAlign w:val="center"/>
                </w:tcPr>
                <w:p w:rsidR="00BE2AEF" w:rsidRPr="00902DED" w:rsidRDefault="00BE2AEF" w:rsidP="00AF7DE6">
                  <w:pPr>
                    <w:widowControl w:val="0"/>
                    <w:spacing w:after="0" w:line="240" w:lineRule="auto"/>
                    <w:jc w:val="right"/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BE2AEF" w:rsidRPr="00902DED" w:rsidRDefault="00BE2AEF" w:rsidP="00AF7DE6">
                  <w:pPr>
                    <w:widowControl w:val="0"/>
                    <w:spacing w:after="0" w:line="240" w:lineRule="auto"/>
                    <w:jc w:val="right"/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BE2AEF" w:rsidRPr="00902DED" w:rsidRDefault="000D0162" w:rsidP="00AF7DE6">
                  <w:pPr>
                    <w:widowControl w:val="0"/>
                    <w:spacing w:after="0" w:line="240" w:lineRule="auto"/>
                    <w:jc w:val="right"/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</w:pPr>
                  <w:r w:rsidRPr="00902DED"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  <w:t>47 525,00</w:t>
                  </w:r>
                </w:p>
              </w:tc>
              <w:tc>
                <w:tcPr>
                  <w:tcW w:w="992" w:type="dxa"/>
                  <w:vAlign w:val="center"/>
                </w:tcPr>
                <w:p w:rsidR="00BE2AEF" w:rsidRPr="00902DED" w:rsidRDefault="000D0162" w:rsidP="00AF7DE6">
                  <w:pPr>
                    <w:widowControl w:val="0"/>
                    <w:spacing w:after="0" w:line="240" w:lineRule="auto"/>
                    <w:jc w:val="right"/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</w:pPr>
                  <w:r w:rsidRPr="00902DED"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  <w:t>47 525,00</w:t>
                  </w:r>
                </w:p>
              </w:tc>
              <w:tc>
                <w:tcPr>
                  <w:tcW w:w="709" w:type="dxa"/>
                  <w:vAlign w:val="center"/>
                </w:tcPr>
                <w:p w:rsidR="00BE2AEF" w:rsidRPr="00902DED" w:rsidRDefault="00BE2AEF" w:rsidP="00AF7DE6">
                  <w:pPr>
                    <w:widowControl w:val="0"/>
                    <w:spacing w:after="0" w:line="240" w:lineRule="auto"/>
                    <w:jc w:val="right"/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BE2AEF" w:rsidRPr="00902DED" w:rsidRDefault="00BE2AEF" w:rsidP="00AF7DE6">
                  <w:pPr>
                    <w:widowControl w:val="0"/>
                    <w:spacing w:after="0" w:line="240" w:lineRule="auto"/>
                    <w:jc w:val="right"/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BE2AEF" w:rsidRPr="00902DED" w:rsidRDefault="000D0162" w:rsidP="00AF7DE6">
                  <w:pPr>
                    <w:widowControl w:val="0"/>
                    <w:spacing w:after="0" w:line="240" w:lineRule="auto"/>
                    <w:jc w:val="right"/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</w:pPr>
                  <w:r w:rsidRPr="00902DED"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BE2AEF" w:rsidRPr="00902DED" w:rsidRDefault="000D0162" w:rsidP="00AF7DE6">
                  <w:pPr>
                    <w:widowControl w:val="0"/>
                    <w:spacing w:after="0" w:line="240" w:lineRule="auto"/>
                    <w:jc w:val="right"/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</w:pPr>
                  <w:r w:rsidRPr="00902DED"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  <w:t>47 525,00</w:t>
                  </w:r>
                </w:p>
              </w:tc>
              <w:tc>
                <w:tcPr>
                  <w:tcW w:w="929" w:type="dxa"/>
                  <w:vAlign w:val="center"/>
                </w:tcPr>
                <w:p w:rsidR="00BE2AEF" w:rsidRPr="00902DED" w:rsidRDefault="000D0162" w:rsidP="00AF7DE6">
                  <w:pPr>
                    <w:widowControl w:val="0"/>
                    <w:spacing w:after="0" w:line="240" w:lineRule="auto"/>
                    <w:jc w:val="right"/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</w:pPr>
                  <w:r w:rsidRPr="00902DED"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  <w:t>0,00</w:t>
                  </w:r>
                </w:p>
              </w:tc>
            </w:tr>
            <w:tr w:rsidR="00902DED" w:rsidTr="00902DED">
              <w:trPr>
                <w:trHeight w:val="190"/>
              </w:trPr>
              <w:tc>
                <w:tcPr>
                  <w:tcW w:w="993" w:type="dxa"/>
                </w:tcPr>
                <w:p w:rsidR="000C6B33" w:rsidRPr="00861D53" w:rsidRDefault="000C6B33" w:rsidP="000C6B33">
                  <w:pPr>
                    <w:widowControl w:val="0"/>
                    <w:spacing w:before="80" w:after="0" w:line="240" w:lineRule="auto"/>
                    <w:ind w:left="-32" w:right="227"/>
                    <w:jc w:val="both"/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  <w:t>GRUPA IV</w:t>
                  </w:r>
                </w:p>
                <w:p w:rsidR="00BE2AEF" w:rsidRDefault="000C6B33" w:rsidP="000C6B33">
                  <w:pPr>
                    <w:widowControl w:val="0"/>
                    <w:spacing w:after="0" w:line="240" w:lineRule="auto"/>
                    <w:rPr>
                      <w:rFonts w:asciiTheme="majorHAnsi" w:hAnsiTheme="majorHAnsi"/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10"/>
                      <w:szCs w:val="10"/>
                      <w:shd w:val="clear" w:color="auto" w:fill="FFFFFF"/>
                    </w:rPr>
                    <w:t>Maszyny, urządzenia i aparaty ogólnego zastosowania</w:t>
                  </w:r>
                </w:p>
              </w:tc>
              <w:tc>
                <w:tcPr>
                  <w:tcW w:w="992" w:type="dxa"/>
                  <w:vAlign w:val="center"/>
                </w:tcPr>
                <w:p w:rsidR="00BE2AEF" w:rsidRPr="00902DED" w:rsidRDefault="000D0162" w:rsidP="00AF7DE6">
                  <w:pPr>
                    <w:widowControl w:val="0"/>
                    <w:spacing w:after="0" w:line="240" w:lineRule="auto"/>
                    <w:jc w:val="right"/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</w:pPr>
                  <w:r w:rsidRPr="00902DED"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  <w:t>120 258,72</w:t>
                  </w:r>
                </w:p>
              </w:tc>
              <w:tc>
                <w:tcPr>
                  <w:tcW w:w="850" w:type="dxa"/>
                  <w:vAlign w:val="center"/>
                </w:tcPr>
                <w:p w:rsidR="00BE2AEF" w:rsidRPr="00902DED" w:rsidRDefault="00BE2AEF" w:rsidP="00AF7DE6">
                  <w:pPr>
                    <w:widowControl w:val="0"/>
                    <w:spacing w:after="0" w:line="240" w:lineRule="auto"/>
                    <w:jc w:val="right"/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BE2AEF" w:rsidRPr="00902DED" w:rsidRDefault="00BE2AEF" w:rsidP="00AF7DE6">
                  <w:pPr>
                    <w:widowControl w:val="0"/>
                    <w:spacing w:after="0" w:line="240" w:lineRule="auto"/>
                    <w:jc w:val="right"/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BE2AEF" w:rsidRPr="00902DED" w:rsidRDefault="000D0162" w:rsidP="00AF7DE6">
                  <w:pPr>
                    <w:widowControl w:val="0"/>
                    <w:spacing w:after="0" w:line="240" w:lineRule="auto"/>
                    <w:jc w:val="right"/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</w:pPr>
                  <w:r w:rsidRPr="00902DED"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  <w:t>120 258,72</w:t>
                  </w:r>
                </w:p>
              </w:tc>
              <w:tc>
                <w:tcPr>
                  <w:tcW w:w="992" w:type="dxa"/>
                  <w:vAlign w:val="center"/>
                </w:tcPr>
                <w:p w:rsidR="00BE2AEF" w:rsidRPr="00902DED" w:rsidRDefault="000D0162" w:rsidP="00AF7DE6">
                  <w:pPr>
                    <w:widowControl w:val="0"/>
                    <w:spacing w:after="0" w:line="240" w:lineRule="auto"/>
                    <w:jc w:val="right"/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</w:pPr>
                  <w:r w:rsidRPr="00902DED"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  <w:t>77</w:t>
                  </w:r>
                  <w:r w:rsidR="002F132C"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  <w:t xml:space="preserve"> </w:t>
                  </w:r>
                  <w:r w:rsidRPr="00902DED"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  <w:t>592,44</w:t>
                  </w:r>
                </w:p>
              </w:tc>
              <w:tc>
                <w:tcPr>
                  <w:tcW w:w="709" w:type="dxa"/>
                  <w:vAlign w:val="center"/>
                </w:tcPr>
                <w:p w:rsidR="00BE2AEF" w:rsidRPr="00902DED" w:rsidRDefault="00BE2AEF" w:rsidP="00AF7DE6">
                  <w:pPr>
                    <w:widowControl w:val="0"/>
                    <w:spacing w:after="0" w:line="240" w:lineRule="auto"/>
                    <w:jc w:val="right"/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BE2AEF" w:rsidRPr="00902DED" w:rsidRDefault="00BE2AEF" w:rsidP="00AF7DE6">
                  <w:pPr>
                    <w:widowControl w:val="0"/>
                    <w:spacing w:after="0" w:line="240" w:lineRule="auto"/>
                    <w:jc w:val="right"/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BE2AEF" w:rsidRPr="00902DED" w:rsidRDefault="000D0162" w:rsidP="00AF7DE6">
                  <w:pPr>
                    <w:widowControl w:val="0"/>
                    <w:spacing w:after="0" w:line="240" w:lineRule="auto"/>
                    <w:jc w:val="right"/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</w:pPr>
                  <w:r w:rsidRPr="00902DED"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  <w:t>8 296,22</w:t>
                  </w:r>
                </w:p>
              </w:tc>
              <w:tc>
                <w:tcPr>
                  <w:tcW w:w="992" w:type="dxa"/>
                  <w:vAlign w:val="center"/>
                </w:tcPr>
                <w:p w:rsidR="00BE2AEF" w:rsidRPr="00902DED" w:rsidRDefault="000D0162" w:rsidP="00AF7DE6">
                  <w:pPr>
                    <w:widowControl w:val="0"/>
                    <w:spacing w:after="0" w:line="240" w:lineRule="auto"/>
                    <w:jc w:val="right"/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</w:pPr>
                  <w:r w:rsidRPr="00902DED"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  <w:t>85 888,66</w:t>
                  </w:r>
                </w:p>
              </w:tc>
              <w:tc>
                <w:tcPr>
                  <w:tcW w:w="929" w:type="dxa"/>
                  <w:vAlign w:val="center"/>
                </w:tcPr>
                <w:p w:rsidR="00BE2AEF" w:rsidRPr="00902DED" w:rsidRDefault="000D0162" w:rsidP="00AF7DE6">
                  <w:pPr>
                    <w:widowControl w:val="0"/>
                    <w:spacing w:after="0" w:line="240" w:lineRule="auto"/>
                    <w:jc w:val="right"/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</w:pPr>
                  <w:r w:rsidRPr="00902DED"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  <w:t>34 370,06</w:t>
                  </w:r>
                </w:p>
              </w:tc>
            </w:tr>
            <w:tr w:rsidR="00902DED" w:rsidTr="00902DED">
              <w:trPr>
                <w:trHeight w:val="190"/>
              </w:trPr>
              <w:tc>
                <w:tcPr>
                  <w:tcW w:w="993" w:type="dxa"/>
                </w:tcPr>
                <w:p w:rsidR="000C6B33" w:rsidRPr="00861D53" w:rsidRDefault="000C6B33" w:rsidP="000C6B33">
                  <w:pPr>
                    <w:widowControl w:val="0"/>
                    <w:spacing w:after="0" w:line="240" w:lineRule="auto"/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  <w:t>GRUPA V</w:t>
                  </w:r>
                </w:p>
                <w:p w:rsidR="00BE2AEF" w:rsidRDefault="000C6B33" w:rsidP="000C6B33">
                  <w:pPr>
                    <w:widowControl w:val="0"/>
                    <w:spacing w:after="0" w:line="240" w:lineRule="auto"/>
                    <w:rPr>
                      <w:rFonts w:asciiTheme="majorHAnsi" w:hAnsiTheme="majorHAnsi"/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10"/>
                      <w:szCs w:val="10"/>
                      <w:shd w:val="clear" w:color="auto" w:fill="FFFFFF"/>
                    </w:rPr>
                    <w:t>Maszyny, urządzenia i aparaty  specjalistyczne</w:t>
                  </w:r>
                </w:p>
              </w:tc>
              <w:tc>
                <w:tcPr>
                  <w:tcW w:w="992" w:type="dxa"/>
                  <w:vAlign w:val="center"/>
                </w:tcPr>
                <w:p w:rsidR="00BE2AEF" w:rsidRPr="00902DED" w:rsidRDefault="000D0162" w:rsidP="000D0162">
                  <w:pPr>
                    <w:widowControl w:val="0"/>
                    <w:spacing w:after="0" w:line="240" w:lineRule="auto"/>
                    <w:jc w:val="right"/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</w:pPr>
                  <w:r w:rsidRPr="00902DED"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  <w:t>35 553,84</w:t>
                  </w:r>
                </w:p>
              </w:tc>
              <w:tc>
                <w:tcPr>
                  <w:tcW w:w="850" w:type="dxa"/>
                  <w:vAlign w:val="center"/>
                </w:tcPr>
                <w:p w:rsidR="00BE2AEF" w:rsidRPr="00902DED" w:rsidRDefault="00BE2AEF" w:rsidP="00902DED">
                  <w:pPr>
                    <w:widowControl w:val="0"/>
                    <w:spacing w:after="0" w:line="240" w:lineRule="auto"/>
                    <w:jc w:val="right"/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BE2AEF" w:rsidRPr="00902DED" w:rsidRDefault="00BE2AEF" w:rsidP="00902DED">
                  <w:pPr>
                    <w:widowControl w:val="0"/>
                    <w:spacing w:after="0" w:line="240" w:lineRule="auto"/>
                    <w:jc w:val="right"/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BE2AEF" w:rsidRPr="00902DED" w:rsidRDefault="000D0162" w:rsidP="000D0162">
                  <w:pPr>
                    <w:widowControl w:val="0"/>
                    <w:spacing w:after="0" w:line="240" w:lineRule="auto"/>
                    <w:jc w:val="right"/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</w:pPr>
                  <w:r w:rsidRPr="00902DED"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  <w:t>35 553,84</w:t>
                  </w:r>
                </w:p>
              </w:tc>
              <w:tc>
                <w:tcPr>
                  <w:tcW w:w="992" w:type="dxa"/>
                  <w:vAlign w:val="center"/>
                </w:tcPr>
                <w:p w:rsidR="00BE2AEF" w:rsidRPr="00902DED" w:rsidRDefault="000D0162" w:rsidP="000D0162">
                  <w:pPr>
                    <w:widowControl w:val="0"/>
                    <w:spacing w:after="0" w:line="240" w:lineRule="auto"/>
                    <w:jc w:val="right"/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</w:pPr>
                  <w:r w:rsidRPr="00902DED"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  <w:t>35 553,84</w:t>
                  </w:r>
                </w:p>
              </w:tc>
              <w:tc>
                <w:tcPr>
                  <w:tcW w:w="709" w:type="dxa"/>
                  <w:vAlign w:val="center"/>
                </w:tcPr>
                <w:p w:rsidR="00BE2AEF" w:rsidRPr="00902DED" w:rsidRDefault="00BE2AEF" w:rsidP="000D0162">
                  <w:pPr>
                    <w:widowControl w:val="0"/>
                    <w:spacing w:after="0" w:line="240" w:lineRule="auto"/>
                    <w:jc w:val="right"/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BE2AEF" w:rsidRPr="00902DED" w:rsidRDefault="00BE2AEF" w:rsidP="000D0162">
                  <w:pPr>
                    <w:widowControl w:val="0"/>
                    <w:spacing w:after="0" w:line="240" w:lineRule="auto"/>
                    <w:jc w:val="right"/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BE2AEF" w:rsidRPr="00902DED" w:rsidRDefault="000D0162" w:rsidP="000D0162">
                  <w:pPr>
                    <w:widowControl w:val="0"/>
                    <w:spacing w:after="0" w:line="240" w:lineRule="auto"/>
                    <w:jc w:val="right"/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</w:pPr>
                  <w:r w:rsidRPr="00902DED"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BE2AEF" w:rsidRPr="00902DED" w:rsidRDefault="000D0162" w:rsidP="000D0162">
                  <w:pPr>
                    <w:widowControl w:val="0"/>
                    <w:spacing w:after="0" w:line="240" w:lineRule="auto"/>
                    <w:jc w:val="right"/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</w:pPr>
                  <w:r w:rsidRPr="00902DED"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  <w:t>35 553,84</w:t>
                  </w:r>
                </w:p>
              </w:tc>
              <w:tc>
                <w:tcPr>
                  <w:tcW w:w="929" w:type="dxa"/>
                  <w:vAlign w:val="center"/>
                </w:tcPr>
                <w:p w:rsidR="00BE2AEF" w:rsidRPr="00902DED" w:rsidRDefault="000D0162" w:rsidP="000D0162">
                  <w:pPr>
                    <w:widowControl w:val="0"/>
                    <w:spacing w:after="0" w:line="240" w:lineRule="auto"/>
                    <w:jc w:val="right"/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</w:pPr>
                  <w:r w:rsidRPr="00902DED"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  <w:t>0,00</w:t>
                  </w:r>
                </w:p>
              </w:tc>
            </w:tr>
            <w:tr w:rsidR="00902DED" w:rsidTr="00902DED">
              <w:trPr>
                <w:trHeight w:val="190"/>
              </w:trPr>
              <w:tc>
                <w:tcPr>
                  <w:tcW w:w="993" w:type="dxa"/>
                </w:tcPr>
                <w:p w:rsidR="00BE2AEF" w:rsidRPr="000C6B33" w:rsidRDefault="000D0162" w:rsidP="00902DED">
                  <w:pPr>
                    <w:widowControl w:val="0"/>
                    <w:spacing w:after="0" w:line="240" w:lineRule="auto"/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  <w:t xml:space="preserve">GRUPA </w:t>
                  </w:r>
                  <w:r w:rsidR="000C6B33"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  <w:t>VI</w:t>
                  </w:r>
                  <w:r w:rsidR="000C6B33">
                    <w:rPr>
                      <w:rFonts w:asciiTheme="majorHAnsi" w:hAnsiTheme="majorHAnsi"/>
                      <w:color w:val="000000"/>
                      <w:sz w:val="10"/>
                      <w:szCs w:val="10"/>
                      <w:shd w:val="clear" w:color="auto" w:fill="FFFFFF"/>
                    </w:rPr>
                    <w:t xml:space="preserve"> Urządzenia techniczne</w:t>
                  </w:r>
                </w:p>
              </w:tc>
              <w:tc>
                <w:tcPr>
                  <w:tcW w:w="992" w:type="dxa"/>
                  <w:vAlign w:val="center"/>
                </w:tcPr>
                <w:p w:rsidR="00BE2AEF" w:rsidRPr="00902DED" w:rsidRDefault="000D0162" w:rsidP="000D0162">
                  <w:pPr>
                    <w:widowControl w:val="0"/>
                    <w:spacing w:after="0" w:line="240" w:lineRule="auto"/>
                    <w:jc w:val="right"/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</w:pPr>
                  <w:r w:rsidRPr="00902DED"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  <w:t>22 491,49</w:t>
                  </w:r>
                </w:p>
              </w:tc>
              <w:tc>
                <w:tcPr>
                  <w:tcW w:w="850" w:type="dxa"/>
                  <w:vAlign w:val="center"/>
                </w:tcPr>
                <w:p w:rsidR="00BE2AEF" w:rsidRPr="00902DED" w:rsidRDefault="00BE2AEF" w:rsidP="00902DED">
                  <w:pPr>
                    <w:widowControl w:val="0"/>
                    <w:spacing w:after="0" w:line="240" w:lineRule="auto"/>
                    <w:jc w:val="right"/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BE2AEF" w:rsidRPr="00902DED" w:rsidRDefault="00BE2AEF" w:rsidP="00902DED">
                  <w:pPr>
                    <w:widowControl w:val="0"/>
                    <w:spacing w:after="0" w:line="240" w:lineRule="auto"/>
                    <w:jc w:val="right"/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BE2AEF" w:rsidRPr="00902DED" w:rsidRDefault="000D0162" w:rsidP="000D0162">
                  <w:pPr>
                    <w:widowControl w:val="0"/>
                    <w:spacing w:after="0" w:line="240" w:lineRule="auto"/>
                    <w:jc w:val="right"/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</w:pPr>
                  <w:r w:rsidRPr="00902DED"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  <w:t>22 491,49</w:t>
                  </w:r>
                </w:p>
              </w:tc>
              <w:tc>
                <w:tcPr>
                  <w:tcW w:w="992" w:type="dxa"/>
                  <w:vAlign w:val="center"/>
                </w:tcPr>
                <w:p w:rsidR="00BE2AEF" w:rsidRPr="00902DED" w:rsidRDefault="000D0162" w:rsidP="000D0162">
                  <w:pPr>
                    <w:widowControl w:val="0"/>
                    <w:spacing w:after="0" w:line="240" w:lineRule="auto"/>
                    <w:jc w:val="right"/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</w:pPr>
                  <w:r w:rsidRPr="00902DED"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  <w:t>22 491,49</w:t>
                  </w:r>
                </w:p>
              </w:tc>
              <w:tc>
                <w:tcPr>
                  <w:tcW w:w="709" w:type="dxa"/>
                  <w:vAlign w:val="center"/>
                </w:tcPr>
                <w:p w:rsidR="00BE2AEF" w:rsidRPr="00902DED" w:rsidRDefault="00BE2AEF" w:rsidP="000D0162">
                  <w:pPr>
                    <w:widowControl w:val="0"/>
                    <w:spacing w:after="0" w:line="240" w:lineRule="auto"/>
                    <w:jc w:val="right"/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BE2AEF" w:rsidRPr="00902DED" w:rsidRDefault="00BE2AEF" w:rsidP="000D0162">
                  <w:pPr>
                    <w:widowControl w:val="0"/>
                    <w:spacing w:after="0" w:line="240" w:lineRule="auto"/>
                    <w:jc w:val="right"/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BE2AEF" w:rsidRPr="00902DED" w:rsidRDefault="000D0162" w:rsidP="000D0162">
                  <w:pPr>
                    <w:widowControl w:val="0"/>
                    <w:spacing w:after="0" w:line="240" w:lineRule="auto"/>
                    <w:jc w:val="right"/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</w:pPr>
                  <w:r w:rsidRPr="00902DED"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BE2AEF" w:rsidRPr="00902DED" w:rsidRDefault="000D0162" w:rsidP="000D0162">
                  <w:pPr>
                    <w:widowControl w:val="0"/>
                    <w:spacing w:after="0" w:line="240" w:lineRule="auto"/>
                    <w:jc w:val="right"/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</w:pPr>
                  <w:r w:rsidRPr="00902DED"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  <w:t>22 491,49</w:t>
                  </w:r>
                </w:p>
              </w:tc>
              <w:tc>
                <w:tcPr>
                  <w:tcW w:w="929" w:type="dxa"/>
                  <w:vAlign w:val="center"/>
                </w:tcPr>
                <w:p w:rsidR="00BE2AEF" w:rsidRPr="00902DED" w:rsidRDefault="000D0162" w:rsidP="000D0162">
                  <w:pPr>
                    <w:widowControl w:val="0"/>
                    <w:spacing w:after="0" w:line="240" w:lineRule="auto"/>
                    <w:jc w:val="right"/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</w:pPr>
                  <w:r w:rsidRPr="00902DED"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  <w:t>0,00</w:t>
                  </w:r>
                </w:p>
              </w:tc>
            </w:tr>
            <w:tr w:rsidR="00902DED" w:rsidTr="00902DED">
              <w:trPr>
                <w:trHeight w:val="190"/>
              </w:trPr>
              <w:tc>
                <w:tcPr>
                  <w:tcW w:w="993" w:type="dxa"/>
                  <w:vAlign w:val="center"/>
                </w:tcPr>
                <w:p w:rsidR="00BE2AEF" w:rsidRDefault="0006637F" w:rsidP="00902DED">
                  <w:pPr>
                    <w:widowControl w:val="0"/>
                    <w:spacing w:after="0" w:line="240" w:lineRule="auto"/>
                    <w:rPr>
                      <w:rFonts w:asciiTheme="majorHAnsi" w:hAnsiTheme="majorHAnsi"/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  <w:t>GRUPA VII</w:t>
                  </w:r>
                  <w:r>
                    <w:rPr>
                      <w:rFonts w:asciiTheme="majorHAnsi" w:hAnsiTheme="majorHAnsi"/>
                      <w:color w:val="000000"/>
                      <w:sz w:val="10"/>
                      <w:szCs w:val="10"/>
                      <w:shd w:val="clear" w:color="auto" w:fill="FFFFFF"/>
                    </w:rPr>
                    <w:t xml:space="preserve"> Środki transportu</w:t>
                  </w:r>
                </w:p>
              </w:tc>
              <w:tc>
                <w:tcPr>
                  <w:tcW w:w="992" w:type="dxa"/>
                  <w:vAlign w:val="center"/>
                </w:tcPr>
                <w:p w:rsidR="00BE2AEF" w:rsidRPr="00902DED" w:rsidRDefault="000D0162" w:rsidP="000D0162">
                  <w:pPr>
                    <w:widowControl w:val="0"/>
                    <w:spacing w:after="0" w:line="240" w:lineRule="auto"/>
                    <w:jc w:val="right"/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</w:pPr>
                  <w:r w:rsidRPr="00902DED"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  <w:t>197 347,44</w:t>
                  </w:r>
                </w:p>
              </w:tc>
              <w:tc>
                <w:tcPr>
                  <w:tcW w:w="850" w:type="dxa"/>
                  <w:vAlign w:val="center"/>
                </w:tcPr>
                <w:p w:rsidR="00BE2AEF" w:rsidRPr="00902DED" w:rsidRDefault="000D0162" w:rsidP="00902DED">
                  <w:pPr>
                    <w:widowControl w:val="0"/>
                    <w:spacing w:after="0" w:line="240" w:lineRule="auto"/>
                    <w:jc w:val="right"/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</w:pPr>
                  <w:r w:rsidRPr="00902DED"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  <w:t>17 000,00</w:t>
                  </w:r>
                </w:p>
              </w:tc>
              <w:tc>
                <w:tcPr>
                  <w:tcW w:w="851" w:type="dxa"/>
                  <w:vAlign w:val="center"/>
                </w:tcPr>
                <w:p w:rsidR="00BE2AEF" w:rsidRPr="00902DED" w:rsidRDefault="00BE2AEF" w:rsidP="00902DED">
                  <w:pPr>
                    <w:widowControl w:val="0"/>
                    <w:spacing w:after="0" w:line="240" w:lineRule="auto"/>
                    <w:jc w:val="right"/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BE2AEF" w:rsidRPr="00902DED" w:rsidRDefault="000D0162" w:rsidP="000D0162">
                  <w:pPr>
                    <w:widowControl w:val="0"/>
                    <w:spacing w:after="0" w:line="240" w:lineRule="auto"/>
                    <w:jc w:val="right"/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</w:pPr>
                  <w:r w:rsidRPr="00902DED"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  <w:t>214 347,44</w:t>
                  </w:r>
                </w:p>
              </w:tc>
              <w:tc>
                <w:tcPr>
                  <w:tcW w:w="992" w:type="dxa"/>
                  <w:vAlign w:val="center"/>
                </w:tcPr>
                <w:p w:rsidR="00BE2AEF" w:rsidRPr="00902DED" w:rsidRDefault="000D0162" w:rsidP="000D0162">
                  <w:pPr>
                    <w:widowControl w:val="0"/>
                    <w:spacing w:after="0" w:line="240" w:lineRule="auto"/>
                    <w:jc w:val="right"/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</w:pPr>
                  <w:r w:rsidRPr="00902DED"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  <w:t>197 347,44</w:t>
                  </w:r>
                </w:p>
              </w:tc>
              <w:tc>
                <w:tcPr>
                  <w:tcW w:w="709" w:type="dxa"/>
                  <w:vAlign w:val="center"/>
                </w:tcPr>
                <w:p w:rsidR="00BE2AEF" w:rsidRPr="00902DED" w:rsidRDefault="00BE2AEF" w:rsidP="000D0162">
                  <w:pPr>
                    <w:widowControl w:val="0"/>
                    <w:spacing w:after="0" w:line="240" w:lineRule="auto"/>
                    <w:jc w:val="right"/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BE2AEF" w:rsidRPr="00902DED" w:rsidRDefault="00BE2AEF" w:rsidP="000D0162">
                  <w:pPr>
                    <w:widowControl w:val="0"/>
                    <w:spacing w:after="0" w:line="240" w:lineRule="auto"/>
                    <w:jc w:val="right"/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BE2AEF" w:rsidRPr="00902DED" w:rsidRDefault="000D0162" w:rsidP="000D0162">
                  <w:pPr>
                    <w:widowControl w:val="0"/>
                    <w:spacing w:after="0" w:line="240" w:lineRule="auto"/>
                    <w:jc w:val="right"/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</w:pPr>
                  <w:r w:rsidRPr="00902DED"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  <w:t>2 549,97</w:t>
                  </w:r>
                </w:p>
              </w:tc>
              <w:tc>
                <w:tcPr>
                  <w:tcW w:w="992" w:type="dxa"/>
                  <w:vAlign w:val="center"/>
                </w:tcPr>
                <w:p w:rsidR="00BE2AEF" w:rsidRPr="00902DED" w:rsidRDefault="000D0162" w:rsidP="000D0162">
                  <w:pPr>
                    <w:widowControl w:val="0"/>
                    <w:spacing w:after="0" w:line="240" w:lineRule="auto"/>
                    <w:jc w:val="right"/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</w:pPr>
                  <w:r w:rsidRPr="00902DED"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  <w:t>199 897,41</w:t>
                  </w:r>
                </w:p>
              </w:tc>
              <w:tc>
                <w:tcPr>
                  <w:tcW w:w="929" w:type="dxa"/>
                  <w:vAlign w:val="center"/>
                </w:tcPr>
                <w:p w:rsidR="00BE2AEF" w:rsidRPr="00902DED" w:rsidRDefault="000D0162" w:rsidP="000D0162">
                  <w:pPr>
                    <w:widowControl w:val="0"/>
                    <w:spacing w:after="0" w:line="240" w:lineRule="auto"/>
                    <w:jc w:val="right"/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</w:pPr>
                  <w:r w:rsidRPr="00902DED"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  <w:t>14 450,03</w:t>
                  </w:r>
                </w:p>
              </w:tc>
            </w:tr>
            <w:tr w:rsidR="00902DED" w:rsidTr="00902DED">
              <w:trPr>
                <w:trHeight w:val="190"/>
              </w:trPr>
              <w:tc>
                <w:tcPr>
                  <w:tcW w:w="993" w:type="dxa"/>
                  <w:vAlign w:val="center"/>
                </w:tcPr>
                <w:p w:rsidR="00BE2AEF" w:rsidRDefault="0006637F" w:rsidP="000D0162">
                  <w:pPr>
                    <w:widowControl w:val="0"/>
                    <w:spacing w:after="0" w:line="240" w:lineRule="auto"/>
                    <w:rPr>
                      <w:rFonts w:asciiTheme="majorHAnsi" w:hAnsiTheme="majorHAnsi"/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  <w:t xml:space="preserve">GRUPA VIII </w:t>
                  </w:r>
                  <w:r w:rsidRPr="0006637F">
                    <w:rPr>
                      <w:rFonts w:asciiTheme="majorHAnsi" w:hAnsiTheme="majorHAnsi"/>
                      <w:color w:val="000000"/>
                      <w:sz w:val="10"/>
                      <w:szCs w:val="10"/>
                      <w:shd w:val="clear" w:color="auto" w:fill="FFFFFF"/>
                    </w:rPr>
                    <w:t>Narzędzia, przyrządy,</w:t>
                  </w:r>
                  <w:r>
                    <w:rPr>
                      <w:rFonts w:asciiTheme="majorHAnsi" w:hAnsiTheme="majorHAnsi"/>
                      <w:color w:val="000000"/>
                      <w:sz w:val="10"/>
                      <w:szCs w:val="10"/>
                      <w:shd w:val="clear" w:color="auto" w:fill="FFFFFF"/>
                    </w:rPr>
                    <w:t xml:space="preserve"> </w:t>
                  </w:r>
                  <w:r w:rsidRPr="0006637F">
                    <w:rPr>
                      <w:rFonts w:asciiTheme="majorHAnsi" w:hAnsiTheme="majorHAnsi"/>
                      <w:color w:val="000000"/>
                      <w:sz w:val="10"/>
                      <w:szCs w:val="10"/>
                      <w:shd w:val="clear" w:color="auto" w:fill="FFFFFF"/>
                    </w:rPr>
                    <w:t>ruchomości i wyposażenie</w:t>
                  </w:r>
                  <w:r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  <w:t xml:space="preserve"> ….</w:t>
                  </w:r>
                </w:p>
              </w:tc>
              <w:tc>
                <w:tcPr>
                  <w:tcW w:w="992" w:type="dxa"/>
                  <w:vAlign w:val="center"/>
                </w:tcPr>
                <w:p w:rsidR="00BE2AEF" w:rsidRPr="00902DED" w:rsidRDefault="00902DED" w:rsidP="000D0162">
                  <w:pPr>
                    <w:widowControl w:val="0"/>
                    <w:spacing w:after="0" w:line="240" w:lineRule="auto"/>
                    <w:jc w:val="right"/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  <w:t>88 749,77</w:t>
                  </w:r>
                </w:p>
              </w:tc>
              <w:tc>
                <w:tcPr>
                  <w:tcW w:w="850" w:type="dxa"/>
                  <w:vAlign w:val="center"/>
                </w:tcPr>
                <w:p w:rsidR="00BE2AEF" w:rsidRPr="00902DED" w:rsidRDefault="00902DED" w:rsidP="00902DED">
                  <w:pPr>
                    <w:widowControl w:val="0"/>
                    <w:spacing w:after="0" w:line="240" w:lineRule="auto"/>
                    <w:jc w:val="right"/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  <w:t>39 999,60</w:t>
                  </w:r>
                </w:p>
              </w:tc>
              <w:tc>
                <w:tcPr>
                  <w:tcW w:w="851" w:type="dxa"/>
                  <w:vAlign w:val="center"/>
                </w:tcPr>
                <w:p w:rsidR="00BE2AEF" w:rsidRPr="00902DED" w:rsidRDefault="00BE2AEF" w:rsidP="00902DED">
                  <w:pPr>
                    <w:widowControl w:val="0"/>
                    <w:spacing w:after="0" w:line="240" w:lineRule="auto"/>
                    <w:jc w:val="right"/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BE2AEF" w:rsidRPr="00902DED" w:rsidRDefault="00902DED" w:rsidP="000D0162">
                  <w:pPr>
                    <w:widowControl w:val="0"/>
                    <w:spacing w:after="0" w:line="240" w:lineRule="auto"/>
                    <w:jc w:val="right"/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  <w:t>128 749,37</w:t>
                  </w:r>
                </w:p>
              </w:tc>
              <w:tc>
                <w:tcPr>
                  <w:tcW w:w="992" w:type="dxa"/>
                  <w:vAlign w:val="center"/>
                </w:tcPr>
                <w:p w:rsidR="00BE2AEF" w:rsidRPr="00902DED" w:rsidRDefault="00902DED" w:rsidP="000D0162">
                  <w:pPr>
                    <w:widowControl w:val="0"/>
                    <w:spacing w:after="0" w:line="240" w:lineRule="auto"/>
                    <w:jc w:val="right"/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  <w:t>82 199,77</w:t>
                  </w:r>
                </w:p>
              </w:tc>
              <w:tc>
                <w:tcPr>
                  <w:tcW w:w="709" w:type="dxa"/>
                  <w:vAlign w:val="center"/>
                </w:tcPr>
                <w:p w:rsidR="00BE2AEF" w:rsidRPr="00902DED" w:rsidRDefault="00BE2AEF" w:rsidP="000D0162">
                  <w:pPr>
                    <w:widowControl w:val="0"/>
                    <w:spacing w:after="0" w:line="240" w:lineRule="auto"/>
                    <w:jc w:val="right"/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BE2AEF" w:rsidRPr="00902DED" w:rsidRDefault="00BE2AEF" w:rsidP="000D0162">
                  <w:pPr>
                    <w:widowControl w:val="0"/>
                    <w:spacing w:after="0" w:line="240" w:lineRule="auto"/>
                    <w:jc w:val="right"/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BE2AEF" w:rsidRPr="00902DED" w:rsidRDefault="00902DED" w:rsidP="000D0162">
                  <w:pPr>
                    <w:widowControl w:val="0"/>
                    <w:spacing w:after="0" w:line="240" w:lineRule="auto"/>
                    <w:jc w:val="right"/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  <w:t>6 043,30</w:t>
                  </w:r>
                </w:p>
              </w:tc>
              <w:tc>
                <w:tcPr>
                  <w:tcW w:w="992" w:type="dxa"/>
                  <w:vAlign w:val="center"/>
                </w:tcPr>
                <w:p w:rsidR="00BE2AEF" w:rsidRPr="00902DED" w:rsidRDefault="00902DED" w:rsidP="000D0162">
                  <w:pPr>
                    <w:widowControl w:val="0"/>
                    <w:spacing w:after="0" w:line="240" w:lineRule="auto"/>
                    <w:jc w:val="right"/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  <w:t>88 243,07</w:t>
                  </w:r>
                </w:p>
              </w:tc>
              <w:tc>
                <w:tcPr>
                  <w:tcW w:w="929" w:type="dxa"/>
                  <w:vAlign w:val="center"/>
                </w:tcPr>
                <w:p w:rsidR="00BE2AEF" w:rsidRPr="00902DED" w:rsidRDefault="00902DED" w:rsidP="000D0162">
                  <w:pPr>
                    <w:widowControl w:val="0"/>
                    <w:spacing w:after="0" w:line="240" w:lineRule="auto"/>
                    <w:jc w:val="right"/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  <w:t>40 506,30</w:t>
                  </w:r>
                </w:p>
              </w:tc>
            </w:tr>
            <w:tr w:rsidR="00902DED" w:rsidTr="007F64D0">
              <w:trPr>
                <w:trHeight w:val="285"/>
              </w:trPr>
              <w:tc>
                <w:tcPr>
                  <w:tcW w:w="993" w:type="dxa"/>
                  <w:vAlign w:val="center"/>
                </w:tcPr>
                <w:p w:rsidR="00BE2AEF" w:rsidRPr="0006637F" w:rsidRDefault="0006637F" w:rsidP="007F64D0">
                  <w:pPr>
                    <w:widowControl w:val="0"/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000000"/>
                      <w:sz w:val="14"/>
                      <w:szCs w:val="14"/>
                      <w:shd w:val="clear" w:color="auto" w:fill="FFFFFF"/>
                    </w:rPr>
                  </w:pPr>
                  <w:r w:rsidRPr="0006637F">
                    <w:rPr>
                      <w:rFonts w:asciiTheme="majorHAnsi" w:hAnsiTheme="majorHAnsi"/>
                      <w:b/>
                      <w:color w:val="000000"/>
                      <w:sz w:val="14"/>
                      <w:szCs w:val="14"/>
                      <w:shd w:val="clear" w:color="auto" w:fill="FFFFFF"/>
                    </w:rPr>
                    <w:t>RAZEM</w:t>
                  </w:r>
                </w:p>
              </w:tc>
              <w:tc>
                <w:tcPr>
                  <w:tcW w:w="992" w:type="dxa"/>
                  <w:vAlign w:val="center"/>
                </w:tcPr>
                <w:p w:rsidR="00BE2AEF" w:rsidRPr="00902DED" w:rsidRDefault="00902DED" w:rsidP="000D0162">
                  <w:pPr>
                    <w:widowControl w:val="0"/>
                    <w:spacing w:after="0" w:line="240" w:lineRule="auto"/>
                    <w:jc w:val="right"/>
                    <w:rPr>
                      <w:rFonts w:asciiTheme="majorHAnsi" w:hAnsiTheme="majorHAnsi"/>
                      <w:b/>
                      <w:color w:val="000000"/>
                      <w:sz w:val="12"/>
                      <w:szCs w:val="12"/>
                      <w:shd w:val="clear" w:color="auto" w:fill="FFFFFF"/>
                    </w:rPr>
                  </w:pPr>
                  <w:r w:rsidRPr="00902DED">
                    <w:rPr>
                      <w:rFonts w:asciiTheme="majorHAnsi" w:hAnsiTheme="majorHAnsi"/>
                      <w:b/>
                      <w:color w:val="000000"/>
                      <w:sz w:val="12"/>
                      <w:szCs w:val="12"/>
                      <w:shd w:val="clear" w:color="auto" w:fill="FFFFFF"/>
                    </w:rPr>
                    <w:t>17504076,37</w:t>
                  </w:r>
                </w:p>
              </w:tc>
              <w:tc>
                <w:tcPr>
                  <w:tcW w:w="850" w:type="dxa"/>
                  <w:vAlign w:val="center"/>
                </w:tcPr>
                <w:p w:rsidR="00BE2AEF" w:rsidRPr="00902DED" w:rsidRDefault="007F64D0" w:rsidP="00902DED">
                  <w:pPr>
                    <w:widowControl w:val="0"/>
                    <w:spacing w:after="0" w:line="240" w:lineRule="auto"/>
                    <w:jc w:val="right"/>
                    <w:rPr>
                      <w:rFonts w:asciiTheme="majorHAnsi" w:hAnsiTheme="majorHAnsi"/>
                      <w:b/>
                      <w:color w:val="000000"/>
                      <w:sz w:val="12"/>
                      <w:szCs w:val="12"/>
                      <w:shd w:val="clear" w:color="auto" w:fill="FFFFFF"/>
                    </w:rPr>
                  </w:pPr>
                  <w:r>
                    <w:rPr>
                      <w:rFonts w:asciiTheme="majorHAnsi" w:hAnsiTheme="majorHAnsi"/>
                      <w:b/>
                      <w:color w:val="000000"/>
                      <w:sz w:val="12"/>
                      <w:szCs w:val="12"/>
                      <w:shd w:val="clear" w:color="auto" w:fill="FFFFFF"/>
                    </w:rPr>
                    <w:t>56</w:t>
                  </w:r>
                  <w:r w:rsidR="00902DED" w:rsidRPr="00902DED">
                    <w:rPr>
                      <w:rFonts w:asciiTheme="majorHAnsi" w:hAnsiTheme="majorHAnsi"/>
                      <w:b/>
                      <w:color w:val="000000"/>
                      <w:sz w:val="12"/>
                      <w:szCs w:val="12"/>
                      <w:shd w:val="clear" w:color="auto" w:fill="FFFFFF"/>
                    </w:rPr>
                    <w:t xml:space="preserve"> 999,60</w:t>
                  </w:r>
                </w:p>
              </w:tc>
              <w:tc>
                <w:tcPr>
                  <w:tcW w:w="851" w:type="dxa"/>
                  <w:vAlign w:val="center"/>
                </w:tcPr>
                <w:p w:rsidR="00BE2AEF" w:rsidRPr="00902DED" w:rsidRDefault="007F64D0" w:rsidP="00902DED">
                  <w:pPr>
                    <w:widowControl w:val="0"/>
                    <w:spacing w:after="0" w:line="240" w:lineRule="auto"/>
                    <w:jc w:val="right"/>
                    <w:rPr>
                      <w:rFonts w:asciiTheme="majorHAnsi" w:hAnsiTheme="majorHAnsi"/>
                      <w:b/>
                      <w:color w:val="000000"/>
                      <w:sz w:val="12"/>
                      <w:szCs w:val="12"/>
                      <w:shd w:val="clear" w:color="auto" w:fill="FFFFFF"/>
                    </w:rPr>
                  </w:pPr>
                  <w:r>
                    <w:rPr>
                      <w:rFonts w:asciiTheme="majorHAnsi" w:hAnsiTheme="majorHAnsi"/>
                      <w:b/>
                      <w:color w:val="000000"/>
                      <w:sz w:val="12"/>
                      <w:szCs w:val="12"/>
                      <w:shd w:val="clear" w:color="auto" w:fill="FFFFFF"/>
                    </w:rPr>
                    <w:t>542 848,88</w:t>
                  </w:r>
                </w:p>
              </w:tc>
              <w:tc>
                <w:tcPr>
                  <w:tcW w:w="992" w:type="dxa"/>
                  <w:vAlign w:val="center"/>
                </w:tcPr>
                <w:p w:rsidR="00BE2AEF" w:rsidRPr="00902DED" w:rsidRDefault="00902DED" w:rsidP="000D0162">
                  <w:pPr>
                    <w:widowControl w:val="0"/>
                    <w:spacing w:after="0" w:line="240" w:lineRule="auto"/>
                    <w:jc w:val="right"/>
                    <w:rPr>
                      <w:rFonts w:asciiTheme="majorHAnsi" w:hAnsiTheme="majorHAnsi"/>
                      <w:b/>
                      <w:color w:val="000000"/>
                      <w:sz w:val="12"/>
                      <w:szCs w:val="12"/>
                      <w:shd w:val="clear" w:color="auto" w:fill="FFFFFF"/>
                    </w:rPr>
                  </w:pPr>
                  <w:r w:rsidRPr="00902DED">
                    <w:rPr>
                      <w:rFonts w:asciiTheme="majorHAnsi" w:hAnsiTheme="majorHAnsi"/>
                      <w:b/>
                      <w:color w:val="000000"/>
                      <w:sz w:val="12"/>
                      <w:szCs w:val="12"/>
                      <w:shd w:val="clear" w:color="auto" w:fill="FFFFFF"/>
                    </w:rPr>
                    <w:t>17018227,09</w:t>
                  </w:r>
                </w:p>
              </w:tc>
              <w:tc>
                <w:tcPr>
                  <w:tcW w:w="992" w:type="dxa"/>
                  <w:vAlign w:val="center"/>
                </w:tcPr>
                <w:p w:rsidR="00BE2AEF" w:rsidRPr="00902DED" w:rsidRDefault="00902DED" w:rsidP="00902DED">
                  <w:pPr>
                    <w:widowControl w:val="0"/>
                    <w:spacing w:after="0" w:line="240" w:lineRule="auto"/>
                    <w:jc w:val="right"/>
                    <w:rPr>
                      <w:rFonts w:asciiTheme="majorHAnsi" w:hAnsiTheme="majorHAnsi"/>
                      <w:b/>
                      <w:color w:val="000000"/>
                      <w:sz w:val="12"/>
                      <w:szCs w:val="12"/>
                      <w:shd w:val="clear" w:color="auto" w:fill="FFFFFF"/>
                    </w:rPr>
                  </w:pPr>
                  <w:r w:rsidRPr="00902DED">
                    <w:rPr>
                      <w:rFonts w:asciiTheme="majorHAnsi" w:hAnsiTheme="majorHAnsi"/>
                      <w:b/>
                      <w:color w:val="000000"/>
                      <w:sz w:val="12"/>
                      <w:szCs w:val="12"/>
                      <w:shd w:val="clear" w:color="auto" w:fill="FFFFFF"/>
                    </w:rPr>
                    <w:t>8762740,32</w:t>
                  </w:r>
                </w:p>
              </w:tc>
              <w:tc>
                <w:tcPr>
                  <w:tcW w:w="709" w:type="dxa"/>
                  <w:vAlign w:val="center"/>
                </w:tcPr>
                <w:p w:rsidR="00BE2AEF" w:rsidRPr="00902DED" w:rsidRDefault="00BE2AEF" w:rsidP="00902DED">
                  <w:pPr>
                    <w:widowControl w:val="0"/>
                    <w:spacing w:after="0" w:line="240" w:lineRule="auto"/>
                    <w:jc w:val="right"/>
                    <w:rPr>
                      <w:rFonts w:asciiTheme="majorHAnsi" w:hAnsiTheme="majorHAnsi"/>
                      <w:b/>
                      <w:color w:val="000000"/>
                      <w:sz w:val="12"/>
                      <w:szCs w:val="12"/>
                      <w:shd w:val="clear" w:color="auto" w:fill="FFFFFF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BE2AEF" w:rsidRPr="00902DED" w:rsidRDefault="007F64D0" w:rsidP="00902DED">
                  <w:pPr>
                    <w:widowControl w:val="0"/>
                    <w:spacing w:after="0" w:line="240" w:lineRule="auto"/>
                    <w:jc w:val="right"/>
                    <w:rPr>
                      <w:rFonts w:asciiTheme="majorHAnsi" w:hAnsiTheme="majorHAnsi"/>
                      <w:b/>
                      <w:color w:val="000000"/>
                      <w:sz w:val="12"/>
                      <w:szCs w:val="12"/>
                      <w:shd w:val="clear" w:color="auto" w:fill="FFFFFF"/>
                    </w:rPr>
                  </w:pPr>
                  <w:r>
                    <w:rPr>
                      <w:rFonts w:asciiTheme="majorHAnsi" w:hAnsiTheme="majorHAnsi"/>
                      <w:b/>
                      <w:color w:val="000000"/>
                      <w:sz w:val="12"/>
                      <w:szCs w:val="12"/>
                      <w:shd w:val="clear" w:color="auto" w:fill="FFFFFF"/>
                    </w:rPr>
                    <w:t>278 171,65</w:t>
                  </w:r>
                </w:p>
              </w:tc>
              <w:tc>
                <w:tcPr>
                  <w:tcW w:w="850" w:type="dxa"/>
                  <w:vAlign w:val="center"/>
                </w:tcPr>
                <w:p w:rsidR="00BE2AEF" w:rsidRPr="00902DED" w:rsidRDefault="00902DED" w:rsidP="00902DED">
                  <w:pPr>
                    <w:widowControl w:val="0"/>
                    <w:spacing w:after="0" w:line="240" w:lineRule="auto"/>
                    <w:jc w:val="right"/>
                    <w:rPr>
                      <w:rFonts w:asciiTheme="majorHAnsi" w:hAnsiTheme="majorHAnsi"/>
                      <w:b/>
                      <w:color w:val="000000"/>
                      <w:sz w:val="12"/>
                      <w:szCs w:val="12"/>
                      <w:shd w:val="clear" w:color="auto" w:fill="FFFFFF"/>
                    </w:rPr>
                  </w:pPr>
                  <w:r w:rsidRPr="00902DED">
                    <w:rPr>
                      <w:rFonts w:asciiTheme="majorHAnsi" w:hAnsiTheme="majorHAnsi"/>
                      <w:b/>
                      <w:color w:val="000000"/>
                      <w:sz w:val="12"/>
                      <w:szCs w:val="12"/>
                      <w:shd w:val="clear" w:color="auto" w:fill="FFFFFF"/>
                    </w:rPr>
                    <w:t>281 967,70</w:t>
                  </w:r>
                </w:p>
              </w:tc>
              <w:tc>
                <w:tcPr>
                  <w:tcW w:w="992" w:type="dxa"/>
                  <w:vAlign w:val="center"/>
                </w:tcPr>
                <w:p w:rsidR="00BE2AEF" w:rsidRPr="00902DED" w:rsidRDefault="00902DED" w:rsidP="00902DED">
                  <w:pPr>
                    <w:widowControl w:val="0"/>
                    <w:spacing w:after="0" w:line="240" w:lineRule="auto"/>
                    <w:jc w:val="right"/>
                    <w:rPr>
                      <w:rFonts w:asciiTheme="majorHAnsi" w:hAnsiTheme="majorHAnsi"/>
                      <w:b/>
                      <w:color w:val="000000"/>
                      <w:sz w:val="12"/>
                      <w:szCs w:val="12"/>
                      <w:shd w:val="clear" w:color="auto" w:fill="FFFFFF"/>
                    </w:rPr>
                  </w:pPr>
                  <w:r w:rsidRPr="00902DED">
                    <w:rPr>
                      <w:rFonts w:asciiTheme="majorHAnsi" w:hAnsiTheme="majorHAnsi"/>
                      <w:b/>
                      <w:color w:val="000000"/>
                      <w:sz w:val="12"/>
                      <w:szCs w:val="12"/>
                      <w:shd w:val="clear" w:color="auto" w:fill="FFFFFF"/>
                    </w:rPr>
                    <w:t>8766536,37</w:t>
                  </w:r>
                </w:p>
              </w:tc>
              <w:tc>
                <w:tcPr>
                  <w:tcW w:w="929" w:type="dxa"/>
                  <w:vAlign w:val="center"/>
                </w:tcPr>
                <w:p w:rsidR="00BE2AEF" w:rsidRPr="00902DED" w:rsidRDefault="00902DED" w:rsidP="00902DED">
                  <w:pPr>
                    <w:widowControl w:val="0"/>
                    <w:spacing w:after="0" w:line="240" w:lineRule="auto"/>
                    <w:jc w:val="right"/>
                    <w:rPr>
                      <w:rFonts w:asciiTheme="majorHAnsi" w:hAnsiTheme="majorHAnsi"/>
                      <w:b/>
                      <w:color w:val="000000"/>
                      <w:sz w:val="12"/>
                      <w:szCs w:val="12"/>
                      <w:shd w:val="clear" w:color="auto" w:fill="FFFFFF"/>
                    </w:rPr>
                  </w:pPr>
                  <w:r w:rsidRPr="00902DED">
                    <w:rPr>
                      <w:rFonts w:asciiTheme="majorHAnsi" w:hAnsiTheme="majorHAnsi"/>
                      <w:b/>
                      <w:color w:val="000000"/>
                      <w:sz w:val="12"/>
                      <w:szCs w:val="12"/>
                      <w:shd w:val="clear" w:color="auto" w:fill="FFFFFF"/>
                    </w:rPr>
                    <w:t>8251690,72</w:t>
                  </w:r>
                </w:p>
              </w:tc>
            </w:tr>
            <w:tr w:rsidR="00902DED" w:rsidTr="00902DED">
              <w:trPr>
                <w:trHeight w:val="288"/>
              </w:trPr>
              <w:tc>
                <w:tcPr>
                  <w:tcW w:w="993" w:type="dxa"/>
                </w:tcPr>
                <w:p w:rsidR="00BE2AEF" w:rsidRPr="0006637F" w:rsidRDefault="0006637F" w:rsidP="0006637F">
                  <w:pPr>
                    <w:widowControl w:val="0"/>
                    <w:spacing w:after="0" w:line="240" w:lineRule="auto"/>
                    <w:rPr>
                      <w:rFonts w:asciiTheme="majorHAnsi" w:hAnsiTheme="majorHAnsi"/>
                      <w:color w:val="000000"/>
                      <w:sz w:val="10"/>
                      <w:szCs w:val="10"/>
                      <w:shd w:val="clear" w:color="auto" w:fill="FFFFFF"/>
                    </w:rPr>
                  </w:pPr>
                  <w:r w:rsidRPr="0006637F">
                    <w:rPr>
                      <w:rFonts w:asciiTheme="majorHAnsi" w:hAnsiTheme="majorHAnsi"/>
                      <w:color w:val="000000"/>
                      <w:sz w:val="10"/>
                      <w:szCs w:val="10"/>
                      <w:shd w:val="clear" w:color="auto" w:fill="FFFFFF"/>
                    </w:rPr>
                    <w:t>Wartości niematerialne i prawne</w:t>
                  </w:r>
                </w:p>
              </w:tc>
              <w:tc>
                <w:tcPr>
                  <w:tcW w:w="992" w:type="dxa"/>
                  <w:vAlign w:val="center"/>
                </w:tcPr>
                <w:p w:rsidR="00BE2AEF" w:rsidRPr="007F64D0" w:rsidRDefault="00902DED" w:rsidP="000D0162">
                  <w:pPr>
                    <w:widowControl w:val="0"/>
                    <w:spacing w:after="0" w:line="240" w:lineRule="auto"/>
                    <w:jc w:val="right"/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</w:pPr>
                  <w:r w:rsidRPr="007F64D0"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  <w:t>44 349,01</w:t>
                  </w:r>
                </w:p>
              </w:tc>
              <w:tc>
                <w:tcPr>
                  <w:tcW w:w="850" w:type="dxa"/>
                  <w:vAlign w:val="center"/>
                </w:tcPr>
                <w:p w:rsidR="00BE2AEF" w:rsidRPr="007F64D0" w:rsidRDefault="00BE2AEF" w:rsidP="00902DED">
                  <w:pPr>
                    <w:widowControl w:val="0"/>
                    <w:spacing w:after="0" w:line="240" w:lineRule="auto"/>
                    <w:jc w:val="right"/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BE2AEF" w:rsidRPr="007F64D0" w:rsidRDefault="00BE2AEF" w:rsidP="00902DED">
                  <w:pPr>
                    <w:widowControl w:val="0"/>
                    <w:spacing w:after="0" w:line="240" w:lineRule="auto"/>
                    <w:jc w:val="right"/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BE2AEF" w:rsidRPr="007F64D0" w:rsidRDefault="00902DED" w:rsidP="000D0162">
                  <w:pPr>
                    <w:widowControl w:val="0"/>
                    <w:spacing w:after="0" w:line="240" w:lineRule="auto"/>
                    <w:jc w:val="right"/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</w:pPr>
                  <w:r w:rsidRPr="007F64D0"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  <w:t>44 349,01</w:t>
                  </w:r>
                </w:p>
              </w:tc>
              <w:tc>
                <w:tcPr>
                  <w:tcW w:w="992" w:type="dxa"/>
                  <w:vAlign w:val="center"/>
                </w:tcPr>
                <w:p w:rsidR="00BE2AEF" w:rsidRPr="00AF7DE6" w:rsidRDefault="00902DED" w:rsidP="00902DED">
                  <w:pPr>
                    <w:widowControl w:val="0"/>
                    <w:spacing w:after="0" w:line="240" w:lineRule="auto"/>
                    <w:jc w:val="right"/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  <w:t>32 199,01</w:t>
                  </w:r>
                </w:p>
              </w:tc>
              <w:tc>
                <w:tcPr>
                  <w:tcW w:w="709" w:type="dxa"/>
                  <w:vAlign w:val="center"/>
                </w:tcPr>
                <w:p w:rsidR="00BE2AEF" w:rsidRPr="00AF7DE6" w:rsidRDefault="00BE2AEF" w:rsidP="00902DED">
                  <w:pPr>
                    <w:widowControl w:val="0"/>
                    <w:spacing w:after="0" w:line="240" w:lineRule="auto"/>
                    <w:jc w:val="right"/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BE2AEF" w:rsidRPr="00AF7DE6" w:rsidRDefault="00BE2AEF" w:rsidP="00902DED">
                  <w:pPr>
                    <w:widowControl w:val="0"/>
                    <w:spacing w:after="0" w:line="240" w:lineRule="auto"/>
                    <w:jc w:val="right"/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BE2AEF" w:rsidRPr="00AF7DE6" w:rsidRDefault="00902DED" w:rsidP="00902DED">
                  <w:pPr>
                    <w:widowControl w:val="0"/>
                    <w:spacing w:after="0" w:line="240" w:lineRule="auto"/>
                    <w:jc w:val="right"/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  <w:t>12 150,00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BE2AEF" w:rsidRPr="00AF7DE6" w:rsidRDefault="00902DED" w:rsidP="00902DED">
                  <w:pPr>
                    <w:widowControl w:val="0"/>
                    <w:spacing w:after="0" w:line="240" w:lineRule="auto"/>
                    <w:jc w:val="right"/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  <w:t>44 349,01</w:t>
                  </w:r>
                </w:p>
              </w:tc>
              <w:tc>
                <w:tcPr>
                  <w:tcW w:w="929" w:type="dxa"/>
                  <w:vAlign w:val="center"/>
                </w:tcPr>
                <w:p w:rsidR="00BE2AEF" w:rsidRPr="00AF7DE6" w:rsidRDefault="00902DED" w:rsidP="00902DED">
                  <w:pPr>
                    <w:widowControl w:val="0"/>
                    <w:spacing w:after="0" w:line="240" w:lineRule="auto"/>
                    <w:jc w:val="right"/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  <w:t>0,00</w:t>
                  </w:r>
                </w:p>
              </w:tc>
            </w:tr>
            <w:tr w:rsidR="00902DED" w:rsidTr="007F64D0">
              <w:trPr>
                <w:trHeight w:val="288"/>
              </w:trPr>
              <w:tc>
                <w:tcPr>
                  <w:tcW w:w="993" w:type="dxa"/>
                  <w:vAlign w:val="center"/>
                </w:tcPr>
                <w:p w:rsidR="00BE2AEF" w:rsidRDefault="0006637F" w:rsidP="007F64D0">
                  <w:pPr>
                    <w:widowControl w:val="0"/>
                    <w:spacing w:after="0" w:line="240" w:lineRule="auto"/>
                    <w:jc w:val="center"/>
                    <w:rPr>
                      <w:rFonts w:asciiTheme="majorHAnsi" w:hAnsiTheme="majorHAnsi"/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  <w:r w:rsidRPr="0006637F">
                    <w:rPr>
                      <w:rFonts w:asciiTheme="majorHAnsi" w:hAnsiTheme="majorHAnsi"/>
                      <w:b/>
                      <w:color w:val="000000"/>
                      <w:sz w:val="14"/>
                      <w:szCs w:val="14"/>
                      <w:shd w:val="clear" w:color="auto" w:fill="FFFFFF"/>
                    </w:rPr>
                    <w:t>RAZEM</w:t>
                  </w:r>
                </w:p>
              </w:tc>
              <w:tc>
                <w:tcPr>
                  <w:tcW w:w="992" w:type="dxa"/>
                  <w:vAlign w:val="center"/>
                </w:tcPr>
                <w:p w:rsidR="00BE2AEF" w:rsidRPr="002F132C" w:rsidRDefault="00902DED" w:rsidP="000D0162">
                  <w:pPr>
                    <w:widowControl w:val="0"/>
                    <w:spacing w:after="0" w:line="240" w:lineRule="auto"/>
                    <w:jc w:val="right"/>
                    <w:rPr>
                      <w:rFonts w:asciiTheme="majorHAnsi" w:hAnsiTheme="majorHAnsi"/>
                      <w:b/>
                      <w:color w:val="000000"/>
                      <w:sz w:val="12"/>
                      <w:szCs w:val="12"/>
                      <w:shd w:val="clear" w:color="auto" w:fill="FFFFFF"/>
                    </w:rPr>
                  </w:pPr>
                  <w:r w:rsidRPr="002F132C">
                    <w:rPr>
                      <w:rFonts w:asciiTheme="majorHAnsi" w:hAnsiTheme="majorHAnsi"/>
                      <w:b/>
                      <w:color w:val="000000"/>
                      <w:sz w:val="12"/>
                      <w:szCs w:val="12"/>
                      <w:shd w:val="clear" w:color="auto" w:fill="FFFFFF"/>
                    </w:rPr>
                    <w:t>17548425,38</w:t>
                  </w:r>
                </w:p>
              </w:tc>
              <w:tc>
                <w:tcPr>
                  <w:tcW w:w="850" w:type="dxa"/>
                  <w:vAlign w:val="center"/>
                </w:tcPr>
                <w:p w:rsidR="00BE2AEF" w:rsidRPr="002F132C" w:rsidRDefault="007F64D0" w:rsidP="00902DED">
                  <w:pPr>
                    <w:widowControl w:val="0"/>
                    <w:spacing w:after="0" w:line="240" w:lineRule="auto"/>
                    <w:jc w:val="right"/>
                    <w:rPr>
                      <w:rFonts w:asciiTheme="majorHAnsi" w:hAnsiTheme="majorHAnsi"/>
                      <w:b/>
                      <w:color w:val="000000"/>
                      <w:sz w:val="12"/>
                      <w:szCs w:val="12"/>
                      <w:shd w:val="clear" w:color="auto" w:fill="FFFFFF"/>
                    </w:rPr>
                  </w:pPr>
                  <w:r w:rsidRPr="002F132C">
                    <w:rPr>
                      <w:rFonts w:asciiTheme="majorHAnsi" w:hAnsiTheme="majorHAnsi"/>
                      <w:b/>
                      <w:color w:val="000000"/>
                      <w:sz w:val="12"/>
                      <w:szCs w:val="12"/>
                      <w:shd w:val="clear" w:color="auto" w:fill="FFFFFF"/>
                    </w:rPr>
                    <w:t>56 999,60</w:t>
                  </w:r>
                </w:p>
              </w:tc>
              <w:tc>
                <w:tcPr>
                  <w:tcW w:w="851" w:type="dxa"/>
                  <w:vAlign w:val="center"/>
                </w:tcPr>
                <w:p w:rsidR="00BE2AEF" w:rsidRPr="002F132C" w:rsidRDefault="007F64D0" w:rsidP="00902DED">
                  <w:pPr>
                    <w:widowControl w:val="0"/>
                    <w:spacing w:after="0" w:line="240" w:lineRule="auto"/>
                    <w:jc w:val="right"/>
                    <w:rPr>
                      <w:rFonts w:asciiTheme="majorHAnsi" w:hAnsiTheme="majorHAnsi"/>
                      <w:b/>
                      <w:color w:val="000000"/>
                      <w:sz w:val="12"/>
                      <w:szCs w:val="12"/>
                      <w:shd w:val="clear" w:color="auto" w:fill="FFFFFF"/>
                    </w:rPr>
                  </w:pPr>
                  <w:r w:rsidRPr="002F132C">
                    <w:rPr>
                      <w:rFonts w:asciiTheme="majorHAnsi" w:hAnsiTheme="majorHAnsi"/>
                      <w:b/>
                      <w:color w:val="000000"/>
                      <w:sz w:val="12"/>
                      <w:szCs w:val="12"/>
                      <w:shd w:val="clear" w:color="auto" w:fill="FFFFFF"/>
                    </w:rPr>
                    <w:t>542 848,88</w:t>
                  </w:r>
                </w:p>
              </w:tc>
              <w:tc>
                <w:tcPr>
                  <w:tcW w:w="992" w:type="dxa"/>
                  <w:vAlign w:val="center"/>
                </w:tcPr>
                <w:p w:rsidR="00BE2AEF" w:rsidRPr="002F132C" w:rsidRDefault="007F64D0" w:rsidP="000D0162">
                  <w:pPr>
                    <w:widowControl w:val="0"/>
                    <w:spacing w:after="0" w:line="240" w:lineRule="auto"/>
                    <w:jc w:val="right"/>
                    <w:rPr>
                      <w:rFonts w:asciiTheme="majorHAnsi" w:hAnsiTheme="majorHAnsi"/>
                      <w:b/>
                      <w:color w:val="000000"/>
                      <w:sz w:val="12"/>
                      <w:szCs w:val="12"/>
                      <w:shd w:val="clear" w:color="auto" w:fill="FFFFFF"/>
                    </w:rPr>
                  </w:pPr>
                  <w:r w:rsidRPr="002F132C">
                    <w:rPr>
                      <w:rFonts w:asciiTheme="majorHAnsi" w:hAnsiTheme="majorHAnsi"/>
                      <w:b/>
                      <w:color w:val="000000"/>
                      <w:sz w:val="12"/>
                      <w:szCs w:val="12"/>
                      <w:shd w:val="clear" w:color="auto" w:fill="FFFFFF"/>
                    </w:rPr>
                    <w:t>17062576,10</w:t>
                  </w:r>
                </w:p>
              </w:tc>
              <w:tc>
                <w:tcPr>
                  <w:tcW w:w="992" w:type="dxa"/>
                  <w:vAlign w:val="center"/>
                </w:tcPr>
                <w:p w:rsidR="00BE2AEF" w:rsidRPr="002F132C" w:rsidRDefault="007F64D0" w:rsidP="00902DED">
                  <w:pPr>
                    <w:widowControl w:val="0"/>
                    <w:spacing w:after="0" w:line="240" w:lineRule="auto"/>
                    <w:jc w:val="right"/>
                    <w:rPr>
                      <w:rFonts w:asciiTheme="majorHAnsi" w:hAnsiTheme="majorHAnsi"/>
                      <w:b/>
                      <w:color w:val="000000"/>
                      <w:sz w:val="12"/>
                      <w:szCs w:val="12"/>
                      <w:shd w:val="clear" w:color="auto" w:fill="FFFFFF"/>
                    </w:rPr>
                  </w:pPr>
                  <w:r w:rsidRPr="002F132C">
                    <w:rPr>
                      <w:rFonts w:asciiTheme="majorHAnsi" w:hAnsiTheme="majorHAnsi"/>
                      <w:b/>
                      <w:color w:val="000000"/>
                      <w:sz w:val="12"/>
                      <w:szCs w:val="12"/>
                      <w:shd w:val="clear" w:color="auto" w:fill="FFFFFF"/>
                    </w:rPr>
                    <w:t>8794939,33</w:t>
                  </w:r>
                </w:p>
              </w:tc>
              <w:tc>
                <w:tcPr>
                  <w:tcW w:w="709" w:type="dxa"/>
                  <w:vAlign w:val="center"/>
                </w:tcPr>
                <w:p w:rsidR="00BE2AEF" w:rsidRPr="002F132C" w:rsidRDefault="00BE2AEF" w:rsidP="00902DED">
                  <w:pPr>
                    <w:widowControl w:val="0"/>
                    <w:spacing w:after="0" w:line="240" w:lineRule="auto"/>
                    <w:jc w:val="right"/>
                    <w:rPr>
                      <w:rFonts w:asciiTheme="majorHAnsi" w:hAnsiTheme="majorHAnsi"/>
                      <w:b/>
                      <w:color w:val="000000"/>
                      <w:sz w:val="12"/>
                      <w:szCs w:val="12"/>
                      <w:shd w:val="clear" w:color="auto" w:fill="FFFFFF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BE2AEF" w:rsidRPr="002F132C" w:rsidRDefault="007F64D0" w:rsidP="00902DED">
                  <w:pPr>
                    <w:widowControl w:val="0"/>
                    <w:spacing w:after="0" w:line="240" w:lineRule="auto"/>
                    <w:jc w:val="right"/>
                    <w:rPr>
                      <w:rFonts w:asciiTheme="majorHAnsi" w:hAnsiTheme="majorHAnsi"/>
                      <w:b/>
                      <w:color w:val="000000"/>
                      <w:sz w:val="12"/>
                      <w:szCs w:val="12"/>
                      <w:shd w:val="clear" w:color="auto" w:fill="FFFFFF"/>
                    </w:rPr>
                  </w:pPr>
                  <w:r w:rsidRPr="002F132C">
                    <w:rPr>
                      <w:rFonts w:asciiTheme="majorHAnsi" w:hAnsiTheme="majorHAnsi"/>
                      <w:b/>
                      <w:color w:val="000000"/>
                      <w:sz w:val="12"/>
                      <w:szCs w:val="12"/>
                      <w:shd w:val="clear" w:color="auto" w:fill="FFFFFF"/>
                    </w:rPr>
                    <w:t>278 171,65</w:t>
                  </w:r>
                </w:p>
              </w:tc>
              <w:tc>
                <w:tcPr>
                  <w:tcW w:w="850" w:type="dxa"/>
                  <w:vAlign w:val="center"/>
                </w:tcPr>
                <w:p w:rsidR="00BE2AEF" w:rsidRPr="002F132C" w:rsidRDefault="007F64D0" w:rsidP="00902DED">
                  <w:pPr>
                    <w:widowControl w:val="0"/>
                    <w:spacing w:after="0" w:line="240" w:lineRule="auto"/>
                    <w:jc w:val="right"/>
                    <w:rPr>
                      <w:rFonts w:asciiTheme="majorHAnsi" w:hAnsiTheme="majorHAnsi"/>
                      <w:b/>
                      <w:color w:val="000000"/>
                      <w:sz w:val="12"/>
                      <w:szCs w:val="12"/>
                      <w:shd w:val="clear" w:color="auto" w:fill="FFFFFF"/>
                    </w:rPr>
                  </w:pPr>
                  <w:r w:rsidRPr="002F132C">
                    <w:rPr>
                      <w:rFonts w:asciiTheme="majorHAnsi" w:hAnsiTheme="majorHAnsi"/>
                      <w:b/>
                      <w:color w:val="000000"/>
                      <w:sz w:val="12"/>
                      <w:szCs w:val="12"/>
                      <w:shd w:val="clear" w:color="auto" w:fill="FFFFFF"/>
                    </w:rPr>
                    <w:t>294 117,70</w:t>
                  </w:r>
                </w:p>
              </w:tc>
              <w:tc>
                <w:tcPr>
                  <w:tcW w:w="992" w:type="dxa"/>
                  <w:vAlign w:val="center"/>
                </w:tcPr>
                <w:p w:rsidR="00BE2AEF" w:rsidRPr="002F132C" w:rsidRDefault="007F64D0" w:rsidP="00902DED">
                  <w:pPr>
                    <w:widowControl w:val="0"/>
                    <w:spacing w:after="0" w:line="240" w:lineRule="auto"/>
                    <w:jc w:val="right"/>
                    <w:rPr>
                      <w:rFonts w:asciiTheme="majorHAnsi" w:hAnsiTheme="majorHAnsi"/>
                      <w:b/>
                      <w:color w:val="000000"/>
                      <w:sz w:val="12"/>
                      <w:szCs w:val="12"/>
                      <w:shd w:val="clear" w:color="auto" w:fill="FFFFFF"/>
                    </w:rPr>
                  </w:pPr>
                  <w:r w:rsidRPr="002F132C">
                    <w:rPr>
                      <w:rFonts w:asciiTheme="majorHAnsi" w:hAnsiTheme="majorHAnsi"/>
                      <w:b/>
                      <w:color w:val="000000"/>
                      <w:sz w:val="12"/>
                      <w:szCs w:val="12"/>
                      <w:shd w:val="clear" w:color="auto" w:fill="FFFFFF"/>
                    </w:rPr>
                    <w:t>8810885,38</w:t>
                  </w:r>
                </w:p>
              </w:tc>
              <w:tc>
                <w:tcPr>
                  <w:tcW w:w="929" w:type="dxa"/>
                  <w:vAlign w:val="center"/>
                </w:tcPr>
                <w:p w:rsidR="00BE2AEF" w:rsidRPr="002F132C" w:rsidRDefault="007F64D0" w:rsidP="00902DED">
                  <w:pPr>
                    <w:widowControl w:val="0"/>
                    <w:spacing w:after="0" w:line="240" w:lineRule="auto"/>
                    <w:jc w:val="right"/>
                    <w:rPr>
                      <w:rFonts w:asciiTheme="majorHAnsi" w:hAnsiTheme="majorHAnsi"/>
                      <w:b/>
                      <w:color w:val="000000"/>
                      <w:sz w:val="12"/>
                      <w:szCs w:val="12"/>
                      <w:shd w:val="clear" w:color="auto" w:fill="FFFFFF"/>
                    </w:rPr>
                  </w:pPr>
                  <w:r w:rsidRPr="002F132C">
                    <w:rPr>
                      <w:rFonts w:asciiTheme="majorHAnsi" w:hAnsiTheme="majorHAnsi"/>
                      <w:b/>
                      <w:color w:val="000000"/>
                      <w:sz w:val="12"/>
                      <w:szCs w:val="12"/>
                      <w:shd w:val="clear" w:color="auto" w:fill="FFFFFF"/>
                    </w:rPr>
                    <w:t>8251690,72</w:t>
                  </w:r>
                </w:p>
              </w:tc>
            </w:tr>
          </w:tbl>
          <w:p w:rsidR="001E62D7" w:rsidRPr="00B61AFF" w:rsidRDefault="001E62D7" w:rsidP="00812905">
            <w:pPr>
              <w:spacing w:after="0" w:line="240" w:lineRule="auto"/>
              <w:ind w:left="28" w:right="28" w:firstLine="93"/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292FE3" w:rsidRPr="00B61AFF" w:rsidTr="00292F7F">
        <w:trPr>
          <w:trHeight w:val="41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B739B7" w:rsidRDefault="00292FE3" w:rsidP="00AE7A2A">
            <w:pPr>
              <w:pStyle w:val="Teksttreci20"/>
              <w:shd w:val="clear" w:color="auto" w:fill="auto"/>
              <w:ind w:left="84" w:right="28"/>
              <w:rPr>
                <w:rFonts w:asciiTheme="majorHAnsi" w:hAnsiTheme="majorHAnsi"/>
                <w:b/>
                <w:sz w:val="16"/>
                <w:szCs w:val="16"/>
              </w:rPr>
            </w:pPr>
            <w:r w:rsidRPr="00B739B7">
              <w:rPr>
                <w:rStyle w:val="Teksttreci29"/>
                <w:rFonts w:asciiTheme="majorHAnsi" w:hAnsiTheme="majorHAnsi"/>
                <w:b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B61AFF" w:rsidRDefault="00292FE3" w:rsidP="009D0E8D">
            <w:pPr>
              <w:pStyle w:val="Teksttreci20"/>
              <w:shd w:val="clear" w:color="auto" w:fill="auto"/>
              <w:ind w:left="113"/>
              <w:rPr>
                <w:rFonts w:asciiTheme="majorHAnsi" w:hAnsiTheme="majorHAnsi"/>
              </w:rPr>
            </w:pPr>
            <w:r w:rsidRPr="00BE1B03">
              <w:rPr>
                <w:rStyle w:val="Teksttreci29"/>
                <w:rFonts w:asciiTheme="majorHAnsi" w:hAnsiTheme="majorHAnsi"/>
                <w:color w:val="000000"/>
              </w:rPr>
              <w:t>aktualną wartość rynkową środków trwałych, w tym dóbr kultury – o ile jednostka dysponuje takimi informacjami</w:t>
            </w:r>
          </w:p>
        </w:tc>
      </w:tr>
      <w:tr w:rsidR="00292FE3" w:rsidRPr="00B61AFF" w:rsidTr="00292F7F">
        <w:trPr>
          <w:trHeight w:val="37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B739B7" w:rsidRDefault="00292FE3" w:rsidP="00AE7A2A">
            <w:pPr>
              <w:spacing w:after="0" w:line="240" w:lineRule="auto"/>
              <w:ind w:left="28" w:right="28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F23E64" w:rsidRDefault="004075BD" w:rsidP="00812905">
            <w:pPr>
              <w:spacing w:after="0" w:line="240" w:lineRule="auto"/>
              <w:ind w:left="28" w:right="28" w:firstLine="93"/>
              <w:rPr>
                <w:rFonts w:asciiTheme="majorHAnsi" w:hAnsiTheme="majorHAnsi"/>
                <w:sz w:val="18"/>
                <w:szCs w:val="18"/>
              </w:rPr>
            </w:pPr>
            <w:r w:rsidRPr="004075BD">
              <w:rPr>
                <w:rFonts w:asciiTheme="majorHAnsi" w:hAnsiTheme="majorHAnsi"/>
                <w:sz w:val="18"/>
                <w:szCs w:val="18"/>
              </w:rPr>
              <w:t>Jednostka ni</w:t>
            </w:r>
            <w:r>
              <w:rPr>
                <w:rFonts w:asciiTheme="majorHAnsi" w:hAnsiTheme="majorHAnsi"/>
                <w:sz w:val="18"/>
                <w:szCs w:val="18"/>
              </w:rPr>
              <w:t>e dysponuje takimi informacjami</w:t>
            </w:r>
            <w:r w:rsidRPr="004075BD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292FE3" w:rsidRPr="00B61AFF" w:rsidTr="00292F7F">
        <w:trPr>
          <w:trHeight w:val="63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B739B7" w:rsidRDefault="00292FE3" w:rsidP="00AE7A2A">
            <w:pPr>
              <w:pStyle w:val="Teksttreci20"/>
              <w:shd w:val="clear" w:color="auto" w:fill="auto"/>
              <w:ind w:left="84" w:right="28"/>
              <w:rPr>
                <w:rFonts w:asciiTheme="majorHAnsi" w:hAnsiTheme="majorHAnsi"/>
                <w:b/>
                <w:sz w:val="16"/>
                <w:szCs w:val="16"/>
              </w:rPr>
            </w:pPr>
            <w:r w:rsidRPr="00B739B7">
              <w:rPr>
                <w:rStyle w:val="Teksttreci29"/>
                <w:rFonts w:asciiTheme="majorHAnsi" w:hAnsiTheme="majorHAnsi"/>
                <w:b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BE1B03" w:rsidRDefault="00292FE3" w:rsidP="007F64D0">
            <w:pPr>
              <w:pStyle w:val="Teksttreci20"/>
              <w:shd w:val="clear" w:color="auto" w:fill="auto"/>
              <w:ind w:left="113" w:right="113"/>
              <w:jc w:val="both"/>
              <w:rPr>
                <w:rFonts w:asciiTheme="majorHAnsi" w:hAnsiTheme="majorHAnsi"/>
                <w:sz w:val="19"/>
                <w:szCs w:val="19"/>
              </w:rPr>
            </w:pPr>
            <w:r w:rsidRPr="00BE1B03">
              <w:rPr>
                <w:rStyle w:val="Teksttreci29"/>
                <w:rFonts w:asciiTheme="majorHAnsi" w:hAnsiTheme="majorHAnsi"/>
                <w:color w:val="000000"/>
              </w:rPr>
              <w:t>kwotę dokonanych w trakcie roku obrotowego odpisów aktualizujących wartość aktywów trwałych odrębnie dla</w:t>
            </w:r>
            <w:r w:rsidR="00A069A6" w:rsidRPr="00BE1B03">
              <w:rPr>
                <w:rStyle w:val="Teksttreci29"/>
                <w:rFonts w:asciiTheme="majorHAnsi" w:hAnsiTheme="majorHAnsi"/>
                <w:color w:val="000000"/>
              </w:rPr>
              <w:t xml:space="preserve"> </w:t>
            </w:r>
            <w:r w:rsidRPr="00BE1B03">
              <w:rPr>
                <w:rStyle w:val="Teksttreci29"/>
                <w:rFonts w:asciiTheme="majorHAnsi" w:hAnsiTheme="majorHAnsi"/>
                <w:color w:val="000000"/>
              </w:rPr>
              <w:t>długoterminowych aktywów niefinansowych oraz długoterminowych aktywów finansowych</w:t>
            </w:r>
          </w:p>
        </w:tc>
      </w:tr>
      <w:tr w:rsidR="00292FE3" w:rsidRPr="00B61AFF" w:rsidTr="00292F7F">
        <w:trPr>
          <w:trHeight w:val="34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B739B7" w:rsidRDefault="00292FE3" w:rsidP="00AE7A2A">
            <w:pPr>
              <w:spacing w:after="0" w:line="240" w:lineRule="auto"/>
              <w:ind w:left="28" w:right="28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F23E64" w:rsidRDefault="00A069A6" w:rsidP="00812905">
            <w:pPr>
              <w:spacing w:after="0" w:line="240" w:lineRule="auto"/>
              <w:ind w:left="28" w:right="28" w:firstLine="93"/>
              <w:rPr>
                <w:rFonts w:asciiTheme="majorHAnsi" w:hAnsiTheme="majorHAnsi"/>
                <w:sz w:val="18"/>
                <w:szCs w:val="18"/>
              </w:rPr>
            </w:pPr>
            <w:r w:rsidRPr="00F23E64">
              <w:rPr>
                <w:rFonts w:asciiTheme="majorHAnsi" w:hAnsiTheme="majorHAnsi"/>
                <w:sz w:val="18"/>
                <w:szCs w:val="18"/>
              </w:rPr>
              <w:t>Nie dotyczy</w:t>
            </w:r>
          </w:p>
        </w:tc>
      </w:tr>
      <w:tr w:rsidR="00292FE3" w:rsidRPr="00B61AFF" w:rsidTr="00292F7F">
        <w:trPr>
          <w:trHeight w:val="34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B739B7" w:rsidRDefault="00292FE3" w:rsidP="00AE7A2A">
            <w:pPr>
              <w:pStyle w:val="Teksttreci20"/>
              <w:shd w:val="clear" w:color="auto" w:fill="auto"/>
              <w:ind w:left="84" w:right="28"/>
              <w:rPr>
                <w:rFonts w:asciiTheme="majorHAnsi" w:hAnsiTheme="majorHAnsi"/>
                <w:b/>
                <w:sz w:val="16"/>
                <w:szCs w:val="16"/>
              </w:rPr>
            </w:pPr>
            <w:r w:rsidRPr="00B739B7">
              <w:rPr>
                <w:rStyle w:val="Teksttreci29"/>
                <w:rFonts w:asciiTheme="majorHAnsi" w:hAnsiTheme="majorHAnsi"/>
                <w:b/>
                <w:color w:val="000000"/>
                <w:sz w:val="16"/>
                <w:szCs w:val="16"/>
              </w:rPr>
              <w:lastRenderedPageBreak/>
              <w:t>1.4.</w:t>
            </w: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BE1B03" w:rsidRDefault="00292FE3" w:rsidP="009D0E8D">
            <w:pPr>
              <w:pStyle w:val="Teksttreci20"/>
              <w:shd w:val="clear" w:color="auto" w:fill="auto"/>
              <w:ind w:left="113"/>
              <w:rPr>
                <w:rFonts w:asciiTheme="majorHAnsi" w:hAnsiTheme="majorHAnsi"/>
                <w:sz w:val="19"/>
                <w:szCs w:val="19"/>
              </w:rPr>
            </w:pPr>
            <w:r w:rsidRPr="00BE1B03">
              <w:rPr>
                <w:rStyle w:val="Teksttreci29"/>
                <w:rFonts w:asciiTheme="majorHAnsi" w:hAnsiTheme="majorHAnsi"/>
                <w:color w:val="000000"/>
              </w:rPr>
              <w:t>wartość gruntów użytkowanych wieczyście</w:t>
            </w:r>
          </w:p>
        </w:tc>
      </w:tr>
      <w:tr w:rsidR="00292FE3" w:rsidRPr="00B61AFF" w:rsidTr="00292F7F">
        <w:trPr>
          <w:trHeight w:val="34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B739B7" w:rsidRDefault="00292FE3" w:rsidP="00AE7A2A">
            <w:pPr>
              <w:spacing w:after="0" w:line="240" w:lineRule="auto"/>
              <w:ind w:left="28" w:right="28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F23E64" w:rsidRDefault="00A069A6" w:rsidP="00684CBB">
            <w:pPr>
              <w:spacing w:after="0" w:line="240" w:lineRule="auto"/>
              <w:ind w:left="113"/>
              <w:rPr>
                <w:rFonts w:asciiTheme="majorHAnsi" w:hAnsiTheme="majorHAnsi"/>
                <w:sz w:val="18"/>
                <w:szCs w:val="18"/>
              </w:rPr>
            </w:pPr>
            <w:r w:rsidRPr="00F23E64">
              <w:rPr>
                <w:rFonts w:asciiTheme="majorHAnsi" w:hAnsiTheme="majorHAnsi"/>
                <w:sz w:val="18"/>
                <w:szCs w:val="18"/>
              </w:rPr>
              <w:t>Nie dotyczy</w:t>
            </w:r>
          </w:p>
        </w:tc>
      </w:tr>
      <w:tr w:rsidR="00292FE3" w:rsidRPr="00B61AFF" w:rsidTr="00292F7F">
        <w:trPr>
          <w:trHeight w:val="55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B739B7" w:rsidRDefault="00292FE3" w:rsidP="00AE7A2A">
            <w:pPr>
              <w:pStyle w:val="Teksttreci20"/>
              <w:shd w:val="clear" w:color="auto" w:fill="auto"/>
              <w:ind w:left="84" w:right="28"/>
              <w:rPr>
                <w:rFonts w:asciiTheme="majorHAnsi" w:hAnsiTheme="majorHAnsi"/>
                <w:b/>
                <w:sz w:val="16"/>
                <w:szCs w:val="16"/>
              </w:rPr>
            </w:pPr>
            <w:r w:rsidRPr="00B739B7">
              <w:rPr>
                <w:rStyle w:val="Teksttreci29"/>
                <w:rFonts w:asciiTheme="majorHAnsi" w:hAnsiTheme="majorHAnsi"/>
                <w:b/>
                <w:color w:val="000000"/>
                <w:sz w:val="16"/>
                <w:szCs w:val="16"/>
              </w:rPr>
              <w:t>1.5.</w:t>
            </w: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BE1B03" w:rsidRDefault="00292FE3" w:rsidP="002F132C">
            <w:pPr>
              <w:pStyle w:val="Teksttreci20"/>
              <w:shd w:val="clear" w:color="auto" w:fill="auto"/>
              <w:ind w:left="113" w:right="113"/>
              <w:jc w:val="both"/>
              <w:rPr>
                <w:rFonts w:asciiTheme="majorHAnsi" w:hAnsiTheme="majorHAnsi"/>
                <w:sz w:val="19"/>
                <w:szCs w:val="19"/>
              </w:rPr>
            </w:pPr>
            <w:r w:rsidRPr="00BE1B03">
              <w:rPr>
                <w:rStyle w:val="Teksttreci29"/>
                <w:rFonts w:asciiTheme="majorHAnsi" w:hAnsiTheme="majorHAnsi"/>
                <w:color w:val="000000"/>
              </w:rPr>
              <w:t>wartość nieamortyzowanych lub nieumarzanych przez jednostkę środków trwałych, używanych na podstawie</w:t>
            </w:r>
            <w:r w:rsidR="00A069A6" w:rsidRPr="00BE1B03">
              <w:rPr>
                <w:rStyle w:val="Teksttreci29"/>
                <w:rFonts w:asciiTheme="majorHAnsi" w:hAnsiTheme="majorHAnsi"/>
                <w:color w:val="000000"/>
              </w:rPr>
              <w:t xml:space="preserve"> </w:t>
            </w:r>
            <w:r w:rsidRPr="00BE1B03">
              <w:rPr>
                <w:rStyle w:val="Teksttreci29"/>
                <w:rFonts w:asciiTheme="majorHAnsi" w:hAnsiTheme="majorHAnsi"/>
                <w:color w:val="000000"/>
              </w:rPr>
              <w:t>umów najmu,</w:t>
            </w:r>
            <w:r w:rsidR="00AD0006">
              <w:rPr>
                <w:rStyle w:val="Teksttreci29"/>
                <w:rFonts w:asciiTheme="majorHAnsi" w:hAnsiTheme="majorHAnsi"/>
                <w:color w:val="000000"/>
              </w:rPr>
              <w:t xml:space="preserve"> </w:t>
            </w:r>
            <w:r w:rsidRPr="00BE1B03">
              <w:rPr>
                <w:rStyle w:val="Teksttreci29"/>
                <w:rFonts w:asciiTheme="majorHAnsi" w:hAnsiTheme="majorHAnsi"/>
                <w:color w:val="000000"/>
              </w:rPr>
              <w:t>dzierżawy i innych umów, w tym z tytułu umów leasingu</w:t>
            </w:r>
          </w:p>
        </w:tc>
      </w:tr>
      <w:tr w:rsidR="00292FE3" w:rsidRPr="00B61AFF" w:rsidTr="00292F7F">
        <w:trPr>
          <w:trHeight w:val="41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2FE3" w:rsidRPr="00B739B7" w:rsidRDefault="00292FE3" w:rsidP="00AE7A2A">
            <w:pPr>
              <w:spacing w:after="0" w:line="240" w:lineRule="auto"/>
              <w:ind w:left="28" w:right="28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FE3" w:rsidRPr="00F23E64" w:rsidRDefault="001B013D" w:rsidP="001B013D">
            <w:pPr>
              <w:spacing w:after="0" w:line="240" w:lineRule="auto"/>
              <w:ind w:left="28" w:right="28" w:firstLine="93"/>
              <w:rPr>
                <w:rFonts w:asciiTheme="majorHAnsi" w:hAnsiTheme="majorHAnsi"/>
                <w:sz w:val="18"/>
                <w:szCs w:val="18"/>
              </w:rPr>
            </w:pPr>
            <w:r w:rsidRPr="00F23E64">
              <w:rPr>
                <w:rFonts w:asciiTheme="majorHAnsi" w:hAnsiTheme="majorHAnsi"/>
                <w:sz w:val="18"/>
                <w:szCs w:val="18"/>
              </w:rPr>
              <w:t>Nie dotyczy</w:t>
            </w:r>
          </w:p>
        </w:tc>
      </w:tr>
      <w:tr w:rsidR="00292FE3" w:rsidRPr="00B61AFF" w:rsidTr="00292F7F">
        <w:trPr>
          <w:trHeight w:val="33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B739B7" w:rsidRDefault="00292FE3" w:rsidP="00AE7A2A">
            <w:pPr>
              <w:pStyle w:val="Teksttreci20"/>
              <w:shd w:val="clear" w:color="auto" w:fill="auto"/>
              <w:ind w:left="84" w:right="28"/>
              <w:rPr>
                <w:rFonts w:asciiTheme="majorHAnsi" w:hAnsiTheme="majorHAnsi"/>
                <w:b/>
                <w:sz w:val="16"/>
                <w:szCs w:val="16"/>
              </w:rPr>
            </w:pPr>
            <w:r w:rsidRPr="00B739B7">
              <w:rPr>
                <w:rStyle w:val="Teksttreci29"/>
                <w:rFonts w:asciiTheme="majorHAnsi" w:hAnsiTheme="majorHAnsi"/>
                <w:b/>
                <w:color w:val="000000"/>
                <w:sz w:val="16"/>
                <w:szCs w:val="16"/>
              </w:rPr>
              <w:t>1.6.</w:t>
            </w: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BE1B03" w:rsidRDefault="00292FE3" w:rsidP="009D0E8D">
            <w:pPr>
              <w:pStyle w:val="Teksttreci20"/>
              <w:shd w:val="clear" w:color="auto" w:fill="auto"/>
              <w:ind w:left="113"/>
              <w:rPr>
                <w:rFonts w:asciiTheme="majorHAnsi" w:hAnsiTheme="majorHAnsi"/>
                <w:sz w:val="19"/>
                <w:szCs w:val="19"/>
              </w:rPr>
            </w:pPr>
            <w:r w:rsidRPr="00BE1B03">
              <w:rPr>
                <w:rStyle w:val="Teksttreci29"/>
                <w:rFonts w:asciiTheme="majorHAnsi" w:hAnsiTheme="majorHAnsi"/>
                <w:color w:val="000000"/>
              </w:rPr>
              <w:t>liczbę oraz wartość posiadanych papierów wartościowych, w tym akcji i udziałów oraz dłużnych papierów</w:t>
            </w:r>
            <w:r w:rsidR="00B65C9F" w:rsidRPr="00BE1B03">
              <w:rPr>
                <w:rStyle w:val="Teksttreci29"/>
                <w:rFonts w:asciiTheme="majorHAnsi" w:hAnsiTheme="majorHAnsi"/>
                <w:color w:val="000000"/>
              </w:rPr>
              <w:t xml:space="preserve"> </w:t>
            </w:r>
            <w:r w:rsidRPr="00BE1B03">
              <w:rPr>
                <w:rStyle w:val="Teksttreci29"/>
                <w:rFonts w:asciiTheme="majorHAnsi" w:hAnsiTheme="majorHAnsi"/>
                <w:color w:val="000000"/>
              </w:rPr>
              <w:t>wartościowych</w:t>
            </w:r>
          </w:p>
        </w:tc>
      </w:tr>
      <w:tr w:rsidR="00292FE3" w:rsidRPr="00B61AFF" w:rsidTr="00292F7F">
        <w:trPr>
          <w:trHeight w:val="35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2FE3" w:rsidRPr="007E06C2" w:rsidRDefault="00292FE3" w:rsidP="00292FE3">
            <w:pPr>
              <w:spacing w:after="0" w:line="240" w:lineRule="auto"/>
              <w:ind w:left="28" w:right="28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FE3" w:rsidRPr="00F23E64" w:rsidRDefault="00B65C9F" w:rsidP="005C4C2F">
            <w:pPr>
              <w:spacing w:before="60" w:after="0" w:line="240" w:lineRule="auto"/>
              <w:ind w:left="113" w:right="28"/>
              <w:rPr>
                <w:rFonts w:asciiTheme="majorHAnsi" w:hAnsiTheme="majorHAnsi"/>
                <w:sz w:val="18"/>
                <w:szCs w:val="18"/>
              </w:rPr>
            </w:pPr>
            <w:r w:rsidRPr="00F23E64">
              <w:rPr>
                <w:rFonts w:asciiTheme="majorHAnsi" w:hAnsiTheme="majorHAnsi"/>
                <w:sz w:val="18"/>
                <w:szCs w:val="18"/>
              </w:rPr>
              <w:t>Nie dotyczy</w:t>
            </w:r>
          </w:p>
        </w:tc>
      </w:tr>
      <w:tr w:rsidR="00292FE3" w:rsidRPr="00B61AFF" w:rsidTr="00292F7F">
        <w:trPr>
          <w:trHeight w:val="83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B739B7" w:rsidRDefault="00292FE3" w:rsidP="00AE7A2A">
            <w:pPr>
              <w:pStyle w:val="Teksttreci20"/>
              <w:shd w:val="clear" w:color="auto" w:fill="auto"/>
              <w:ind w:left="84" w:right="28"/>
              <w:rPr>
                <w:rFonts w:asciiTheme="majorHAnsi" w:hAnsiTheme="majorHAnsi"/>
                <w:b/>
                <w:sz w:val="16"/>
                <w:szCs w:val="16"/>
              </w:rPr>
            </w:pPr>
            <w:r w:rsidRPr="00B739B7">
              <w:rPr>
                <w:rStyle w:val="Teksttreci29"/>
                <w:rFonts w:asciiTheme="majorHAnsi" w:hAnsiTheme="majorHAnsi"/>
                <w:b/>
                <w:color w:val="000000"/>
                <w:sz w:val="16"/>
                <w:szCs w:val="16"/>
              </w:rPr>
              <w:t>1.7.</w:t>
            </w: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BE1B03" w:rsidRDefault="00847E57" w:rsidP="00F23E64">
            <w:pPr>
              <w:pStyle w:val="Teksttreci20"/>
              <w:shd w:val="clear" w:color="auto" w:fill="auto"/>
              <w:ind w:left="113" w:right="113"/>
              <w:jc w:val="both"/>
              <w:rPr>
                <w:rStyle w:val="Teksttreci29"/>
                <w:rFonts w:asciiTheme="majorHAnsi" w:hAnsiTheme="majorHAnsi"/>
                <w:color w:val="000000"/>
              </w:rPr>
            </w:pPr>
            <w:r>
              <w:rPr>
                <w:rStyle w:val="Teksttreci29"/>
                <w:rFonts w:asciiTheme="majorHAnsi" w:hAnsiTheme="majorHAnsi"/>
                <w:color w:val="000000"/>
              </w:rPr>
              <w:t xml:space="preserve"> </w:t>
            </w:r>
            <w:r w:rsidR="00292FE3" w:rsidRPr="00BE1B03">
              <w:rPr>
                <w:rStyle w:val="Teksttreci29"/>
                <w:rFonts w:asciiTheme="majorHAnsi" w:hAnsiTheme="majorHAnsi"/>
                <w:color w:val="000000"/>
              </w:rPr>
              <w:t>dane o odpisach aktualizujących wartość należności, ze wskazaniem stanu na początek roku obrotowego,</w:t>
            </w:r>
            <w:r w:rsidR="00B65C9F" w:rsidRPr="00BE1B03">
              <w:rPr>
                <w:rStyle w:val="Teksttreci29"/>
                <w:rFonts w:asciiTheme="majorHAnsi" w:hAnsiTheme="majorHAnsi"/>
                <w:color w:val="000000"/>
              </w:rPr>
              <w:t xml:space="preserve"> </w:t>
            </w:r>
            <w:r w:rsidR="00292FE3" w:rsidRPr="00BE1B03">
              <w:rPr>
                <w:rStyle w:val="Teksttreci29"/>
                <w:rFonts w:asciiTheme="majorHAnsi" w:hAnsiTheme="majorHAnsi"/>
                <w:color w:val="000000"/>
              </w:rPr>
              <w:t>zwiększeniach, wykorzystaniu, rozwiązaniu i stanie na koniec roku obrotowego, z uwzględnieniem należności</w:t>
            </w:r>
            <w:r w:rsidR="00B65C9F" w:rsidRPr="00BE1B03">
              <w:rPr>
                <w:rStyle w:val="Teksttreci29"/>
                <w:rFonts w:asciiTheme="majorHAnsi" w:hAnsiTheme="majorHAnsi"/>
                <w:color w:val="000000"/>
              </w:rPr>
              <w:t xml:space="preserve"> </w:t>
            </w:r>
            <w:r w:rsidR="00292FE3" w:rsidRPr="00BE1B03">
              <w:rPr>
                <w:rStyle w:val="Teksttreci29"/>
                <w:rFonts w:asciiTheme="majorHAnsi" w:hAnsiTheme="majorHAnsi"/>
                <w:color w:val="000000"/>
              </w:rPr>
              <w:t>f</w:t>
            </w:r>
            <w:r w:rsidR="00C64606" w:rsidRPr="00BE1B03">
              <w:rPr>
                <w:rStyle w:val="Teksttreci29"/>
                <w:rFonts w:asciiTheme="majorHAnsi" w:hAnsiTheme="majorHAnsi"/>
                <w:color w:val="000000"/>
              </w:rPr>
              <w:t xml:space="preserve">inansowych </w:t>
            </w:r>
            <w:r w:rsidR="00292FE3" w:rsidRPr="00BE1B03">
              <w:rPr>
                <w:rStyle w:val="Teksttreci29"/>
                <w:rFonts w:asciiTheme="majorHAnsi" w:hAnsiTheme="majorHAnsi"/>
                <w:color w:val="000000"/>
              </w:rPr>
              <w:t>jednostek samorządu terytorialnego (stan pożyczek zagrożonych)</w:t>
            </w:r>
          </w:p>
          <w:p w:rsidR="00BA6C11" w:rsidRPr="00BA6C11" w:rsidRDefault="00BA6C11" w:rsidP="00EB077D">
            <w:pPr>
              <w:pStyle w:val="Teksttreci20"/>
              <w:shd w:val="clear" w:color="auto" w:fill="auto"/>
              <w:ind w:left="107" w:right="28" w:firstLine="14"/>
              <w:jc w:val="both"/>
              <w:rPr>
                <w:rFonts w:asciiTheme="majorHAnsi" w:hAnsiTheme="majorHAnsi"/>
                <w:sz w:val="6"/>
                <w:szCs w:val="6"/>
              </w:rPr>
            </w:pPr>
          </w:p>
        </w:tc>
      </w:tr>
      <w:tr w:rsidR="00292FE3" w:rsidRPr="00B61AFF" w:rsidTr="00292F7F">
        <w:trPr>
          <w:trHeight w:val="11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7E06C2" w:rsidRDefault="00292FE3" w:rsidP="00AE7A2A">
            <w:pPr>
              <w:spacing w:after="0" w:line="240" w:lineRule="auto"/>
              <w:ind w:left="28" w:right="28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6BE9" w:rsidRDefault="005B6BE9" w:rsidP="00AE7A2A">
            <w:pPr>
              <w:spacing w:after="0" w:line="240" w:lineRule="auto"/>
              <w:ind w:left="28" w:right="28"/>
              <w:rPr>
                <w:rFonts w:asciiTheme="majorHAnsi" w:hAnsiTheme="majorHAnsi"/>
                <w:sz w:val="6"/>
                <w:szCs w:val="6"/>
              </w:rPr>
            </w:pPr>
          </w:p>
          <w:p w:rsidR="00292FE3" w:rsidRPr="00F23E64" w:rsidRDefault="005B6BE9" w:rsidP="00AE7A2A">
            <w:pPr>
              <w:spacing w:after="0" w:line="240" w:lineRule="auto"/>
              <w:ind w:left="28" w:right="2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 xml:space="preserve">     </w:t>
            </w:r>
            <w:r w:rsidR="00C64606" w:rsidRPr="00F23E64">
              <w:rPr>
                <w:rFonts w:asciiTheme="majorHAnsi" w:hAnsiTheme="majorHAnsi"/>
                <w:sz w:val="18"/>
                <w:szCs w:val="18"/>
              </w:rPr>
              <w:t xml:space="preserve">Stan na początek roku obrotowego                                              </w:t>
            </w:r>
            <w:r w:rsidR="00492E9A" w:rsidRPr="00F23E64">
              <w:rPr>
                <w:rFonts w:asciiTheme="majorHAnsi" w:hAnsiTheme="majorHAnsi"/>
                <w:sz w:val="18"/>
                <w:szCs w:val="18"/>
              </w:rPr>
              <w:t xml:space="preserve">                                    </w:t>
            </w:r>
            <w:r w:rsidR="007E77A3" w:rsidRPr="00F23E64">
              <w:rPr>
                <w:rFonts w:asciiTheme="majorHAnsi" w:hAnsiTheme="majorHAnsi"/>
                <w:sz w:val="18"/>
                <w:szCs w:val="18"/>
              </w:rPr>
              <w:t xml:space="preserve">    </w:t>
            </w:r>
            <w:r w:rsidR="00743071" w:rsidRPr="00F23E64">
              <w:rPr>
                <w:rFonts w:asciiTheme="majorHAnsi" w:hAnsiTheme="majorHAnsi"/>
                <w:sz w:val="18"/>
                <w:szCs w:val="18"/>
              </w:rPr>
              <w:t xml:space="preserve">           </w:t>
            </w:r>
            <w:r w:rsidR="0090505A">
              <w:rPr>
                <w:rFonts w:asciiTheme="majorHAnsi" w:hAnsiTheme="majorHAnsi"/>
                <w:sz w:val="18"/>
                <w:szCs w:val="18"/>
              </w:rPr>
              <w:t xml:space="preserve">   </w:t>
            </w:r>
            <w:r w:rsidR="00B65C9F" w:rsidRPr="00F23E64">
              <w:rPr>
                <w:rFonts w:asciiTheme="majorHAnsi" w:hAnsiTheme="majorHAnsi"/>
                <w:sz w:val="18"/>
                <w:szCs w:val="18"/>
              </w:rPr>
              <w:t>6</w:t>
            </w:r>
            <w:r w:rsidR="00614BC9" w:rsidRPr="00F23E64">
              <w:rPr>
                <w:rFonts w:asciiTheme="majorHAnsi" w:hAnsiTheme="majorHAnsi"/>
                <w:sz w:val="18"/>
                <w:szCs w:val="18"/>
              </w:rPr>
              <w:t>34</w:t>
            </w:r>
            <w:r w:rsidR="00B65C9F" w:rsidRPr="00F23E64">
              <w:rPr>
                <w:rFonts w:asciiTheme="majorHAnsi" w:hAnsiTheme="majorHAnsi"/>
                <w:sz w:val="18"/>
                <w:szCs w:val="18"/>
              </w:rPr>
              <w:t> 4</w:t>
            </w:r>
            <w:r w:rsidR="00614BC9" w:rsidRPr="00F23E64">
              <w:rPr>
                <w:rFonts w:asciiTheme="majorHAnsi" w:hAnsiTheme="majorHAnsi"/>
                <w:sz w:val="18"/>
                <w:szCs w:val="18"/>
              </w:rPr>
              <w:t>85</w:t>
            </w:r>
            <w:r w:rsidR="00B65C9F" w:rsidRPr="00F23E64">
              <w:rPr>
                <w:rFonts w:asciiTheme="majorHAnsi" w:hAnsiTheme="majorHAnsi"/>
                <w:sz w:val="18"/>
                <w:szCs w:val="18"/>
              </w:rPr>
              <w:t>,</w:t>
            </w:r>
            <w:r w:rsidR="00614BC9" w:rsidRPr="00F23E64">
              <w:rPr>
                <w:rFonts w:asciiTheme="majorHAnsi" w:hAnsiTheme="majorHAnsi"/>
                <w:sz w:val="18"/>
                <w:szCs w:val="18"/>
              </w:rPr>
              <w:t>96</w:t>
            </w:r>
            <w:r w:rsidR="00B65C9F" w:rsidRPr="00F23E64">
              <w:rPr>
                <w:rFonts w:asciiTheme="majorHAnsi" w:hAnsiTheme="majorHAnsi"/>
                <w:sz w:val="18"/>
                <w:szCs w:val="18"/>
              </w:rPr>
              <w:t xml:space="preserve"> zł</w:t>
            </w:r>
          </w:p>
          <w:p w:rsidR="00B65C9F" w:rsidRPr="00F23E64" w:rsidRDefault="009A29B2" w:rsidP="00AE7A2A">
            <w:pPr>
              <w:spacing w:after="0" w:line="240" w:lineRule="auto"/>
              <w:ind w:left="28" w:right="28"/>
              <w:rPr>
                <w:rFonts w:asciiTheme="majorHAnsi" w:hAnsiTheme="majorHAnsi"/>
                <w:sz w:val="18"/>
                <w:szCs w:val="18"/>
              </w:rPr>
            </w:pPr>
            <w:r w:rsidRPr="00F23E64">
              <w:rPr>
                <w:rFonts w:asciiTheme="majorHAnsi" w:hAnsiTheme="majorHAnsi"/>
                <w:sz w:val="18"/>
                <w:szCs w:val="18"/>
              </w:rPr>
              <w:t xml:space="preserve">     </w:t>
            </w:r>
            <w:r w:rsidR="00B65C9F" w:rsidRPr="00F23E64">
              <w:rPr>
                <w:rFonts w:asciiTheme="majorHAnsi" w:hAnsiTheme="majorHAnsi"/>
                <w:sz w:val="18"/>
                <w:szCs w:val="18"/>
              </w:rPr>
              <w:t>Utworzenie odpisu aktualizującego w 201</w:t>
            </w:r>
            <w:r w:rsidR="001B013D" w:rsidRPr="00F23E64">
              <w:rPr>
                <w:rFonts w:asciiTheme="majorHAnsi" w:hAnsiTheme="majorHAnsi"/>
                <w:sz w:val="18"/>
                <w:szCs w:val="18"/>
              </w:rPr>
              <w:t>9</w:t>
            </w:r>
            <w:r w:rsidR="00B65C9F" w:rsidRPr="00F23E64">
              <w:rPr>
                <w:rFonts w:asciiTheme="majorHAnsi" w:hAnsiTheme="majorHAnsi"/>
                <w:sz w:val="18"/>
                <w:szCs w:val="18"/>
              </w:rPr>
              <w:t>r. na należności</w:t>
            </w:r>
            <w:r w:rsidR="00C64606" w:rsidRPr="00F23E64">
              <w:rPr>
                <w:rFonts w:asciiTheme="majorHAnsi" w:hAnsiTheme="majorHAnsi"/>
                <w:sz w:val="18"/>
                <w:szCs w:val="18"/>
              </w:rPr>
              <w:t xml:space="preserve">         </w:t>
            </w:r>
            <w:r w:rsidR="00492E9A" w:rsidRPr="00F23E64">
              <w:rPr>
                <w:rFonts w:asciiTheme="majorHAnsi" w:hAnsiTheme="majorHAnsi"/>
                <w:sz w:val="18"/>
                <w:szCs w:val="18"/>
              </w:rPr>
              <w:t xml:space="preserve">       </w:t>
            </w:r>
            <w:r w:rsidR="00F23E64" w:rsidRPr="00F23E6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492E9A" w:rsidRPr="00F23E64">
              <w:rPr>
                <w:rFonts w:asciiTheme="majorHAnsi" w:hAnsiTheme="majorHAnsi"/>
                <w:sz w:val="18"/>
                <w:szCs w:val="18"/>
              </w:rPr>
              <w:t xml:space="preserve">                         </w:t>
            </w:r>
            <w:r w:rsidR="0090505A">
              <w:rPr>
                <w:rFonts w:asciiTheme="majorHAnsi" w:hAnsiTheme="majorHAnsi"/>
                <w:sz w:val="18"/>
                <w:szCs w:val="18"/>
              </w:rPr>
              <w:t xml:space="preserve">              </w:t>
            </w:r>
            <w:r w:rsidR="00614BC9" w:rsidRPr="00F23E64">
              <w:rPr>
                <w:rFonts w:asciiTheme="majorHAnsi" w:hAnsiTheme="majorHAnsi"/>
                <w:sz w:val="18"/>
                <w:szCs w:val="18"/>
              </w:rPr>
              <w:t>78</w:t>
            </w:r>
            <w:r w:rsidR="00C64606" w:rsidRPr="00F23E6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614BC9" w:rsidRPr="00F23E64">
              <w:rPr>
                <w:rFonts w:asciiTheme="majorHAnsi" w:hAnsiTheme="majorHAnsi"/>
                <w:sz w:val="18"/>
                <w:szCs w:val="18"/>
              </w:rPr>
              <w:t>249</w:t>
            </w:r>
            <w:r w:rsidR="00B65C9F" w:rsidRPr="00F23E64">
              <w:rPr>
                <w:rFonts w:asciiTheme="majorHAnsi" w:hAnsiTheme="majorHAnsi"/>
                <w:sz w:val="18"/>
                <w:szCs w:val="18"/>
              </w:rPr>
              <w:t>,</w:t>
            </w:r>
            <w:r w:rsidR="00614BC9" w:rsidRPr="00F23E64">
              <w:rPr>
                <w:rFonts w:asciiTheme="majorHAnsi" w:hAnsiTheme="majorHAnsi"/>
                <w:sz w:val="18"/>
                <w:szCs w:val="18"/>
              </w:rPr>
              <w:t>72</w:t>
            </w:r>
            <w:r w:rsidR="00B65C9F" w:rsidRPr="00F23E64">
              <w:rPr>
                <w:rFonts w:asciiTheme="majorHAnsi" w:hAnsiTheme="majorHAnsi"/>
                <w:sz w:val="18"/>
                <w:szCs w:val="18"/>
              </w:rPr>
              <w:t xml:space="preserve"> zł</w:t>
            </w:r>
          </w:p>
          <w:p w:rsidR="00B65C9F" w:rsidRPr="00F23E64" w:rsidRDefault="009A29B2" w:rsidP="00C64606">
            <w:pPr>
              <w:spacing w:after="0" w:line="240" w:lineRule="auto"/>
              <w:ind w:left="28" w:right="28"/>
              <w:rPr>
                <w:rFonts w:asciiTheme="majorHAnsi" w:hAnsiTheme="majorHAnsi"/>
                <w:sz w:val="18"/>
                <w:szCs w:val="18"/>
              </w:rPr>
            </w:pPr>
            <w:r w:rsidRPr="00F23E64">
              <w:rPr>
                <w:rFonts w:asciiTheme="majorHAnsi" w:hAnsiTheme="majorHAnsi"/>
                <w:sz w:val="18"/>
                <w:szCs w:val="18"/>
              </w:rPr>
              <w:t xml:space="preserve">     </w:t>
            </w:r>
            <w:r w:rsidR="00B65C9F" w:rsidRPr="00F23E64">
              <w:rPr>
                <w:rFonts w:asciiTheme="majorHAnsi" w:hAnsiTheme="majorHAnsi"/>
                <w:sz w:val="18"/>
                <w:szCs w:val="18"/>
              </w:rPr>
              <w:t>Odpis aktua</w:t>
            </w:r>
            <w:r w:rsidR="00C64606" w:rsidRPr="00F23E64">
              <w:rPr>
                <w:rFonts w:asciiTheme="majorHAnsi" w:hAnsiTheme="majorHAnsi"/>
                <w:sz w:val="18"/>
                <w:szCs w:val="18"/>
              </w:rPr>
              <w:t xml:space="preserve">lizujący wpłacone należności </w:t>
            </w:r>
            <w:r w:rsidR="00B65C9F" w:rsidRPr="00F23E64">
              <w:rPr>
                <w:rFonts w:asciiTheme="majorHAnsi" w:hAnsiTheme="majorHAnsi"/>
                <w:sz w:val="18"/>
                <w:szCs w:val="18"/>
              </w:rPr>
              <w:t xml:space="preserve"> w 201</w:t>
            </w:r>
            <w:r w:rsidR="001B013D" w:rsidRPr="00F23E64">
              <w:rPr>
                <w:rFonts w:asciiTheme="majorHAnsi" w:hAnsiTheme="majorHAnsi"/>
                <w:sz w:val="18"/>
                <w:szCs w:val="18"/>
              </w:rPr>
              <w:t>9</w:t>
            </w:r>
            <w:r w:rsidR="00B65C9F" w:rsidRPr="00F23E64">
              <w:rPr>
                <w:rFonts w:asciiTheme="majorHAnsi" w:hAnsiTheme="majorHAnsi"/>
                <w:sz w:val="18"/>
                <w:szCs w:val="18"/>
              </w:rPr>
              <w:t>r.</w:t>
            </w:r>
            <w:r w:rsidR="00C64606" w:rsidRPr="00F23E64">
              <w:rPr>
                <w:rFonts w:asciiTheme="majorHAnsi" w:hAnsiTheme="majorHAnsi"/>
                <w:sz w:val="18"/>
                <w:szCs w:val="18"/>
              </w:rPr>
              <w:t xml:space="preserve">                 </w:t>
            </w:r>
            <w:r w:rsidR="00492E9A" w:rsidRPr="00F23E64">
              <w:rPr>
                <w:rFonts w:asciiTheme="majorHAnsi" w:hAnsiTheme="majorHAnsi"/>
                <w:sz w:val="18"/>
                <w:szCs w:val="18"/>
              </w:rPr>
              <w:t xml:space="preserve">            </w:t>
            </w:r>
            <w:r w:rsidR="00F23E64" w:rsidRPr="00F23E6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492E9A" w:rsidRPr="00F23E64">
              <w:rPr>
                <w:rFonts w:asciiTheme="majorHAnsi" w:hAnsiTheme="majorHAnsi"/>
                <w:sz w:val="18"/>
                <w:szCs w:val="18"/>
              </w:rPr>
              <w:t xml:space="preserve">                        </w:t>
            </w:r>
            <w:r w:rsidR="00C64606" w:rsidRPr="00F23E64">
              <w:rPr>
                <w:rFonts w:asciiTheme="majorHAnsi" w:hAnsiTheme="majorHAnsi"/>
                <w:sz w:val="18"/>
                <w:szCs w:val="18"/>
              </w:rPr>
              <w:t xml:space="preserve">   </w:t>
            </w:r>
            <w:r w:rsidR="0090505A">
              <w:rPr>
                <w:rFonts w:asciiTheme="majorHAnsi" w:hAnsiTheme="majorHAnsi"/>
                <w:sz w:val="18"/>
                <w:szCs w:val="18"/>
              </w:rPr>
              <w:t xml:space="preserve">              </w:t>
            </w:r>
            <w:r w:rsidR="00614BC9" w:rsidRPr="00F23E64">
              <w:rPr>
                <w:rFonts w:asciiTheme="majorHAnsi" w:hAnsiTheme="majorHAnsi"/>
                <w:sz w:val="18"/>
                <w:szCs w:val="18"/>
              </w:rPr>
              <w:t>66</w:t>
            </w:r>
            <w:r w:rsidR="00C64606" w:rsidRPr="00F23E6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614BC9" w:rsidRPr="00F23E64">
              <w:rPr>
                <w:rFonts w:asciiTheme="majorHAnsi" w:hAnsiTheme="majorHAnsi"/>
                <w:sz w:val="18"/>
                <w:szCs w:val="18"/>
              </w:rPr>
              <w:t>319</w:t>
            </w:r>
            <w:r w:rsidR="00B65C9F" w:rsidRPr="00F23E64">
              <w:rPr>
                <w:rFonts w:asciiTheme="majorHAnsi" w:hAnsiTheme="majorHAnsi"/>
                <w:sz w:val="18"/>
                <w:szCs w:val="18"/>
              </w:rPr>
              <w:t>,</w:t>
            </w:r>
            <w:r w:rsidR="00614BC9" w:rsidRPr="00F23E64">
              <w:rPr>
                <w:rFonts w:asciiTheme="majorHAnsi" w:hAnsiTheme="majorHAnsi"/>
                <w:sz w:val="18"/>
                <w:szCs w:val="18"/>
              </w:rPr>
              <w:t>73</w:t>
            </w:r>
            <w:r w:rsidR="00C64606" w:rsidRPr="00F23E64">
              <w:rPr>
                <w:rFonts w:asciiTheme="majorHAnsi" w:hAnsiTheme="majorHAnsi"/>
                <w:sz w:val="18"/>
                <w:szCs w:val="18"/>
              </w:rPr>
              <w:t xml:space="preserve"> zł</w:t>
            </w:r>
          </w:p>
          <w:p w:rsidR="00684CBB" w:rsidRPr="00F23E64" w:rsidRDefault="009A29B2" w:rsidP="00F23E64">
            <w:pPr>
              <w:spacing w:after="0" w:line="240" w:lineRule="auto"/>
              <w:ind w:left="28" w:right="28"/>
              <w:rPr>
                <w:rFonts w:asciiTheme="majorHAnsi" w:hAnsiTheme="majorHAnsi"/>
                <w:sz w:val="19"/>
                <w:szCs w:val="19"/>
              </w:rPr>
            </w:pPr>
            <w:r w:rsidRPr="00F23E64">
              <w:rPr>
                <w:rFonts w:asciiTheme="majorHAnsi" w:hAnsiTheme="majorHAnsi"/>
                <w:sz w:val="18"/>
                <w:szCs w:val="18"/>
              </w:rPr>
              <w:t xml:space="preserve">     </w:t>
            </w:r>
            <w:r w:rsidR="00F23E64" w:rsidRPr="00F23E6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C64606" w:rsidRPr="00F23E64">
              <w:rPr>
                <w:rFonts w:asciiTheme="majorHAnsi" w:hAnsiTheme="majorHAnsi"/>
                <w:sz w:val="18"/>
                <w:szCs w:val="18"/>
              </w:rPr>
              <w:t xml:space="preserve">Stan na koniec  roku obrotowego                                                    </w:t>
            </w:r>
            <w:r w:rsidR="00492E9A" w:rsidRPr="00F23E64">
              <w:rPr>
                <w:rFonts w:asciiTheme="majorHAnsi" w:hAnsiTheme="majorHAnsi"/>
                <w:sz w:val="18"/>
                <w:szCs w:val="18"/>
              </w:rPr>
              <w:t xml:space="preserve">                                   </w:t>
            </w:r>
            <w:r w:rsidR="0090505A">
              <w:rPr>
                <w:rFonts w:asciiTheme="majorHAnsi" w:hAnsiTheme="majorHAnsi"/>
                <w:sz w:val="18"/>
                <w:szCs w:val="18"/>
              </w:rPr>
              <w:t xml:space="preserve">               </w:t>
            </w:r>
            <w:r w:rsidR="00C64606" w:rsidRPr="00F23E64">
              <w:rPr>
                <w:rFonts w:asciiTheme="majorHAnsi" w:hAnsiTheme="majorHAnsi"/>
                <w:sz w:val="18"/>
                <w:szCs w:val="18"/>
              </w:rPr>
              <w:t>6</w:t>
            </w:r>
            <w:r w:rsidR="00614BC9" w:rsidRPr="00F23E64">
              <w:rPr>
                <w:rFonts w:asciiTheme="majorHAnsi" w:hAnsiTheme="majorHAnsi"/>
                <w:sz w:val="18"/>
                <w:szCs w:val="18"/>
              </w:rPr>
              <w:t>46</w:t>
            </w:r>
            <w:r w:rsidR="00C64606" w:rsidRPr="00F23E64">
              <w:rPr>
                <w:rFonts w:asciiTheme="majorHAnsi" w:hAnsiTheme="majorHAnsi"/>
                <w:sz w:val="18"/>
                <w:szCs w:val="18"/>
              </w:rPr>
              <w:t xml:space="preserve"> 4</w:t>
            </w:r>
            <w:r w:rsidR="00614BC9" w:rsidRPr="00F23E64">
              <w:rPr>
                <w:rFonts w:asciiTheme="majorHAnsi" w:hAnsiTheme="majorHAnsi"/>
                <w:sz w:val="18"/>
                <w:szCs w:val="18"/>
              </w:rPr>
              <w:t>1</w:t>
            </w:r>
            <w:r w:rsidR="00C64606" w:rsidRPr="00F23E64">
              <w:rPr>
                <w:rFonts w:asciiTheme="majorHAnsi" w:hAnsiTheme="majorHAnsi"/>
                <w:sz w:val="18"/>
                <w:szCs w:val="18"/>
              </w:rPr>
              <w:t>5,9</w:t>
            </w:r>
            <w:r w:rsidR="00614BC9" w:rsidRPr="00F23E64">
              <w:rPr>
                <w:rFonts w:asciiTheme="majorHAnsi" w:hAnsiTheme="majorHAnsi"/>
                <w:sz w:val="18"/>
                <w:szCs w:val="18"/>
              </w:rPr>
              <w:t>5</w:t>
            </w:r>
            <w:r w:rsidR="00C64606" w:rsidRPr="00F23E64">
              <w:rPr>
                <w:rFonts w:asciiTheme="majorHAnsi" w:hAnsiTheme="majorHAnsi"/>
                <w:sz w:val="18"/>
                <w:szCs w:val="18"/>
              </w:rPr>
              <w:t xml:space="preserve"> zł</w:t>
            </w:r>
          </w:p>
        </w:tc>
      </w:tr>
      <w:tr w:rsidR="00292FE3" w:rsidRPr="00B61AFF" w:rsidTr="00292F7F">
        <w:trPr>
          <w:trHeight w:val="55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B739B7" w:rsidRDefault="00292FE3" w:rsidP="00AE7A2A">
            <w:pPr>
              <w:pStyle w:val="Teksttreci20"/>
              <w:shd w:val="clear" w:color="auto" w:fill="auto"/>
              <w:ind w:left="84" w:right="28"/>
              <w:rPr>
                <w:rFonts w:asciiTheme="majorHAnsi" w:hAnsiTheme="majorHAnsi"/>
                <w:b/>
                <w:sz w:val="16"/>
                <w:szCs w:val="16"/>
              </w:rPr>
            </w:pPr>
            <w:r w:rsidRPr="00B739B7">
              <w:rPr>
                <w:rStyle w:val="Teksttreci29"/>
                <w:rFonts w:asciiTheme="majorHAnsi" w:hAnsiTheme="majorHAnsi"/>
                <w:b/>
                <w:color w:val="000000"/>
                <w:sz w:val="16"/>
                <w:szCs w:val="16"/>
              </w:rPr>
              <w:t>1.8.</w:t>
            </w: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AD0006" w:rsidRDefault="00292FE3" w:rsidP="002F132C">
            <w:pPr>
              <w:pStyle w:val="Teksttreci20"/>
              <w:shd w:val="clear" w:color="auto" w:fill="auto"/>
              <w:ind w:left="113" w:right="113"/>
              <w:jc w:val="both"/>
              <w:rPr>
                <w:rFonts w:asciiTheme="majorHAnsi" w:hAnsiTheme="majorHAnsi"/>
                <w:color w:val="000000"/>
                <w:sz w:val="19"/>
                <w:szCs w:val="19"/>
                <w:shd w:val="clear" w:color="auto" w:fill="FFFFFF"/>
              </w:rPr>
            </w:pPr>
            <w:r w:rsidRPr="00AD0006">
              <w:rPr>
                <w:rStyle w:val="Teksttreci29"/>
                <w:rFonts w:asciiTheme="majorHAnsi" w:hAnsiTheme="majorHAnsi"/>
                <w:color w:val="000000"/>
              </w:rPr>
              <w:t>dane o stanie rezerw według celu ich utworzenia na początek roku obrotowego, zwiększeniach, wykorzystaniu,</w:t>
            </w:r>
            <w:r w:rsidR="00C64606" w:rsidRPr="00AD0006">
              <w:rPr>
                <w:rStyle w:val="Teksttreci29"/>
                <w:rFonts w:asciiTheme="majorHAnsi" w:hAnsiTheme="majorHAnsi"/>
                <w:color w:val="000000"/>
              </w:rPr>
              <w:t xml:space="preserve"> </w:t>
            </w:r>
            <w:r w:rsidRPr="00AD0006">
              <w:rPr>
                <w:rStyle w:val="Teksttreci29"/>
                <w:rFonts w:asciiTheme="majorHAnsi" w:hAnsiTheme="majorHAnsi"/>
                <w:color w:val="000000"/>
              </w:rPr>
              <w:t>rozwiązaniu i stanie</w:t>
            </w:r>
            <w:r w:rsidR="00AD0006">
              <w:rPr>
                <w:rStyle w:val="Teksttreci29"/>
                <w:rFonts w:asciiTheme="majorHAnsi" w:hAnsiTheme="majorHAnsi"/>
                <w:color w:val="000000"/>
              </w:rPr>
              <w:t xml:space="preserve"> </w:t>
            </w:r>
            <w:r w:rsidRPr="00AD0006">
              <w:rPr>
                <w:rStyle w:val="Teksttreci29"/>
                <w:rFonts w:asciiTheme="majorHAnsi" w:hAnsiTheme="majorHAnsi"/>
                <w:color w:val="000000"/>
              </w:rPr>
              <w:t>końcowym</w:t>
            </w:r>
          </w:p>
        </w:tc>
      </w:tr>
      <w:tr w:rsidR="00292FE3" w:rsidRPr="00B61AFF" w:rsidTr="00292F7F">
        <w:trPr>
          <w:trHeight w:val="4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B61AFF" w:rsidRDefault="00292FE3" w:rsidP="00AE7A2A">
            <w:pPr>
              <w:spacing w:after="0" w:line="240" w:lineRule="auto"/>
              <w:ind w:left="28" w:right="28"/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4606" w:rsidRPr="00F23E64" w:rsidRDefault="00684CBB" w:rsidP="00684CBB">
            <w:pPr>
              <w:spacing w:after="0" w:line="240" w:lineRule="auto"/>
              <w:ind w:left="113" w:right="28"/>
              <w:rPr>
                <w:rFonts w:asciiTheme="majorHAnsi" w:hAnsiTheme="majorHAnsi"/>
                <w:sz w:val="18"/>
                <w:szCs w:val="18"/>
              </w:rPr>
            </w:pPr>
            <w:r w:rsidRPr="00F23E64">
              <w:rPr>
                <w:rFonts w:asciiTheme="majorHAnsi" w:hAnsiTheme="majorHAnsi"/>
                <w:sz w:val="18"/>
                <w:szCs w:val="18"/>
              </w:rPr>
              <w:t>Nie dotyczy</w:t>
            </w:r>
          </w:p>
        </w:tc>
      </w:tr>
      <w:tr w:rsidR="00292FE3" w:rsidRPr="00B61AFF" w:rsidTr="00292F7F">
        <w:trPr>
          <w:trHeight w:val="58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B739B7" w:rsidRDefault="00292FE3" w:rsidP="00AE7A2A">
            <w:pPr>
              <w:pStyle w:val="Teksttreci20"/>
              <w:shd w:val="clear" w:color="auto" w:fill="auto"/>
              <w:ind w:left="84" w:right="28"/>
              <w:rPr>
                <w:rFonts w:asciiTheme="majorHAnsi" w:hAnsiTheme="majorHAnsi"/>
                <w:b/>
                <w:sz w:val="16"/>
                <w:szCs w:val="16"/>
              </w:rPr>
            </w:pPr>
            <w:r w:rsidRPr="00B739B7">
              <w:rPr>
                <w:rStyle w:val="Teksttreci29"/>
                <w:rFonts w:asciiTheme="majorHAnsi" w:hAnsiTheme="majorHAnsi"/>
                <w:b/>
                <w:color w:val="000000"/>
                <w:sz w:val="16"/>
                <w:szCs w:val="16"/>
              </w:rPr>
              <w:t>1.9.</w:t>
            </w: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AD0006" w:rsidRDefault="00292FE3" w:rsidP="009D0E8D">
            <w:pPr>
              <w:pStyle w:val="Teksttreci20"/>
              <w:shd w:val="clear" w:color="auto" w:fill="auto"/>
              <w:ind w:left="113"/>
              <w:rPr>
                <w:rFonts w:asciiTheme="majorHAnsi" w:hAnsiTheme="majorHAnsi"/>
                <w:color w:val="000000"/>
                <w:sz w:val="19"/>
                <w:szCs w:val="19"/>
                <w:shd w:val="clear" w:color="auto" w:fill="FFFFFF"/>
              </w:rPr>
            </w:pPr>
            <w:r w:rsidRPr="00AD0006">
              <w:rPr>
                <w:rStyle w:val="Teksttreci29"/>
                <w:rFonts w:asciiTheme="majorHAnsi" w:hAnsiTheme="majorHAnsi"/>
                <w:color w:val="000000"/>
              </w:rPr>
              <w:t>podz</w:t>
            </w:r>
            <w:r w:rsidR="002E1F1E" w:rsidRPr="00AD0006">
              <w:rPr>
                <w:rStyle w:val="Teksttreci29"/>
                <w:rFonts w:asciiTheme="majorHAnsi" w:hAnsiTheme="majorHAnsi"/>
                <w:color w:val="000000"/>
              </w:rPr>
              <w:t>iał zobowiązań długoterminowych</w:t>
            </w:r>
            <w:r w:rsidR="00684CBB">
              <w:rPr>
                <w:rStyle w:val="Teksttreci29"/>
                <w:rFonts w:asciiTheme="majorHAnsi" w:hAnsiTheme="majorHAnsi"/>
                <w:color w:val="000000"/>
              </w:rPr>
              <w:t xml:space="preserve"> o pozostałym</w:t>
            </w:r>
            <w:r w:rsidRPr="00AD0006">
              <w:rPr>
                <w:rStyle w:val="Teksttreci29"/>
                <w:rFonts w:asciiTheme="majorHAnsi" w:hAnsiTheme="majorHAnsi"/>
                <w:color w:val="000000"/>
              </w:rPr>
              <w:t xml:space="preserve"> od dnia bilansowego,</w:t>
            </w:r>
            <w:r w:rsidR="002E1F1E" w:rsidRPr="00AD0006">
              <w:rPr>
                <w:rStyle w:val="Teksttreci29"/>
                <w:rFonts w:asciiTheme="majorHAnsi" w:hAnsiTheme="majorHAnsi"/>
                <w:color w:val="000000"/>
              </w:rPr>
              <w:t xml:space="preserve"> </w:t>
            </w:r>
            <w:r w:rsidRPr="00AD0006">
              <w:rPr>
                <w:rStyle w:val="Teksttreci29"/>
                <w:rFonts w:asciiTheme="majorHAnsi" w:hAnsiTheme="majorHAnsi"/>
                <w:color w:val="000000"/>
              </w:rPr>
              <w:t xml:space="preserve">przewidywanym umową lub wynikającym z innego </w:t>
            </w:r>
            <w:r w:rsidR="00AD0006">
              <w:rPr>
                <w:rStyle w:val="Teksttreci29"/>
                <w:rFonts w:asciiTheme="majorHAnsi" w:hAnsiTheme="majorHAnsi"/>
                <w:color w:val="000000"/>
              </w:rPr>
              <w:t xml:space="preserve"> t</w:t>
            </w:r>
            <w:r w:rsidRPr="00AD0006">
              <w:rPr>
                <w:rStyle w:val="Teksttreci29"/>
                <w:rFonts w:asciiTheme="majorHAnsi" w:hAnsiTheme="majorHAnsi"/>
                <w:color w:val="000000"/>
              </w:rPr>
              <w:t>ytułu prawnego, okresie spłaty</w:t>
            </w:r>
            <w:r w:rsidRPr="00BD2A0D">
              <w:rPr>
                <w:rStyle w:val="Teksttreci29"/>
                <w:rFonts w:asciiTheme="majorHAnsi" w:hAnsiTheme="majorHAnsi"/>
                <w:color w:val="000000"/>
                <w:sz w:val="18"/>
                <w:szCs w:val="18"/>
              </w:rPr>
              <w:t>:</w:t>
            </w:r>
          </w:p>
        </w:tc>
      </w:tr>
      <w:tr w:rsidR="00292FE3" w:rsidRPr="00B61AFF" w:rsidTr="00292F7F">
        <w:trPr>
          <w:trHeight w:val="34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B739B7" w:rsidRDefault="00292FE3" w:rsidP="007E06C2">
            <w:pPr>
              <w:pStyle w:val="Teksttreci20"/>
              <w:shd w:val="clear" w:color="auto" w:fill="auto"/>
              <w:ind w:left="84" w:right="28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739B7">
              <w:rPr>
                <w:rStyle w:val="Teksttreci29"/>
                <w:rFonts w:asciiTheme="majorHAnsi" w:hAnsiTheme="majorHAnsi"/>
                <w:b/>
                <w:color w:val="000000"/>
                <w:sz w:val="16"/>
                <w:szCs w:val="16"/>
              </w:rPr>
              <w:t>a)</w:t>
            </w: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AD0006" w:rsidRDefault="00292FE3" w:rsidP="009D0E8D">
            <w:pPr>
              <w:pStyle w:val="Teksttreci20"/>
              <w:shd w:val="clear" w:color="auto" w:fill="auto"/>
              <w:ind w:left="113"/>
              <w:jc w:val="both"/>
              <w:rPr>
                <w:rFonts w:asciiTheme="majorHAnsi" w:hAnsiTheme="majorHAnsi"/>
                <w:sz w:val="19"/>
                <w:szCs w:val="19"/>
              </w:rPr>
            </w:pPr>
            <w:r w:rsidRPr="00AD0006">
              <w:rPr>
                <w:rStyle w:val="Teksttreci29"/>
                <w:rFonts w:asciiTheme="majorHAnsi" w:hAnsiTheme="majorHAnsi"/>
                <w:color w:val="000000"/>
              </w:rPr>
              <w:t>powyżej 1 roku do 3 lat</w:t>
            </w:r>
          </w:p>
        </w:tc>
      </w:tr>
      <w:tr w:rsidR="00292FE3" w:rsidRPr="00B61AFF" w:rsidTr="00292F7F">
        <w:trPr>
          <w:trHeight w:val="32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B739B7" w:rsidRDefault="00292FE3" w:rsidP="007E06C2">
            <w:pPr>
              <w:spacing w:after="0" w:line="240" w:lineRule="auto"/>
              <w:ind w:left="28" w:right="28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F23E64" w:rsidRDefault="00C64606" w:rsidP="00684CBB">
            <w:pPr>
              <w:spacing w:after="0" w:line="240" w:lineRule="auto"/>
              <w:ind w:left="113" w:right="28"/>
              <w:rPr>
                <w:rFonts w:asciiTheme="majorHAnsi" w:hAnsiTheme="majorHAnsi"/>
                <w:sz w:val="18"/>
                <w:szCs w:val="18"/>
              </w:rPr>
            </w:pPr>
            <w:r w:rsidRPr="00F23E64">
              <w:rPr>
                <w:rFonts w:asciiTheme="majorHAnsi" w:hAnsiTheme="majorHAnsi"/>
                <w:sz w:val="18"/>
                <w:szCs w:val="18"/>
              </w:rPr>
              <w:t>Nie dotyczy</w:t>
            </w:r>
          </w:p>
        </w:tc>
      </w:tr>
      <w:tr w:rsidR="00292FE3" w:rsidRPr="00B61AFF" w:rsidTr="00292F7F">
        <w:trPr>
          <w:trHeight w:val="34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B739B7" w:rsidRDefault="00292FE3" w:rsidP="007E06C2">
            <w:pPr>
              <w:pStyle w:val="Teksttreci20"/>
              <w:shd w:val="clear" w:color="auto" w:fill="auto"/>
              <w:ind w:left="84" w:right="28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739B7">
              <w:rPr>
                <w:rStyle w:val="Teksttreci29"/>
                <w:rFonts w:asciiTheme="majorHAnsi" w:hAnsiTheme="majorHAnsi"/>
                <w:b/>
                <w:color w:val="000000"/>
                <w:sz w:val="16"/>
                <w:szCs w:val="16"/>
              </w:rPr>
              <w:t>b)</w:t>
            </w: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AD0006" w:rsidRDefault="00292FE3" w:rsidP="009D0E8D">
            <w:pPr>
              <w:pStyle w:val="Teksttreci20"/>
              <w:shd w:val="clear" w:color="auto" w:fill="auto"/>
              <w:ind w:left="113"/>
              <w:jc w:val="both"/>
              <w:rPr>
                <w:rFonts w:asciiTheme="majorHAnsi" w:hAnsiTheme="majorHAnsi"/>
                <w:sz w:val="19"/>
                <w:szCs w:val="19"/>
              </w:rPr>
            </w:pPr>
            <w:r w:rsidRPr="00AD0006">
              <w:rPr>
                <w:rStyle w:val="Teksttreci29"/>
                <w:rFonts w:asciiTheme="majorHAnsi" w:hAnsiTheme="majorHAnsi"/>
                <w:color w:val="000000"/>
              </w:rPr>
              <w:t>powyżej 3 do 5 lat</w:t>
            </w:r>
          </w:p>
        </w:tc>
      </w:tr>
      <w:tr w:rsidR="00292FE3" w:rsidRPr="00B61AFF" w:rsidTr="00292F7F">
        <w:trPr>
          <w:trHeight w:val="32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B739B7" w:rsidRDefault="00292FE3" w:rsidP="007E06C2">
            <w:pPr>
              <w:spacing w:after="0" w:line="240" w:lineRule="auto"/>
              <w:ind w:left="28" w:right="28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F23E64" w:rsidRDefault="00C64606" w:rsidP="00684CBB">
            <w:pPr>
              <w:spacing w:after="0" w:line="240" w:lineRule="auto"/>
              <w:ind w:left="113" w:right="28"/>
              <w:rPr>
                <w:rFonts w:asciiTheme="majorHAnsi" w:hAnsiTheme="majorHAnsi"/>
                <w:sz w:val="18"/>
                <w:szCs w:val="18"/>
              </w:rPr>
            </w:pPr>
            <w:r w:rsidRPr="00F23E64">
              <w:rPr>
                <w:rFonts w:asciiTheme="majorHAnsi" w:hAnsiTheme="majorHAnsi"/>
                <w:sz w:val="18"/>
                <w:szCs w:val="18"/>
              </w:rPr>
              <w:t>Nie dotyczy</w:t>
            </w:r>
          </w:p>
        </w:tc>
      </w:tr>
      <w:tr w:rsidR="00292FE3" w:rsidRPr="00B61AFF" w:rsidTr="00292F7F">
        <w:trPr>
          <w:trHeight w:val="34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B739B7" w:rsidRDefault="00292FE3" w:rsidP="007E06C2">
            <w:pPr>
              <w:pStyle w:val="Teksttreci20"/>
              <w:shd w:val="clear" w:color="auto" w:fill="auto"/>
              <w:ind w:left="84" w:right="28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739B7">
              <w:rPr>
                <w:rStyle w:val="Teksttreci29"/>
                <w:rFonts w:asciiTheme="majorHAnsi" w:hAnsiTheme="majorHAnsi"/>
                <w:b/>
                <w:color w:val="000000"/>
                <w:sz w:val="16"/>
                <w:szCs w:val="16"/>
              </w:rPr>
              <w:t>c)</w:t>
            </w: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AD0006" w:rsidRDefault="00292FE3" w:rsidP="009D0E8D">
            <w:pPr>
              <w:pStyle w:val="Teksttreci20"/>
              <w:shd w:val="clear" w:color="auto" w:fill="auto"/>
              <w:ind w:left="113"/>
              <w:jc w:val="both"/>
              <w:rPr>
                <w:rFonts w:asciiTheme="majorHAnsi" w:hAnsiTheme="majorHAnsi"/>
                <w:sz w:val="19"/>
                <w:szCs w:val="19"/>
              </w:rPr>
            </w:pPr>
            <w:r w:rsidRPr="00AD0006">
              <w:rPr>
                <w:rStyle w:val="Teksttreci29"/>
                <w:rFonts w:asciiTheme="majorHAnsi" w:hAnsiTheme="majorHAnsi"/>
                <w:color w:val="000000"/>
              </w:rPr>
              <w:t>powyżej 5 lat</w:t>
            </w:r>
          </w:p>
        </w:tc>
      </w:tr>
      <w:tr w:rsidR="00292FE3" w:rsidRPr="00B61AFF" w:rsidTr="00292F7F">
        <w:trPr>
          <w:trHeight w:val="34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AD0006" w:rsidRDefault="00292FE3" w:rsidP="00AE7A2A">
            <w:pPr>
              <w:spacing w:after="0" w:line="240" w:lineRule="auto"/>
              <w:ind w:left="28" w:right="28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F23E64" w:rsidRDefault="00C64606" w:rsidP="00684CBB">
            <w:pPr>
              <w:spacing w:after="0" w:line="240" w:lineRule="auto"/>
              <w:ind w:left="113" w:right="28"/>
              <w:rPr>
                <w:rFonts w:asciiTheme="majorHAnsi" w:hAnsiTheme="majorHAnsi"/>
                <w:sz w:val="18"/>
                <w:szCs w:val="18"/>
              </w:rPr>
            </w:pPr>
            <w:r w:rsidRPr="00F23E64">
              <w:rPr>
                <w:rFonts w:asciiTheme="majorHAnsi" w:hAnsiTheme="majorHAnsi"/>
                <w:sz w:val="18"/>
                <w:szCs w:val="18"/>
              </w:rPr>
              <w:t>Nie dotyczy</w:t>
            </w:r>
          </w:p>
        </w:tc>
      </w:tr>
      <w:tr w:rsidR="00292FE3" w:rsidRPr="00B61AFF" w:rsidTr="00292F7F">
        <w:trPr>
          <w:trHeight w:val="75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B739B7" w:rsidRDefault="005D4AAD" w:rsidP="00B739B7">
            <w:pPr>
              <w:pStyle w:val="Teksttreci20"/>
              <w:shd w:val="clear" w:color="auto" w:fill="auto"/>
              <w:ind w:right="28"/>
              <w:rPr>
                <w:rFonts w:asciiTheme="majorHAnsi" w:hAnsiTheme="majorHAnsi"/>
                <w:b/>
              </w:rPr>
            </w:pPr>
            <w:r>
              <w:rPr>
                <w:rStyle w:val="Teksttreci29"/>
                <w:rFonts w:asciiTheme="majorHAnsi" w:hAnsiTheme="majorHAnsi"/>
                <w:b/>
                <w:color w:val="000000"/>
                <w:sz w:val="16"/>
                <w:szCs w:val="16"/>
              </w:rPr>
              <w:t xml:space="preserve"> </w:t>
            </w:r>
            <w:r w:rsidR="00292FE3" w:rsidRPr="00B739B7">
              <w:rPr>
                <w:rStyle w:val="Teksttreci29"/>
                <w:rFonts w:asciiTheme="majorHAnsi" w:hAnsiTheme="majorHAnsi"/>
                <w:b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AD0006" w:rsidRDefault="00292FE3" w:rsidP="002F132C">
            <w:pPr>
              <w:pStyle w:val="Teksttreci20"/>
              <w:shd w:val="clear" w:color="auto" w:fill="auto"/>
              <w:ind w:left="113" w:right="113" w:firstLine="11"/>
              <w:jc w:val="both"/>
              <w:rPr>
                <w:rFonts w:asciiTheme="majorHAnsi" w:hAnsiTheme="majorHAnsi"/>
                <w:sz w:val="19"/>
                <w:szCs w:val="19"/>
              </w:rPr>
            </w:pPr>
            <w:r w:rsidRPr="00AD0006">
              <w:rPr>
                <w:rStyle w:val="Teksttreci29"/>
                <w:rFonts w:asciiTheme="majorHAnsi" w:hAnsiTheme="majorHAnsi"/>
                <w:color w:val="000000"/>
              </w:rPr>
              <w:t>kwotę zobowiązań w sytuacji</w:t>
            </w:r>
            <w:r w:rsidR="00614BC9">
              <w:rPr>
                <w:rStyle w:val="Teksttreci29"/>
                <w:rFonts w:asciiTheme="majorHAnsi" w:hAnsiTheme="majorHAnsi"/>
                <w:color w:val="000000"/>
              </w:rPr>
              <w:t>,</w:t>
            </w:r>
            <w:r w:rsidRPr="00AD0006">
              <w:rPr>
                <w:rStyle w:val="Teksttreci29"/>
                <w:rFonts w:asciiTheme="majorHAnsi" w:hAnsiTheme="majorHAnsi"/>
                <w:color w:val="000000"/>
              </w:rPr>
              <w:t xml:space="preserve"> gdy jednostka kwalifikuje umowy leasingu zgodnie z przepisami podatkowymi(leasing operacyjny), a według przepisów o rachunkowości byłby to leasing finansowy lub zwrotny z podziałem</w:t>
            </w:r>
            <w:r w:rsidR="007E06C2" w:rsidRPr="00AD0006">
              <w:rPr>
                <w:rStyle w:val="Teksttreci29"/>
                <w:rFonts w:asciiTheme="majorHAnsi" w:hAnsiTheme="majorHAnsi"/>
                <w:color w:val="000000"/>
              </w:rPr>
              <w:t xml:space="preserve"> </w:t>
            </w:r>
            <w:r w:rsidRPr="00AD0006">
              <w:rPr>
                <w:rStyle w:val="Teksttreci29"/>
                <w:rFonts w:asciiTheme="majorHAnsi" w:hAnsiTheme="majorHAnsi"/>
                <w:color w:val="000000"/>
              </w:rPr>
              <w:t>na kwotę zobowiązań z tytułu leasingu finansowego lub leasingu zwrotnego</w:t>
            </w:r>
          </w:p>
        </w:tc>
      </w:tr>
      <w:tr w:rsidR="00292FE3" w:rsidRPr="00B61AFF" w:rsidTr="00292F7F">
        <w:trPr>
          <w:trHeight w:val="34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B61AFF" w:rsidRDefault="00292FE3" w:rsidP="00AE7A2A">
            <w:pPr>
              <w:spacing w:after="0" w:line="240" w:lineRule="auto"/>
              <w:ind w:left="28" w:right="28"/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F23E64" w:rsidRDefault="007E06C2" w:rsidP="00684CBB">
            <w:pPr>
              <w:spacing w:after="0" w:line="240" w:lineRule="auto"/>
              <w:ind w:left="113" w:right="28"/>
              <w:rPr>
                <w:rFonts w:asciiTheme="majorHAnsi" w:hAnsiTheme="majorHAnsi"/>
                <w:sz w:val="18"/>
                <w:szCs w:val="18"/>
              </w:rPr>
            </w:pPr>
            <w:r w:rsidRPr="00F23E64">
              <w:rPr>
                <w:rFonts w:asciiTheme="majorHAnsi" w:hAnsiTheme="majorHAnsi"/>
                <w:sz w:val="18"/>
                <w:szCs w:val="18"/>
              </w:rPr>
              <w:t>Nie dotyczy</w:t>
            </w:r>
          </w:p>
        </w:tc>
      </w:tr>
      <w:tr w:rsidR="00292FE3" w:rsidRPr="00B61AFF" w:rsidTr="00292F7F">
        <w:trPr>
          <w:trHeight w:val="32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B739B7" w:rsidRDefault="005D4AAD" w:rsidP="00B739B7">
            <w:pPr>
              <w:pStyle w:val="Teksttreci20"/>
              <w:shd w:val="clear" w:color="auto" w:fill="auto"/>
              <w:ind w:right="28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Style w:val="Teksttreci29"/>
                <w:rFonts w:asciiTheme="majorHAnsi" w:hAnsiTheme="majorHAnsi"/>
                <w:b/>
                <w:color w:val="000000"/>
                <w:sz w:val="16"/>
                <w:szCs w:val="16"/>
              </w:rPr>
              <w:t xml:space="preserve"> </w:t>
            </w:r>
            <w:r w:rsidR="007E06C2" w:rsidRPr="00B739B7">
              <w:rPr>
                <w:rStyle w:val="Teksttreci29"/>
                <w:rFonts w:asciiTheme="majorHAnsi" w:hAnsiTheme="majorHAnsi"/>
                <w:b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AD0006" w:rsidRDefault="00AD0006" w:rsidP="007E06C2">
            <w:pPr>
              <w:pStyle w:val="Teksttreci20"/>
              <w:shd w:val="clear" w:color="auto" w:fill="auto"/>
              <w:ind w:left="107" w:right="28" w:firstLine="14"/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Style w:val="Teksttreci29"/>
                <w:rFonts w:asciiTheme="majorHAnsi" w:hAnsiTheme="majorHAnsi"/>
                <w:color w:val="000000"/>
              </w:rPr>
              <w:t>ł</w:t>
            </w:r>
            <w:r w:rsidR="00292FE3" w:rsidRPr="00AD0006">
              <w:rPr>
                <w:rStyle w:val="Teksttreci29"/>
                <w:rFonts w:asciiTheme="majorHAnsi" w:hAnsiTheme="majorHAnsi"/>
                <w:color w:val="000000"/>
              </w:rPr>
              <w:t>ączną kwotę zobowiązań zabezpieczonych na majątku jednostki ze wskazaniem charakteru i formy tych</w:t>
            </w:r>
            <w:r w:rsidR="007E06C2" w:rsidRPr="00AD0006">
              <w:rPr>
                <w:rStyle w:val="Teksttreci29"/>
                <w:rFonts w:asciiTheme="majorHAnsi" w:hAnsiTheme="majorHAnsi"/>
                <w:color w:val="000000"/>
              </w:rPr>
              <w:t xml:space="preserve"> </w:t>
            </w:r>
            <w:r w:rsidR="00292FE3" w:rsidRPr="00AD0006">
              <w:rPr>
                <w:rStyle w:val="Teksttreci29"/>
                <w:rFonts w:asciiTheme="majorHAnsi" w:hAnsiTheme="majorHAnsi"/>
                <w:color w:val="000000"/>
              </w:rPr>
              <w:t>zabezpieczeń</w:t>
            </w:r>
          </w:p>
        </w:tc>
      </w:tr>
      <w:tr w:rsidR="00292FE3" w:rsidRPr="00B61AFF" w:rsidTr="00292F7F">
        <w:trPr>
          <w:trHeight w:val="34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7E06C2" w:rsidRDefault="00292FE3" w:rsidP="00AE7A2A">
            <w:pPr>
              <w:spacing w:after="0" w:line="240" w:lineRule="auto"/>
              <w:ind w:left="28" w:right="28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F23E64" w:rsidRDefault="007E06C2" w:rsidP="00684CBB">
            <w:pPr>
              <w:spacing w:after="0" w:line="240" w:lineRule="auto"/>
              <w:ind w:left="113" w:right="28"/>
              <w:rPr>
                <w:rFonts w:asciiTheme="majorHAnsi" w:hAnsiTheme="majorHAnsi"/>
                <w:sz w:val="18"/>
                <w:szCs w:val="18"/>
              </w:rPr>
            </w:pPr>
            <w:r w:rsidRPr="00F23E64">
              <w:rPr>
                <w:rFonts w:asciiTheme="majorHAnsi" w:hAnsiTheme="majorHAnsi"/>
                <w:sz w:val="18"/>
                <w:szCs w:val="18"/>
              </w:rPr>
              <w:t>Nie dotyczy</w:t>
            </w:r>
          </w:p>
        </w:tc>
      </w:tr>
      <w:tr w:rsidR="00292FE3" w:rsidRPr="00B61AFF" w:rsidTr="00292F7F">
        <w:trPr>
          <w:trHeight w:val="79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7E06C2" w:rsidRDefault="005D4AAD" w:rsidP="00B739B7">
            <w:pPr>
              <w:pStyle w:val="Teksttreci20"/>
              <w:shd w:val="clear" w:color="auto" w:fill="auto"/>
              <w:ind w:right="28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Style w:val="Teksttreci29"/>
                <w:rFonts w:asciiTheme="majorHAnsi" w:hAnsiTheme="majorHAnsi"/>
                <w:b/>
                <w:color w:val="000000"/>
                <w:sz w:val="16"/>
                <w:szCs w:val="16"/>
              </w:rPr>
              <w:t xml:space="preserve"> </w:t>
            </w:r>
            <w:r w:rsidR="007E06C2" w:rsidRPr="005D4AAD">
              <w:rPr>
                <w:rStyle w:val="Teksttreci29"/>
                <w:rFonts w:asciiTheme="majorHAnsi" w:hAnsiTheme="majorHAnsi"/>
                <w:b/>
                <w:color w:val="000000"/>
                <w:sz w:val="16"/>
                <w:szCs w:val="16"/>
              </w:rPr>
              <w:t>1</w:t>
            </w:r>
            <w:r w:rsidR="007E06C2" w:rsidRPr="00B739B7">
              <w:rPr>
                <w:rStyle w:val="Teksttreci29"/>
                <w:rFonts w:asciiTheme="majorHAnsi" w:hAnsiTheme="majorHAnsi"/>
                <w:b/>
                <w:color w:val="000000"/>
                <w:sz w:val="16"/>
                <w:szCs w:val="16"/>
              </w:rPr>
              <w:t>.12</w:t>
            </w: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AD0006" w:rsidRDefault="00292FE3" w:rsidP="002F132C">
            <w:pPr>
              <w:pStyle w:val="Teksttreci20"/>
              <w:shd w:val="clear" w:color="auto" w:fill="auto"/>
              <w:ind w:left="113" w:right="113" w:firstLine="11"/>
              <w:jc w:val="both"/>
              <w:rPr>
                <w:rFonts w:asciiTheme="majorHAnsi" w:hAnsiTheme="majorHAnsi"/>
                <w:sz w:val="19"/>
                <w:szCs w:val="19"/>
              </w:rPr>
            </w:pPr>
            <w:r w:rsidRPr="00AD0006">
              <w:rPr>
                <w:rStyle w:val="Teksttreci29"/>
                <w:rFonts w:asciiTheme="majorHAnsi" w:hAnsiTheme="majorHAnsi"/>
                <w:color w:val="000000"/>
              </w:rPr>
              <w:t>łączną kwotę zobowiązań warunkowych, w tym również udzielonych przez jednostkę gwarancji i poręczeń,</w:t>
            </w:r>
            <w:r w:rsidR="007E06C2" w:rsidRPr="00AD0006">
              <w:rPr>
                <w:rStyle w:val="Teksttreci29"/>
                <w:rFonts w:asciiTheme="majorHAnsi" w:hAnsiTheme="majorHAnsi"/>
                <w:color w:val="000000"/>
              </w:rPr>
              <w:t xml:space="preserve"> </w:t>
            </w:r>
            <w:r w:rsidRPr="00AD0006">
              <w:rPr>
                <w:rStyle w:val="Teksttreci29"/>
                <w:rFonts w:asciiTheme="majorHAnsi" w:hAnsiTheme="majorHAnsi"/>
                <w:color w:val="000000"/>
              </w:rPr>
              <w:t>także wekslowych, niewykazanych w bilansie, ze wskazaniem zobowiązań zabezpieczonych na majątku</w:t>
            </w:r>
            <w:r w:rsidR="007E06C2" w:rsidRPr="00AD0006">
              <w:rPr>
                <w:rStyle w:val="Teksttreci29"/>
                <w:rFonts w:asciiTheme="majorHAnsi" w:hAnsiTheme="majorHAnsi"/>
                <w:color w:val="000000"/>
              </w:rPr>
              <w:t xml:space="preserve"> </w:t>
            </w:r>
            <w:r w:rsidRPr="00AD0006">
              <w:rPr>
                <w:rStyle w:val="Teksttreci29"/>
                <w:rFonts w:asciiTheme="majorHAnsi" w:hAnsiTheme="majorHAnsi"/>
                <w:color w:val="000000"/>
              </w:rPr>
              <w:t>jednostki oraz charakteru i formy tych zabezpieczeń</w:t>
            </w:r>
          </w:p>
        </w:tc>
      </w:tr>
      <w:tr w:rsidR="00292FE3" w:rsidRPr="00B61AFF" w:rsidTr="00292F7F">
        <w:trPr>
          <w:trHeight w:val="34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7E06C2" w:rsidRDefault="00292FE3" w:rsidP="00AE7A2A">
            <w:pPr>
              <w:spacing w:after="0" w:line="240" w:lineRule="auto"/>
              <w:ind w:left="28" w:right="28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F23E64" w:rsidRDefault="007E06C2" w:rsidP="00684CBB">
            <w:pPr>
              <w:spacing w:after="0" w:line="240" w:lineRule="auto"/>
              <w:ind w:left="113" w:right="28"/>
              <w:rPr>
                <w:rFonts w:asciiTheme="majorHAnsi" w:hAnsiTheme="majorHAnsi"/>
                <w:sz w:val="18"/>
                <w:szCs w:val="18"/>
              </w:rPr>
            </w:pPr>
            <w:r w:rsidRPr="00F23E64">
              <w:rPr>
                <w:rFonts w:asciiTheme="majorHAnsi" w:hAnsiTheme="majorHAnsi"/>
                <w:sz w:val="18"/>
                <w:szCs w:val="18"/>
              </w:rPr>
              <w:t>Nie dotyczy</w:t>
            </w:r>
          </w:p>
        </w:tc>
      </w:tr>
      <w:tr w:rsidR="00292FE3" w:rsidRPr="00B61AFF" w:rsidTr="00292F7F">
        <w:trPr>
          <w:trHeight w:val="48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B739B7" w:rsidRDefault="005D4AAD" w:rsidP="00B739B7">
            <w:pPr>
              <w:pStyle w:val="Teksttreci20"/>
              <w:shd w:val="clear" w:color="auto" w:fill="auto"/>
              <w:ind w:right="28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Style w:val="Teksttreci29"/>
                <w:rFonts w:asciiTheme="majorHAnsi" w:hAnsiTheme="majorHAnsi"/>
                <w:b/>
                <w:color w:val="000000"/>
                <w:sz w:val="16"/>
                <w:szCs w:val="16"/>
              </w:rPr>
              <w:t xml:space="preserve"> </w:t>
            </w:r>
            <w:r w:rsidR="007E06C2" w:rsidRPr="00B739B7">
              <w:rPr>
                <w:rStyle w:val="Teksttreci29"/>
                <w:rFonts w:asciiTheme="majorHAnsi" w:hAnsiTheme="majorHAnsi"/>
                <w:b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AD0006" w:rsidRDefault="00292FE3" w:rsidP="002F132C">
            <w:pPr>
              <w:pStyle w:val="Teksttreci20"/>
              <w:shd w:val="clear" w:color="auto" w:fill="auto"/>
              <w:ind w:left="113" w:right="113"/>
              <w:jc w:val="both"/>
              <w:rPr>
                <w:rFonts w:asciiTheme="majorHAnsi" w:hAnsiTheme="majorHAnsi"/>
                <w:color w:val="000000"/>
                <w:sz w:val="19"/>
                <w:szCs w:val="19"/>
                <w:shd w:val="clear" w:color="auto" w:fill="FFFFFF"/>
              </w:rPr>
            </w:pPr>
            <w:r w:rsidRPr="00AD0006">
              <w:rPr>
                <w:rStyle w:val="Teksttreci29"/>
                <w:rFonts w:asciiTheme="majorHAnsi" w:hAnsiTheme="majorHAnsi"/>
                <w:color w:val="000000"/>
              </w:rPr>
              <w:t>wykaz istotnych pozycji czynnych i biernych rozliczeń międzyokresowych, w tym kwotę czynnych rozliczeń</w:t>
            </w:r>
            <w:r w:rsidR="007E06C2" w:rsidRPr="00AD0006">
              <w:rPr>
                <w:rStyle w:val="Teksttreci29"/>
                <w:rFonts w:asciiTheme="majorHAnsi" w:hAnsiTheme="majorHAnsi"/>
                <w:color w:val="000000"/>
              </w:rPr>
              <w:t xml:space="preserve"> </w:t>
            </w:r>
            <w:r w:rsidRPr="00AD0006">
              <w:rPr>
                <w:rStyle w:val="Teksttreci29"/>
                <w:rFonts w:asciiTheme="majorHAnsi" w:hAnsiTheme="majorHAnsi"/>
                <w:color w:val="000000"/>
              </w:rPr>
              <w:t>międzyokresowych kosztów stanowiących różnicę między wartością otrzymanych finansowych składników</w:t>
            </w:r>
            <w:r w:rsidR="007E06C2" w:rsidRPr="00AD0006">
              <w:rPr>
                <w:rStyle w:val="Teksttreci29"/>
                <w:rFonts w:asciiTheme="majorHAnsi" w:hAnsiTheme="majorHAnsi"/>
                <w:color w:val="000000"/>
              </w:rPr>
              <w:t xml:space="preserve"> </w:t>
            </w:r>
            <w:r w:rsidRPr="00AD0006">
              <w:rPr>
                <w:rStyle w:val="Teksttreci29"/>
                <w:rFonts w:asciiTheme="majorHAnsi" w:hAnsiTheme="majorHAnsi"/>
                <w:color w:val="000000"/>
              </w:rPr>
              <w:t>aktywów a zobowiązaniem zapłaty za nie</w:t>
            </w:r>
          </w:p>
        </w:tc>
      </w:tr>
      <w:tr w:rsidR="00292FE3" w:rsidRPr="00B61AFF" w:rsidTr="00292F7F">
        <w:trPr>
          <w:trHeight w:val="34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7E06C2" w:rsidRDefault="00292FE3" w:rsidP="00AE7A2A">
            <w:pPr>
              <w:spacing w:after="0" w:line="240" w:lineRule="auto"/>
              <w:ind w:left="28" w:right="28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F23E64" w:rsidRDefault="007E06C2" w:rsidP="00684CBB">
            <w:pPr>
              <w:spacing w:after="0" w:line="240" w:lineRule="auto"/>
              <w:ind w:left="113" w:right="28"/>
              <w:rPr>
                <w:rFonts w:asciiTheme="majorHAnsi" w:hAnsiTheme="majorHAnsi"/>
                <w:sz w:val="18"/>
                <w:szCs w:val="18"/>
              </w:rPr>
            </w:pPr>
            <w:r w:rsidRPr="00F23E64">
              <w:rPr>
                <w:rFonts w:asciiTheme="majorHAnsi" w:hAnsiTheme="majorHAnsi"/>
                <w:sz w:val="18"/>
                <w:szCs w:val="18"/>
              </w:rPr>
              <w:t>Nie dotyczy</w:t>
            </w:r>
          </w:p>
        </w:tc>
      </w:tr>
      <w:tr w:rsidR="00292FE3" w:rsidRPr="00B61AFF" w:rsidTr="00292F7F">
        <w:trPr>
          <w:trHeight w:val="34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B739B7" w:rsidRDefault="005D4AAD" w:rsidP="00B739B7">
            <w:pPr>
              <w:pStyle w:val="Teksttreci20"/>
              <w:shd w:val="clear" w:color="auto" w:fill="auto"/>
              <w:ind w:right="28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Style w:val="Teksttreci29"/>
                <w:rFonts w:asciiTheme="majorHAnsi" w:hAnsiTheme="majorHAnsi"/>
                <w:b/>
                <w:color w:val="000000"/>
                <w:sz w:val="16"/>
                <w:szCs w:val="16"/>
              </w:rPr>
              <w:t xml:space="preserve"> </w:t>
            </w:r>
            <w:r w:rsidR="00B739B7" w:rsidRPr="00B739B7">
              <w:rPr>
                <w:rStyle w:val="Teksttreci29"/>
                <w:rFonts w:asciiTheme="majorHAnsi" w:hAnsiTheme="majorHAnsi"/>
                <w:b/>
                <w:color w:val="000000"/>
                <w:sz w:val="16"/>
                <w:szCs w:val="16"/>
              </w:rPr>
              <w:t>1</w:t>
            </w:r>
            <w:r w:rsidR="007E06C2" w:rsidRPr="00B739B7">
              <w:rPr>
                <w:rStyle w:val="Teksttreci29"/>
                <w:rFonts w:asciiTheme="majorHAnsi" w:hAnsiTheme="majorHAnsi"/>
                <w:b/>
                <w:color w:val="000000"/>
                <w:sz w:val="16"/>
                <w:szCs w:val="16"/>
              </w:rPr>
              <w:t>.14</w:t>
            </w: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AD0006" w:rsidRDefault="00292FE3" w:rsidP="009D0E8D">
            <w:pPr>
              <w:pStyle w:val="Teksttreci20"/>
              <w:shd w:val="clear" w:color="auto" w:fill="auto"/>
              <w:ind w:left="113"/>
              <w:jc w:val="both"/>
              <w:rPr>
                <w:rFonts w:asciiTheme="majorHAnsi" w:hAnsiTheme="majorHAnsi"/>
                <w:sz w:val="19"/>
                <w:szCs w:val="19"/>
              </w:rPr>
            </w:pPr>
            <w:r w:rsidRPr="00AD0006">
              <w:rPr>
                <w:rStyle w:val="Teksttreci29"/>
                <w:rFonts w:asciiTheme="majorHAnsi" w:hAnsiTheme="majorHAnsi"/>
                <w:color w:val="000000"/>
              </w:rPr>
              <w:t>łączną kwotę otrzymanych przez jednostkę gwarancji i poręczeń niewykazanych w bilansie</w:t>
            </w:r>
          </w:p>
        </w:tc>
      </w:tr>
      <w:tr w:rsidR="00292FE3" w:rsidRPr="00B61AFF" w:rsidTr="00292F7F">
        <w:trPr>
          <w:trHeight w:val="33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7E06C2" w:rsidRDefault="00292FE3" w:rsidP="00AE7A2A">
            <w:pPr>
              <w:spacing w:after="0" w:line="240" w:lineRule="auto"/>
              <w:ind w:left="28" w:right="28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F23E64" w:rsidRDefault="007E06C2" w:rsidP="00684CBB">
            <w:pPr>
              <w:spacing w:after="0" w:line="240" w:lineRule="auto"/>
              <w:ind w:left="113" w:right="28"/>
              <w:rPr>
                <w:rFonts w:asciiTheme="majorHAnsi" w:hAnsiTheme="majorHAnsi"/>
                <w:sz w:val="18"/>
                <w:szCs w:val="18"/>
              </w:rPr>
            </w:pPr>
            <w:r w:rsidRPr="00F23E64">
              <w:rPr>
                <w:rFonts w:asciiTheme="majorHAnsi" w:hAnsiTheme="majorHAnsi"/>
                <w:sz w:val="18"/>
                <w:szCs w:val="18"/>
              </w:rPr>
              <w:t>Nie dotyczy</w:t>
            </w:r>
          </w:p>
        </w:tc>
      </w:tr>
      <w:tr w:rsidR="00292FE3" w:rsidRPr="00B61AFF" w:rsidTr="00292F7F">
        <w:trPr>
          <w:trHeight w:val="34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B739B7" w:rsidRDefault="005D4AAD" w:rsidP="00B739B7">
            <w:pPr>
              <w:pStyle w:val="Teksttreci20"/>
              <w:shd w:val="clear" w:color="auto" w:fill="auto"/>
              <w:ind w:right="28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Style w:val="Teksttreci29"/>
                <w:rFonts w:asciiTheme="majorHAnsi" w:hAnsiTheme="majorHAnsi"/>
                <w:b/>
                <w:color w:val="000000"/>
                <w:sz w:val="16"/>
                <w:szCs w:val="16"/>
              </w:rPr>
              <w:t xml:space="preserve"> </w:t>
            </w:r>
            <w:r w:rsidR="007E06C2" w:rsidRPr="00B739B7">
              <w:rPr>
                <w:rStyle w:val="Teksttreci29"/>
                <w:rFonts w:asciiTheme="majorHAnsi" w:hAnsiTheme="majorHAnsi"/>
                <w:b/>
                <w:color w:val="000000"/>
                <w:sz w:val="16"/>
                <w:szCs w:val="16"/>
              </w:rPr>
              <w:t>1.15</w:t>
            </w: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AD0006" w:rsidRDefault="00292FE3" w:rsidP="009D0E8D">
            <w:pPr>
              <w:pStyle w:val="Teksttreci20"/>
              <w:shd w:val="clear" w:color="auto" w:fill="auto"/>
              <w:ind w:left="113"/>
              <w:rPr>
                <w:rFonts w:asciiTheme="majorHAnsi" w:hAnsiTheme="majorHAnsi"/>
                <w:sz w:val="19"/>
                <w:szCs w:val="19"/>
              </w:rPr>
            </w:pPr>
            <w:r w:rsidRPr="00AD0006">
              <w:rPr>
                <w:rStyle w:val="Teksttreci29"/>
                <w:rFonts w:asciiTheme="majorHAnsi" w:hAnsiTheme="majorHAnsi"/>
                <w:color w:val="000000"/>
              </w:rPr>
              <w:t>kwotę wypłaconych środków pieniężnych na świadczenia pracownicze</w:t>
            </w:r>
          </w:p>
        </w:tc>
      </w:tr>
      <w:tr w:rsidR="00292FE3" w:rsidRPr="00B61AFF" w:rsidTr="00292F7F">
        <w:trPr>
          <w:trHeight w:val="34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5C4C2F" w:rsidRDefault="00292FE3" w:rsidP="00AE7A2A">
            <w:pPr>
              <w:spacing w:after="0" w:line="240" w:lineRule="auto"/>
              <w:ind w:left="28" w:right="2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5C4C2F" w:rsidRDefault="00492E9A" w:rsidP="00737672">
            <w:pPr>
              <w:spacing w:after="0" w:line="240" w:lineRule="auto"/>
              <w:ind w:left="28" w:right="28"/>
              <w:rPr>
                <w:rFonts w:asciiTheme="majorHAnsi" w:hAnsiTheme="majorHAnsi"/>
                <w:sz w:val="18"/>
                <w:szCs w:val="18"/>
              </w:rPr>
            </w:pPr>
            <w:r w:rsidRPr="005C4C2F">
              <w:rPr>
                <w:rFonts w:asciiTheme="majorHAnsi" w:hAnsiTheme="majorHAnsi"/>
                <w:sz w:val="18"/>
                <w:szCs w:val="18"/>
              </w:rPr>
              <w:t xml:space="preserve">          </w:t>
            </w:r>
            <w:r w:rsidR="00F23E64" w:rsidRPr="005C4C2F">
              <w:rPr>
                <w:rFonts w:asciiTheme="majorHAnsi" w:hAnsiTheme="majorHAnsi"/>
                <w:sz w:val="18"/>
                <w:szCs w:val="18"/>
              </w:rPr>
              <w:t xml:space="preserve">       </w:t>
            </w:r>
            <w:r w:rsidRPr="005C4C2F">
              <w:rPr>
                <w:rFonts w:asciiTheme="majorHAnsi" w:hAnsiTheme="majorHAnsi"/>
                <w:sz w:val="18"/>
                <w:szCs w:val="18"/>
              </w:rPr>
              <w:t xml:space="preserve">                             </w:t>
            </w:r>
            <w:r w:rsidR="0090505A"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 w:rsidR="003D5859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="0090505A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="00C24877">
              <w:rPr>
                <w:rFonts w:asciiTheme="majorHAnsi" w:hAnsiTheme="majorHAnsi"/>
                <w:sz w:val="18"/>
                <w:szCs w:val="18"/>
              </w:rPr>
              <w:t xml:space="preserve">  545 920,61</w:t>
            </w:r>
            <w:bookmarkStart w:id="0" w:name="_GoBack"/>
            <w:bookmarkEnd w:id="0"/>
            <w:r w:rsidR="00F31391" w:rsidRPr="005C4C2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A20272" w:rsidRPr="005C4C2F">
              <w:rPr>
                <w:rFonts w:asciiTheme="majorHAnsi" w:hAnsiTheme="majorHAnsi"/>
                <w:sz w:val="18"/>
                <w:szCs w:val="18"/>
              </w:rPr>
              <w:t>zł</w:t>
            </w:r>
          </w:p>
        </w:tc>
      </w:tr>
      <w:tr w:rsidR="00292FE3" w:rsidRPr="00B61AFF" w:rsidTr="00292F7F">
        <w:trPr>
          <w:trHeight w:val="34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B739B7" w:rsidRDefault="005D4AAD" w:rsidP="00B739B7">
            <w:pPr>
              <w:pStyle w:val="Teksttreci20"/>
              <w:shd w:val="clear" w:color="auto" w:fill="auto"/>
              <w:ind w:right="28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Style w:val="Teksttreci29"/>
                <w:rFonts w:asciiTheme="majorHAnsi" w:hAnsiTheme="majorHAnsi"/>
                <w:b/>
                <w:color w:val="000000"/>
                <w:sz w:val="16"/>
                <w:szCs w:val="16"/>
              </w:rPr>
              <w:t xml:space="preserve"> </w:t>
            </w:r>
            <w:r w:rsidR="007E06C2" w:rsidRPr="00B739B7">
              <w:rPr>
                <w:rStyle w:val="Teksttreci29"/>
                <w:rFonts w:asciiTheme="majorHAnsi" w:hAnsiTheme="majorHAnsi"/>
                <w:b/>
                <w:color w:val="000000"/>
                <w:sz w:val="16"/>
                <w:szCs w:val="16"/>
              </w:rPr>
              <w:t>1.16</w:t>
            </w: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BD2A0D" w:rsidRDefault="00292FE3" w:rsidP="009D0E8D">
            <w:pPr>
              <w:pStyle w:val="Teksttreci20"/>
              <w:shd w:val="clear" w:color="auto" w:fill="auto"/>
              <w:ind w:left="113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D2A0D">
              <w:rPr>
                <w:rStyle w:val="Teksttreci29"/>
                <w:rFonts w:asciiTheme="majorHAnsi" w:hAnsiTheme="majorHAnsi"/>
                <w:color w:val="000000"/>
                <w:sz w:val="18"/>
                <w:szCs w:val="18"/>
              </w:rPr>
              <w:t>inne informacje</w:t>
            </w:r>
          </w:p>
        </w:tc>
      </w:tr>
      <w:tr w:rsidR="00292FE3" w:rsidRPr="00B61AFF" w:rsidTr="00292F7F">
        <w:trPr>
          <w:trHeight w:val="35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B61AFF" w:rsidRDefault="00292FE3" w:rsidP="00AE7A2A">
            <w:pPr>
              <w:spacing w:after="0" w:line="240" w:lineRule="auto"/>
              <w:ind w:left="28" w:right="28"/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81E57" w:rsidRPr="005C4C2F" w:rsidRDefault="00681E57" w:rsidP="00684CBB">
            <w:pPr>
              <w:spacing w:after="0" w:line="240" w:lineRule="auto"/>
              <w:ind w:left="113" w:right="28"/>
              <w:rPr>
                <w:rFonts w:asciiTheme="majorHAnsi" w:hAnsiTheme="majorHAnsi"/>
                <w:sz w:val="18"/>
                <w:szCs w:val="18"/>
              </w:rPr>
            </w:pPr>
            <w:r w:rsidRPr="005C4C2F">
              <w:rPr>
                <w:rFonts w:asciiTheme="majorHAnsi" w:hAnsiTheme="majorHAnsi"/>
                <w:sz w:val="18"/>
                <w:szCs w:val="18"/>
              </w:rPr>
              <w:t>Nie dotyczy</w:t>
            </w:r>
          </w:p>
        </w:tc>
      </w:tr>
      <w:tr w:rsidR="00292FE3" w:rsidRPr="00B61AFF" w:rsidTr="00292F7F">
        <w:trPr>
          <w:trHeight w:val="32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B739B7" w:rsidRDefault="00292FE3" w:rsidP="00AE7A2A">
            <w:pPr>
              <w:pStyle w:val="Teksttreci20"/>
              <w:shd w:val="clear" w:color="auto" w:fill="auto"/>
              <w:ind w:left="84" w:right="28"/>
              <w:rPr>
                <w:rFonts w:asciiTheme="majorHAnsi" w:hAnsiTheme="majorHAnsi"/>
                <w:b/>
                <w:sz w:val="16"/>
                <w:szCs w:val="16"/>
              </w:rPr>
            </w:pPr>
            <w:r w:rsidRPr="00B739B7">
              <w:rPr>
                <w:rStyle w:val="Teksttreci29"/>
                <w:rFonts w:asciiTheme="majorHAnsi" w:hAnsiTheme="majorHAnsi"/>
                <w:b/>
                <w:color w:val="000000"/>
                <w:sz w:val="16"/>
                <w:szCs w:val="16"/>
              </w:rPr>
              <w:t>2.</w:t>
            </w: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31391" w:rsidRPr="00B61AFF" w:rsidRDefault="00F31391" w:rsidP="00F23E64">
            <w:pPr>
              <w:spacing w:after="0" w:line="240" w:lineRule="auto"/>
              <w:ind w:right="28"/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292FE3" w:rsidRPr="00B61AFF" w:rsidTr="00292F7F">
        <w:trPr>
          <w:trHeight w:val="34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2FE3" w:rsidRPr="00681E57" w:rsidRDefault="005D4AAD" w:rsidP="00B739B7">
            <w:pPr>
              <w:pStyle w:val="Teksttreci20"/>
              <w:shd w:val="clear" w:color="auto" w:fill="auto"/>
              <w:ind w:right="28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Style w:val="Teksttreci29"/>
                <w:rFonts w:asciiTheme="majorHAnsi" w:hAnsiTheme="majorHAnsi"/>
                <w:b/>
                <w:color w:val="000000"/>
                <w:sz w:val="16"/>
                <w:szCs w:val="16"/>
              </w:rPr>
              <w:t xml:space="preserve"> </w:t>
            </w:r>
            <w:r w:rsidR="00B739B7" w:rsidRPr="00B739B7">
              <w:rPr>
                <w:rStyle w:val="Teksttreci29"/>
                <w:rFonts w:asciiTheme="majorHAnsi" w:hAnsiTheme="majorHAnsi"/>
                <w:b/>
                <w:color w:val="000000"/>
                <w:sz w:val="16"/>
                <w:szCs w:val="16"/>
              </w:rPr>
              <w:t>2.1</w:t>
            </w:r>
            <w:r>
              <w:rPr>
                <w:rStyle w:val="Teksttreci29"/>
                <w:rFonts w:asciiTheme="majorHAnsi" w:hAnsiTheme="majorHAnsi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FE3" w:rsidRPr="00AD0006" w:rsidRDefault="00292FE3" w:rsidP="009D0E8D">
            <w:pPr>
              <w:pStyle w:val="Teksttreci20"/>
              <w:shd w:val="clear" w:color="auto" w:fill="auto"/>
              <w:ind w:left="113"/>
              <w:jc w:val="both"/>
              <w:rPr>
                <w:rFonts w:asciiTheme="majorHAnsi" w:hAnsiTheme="majorHAnsi"/>
                <w:sz w:val="19"/>
                <w:szCs w:val="19"/>
              </w:rPr>
            </w:pPr>
            <w:r w:rsidRPr="00AD0006">
              <w:rPr>
                <w:rStyle w:val="Teksttreci29"/>
                <w:rFonts w:asciiTheme="majorHAnsi" w:hAnsiTheme="majorHAnsi"/>
                <w:color w:val="000000"/>
              </w:rPr>
              <w:t>wysokość odpisów aktualizujących wartość zapasów</w:t>
            </w:r>
          </w:p>
        </w:tc>
      </w:tr>
      <w:tr w:rsidR="00292FE3" w:rsidRPr="00B61AFF" w:rsidTr="00292F7F">
        <w:trPr>
          <w:trHeight w:val="43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681E57" w:rsidRDefault="00292FE3" w:rsidP="00AE7A2A">
            <w:pPr>
              <w:spacing w:after="0" w:line="240" w:lineRule="auto"/>
              <w:ind w:left="28" w:right="28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31391" w:rsidRPr="005C4C2F" w:rsidRDefault="00681E57" w:rsidP="00684CBB">
            <w:pPr>
              <w:spacing w:after="0" w:line="240" w:lineRule="auto"/>
              <w:ind w:left="113" w:right="28"/>
              <w:rPr>
                <w:rFonts w:asciiTheme="majorHAnsi" w:hAnsiTheme="majorHAnsi"/>
                <w:b/>
                <w:sz w:val="18"/>
                <w:szCs w:val="18"/>
              </w:rPr>
            </w:pPr>
            <w:r w:rsidRPr="005C4C2F">
              <w:rPr>
                <w:rFonts w:asciiTheme="majorHAnsi" w:hAnsiTheme="majorHAnsi"/>
                <w:sz w:val="18"/>
                <w:szCs w:val="18"/>
              </w:rPr>
              <w:t>Nie dotyczy</w:t>
            </w:r>
          </w:p>
        </w:tc>
      </w:tr>
      <w:tr w:rsidR="00292FE3" w:rsidRPr="00B61AFF" w:rsidTr="00697CA5">
        <w:trPr>
          <w:trHeight w:val="58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2FE3" w:rsidRPr="00B739B7" w:rsidRDefault="00292FE3" w:rsidP="00AE7A2A">
            <w:pPr>
              <w:pStyle w:val="Teksttreci20"/>
              <w:shd w:val="clear" w:color="auto" w:fill="auto"/>
              <w:ind w:left="84" w:right="28"/>
              <w:rPr>
                <w:rFonts w:asciiTheme="majorHAnsi" w:hAnsiTheme="majorHAnsi"/>
                <w:b/>
                <w:sz w:val="16"/>
                <w:szCs w:val="16"/>
              </w:rPr>
            </w:pPr>
            <w:r w:rsidRPr="00B739B7">
              <w:rPr>
                <w:rStyle w:val="Teksttreci29"/>
                <w:rFonts w:asciiTheme="majorHAnsi" w:hAnsiTheme="majorHAnsi"/>
                <w:b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AD0006" w:rsidRDefault="00292FE3" w:rsidP="002F132C">
            <w:pPr>
              <w:pStyle w:val="Teksttreci20"/>
              <w:shd w:val="clear" w:color="auto" w:fill="auto"/>
              <w:ind w:left="113" w:right="113" w:firstLine="11"/>
              <w:jc w:val="both"/>
              <w:rPr>
                <w:rFonts w:asciiTheme="majorHAnsi" w:hAnsiTheme="majorHAnsi"/>
                <w:sz w:val="19"/>
                <w:szCs w:val="19"/>
              </w:rPr>
            </w:pPr>
            <w:r w:rsidRPr="00AD0006">
              <w:rPr>
                <w:rStyle w:val="Teksttreci29"/>
                <w:rFonts w:asciiTheme="majorHAnsi" w:hAnsiTheme="majorHAnsi"/>
                <w:color w:val="000000"/>
              </w:rPr>
              <w:t>koszt wytworzenia środków trwałych w budowie, w tym odsetki oraz różnice kursowe, które powiększyły koszt</w:t>
            </w:r>
            <w:r w:rsidR="00681E57" w:rsidRPr="00AD0006">
              <w:rPr>
                <w:rStyle w:val="Teksttreci29"/>
                <w:rFonts w:asciiTheme="majorHAnsi" w:hAnsiTheme="majorHAnsi"/>
                <w:color w:val="000000"/>
              </w:rPr>
              <w:t xml:space="preserve"> </w:t>
            </w:r>
            <w:r w:rsidRPr="00AD0006">
              <w:rPr>
                <w:rStyle w:val="Teksttreci29"/>
                <w:rFonts w:asciiTheme="majorHAnsi" w:hAnsiTheme="majorHAnsi"/>
                <w:color w:val="000000"/>
              </w:rPr>
              <w:t>wytworzenia środków trwałych w budowie w roku obrotowym</w:t>
            </w:r>
          </w:p>
        </w:tc>
      </w:tr>
      <w:tr w:rsidR="003C6F4A" w:rsidRPr="00B61AFF" w:rsidTr="00697CA5">
        <w:trPr>
          <w:trHeight w:val="51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6F4A" w:rsidRPr="00681E57" w:rsidRDefault="003C6F4A" w:rsidP="003C6F4A">
            <w:pPr>
              <w:spacing w:after="0" w:line="240" w:lineRule="auto"/>
              <w:ind w:left="28" w:right="28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C6F4A" w:rsidRPr="00F721C3" w:rsidRDefault="003C6F4A" w:rsidP="00F721C3">
            <w:pPr>
              <w:spacing w:after="120" w:line="240" w:lineRule="auto"/>
              <w:ind w:left="113" w:right="113"/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  <w:tbl>
            <w:tblPr>
              <w:tblW w:w="9781" w:type="dxa"/>
              <w:tblInd w:w="1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34"/>
              <w:gridCol w:w="1418"/>
              <w:gridCol w:w="1417"/>
              <w:gridCol w:w="1418"/>
              <w:gridCol w:w="1559"/>
              <w:gridCol w:w="1418"/>
              <w:gridCol w:w="1417"/>
            </w:tblGrid>
            <w:tr w:rsidR="00A437A5" w:rsidTr="00A437A5">
              <w:trPr>
                <w:trHeight w:val="288"/>
              </w:trPr>
              <w:tc>
                <w:tcPr>
                  <w:tcW w:w="2552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A437A5" w:rsidRPr="00A437A5" w:rsidRDefault="00A437A5" w:rsidP="00697CA5">
                  <w:pPr>
                    <w:widowControl w:val="0"/>
                    <w:spacing w:after="0" w:line="240" w:lineRule="auto"/>
                    <w:jc w:val="center"/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</w:pPr>
                  <w:r w:rsidRPr="00697CA5">
                    <w:rPr>
                      <w:rFonts w:ascii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Stan na początek okresu</w:t>
                  </w: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:rsidR="00A437A5" w:rsidRPr="00A437A5" w:rsidRDefault="00A437A5" w:rsidP="00697CA5">
                  <w:pPr>
                    <w:widowControl w:val="0"/>
                    <w:spacing w:after="0" w:line="240" w:lineRule="auto"/>
                    <w:jc w:val="center"/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</w:pPr>
                  <w:r w:rsidRPr="00697CA5">
                    <w:rPr>
                      <w:rFonts w:asciiTheme="majorHAnsi" w:hAnsiTheme="majorHAnsi"/>
                      <w:b/>
                      <w:sz w:val="14"/>
                      <w:szCs w:val="14"/>
                    </w:rPr>
                    <w:t>Zwiększenia, nakłady/ wartość</w:t>
                  </w:r>
                </w:p>
              </w:tc>
              <w:tc>
                <w:tcPr>
                  <w:tcW w:w="2977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A437A5" w:rsidRPr="00A437A5" w:rsidRDefault="00A437A5" w:rsidP="00697CA5">
                  <w:pPr>
                    <w:widowControl w:val="0"/>
                    <w:spacing w:after="0" w:line="240" w:lineRule="auto"/>
                    <w:jc w:val="center"/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</w:pPr>
                  <w:r w:rsidRPr="00697CA5">
                    <w:rPr>
                      <w:rFonts w:asciiTheme="majorHAnsi" w:hAnsiTheme="majorHAnsi"/>
                      <w:b/>
                      <w:sz w:val="14"/>
                      <w:szCs w:val="14"/>
                    </w:rPr>
                    <w:t>Zmniejszenia</w:t>
                  </w:r>
                </w:p>
              </w:tc>
              <w:tc>
                <w:tcPr>
                  <w:tcW w:w="283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A437A5" w:rsidRPr="00A437A5" w:rsidRDefault="00A437A5" w:rsidP="00697CA5">
                  <w:pPr>
                    <w:widowControl w:val="0"/>
                    <w:spacing w:after="0" w:line="240" w:lineRule="auto"/>
                    <w:jc w:val="center"/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</w:pPr>
                  <w:r w:rsidRPr="00697CA5">
                    <w:rPr>
                      <w:rFonts w:asciiTheme="majorHAnsi" w:hAnsiTheme="majorHAnsi"/>
                      <w:b/>
                      <w:sz w:val="14"/>
                      <w:szCs w:val="14"/>
                    </w:rPr>
                    <w:t>Stan na koniec okresu</w:t>
                  </w:r>
                </w:p>
              </w:tc>
            </w:tr>
            <w:tr w:rsidR="00A437A5" w:rsidRPr="002D6FB5" w:rsidTr="00A437A5">
              <w:trPr>
                <w:trHeight w:val="193"/>
              </w:trPr>
              <w:tc>
                <w:tcPr>
                  <w:tcW w:w="1134" w:type="dxa"/>
                  <w:tcBorders>
                    <w:right w:val="single" w:sz="4" w:space="0" w:color="auto"/>
                  </w:tcBorders>
                  <w:vAlign w:val="center"/>
                </w:tcPr>
                <w:p w:rsidR="00A437A5" w:rsidRPr="00A437A5" w:rsidRDefault="00A437A5" w:rsidP="00A437A5">
                  <w:pPr>
                    <w:widowControl w:val="0"/>
                    <w:spacing w:after="0" w:line="240" w:lineRule="auto"/>
                    <w:jc w:val="center"/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</w:pPr>
                  <w:r w:rsidRPr="00697CA5">
                    <w:rPr>
                      <w:rFonts w:asciiTheme="majorHAnsi" w:hAnsiTheme="majorHAnsi"/>
                      <w:b/>
                      <w:sz w:val="14"/>
                      <w:szCs w:val="14"/>
                    </w:rPr>
                    <w:t>Ilość zadań/ obiektów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  <w:vAlign w:val="center"/>
                </w:tcPr>
                <w:p w:rsidR="00A437A5" w:rsidRPr="00A437A5" w:rsidRDefault="00A437A5" w:rsidP="00697CA5">
                  <w:pPr>
                    <w:widowControl w:val="0"/>
                    <w:spacing w:before="80" w:after="0" w:line="240" w:lineRule="auto"/>
                    <w:ind w:left="-32" w:right="227"/>
                    <w:jc w:val="center"/>
                    <w:rPr>
                      <w:rFonts w:asciiTheme="majorHAnsi" w:hAnsiTheme="majorHAnsi"/>
                      <w:color w:val="000000"/>
                      <w:sz w:val="14"/>
                      <w:szCs w:val="14"/>
                      <w:shd w:val="clear" w:color="auto" w:fill="FFFFFF"/>
                    </w:rPr>
                  </w:pPr>
                  <w:r w:rsidRPr="00697CA5">
                    <w:rPr>
                      <w:rFonts w:asciiTheme="majorHAnsi" w:hAnsiTheme="majorHAnsi"/>
                      <w:b/>
                      <w:sz w:val="14"/>
                      <w:szCs w:val="14"/>
                    </w:rPr>
                    <w:t>wartość</w:t>
                  </w:r>
                </w:p>
              </w:tc>
              <w:tc>
                <w:tcPr>
                  <w:tcW w:w="1417" w:type="dxa"/>
                  <w:vMerge/>
                  <w:vAlign w:val="center"/>
                </w:tcPr>
                <w:p w:rsidR="00A437A5" w:rsidRPr="00A437A5" w:rsidRDefault="00A437A5" w:rsidP="00697CA5">
                  <w:pPr>
                    <w:widowControl w:val="0"/>
                    <w:spacing w:after="0" w:line="240" w:lineRule="auto"/>
                    <w:jc w:val="center"/>
                    <w:rPr>
                      <w:b/>
                      <w:bCs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7A5" w:rsidRPr="00A437A5" w:rsidRDefault="00A437A5" w:rsidP="00697CA5">
                  <w:pPr>
                    <w:spacing w:after="0" w:line="240" w:lineRule="auto"/>
                    <w:jc w:val="center"/>
                    <w:rPr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697CA5">
                    <w:rPr>
                      <w:rFonts w:asciiTheme="majorHAnsi" w:hAnsiTheme="majorHAnsi"/>
                      <w:b/>
                      <w:sz w:val="14"/>
                      <w:szCs w:val="14"/>
                    </w:rPr>
                    <w:t>przyjęcie ŚT z budowy wartość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7A5" w:rsidRPr="00A437A5" w:rsidRDefault="00A437A5" w:rsidP="00697CA5">
                  <w:pPr>
                    <w:spacing w:after="0" w:line="240" w:lineRule="auto"/>
                    <w:jc w:val="center"/>
                    <w:rPr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697CA5">
                    <w:rPr>
                      <w:rFonts w:asciiTheme="majorHAnsi" w:hAnsiTheme="majorHAnsi"/>
                      <w:b/>
                      <w:sz w:val="14"/>
                      <w:szCs w:val="14"/>
                    </w:rPr>
                    <w:t>inne zmniejszenia ŚT w budowie wartość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7A5" w:rsidRPr="00697CA5" w:rsidRDefault="00A437A5" w:rsidP="00A437A5">
                  <w:pPr>
                    <w:autoSpaceDE w:val="0"/>
                    <w:autoSpaceDN w:val="0"/>
                    <w:adjustRightInd w:val="0"/>
                    <w:spacing w:before="60"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  <w:r w:rsidRPr="00697CA5">
                    <w:rPr>
                      <w:rFonts w:ascii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ilość</w:t>
                  </w:r>
                </w:p>
                <w:p w:rsidR="00A437A5" w:rsidRPr="00A437A5" w:rsidRDefault="00A437A5" w:rsidP="00A437A5">
                  <w:pPr>
                    <w:spacing w:after="0" w:line="240" w:lineRule="auto"/>
                    <w:jc w:val="center"/>
                    <w:rPr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697CA5">
                    <w:rPr>
                      <w:rFonts w:ascii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zadań/ obiektów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7A5" w:rsidRPr="00697CA5" w:rsidRDefault="00A437A5" w:rsidP="00A437A5">
                  <w:pPr>
                    <w:spacing w:after="0" w:line="240" w:lineRule="auto"/>
                    <w:ind w:left="170" w:right="170"/>
                    <w:jc w:val="center"/>
                    <w:rPr>
                      <w:rFonts w:asciiTheme="majorHAnsi" w:hAnsiTheme="majorHAnsi"/>
                      <w:b/>
                      <w:sz w:val="14"/>
                      <w:szCs w:val="14"/>
                    </w:rPr>
                  </w:pPr>
                  <w:r w:rsidRPr="00697CA5">
                    <w:rPr>
                      <w:rFonts w:asciiTheme="majorHAnsi" w:hAnsiTheme="majorHAnsi"/>
                      <w:b/>
                      <w:sz w:val="14"/>
                      <w:szCs w:val="14"/>
                    </w:rPr>
                    <w:t>wartość</w:t>
                  </w:r>
                </w:p>
                <w:p w:rsidR="00A437A5" w:rsidRPr="00A437A5" w:rsidRDefault="00A437A5" w:rsidP="00A437A5">
                  <w:pPr>
                    <w:spacing w:after="0" w:line="240" w:lineRule="auto"/>
                    <w:jc w:val="center"/>
                    <w:rPr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697CA5">
                    <w:rPr>
                      <w:rFonts w:asciiTheme="majorHAnsi" w:hAnsiTheme="majorHAnsi"/>
                      <w:b/>
                      <w:sz w:val="14"/>
                      <w:szCs w:val="14"/>
                    </w:rPr>
                    <w:t>(2+3-4-5)</w:t>
                  </w:r>
                </w:p>
              </w:tc>
            </w:tr>
            <w:tr w:rsidR="00A437A5" w:rsidRPr="00AF7DE6" w:rsidTr="00A437A5">
              <w:trPr>
                <w:trHeight w:val="129"/>
              </w:trPr>
              <w:tc>
                <w:tcPr>
                  <w:tcW w:w="1134" w:type="dxa"/>
                  <w:vAlign w:val="center"/>
                </w:tcPr>
                <w:p w:rsidR="00A437A5" w:rsidRPr="00697CA5" w:rsidRDefault="00A437A5" w:rsidP="00A437A5">
                  <w:pPr>
                    <w:spacing w:after="0" w:line="240" w:lineRule="auto"/>
                    <w:ind w:left="170" w:right="170"/>
                    <w:jc w:val="center"/>
                    <w:rPr>
                      <w:rFonts w:asciiTheme="majorHAnsi" w:hAnsiTheme="majorHAnsi"/>
                      <w:sz w:val="10"/>
                      <w:szCs w:val="10"/>
                    </w:rPr>
                  </w:pPr>
                  <w:r w:rsidRPr="00697CA5">
                    <w:rPr>
                      <w:rFonts w:asciiTheme="majorHAnsi" w:hAnsiTheme="majorHAnsi"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A437A5" w:rsidRPr="00697CA5" w:rsidRDefault="00A437A5" w:rsidP="00A437A5">
                  <w:pPr>
                    <w:spacing w:after="0" w:line="240" w:lineRule="auto"/>
                    <w:ind w:left="170" w:right="170"/>
                    <w:jc w:val="center"/>
                    <w:rPr>
                      <w:rFonts w:asciiTheme="majorHAnsi" w:hAnsiTheme="majorHAnsi"/>
                      <w:sz w:val="10"/>
                      <w:szCs w:val="10"/>
                    </w:rPr>
                  </w:pPr>
                  <w:r w:rsidRPr="00697CA5">
                    <w:rPr>
                      <w:rFonts w:asciiTheme="majorHAnsi" w:hAnsiTheme="majorHAnsi"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A437A5" w:rsidRPr="00697CA5" w:rsidRDefault="00A437A5" w:rsidP="00A437A5">
                  <w:pPr>
                    <w:spacing w:after="0" w:line="240" w:lineRule="auto"/>
                    <w:ind w:left="170" w:right="170"/>
                    <w:jc w:val="center"/>
                    <w:rPr>
                      <w:rFonts w:asciiTheme="majorHAnsi" w:hAnsiTheme="majorHAnsi"/>
                      <w:sz w:val="10"/>
                      <w:szCs w:val="10"/>
                    </w:rPr>
                  </w:pPr>
                  <w:r w:rsidRPr="00697CA5">
                    <w:rPr>
                      <w:rFonts w:asciiTheme="majorHAnsi" w:hAnsiTheme="majorHAnsi"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A437A5" w:rsidRPr="00697CA5" w:rsidRDefault="00A437A5" w:rsidP="00A437A5">
                  <w:pPr>
                    <w:spacing w:after="0" w:line="240" w:lineRule="auto"/>
                    <w:ind w:left="170" w:right="170"/>
                    <w:jc w:val="center"/>
                    <w:rPr>
                      <w:rFonts w:asciiTheme="majorHAnsi" w:hAnsiTheme="majorHAnsi"/>
                      <w:sz w:val="10"/>
                      <w:szCs w:val="10"/>
                    </w:rPr>
                  </w:pPr>
                  <w:r w:rsidRPr="00697CA5">
                    <w:rPr>
                      <w:rFonts w:asciiTheme="majorHAnsi" w:hAnsiTheme="majorHAnsi"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A437A5" w:rsidRPr="00697CA5" w:rsidRDefault="00A437A5" w:rsidP="00A437A5">
                  <w:pPr>
                    <w:spacing w:after="0" w:line="240" w:lineRule="auto"/>
                    <w:ind w:left="170" w:right="170"/>
                    <w:jc w:val="center"/>
                    <w:rPr>
                      <w:rFonts w:asciiTheme="majorHAnsi" w:hAnsiTheme="majorHAnsi"/>
                      <w:sz w:val="10"/>
                      <w:szCs w:val="10"/>
                    </w:rPr>
                  </w:pPr>
                  <w:r w:rsidRPr="00697CA5">
                    <w:rPr>
                      <w:rFonts w:asciiTheme="majorHAnsi" w:hAnsiTheme="majorHAnsi"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A437A5" w:rsidRPr="00697CA5" w:rsidRDefault="00A437A5" w:rsidP="00A437A5">
                  <w:pPr>
                    <w:spacing w:after="0" w:line="240" w:lineRule="auto"/>
                    <w:ind w:left="170" w:right="170"/>
                    <w:jc w:val="center"/>
                    <w:rPr>
                      <w:rFonts w:asciiTheme="majorHAnsi" w:hAnsiTheme="majorHAnsi"/>
                      <w:sz w:val="10"/>
                      <w:szCs w:val="10"/>
                    </w:rPr>
                  </w:pPr>
                  <w:r w:rsidRPr="00697CA5">
                    <w:rPr>
                      <w:rFonts w:asciiTheme="majorHAnsi" w:hAnsiTheme="majorHAnsi"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A437A5" w:rsidRPr="00697CA5" w:rsidRDefault="00A437A5" w:rsidP="00A437A5">
                  <w:pPr>
                    <w:spacing w:after="0" w:line="240" w:lineRule="auto"/>
                    <w:ind w:left="170" w:right="170"/>
                    <w:jc w:val="center"/>
                    <w:rPr>
                      <w:rFonts w:asciiTheme="majorHAnsi" w:hAnsiTheme="majorHAnsi"/>
                      <w:sz w:val="10"/>
                      <w:szCs w:val="10"/>
                    </w:rPr>
                  </w:pPr>
                  <w:r w:rsidRPr="00697CA5">
                    <w:rPr>
                      <w:rFonts w:asciiTheme="majorHAnsi" w:hAnsiTheme="majorHAnsi"/>
                      <w:sz w:val="10"/>
                      <w:szCs w:val="10"/>
                    </w:rPr>
                    <w:t>7</w:t>
                  </w:r>
                </w:p>
              </w:tc>
            </w:tr>
            <w:tr w:rsidR="00A437A5" w:rsidRPr="00AF7DE6" w:rsidTr="00A437A5">
              <w:trPr>
                <w:trHeight w:val="336"/>
              </w:trPr>
              <w:tc>
                <w:tcPr>
                  <w:tcW w:w="1134" w:type="dxa"/>
                  <w:vAlign w:val="center"/>
                </w:tcPr>
                <w:p w:rsidR="00A437A5" w:rsidRPr="00697CA5" w:rsidRDefault="00F721C3" w:rsidP="00A437A5">
                  <w:pPr>
                    <w:spacing w:after="0" w:line="240" w:lineRule="auto"/>
                    <w:ind w:left="170" w:right="17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  <w:vAlign w:val="center"/>
                </w:tcPr>
                <w:p w:rsidR="00A437A5" w:rsidRPr="00697CA5" w:rsidRDefault="00A437A5" w:rsidP="00A437A5">
                  <w:pPr>
                    <w:spacing w:after="0" w:line="240" w:lineRule="auto"/>
                    <w:ind w:left="170" w:right="17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697CA5">
                    <w:rPr>
                      <w:rFonts w:asciiTheme="majorHAnsi" w:hAnsiTheme="majorHAnsi"/>
                      <w:sz w:val="16"/>
                      <w:szCs w:val="16"/>
                    </w:rPr>
                    <w:t>17 303,00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</w:tcBorders>
                  <w:vAlign w:val="center"/>
                </w:tcPr>
                <w:p w:rsidR="00A437A5" w:rsidRPr="00697CA5" w:rsidRDefault="00A437A5" w:rsidP="00A437A5">
                  <w:pPr>
                    <w:spacing w:after="0" w:line="240" w:lineRule="auto"/>
                    <w:ind w:left="170" w:right="17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697CA5">
                    <w:rPr>
                      <w:rFonts w:asciiTheme="majorHAnsi" w:hAnsiTheme="majorHAnsi"/>
                      <w:sz w:val="16"/>
                      <w:szCs w:val="16"/>
                    </w:rPr>
                    <w:t>57 499,60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  <w:vAlign w:val="center"/>
                </w:tcPr>
                <w:p w:rsidR="00A437A5" w:rsidRPr="00697CA5" w:rsidRDefault="003D5859" w:rsidP="003D5859">
                  <w:pPr>
                    <w:spacing w:after="0" w:line="240" w:lineRule="auto"/>
                    <w:ind w:left="170" w:right="17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56</w:t>
                  </w:r>
                  <w:r w:rsidR="00A437A5" w:rsidRPr="00697CA5">
                    <w:rPr>
                      <w:rFonts w:asciiTheme="majorHAnsi" w:hAnsiTheme="majorHAns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sz w:val="16"/>
                      <w:szCs w:val="16"/>
                    </w:rPr>
                    <w:t>9</w:t>
                  </w:r>
                  <w:r w:rsidR="00A437A5" w:rsidRPr="00697CA5">
                    <w:rPr>
                      <w:rFonts w:asciiTheme="majorHAnsi" w:hAnsiTheme="majorHAnsi"/>
                      <w:sz w:val="16"/>
                      <w:szCs w:val="16"/>
                    </w:rPr>
                    <w:t>99,60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vAlign w:val="center"/>
                </w:tcPr>
                <w:p w:rsidR="00A437A5" w:rsidRPr="00697CA5" w:rsidRDefault="00A437A5" w:rsidP="00A437A5">
                  <w:pPr>
                    <w:spacing w:after="0" w:line="240" w:lineRule="auto"/>
                    <w:ind w:left="170" w:right="17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  <w:vAlign w:val="center"/>
                </w:tcPr>
                <w:p w:rsidR="00A437A5" w:rsidRPr="00697CA5" w:rsidRDefault="00A437A5" w:rsidP="00A437A5">
                  <w:pPr>
                    <w:spacing w:after="0" w:line="240" w:lineRule="auto"/>
                    <w:ind w:left="170" w:right="17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697CA5">
                    <w:rPr>
                      <w:rFonts w:asciiTheme="majorHAnsi" w:hAnsiTheme="maj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</w:tcBorders>
                  <w:vAlign w:val="center"/>
                </w:tcPr>
                <w:p w:rsidR="00A437A5" w:rsidRPr="00697CA5" w:rsidRDefault="00A437A5" w:rsidP="00A437A5">
                  <w:pPr>
                    <w:spacing w:after="0" w:line="240" w:lineRule="auto"/>
                    <w:ind w:left="170" w:right="17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697CA5">
                    <w:rPr>
                      <w:rFonts w:asciiTheme="majorHAnsi" w:hAnsiTheme="majorHAnsi"/>
                      <w:sz w:val="16"/>
                      <w:szCs w:val="16"/>
                    </w:rPr>
                    <w:t>17 803,00</w:t>
                  </w:r>
                </w:p>
              </w:tc>
            </w:tr>
          </w:tbl>
          <w:p w:rsidR="00697CA5" w:rsidRPr="00A437A5" w:rsidRDefault="00697CA5" w:rsidP="00A437A5">
            <w:pPr>
              <w:spacing w:after="0" w:line="240" w:lineRule="auto"/>
              <w:ind w:left="170" w:right="170"/>
              <w:rPr>
                <w:rFonts w:asciiTheme="majorHAnsi" w:hAnsiTheme="majorHAnsi"/>
                <w:sz w:val="10"/>
                <w:szCs w:val="10"/>
              </w:rPr>
            </w:pPr>
          </w:p>
          <w:p w:rsidR="00697CA5" w:rsidRDefault="00697CA5" w:rsidP="00697CA5">
            <w:pPr>
              <w:spacing w:after="0" w:line="240" w:lineRule="auto"/>
              <w:ind w:left="113" w:right="113"/>
              <w:rPr>
                <w:rFonts w:asciiTheme="majorHAnsi" w:hAnsiTheme="majorHAnsi"/>
                <w:sz w:val="19"/>
                <w:szCs w:val="19"/>
              </w:rPr>
            </w:pPr>
          </w:p>
        </w:tc>
      </w:tr>
      <w:tr w:rsidR="003C6F4A" w:rsidRPr="00B61AFF" w:rsidTr="00292F7F">
        <w:trPr>
          <w:trHeight w:val="29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6F4A" w:rsidRPr="00681E57" w:rsidRDefault="003C6F4A" w:rsidP="003C6F4A">
            <w:pPr>
              <w:pStyle w:val="Teksttreci20"/>
              <w:shd w:val="clear" w:color="auto" w:fill="auto"/>
              <w:ind w:left="84" w:right="28"/>
              <w:rPr>
                <w:rFonts w:asciiTheme="majorHAnsi" w:hAnsiTheme="majorHAnsi"/>
                <w:sz w:val="16"/>
                <w:szCs w:val="16"/>
              </w:rPr>
            </w:pPr>
            <w:r w:rsidRPr="00B739B7">
              <w:rPr>
                <w:rStyle w:val="Teksttreci29"/>
                <w:rFonts w:asciiTheme="majorHAnsi" w:hAnsiTheme="majorHAnsi"/>
                <w:b/>
                <w:color w:val="000000"/>
                <w:sz w:val="16"/>
                <w:szCs w:val="16"/>
              </w:rPr>
              <w:t>2.3</w:t>
            </w:r>
            <w:r w:rsidRPr="00681E57">
              <w:rPr>
                <w:rStyle w:val="Teksttreci29"/>
                <w:rFonts w:asciiTheme="majorHAnsi" w:hAnsiTheme="maj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C6F4A" w:rsidRPr="00AD0006" w:rsidRDefault="003C6F4A" w:rsidP="003C6F4A">
            <w:pPr>
              <w:pStyle w:val="Teksttreci20"/>
              <w:shd w:val="clear" w:color="auto" w:fill="auto"/>
              <w:ind w:left="113" w:right="113" w:firstLine="11"/>
              <w:jc w:val="both"/>
              <w:rPr>
                <w:rFonts w:asciiTheme="majorHAnsi" w:hAnsiTheme="majorHAnsi"/>
                <w:sz w:val="19"/>
                <w:szCs w:val="19"/>
              </w:rPr>
            </w:pPr>
            <w:r w:rsidRPr="00AD0006">
              <w:rPr>
                <w:rStyle w:val="Teksttreci29"/>
                <w:rFonts w:asciiTheme="majorHAnsi" w:hAnsiTheme="majorHAnsi"/>
                <w:color w:val="000000"/>
              </w:rPr>
              <w:t>kwotę i charakter poszczególnych pozycji przychodów lub kosztów o nadzwyczajnej wartości lub które wystąpiły incydentalnie</w:t>
            </w:r>
          </w:p>
        </w:tc>
      </w:tr>
      <w:tr w:rsidR="003C6F4A" w:rsidRPr="00B61AFF" w:rsidTr="00292F7F">
        <w:trPr>
          <w:trHeight w:val="55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6F4A" w:rsidRPr="00681E57" w:rsidRDefault="003C6F4A" w:rsidP="003C6F4A">
            <w:pPr>
              <w:pStyle w:val="Teksttreci20"/>
              <w:shd w:val="clear" w:color="auto" w:fill="auto"/>
              <w:ind w:left="84" w:right="28"/>
              <w:rPr>
                <w:rStyle w:val="Teksttreci29"/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F4A" w:rsidRPr="00492E9A" w:rsidRDefault="003C6F4A" w:rsidP="003C6F4A">
            <w:pPr>
              <w:pStyle w:val="Teksttreci20"/>
              <w:shd w:val="clear" w:color="auto" w:fill="auto"/>
              <w:ind w:left="84" w:right="28"/>
              <w:rPr>
                <w:rStyle w:val="Teksttreci29"/>
                <w:rFonts w:asciiTheme="majorHAnsi" w:hAnsiTheme="majorHAnsi"/>
                <w:color w:val="000000"/>
                <w:sz w:val="6"/>
                <w:szCs w:val="6"/>
              </w:rPr>
            </w:pPr>
            <w:r>
              <w:rPr>
                <w:rStyle w:val="Teksttreci29"/>
                <w:rFonts w:asciiTheme="majorHAnsi" w:hAnsiTheme="majorHAnsi"/>
                <w:color w:val="000000"/>
              </w:rPr>
              <w:t xml:space="preserve"> </w:t>
            </w:r>
          </w:p>
          <w:p w:rsidR="003C6F4A" w:rsidRPr="0090505A" w:rsidRDefault="003C6F4A" w:rsidP="00F721C3">
            <w:pPr>
              <w:pStyle w:val="Teksttreci20"/>
              <w:shd w:val="clear" w:color="auto" w:fill="auto"/>
              <w:ind w:left="170" w:right="170"/>
              <w:rPr>
                <w:rStyle w:val="Teksttreci29"/>
                <w:rFonts w:asciiTheme="majorHAnsi" w:hAnsiTheme="majorHAnsi"/>
                <w:sz w:val="18"/>
                <w:szCs w:val="18"/>
              </w:rPr>
            </w:pPr>
            <w:r w:rsidRPr="0090505A">
              <w:rPr>
                <w:rStyle w:val="Teksttreci29"/>
                <w:rFonts w:asciiTheme="majorHAnsi" w:hAnsiTheme="majorHAnsi"/>
                <w:color w:val="000000"/>
                <w:sz w:val="18"/>
                <w:szCs w:val="18"/>
              </w:rPr>
              <w:t>S</w:t>
            </w:r>
            <w:r w:rsidR="0090505A" w:rsidRPr="0090505A">
              <w:rPr>
                <w:rStyle w:val="Teksttreci29"/>
                <w:rFonts w:asciiTheme="majorHAnsi" w:hAnsiTheme="majorHAnsi"/>
                <w:color w:val="000000"/>
                <w:sz w:val="18"/>
                <w:szCs w:val="18"/>
              </w:rPr>
              <w:t xml:space="preserve">traty zakładu z tytułu </w:t>
            </w:r>
            <w:r w:rsidRPr="0090505A">
              <w:rPr>
                <w:rStyle w:val="Teksttreci29"/>
                <w:rFonts w:asciiTheme="majorHAnsi" w:hAnsiTheme="majorHAnsi"/>
                <w:color w:val="000000"/>
                <w:sz w:val="18"/>
                <w:szCs w:val="18"/>
              </w:rPr>
              <w:t xml:space="preserve">wandalizmu  </w:t>
            </w:r>
            <w:r w:rsidR="0090505A" w:rsidRPr="0090505A">
              <w:rPr>
                <w:rStyle w:val="Teksttreci29"/>
                <w:rFonts w:asciiTheme="majorHAnsi" w:hAnsiTheme="majorHAnsi"/>
                <w:color w:val="000000"/>
                <w:sz w:val="18"/>
                <w:szCs w:val="18"/>
              </w:rPr>
              <w:t xml:space="preserve">                 </w:t>
            </w:r>
            <w:r w:rsidRPr="0090505A">
              <w:rPr>
                <w:rStyle w:val="Teksttreci29"/>
                <w:rFonts w:asciiTheme="majorHAnsi" w:hAnsiTheme="majorHAnsi"/>
                <w:color w:val="000000"/>
                <w:sz w:val="18"/>
                <w:szCs w:val="18"/>
              </w:rPr>
              <w:t xml:space="preserve">                                                                         </w:t>
            </w:r>
            <w:r w:rsidR="00F721C3" w:rsidRPr="0090505A">
              <w:rPr>
                <w:rStyle w:val="Teksttreci29"/>
                <w:rFonts w:asciiTheme="majorHAnsi" w:hAnsiTheme="majorHAnsi"/>
                <w:color w:val="000000"/>
                <w:sz w:val="18"/>
                <w:szCs w:val="18"/>
              </w:rPr>
              <w:t xml:space="preserve">  553</w:t>
            </w:r>
            <w:r w:rsidRPr="0090505A">
              <w:rPr>
                <w:rStyle w:val="Teksttreci29"/>
                <w:rFonts w:asciiTheme="majorHAnsi" w:hAnsiTheme="majorHAnsi"/>
                <w:sz w:val="18"/>
                <w:szCs w:val="18"/>
              </w:rPr>
              <w:t>,</w:t>
            </w:r>
            <w:r w:rsidR="00F721C3" w:rsidRPr="0090505A">
              <w:rPr>
                <w:rStyle w:val="Teksttreci29"/>
                <w:rFonts w:asciiTheme="majorHAnsi" w:hAnsiTheme="majorHAnsi"/>
                <w:sz w:val="18"/>
                <w:szCs w:val="18"/>
              </w:rPr>
              <w:t>00</w:t>
            </w:r>
            <w:r w:rsidRPr="0090505A">
              <w:rPr>
                <w:rStyle w:val="Teksttreci29"/>
                <w:rFonts w:asciiTheme="majorHAnsi" w:hAnsiTheme="majorHAnsi"/>
                <w:sz w:val="18"/>
                <w:szCs w:val="18"/>
              </w:rPr>
              <w:t xml:space="preserve"> zł</w:t>
            </w:r>
          </w:p>
          <w:p w:rsidR="003C6F4A" w:rsidRPr="0090505A" w:rsidRDefault="003C6F4A" w:rsidP="00F721C3">
            <w:pPr>
              <w:pStyle w:val="Teksttreci20"/>
              <w:shd w:val="clear" w:color="auto" w:fill="auto"/>
              <w:ind w:left="170" w:right="170"/>
              <w:rPr>
                <w:rStyle w:val="Teksttreci29"/>
                <w:rFonts w:asciiTheme="majorHAnsi" w:hAnsiTheme="majorHAnsi"/>
                <w:sz w:val="18"/>
                <w:szCs w:val="18"/>
              </w:rPr>
            </w:pPr>
            <w:r w:rsidRPr="0090505A">
              <w:rPr>
                <w:rStyle w:val="Teksttreci29"/>
                <w:rFonts w:asciiTheme="majorHAnsi" w:hAnsiTheme="majorHAnsi"/>
                <w:sz w:val="18"/>
                <w:szCs w:val="18"/>
              </w:rPr>
              <w:t xml:space="preserve">Odszkodowanie od ubezpieczyciela                                                           </w:t>
            </w:r>
            <w:r w:rsidR="00F721C3" w:rsidRPr="0090505A">
              <w:rPr>
                <w:rStyle w:val="Teksttreci29"/>
                <w:rFonts w:asciiTheme="majorHAnsi" w:hAnsiTheme="majorHAnsi"/>
                <w:sz w:val="18"/>
                <w:szCs w:val="18"/>
              </w:rPr>
              <w:t xml:space="preserve">                                2</w:t>
            </w:r>
            <w:r w:rsidRPr="0090505A">
              <w:rPr>
                <w:rStyle w:val="Teksttreci29"/>
                <w:rFonts w:asciiTheme="majorHAnsi" w:hAnsiTheme="majorHAnsi"/>
                <w:sz w:val="18"/>
                <w:szCs w:val="18"/>
              </w:rPr>
              <w:t xml:space="preserve"> </w:t>
            </w:r>
            <w:r w:rsidR="00F721C3" w:rsidRPr="0090505A">
              <w:rPr>
                <w:rStyle w:val="Teksttreci29"/>
                <w:rFonts w:asciiTheme="majorHAnsi" w:hAnsiTheme="majorHAnsi"/>
                <w:sz w:val="18"/>
                <w:szCs w:val="18"/>
              </w:rPr>
              <w:t>115</w:t>
            </w:r>
            <w:r w:rsidRPr="0090505A">
              <w:rPr>
                <w:rStyle w:val="Teksttreci29"/>
                <w:rFonts w:asciiTheme="majorHAnsi" w:hAnsiTheme="majorHAnsi"/>
                <w:sz w:val="18"/>
                <w:szCs w:val="18"/>
              </w:rPr>
              <w:t>,</w:t>
            </w:r>
            <w:r w:rsidR="00F721C3" w:rsidRPr="0090505A">
              <w:rPr>
                <w:rStyle w:val="Teksttreci29"/>
                <w:rFonts w:asciiTheme="majorHAnsi" w:hAnsiTheme="majorHAnsi"/>
                <w:sz w:val="18"/>
                <w:szCs w:val="18"/>
              </w:rPr>
              <w:t>10</w:t>
            </w:r>
            <w:r w:rsidRPr="0090505A">
              <w:rPr>
                <w:rStyle w:val="Teksttreci29"/>
                <w:rFonts w:asciiTheme="majorHAnsi" w:hAnsiTheme="majorHAnsi"/>
                <w:sz w:val="18"/>
                <w:szCs w:val="18"/>
              </w:rPr>
              <w:t xml:space="preserve"> zł</w:t>
            </w:r>
          </w:p>
          <w:p w:rsidR="003C6F4A" w:rsidRPr="00492E9A" w:rsidRDefault="003C6F4A" w:rsidP="003C6F4A">
            <w:pPr>
              <w:pStyle w:val="Teksttreci20"/>
              <w:shd w:val="clear" w:color="auto" w:fill="auto"/>
              <w:ind w:left="84" w:right="28"/>
              <w:rPr>
                <w:rStyle w:val="Teksttreci29"/>
                <w:rFonts w:asciiTheme="majorHAnsi" w:hAnsiTheme="majorHAnsi"/>
                <w:color w:val="000000"/>
                <w:sz w:val="6"/>
                <w:szCs w:val="6"/>
              </w:rPr>
            </w:pPr>
          </w:p>
        </w:tc>
      </w:tr>
      <w:tr w:rsidR="003C6F4A" w:rsidRPr="00B61AFF" w:rsidTr="00292F7F">
        <w:trPr>
          <w:trHeight w:val="51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6F4A" w:rsidRPr="00681E57" w:rsidRDefault="003C6F4A" w:rsidP="003C6F4A">
            <w:pPr>
              <w:pStyle w:val="Teksttreci20"/>
              <w:shd w:val="clear" w:color="auto" w:fill="auto"/>
              <w:ind w:left="84" w:right="28"/>
              <w:rPr>
                <w:rFonts w:asciiTheme="majorHAnsi" w:hAnsiTheme="majorHAnsi"/>
                <w:sz w:val="16"/>
                <w:szCs w:val="16"/>
              </w:rPr>
            </w:pPr>
            <w:r w:rsidRPr="005D4AAD">
              <w:rPr>
                <w:rStyle w:val="Teksttreci29"/>
                <w:rFonts w:asciiTheme="majorHAnsi" w:hAnsiTheme="majorHAnsi"/>
                <w:b/>
                <w:color w:val="000000"/>
                <w:sz w:val="16"/>
                <w:szCs w:val="16"/>
              </w:rPr>
              <w:t>2.</w:t>
            </w:r>
            <w:r w:rsidRPr="00B739B7">
              <w:rPr>
                <w:rStyle w:val="Teksttreci29"/>
                <w:rFonts w:asciiTheme="majorHAnsi" w:hAnsiTheme="majorHAnsi"/>
                <w:b/>
                <w:color w:val="000000"/>
                <w:sz w:val="16"/>
                <w:szCs w:val="16"/>
              </w:rPr>
              <w:t>4.</w:t>
            </w: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C6F4A" w:rsidRPr="00AD0006" w:rsidRDefault="003C6F4A" w:rsidP="003C6F4A">
            <w:pPr>
              <w:pStyle w:val="Teksttreci20"/>
              <w:shd w:val="clear" w:color="auto" w:fill="auto"/>
              <w:ind w:left="113" w:right="113" w:firstLine="11"/>
              <w:jc w:val="both"/>
              <w:rPr>
                <w:rFonts w:asciiTheme="majorHAnsi" w:hAnsiTheme="majorHAnsi"/>
                <w:sz w:val="19"/>
                <w:szCs w:val="19"/>
              </w:rPr>
            </w:pPr>
            <w:r w:rsidRPr="00AD0006">
              <w:rPr>
                <w:rStyle w:val="Teksttreci29"/>
                <w:rFonts w:asciiTheme="majorHAnsi" w:hAnsiTheme="majorHAnsi"/>
                <w:color w:val="000000"/>
              </w:rPr>
              <w:t>informację o kwocie należności z tytułu podatków realizowanych przez organy podatkowe podległe ministrowi właściwemu do spraw finansów publicznych wykazywanych w sprawozdaniu z wykonania planu dochodów budżetowych</w:t>
            </w:r>
          </w:p>
        </w:tc>
      </w:tr>
      <w:tr w:rsidR="003C6F4A" w:rsidRPr="00B61AFF" w:rsidTr="00292F7F">
        <w:trPr>
          <w:trHeight w:val="34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6F4A" w:rsidRPr="001773E4" w:rsidRDefault="003C6F4A" w:rsidP="003C6F4A">
            <w:pPr>
              <w:spacing w:after="0" w:line="240" w:lineRule="auto"/>
              <w:ind w:left="28" w:right="28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C6F4A" w:rsidRPr="005C4C2F" w:rsidRDefault="003C6F4A" w:rsidP="003C6F4A">
            <w:pPr>
              <w:spacing w:after="0" w:line="240" w:lineRule="auto"/>
              <w:ind w:left="113"/>
              <w:rPr>
                <w:rFonts w:asciiTheme="majorHAnsi" w:hAnsiTheme="majorHAnsi"/>
                <w:sz w:val="18"/>
                <w:szCs w:val="18"/>
              </w:rPr>
            </w:pPr>
            <w:r w:rsidRPr="005C4C2F">
              <w:rPr>
                <w:rFonts w:asciiTheme="majorHAnsi" w:hAnsiTheme="majorHAnsi"/>
                <w:sz w:val="18"/>
                <w:szCs w:val="18"/>
              </w:rPr>
              <w:t>Nie dotyczy</w:t>
            </w:r>
          </w:p>
        </w:tc>
      </w:tr>
      <w:tr w:rsidR="003C6F4A" w:rsidRPr="00B61AFF" w:rsidTr="00292F7F">
        <w:trPr>
          <w:trHeight w:val="34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6F4A" w:rsidRPr="005D4AAD" w:rsidRDefault="003C6F4A" w:rsidP="003C6F4A">
            <w:pPr>
              <w:pStyle w:val="Teksttreci20"/>
              <w:shd w:val="clear" w:color="auto" w:fill="auto"/>
              <w:ind w:left="84" w:right="28"/>
              <w:rPr>
                <w:rFonts w:asciiTheme="majorHAnsi" w:hAnsiTheme="majorHAnsi"/>
                <w:b/>
                <w:sz w:val="16"/>
                <w:szCs w:val="16"/>
              </w:rPr>
            </w:pPr>
            <w:r w:rsidRPr="005D4AAD">
              <w:rPr>
                <w:rStyle w:val="Teksttreci29"/>
                <w:rFonts w:asciiTheme="majorHAnsi" w:hAnsiTheme="majorHAnsi"/>
                <w:b/>
                <w:color w:val="000000"/>
                <w:sz w:val="16"/>
                <w:szCs w:val="16"/>
              </w:rPr>
              <w:t>2.5.</w:t>
            </w: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C6F4A" w:rsidRPr="00AD0006" w:rsidRDefault="003C6F4A" w:rsidP="003C6F4A">
            <w:pPr>
              <w:pStyle w:val="Teksttreci20"/>
              <w:shd w:val="clear" w:color="auto" w:fill="auto"/>
              <w:ind w:left="107" w:right="28" w:firstLine="14"/>
              <w:jc w:val="both"/>
              <w:rPr>
                <w:rFonts w:asciiTheme="majorHAnsi" w:hAnsiTheme="majorHAnsi"/>
                <w:sz w:val="19"/>
                <w:szCs w:val="19"/>
              </w:rPr>
            </w:pPr>
            <w:r w:rsidRPr="00AD0006">
              <w:rPr>
                <w:rStyle w:val="Teksttreci29"/>
                <w:rFonts w:asciiTheme="majorHAnsi" w:hAnsiTheme="majorHAnsi"/>
                <w:color w:val="000000"/>
              </w:rPr>
              <w:t>inne informacje</w:t>
            </w:r>
          </w:p>
        </w:tc>
      </w:tr>
      <w:tr w:rsidR="003C6F4A" w:rsidRPr="00B61AFF" w:rsidTr="00292F7F">
        <w:trPr>
          <w:trHeight w:val="34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6F4A" w:rsidRPr="00681E57" w:rsidRDefault="003C6F4A" w:rsidP="003C6F4A">
            <w:pPr>
              <w:spacing w:after="0" w:line="240" w:lineRule="auto"/>
              <w:ind w:left="28" w:right="28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C6F4A" w:rsidRPr="005C4C2F" w:rsidRDefault="003C6F4A" w:rsidP="003C6F4A">
            <w:pPr>
              <w:spacing w:after="0" w:line="240" w:lineRule="auto"/>
              <w:ind w:left="113"/>
              <w:rPr>
                <w:rFonts w:asciiTheme="majorHAnsi" w:hAnsiTheme="majorHAnsi"/>
                <w:sz w:val="18"/>
                <w:szCs w:val="18"/>
              </w:rPr>
            </w:pPr>
            <w:r w:rsidRPr="005C4C2F">
              <w:rPr>
                <w:rFonts w:asciiTheme="majorHAnsi" w:hAnsiTheme="majorHAnsi"/>
                <w:sz w:val="18"/>
                <w:szCs w:val="18"/>
              </w:rPr>
              <w:t>Nie dotyczy</w:t>
            </w:r>
          </w:p>
        </w:tc>
      </w:tr>
      <w:tr w:rsidR="003C6F4A" w:rsidRPr="00B61AFF" w:rsidTr="00292F7F">
        <w:trPr>
          <w:trHeight w:val="58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C6F4A" w:rsidRPr="005D4AAD" w:rsidRDefault="003C6F4A" w:rsidP="003C6F4A">
            <w:pPr>
              <w:pStyle w:val="Teksttreci20"/>
              <w:shd w:val="clear" w:color="auto" w:fill="auto"/>
              <w:ind w:left="84" w:right="28"/>
              <w:rPr>
                <w:rFonts w:asciiTheme="majorHAnsi" w:hAnsiTheme="majorHAnsi"/>
                <w:b/>
                <w:sz w:val="16"/>
                <w:szCs w:val="16"/>
              </w:rPr>
            </w:pPr>
            <w:r w:rsidRPr="005D4AAD">
              <w:rPr>
                <w:rStyle w:val="Teksttreci29"/>
                <w:rFonts w:asciiTheme="majorHAnsi" w:hAnsiTheme="majorHAnsi"/>
                <w:b/>
                <w:color w:val="000000"/>
                <w:sz w:val="16"/>
                <w:szCs w:val="16"/>
              </w:rPr>
              <w:t>3.</w:t>
            </w: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F4A" w:rsidRPr="00AD0006" w:rsidRDefault="003C6F4A" w:rsidP="003C6F4A">
            <w:pPr>
              <w:pStyle w:val="Teksttreci20"/>
              <w:shd w:val="clear" w:color="auto" w:fill="auto"/>
              <w:ind w:left="113" w:right="113" w:firstLine="11"/>
              <w:jc w:val="both"/>
              <w:rPr>
                <w:rFonts w:asciiTheme="majorHAnsi" w:hAnsiTheme="majorHAnsi"/>
                <w:sz w:val="19"/>
                <w:szCs w:val="19"/>
              </w:rPr>
            </w:pPr>
            <w:r w:rsidRPr="00AD0006">
              <w:rPr>
                <w:rStyle w:val="Teksttreci29"/>
                <w:rFonts w:asciiTheme="majorHAnsi" w:hAnsiTheme="majorHAnsi"/>
                <w:color w:val="000000"/>
              </w:rPr>
              <w:t>Inne informacje niż wymienione powyżej, jeżeli mogłyby w istotny sposób wpłynąć na ocenę sytuacji majątkowej</w:t>
            </w:r>
            <w:r>
              <w:rPr>
                <w:rStyle w:val="Teksttreci29"/>
                <w:rFonts w:asciiTheme="majorHAnsi" w:hAnsiTheme="majorHAnsi"/>
                <w:color w:val="000000"/>
              </w:rPr>
              <w:t xml:space="preserve"> </w:t>
            </w:r>
            <w:r w:rsidRPr="00AD0006">
              <w:rPr>
                <w:rStyle w:val="Teksttreci29"/>
                <w:rFonts w:asciiTheme="majorHAnsi" w:hAnsiTheme="majorHAnsi"/>
                <w:color w:val="000000"/>
              </w:rPr>
              <w:t>i finansowej oraz wynik finansowy jednostki</w:t>
            </w:r>
          </w:p>
        </w:tc>
      </w:tr>
      <w:tr w:rsidR="003C6F4A" w:rsidRPr="00B61AFF" w:rsidTr="00292F7F">
        <w:trPr>
          <w:trHeight w:val="34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6F4A" w:rsidRPr="00B61AFF" w:rsidRDefault="003C6F4A" w:rsidP="003C6F4A">
            <w:pPr>
              <w:spacing w:after="0" w:line="240" w:lineRule="auto"/>
              <w:ind w:left="28" w:right="28"/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F4A" w:rsidRPr="005C4C2F" w:rsidRDefault="003C6F4A" w:rsidP="003C6F4A">
            <w:pPr>
              <w:spacing w:after="0" w:line="240" w:lineRule="auto"/>
              <w:ind w:left="113"/>
              <w:rPr>
                <w:rFonts w:asciiTheme="majorHAnsi" w:hAnsiTheme="majorHAnsi"/>
                <w:sz w:val="18"/>
                <w:szCs w:val="18"/>
              </w:rPr>
            </w:pPr>
            <w:r w:rsidRPr="005C4C2F">
              <w:rPr>
                <w:rFonts w:asciiTheme="majorHAnsi" w:hAnsiTheme="majorHAnsi"/>
                <w:sz w:val="18"/>
                <w:szCs w:val="18"/>
              </w:rPr>
              <w:t>Nie dotyczy</w:t>
            </w:r>
          </w:p>
        </w:tc>
      </w:tr>
      <w:tr w:rsidR="003C6F4A" w:rsidRPr="00B61AFF" w:rsidTr="00F31391">
        <w:trPr>
          <w:trHeight w:val="1085"/>
          <w:jc w:val="center"/>
        </w:trPr>
        <w:tc>
          <w:tcPr>
            <w:tcW w:w="10632" w:type="dxa"/>
            <w:gridSpan w:val="4"/>
            <w:tcBorders>
              <w:top w:val="single" w:sz="4" w:space="0" w:color="auto"/>
              <w:bottom w:val="nil"/>
            </w:tcBorders>
            <w:shd w:val="clear" w:color="auto" w:fill="FFFFFF"/>
            <w:vAlign w:val="bottom"/>
          </w:tcPr>
          <w:p w:rsidR="003C6F4A" w:rsidRPr="005D4AAD" w:rsidRDefault="003C6F4A" w:rsidP="003C6F4A">
            <w:pPr>
              <w:tabs>
                <w:tab w:val="left" w:pos="2830"/>
              </w:tabs>
              <w:spacing w:after="0" w:line="180" w:lineRule="exact"/>
              <w:ind w:right="312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2020.03.23 </w:t>
            </w:r>
          </w:p>
          <w:p w:rsidR="003C6F4A" w:rsidRPr="0045290F" w:rsidRDefault="003C6F4A" w:rsidP="003C6F4A">
            <w:pPr>
              <w:spacing w:after="0" w:line="180" w:lineRule="exact"/>
              <w:ind w:right="312"/>
              <w:rPr>
                <w:rFonts w:asciiTheme="majorHAnsi" w:hAnsiTheme="majorHAnsi"/>
                <w:sz w:val="10"/>
                <w:szCs w:val="10"/>
              </w:rPr>
            </w:pPr>
            <w:r>
              <w:rPr>
                <w:rFonts w:asciiTheme="majorHAnsi" w:hAnsiTheme="majorHAnsi"/>
                <w:sz w:val="10"/>
                <w:szCs w:val="10"/>
              </w:rPr>
              <w:t xml:space="preserve">                           </w:t>
            </w:r>
            <w:r w:rsidRPr="00B61AFF">
              <w:rPr>
                <w:rFonts w:asciiTheme="majorHAnsi" w:hAnsiTheme="majorHAnsi"/>
                <w:sz w:val="10"/>
                <w:szCs w:val="10"/>
              </w:rPr>
              <w:t>.............................</w:t>
            </w:r>
            <w:r>
              <w:rPr>
                <w:rFonts w:asciiTheme="majorHAnsi" w:hAnsiTheme="majorHAnsi"/>
                <w:sz w:val="10"/>
                <w:szCs w:val="10"/>
              </w:rPr>
              <w:t>......</w:t>
            </w:r>
            <w:r w:rsidRPr="00B61AFF">
              <w:rPr>
                <w:rFonts w:asciiTheme="majorHAnsi" w:hAnsiTheme="majorHAnsi"/>
                <w:sz w:val="10"/>
                <w:szCs w:val="10"/>
              </w:rPr>
              <w:t>.............................</w:t>
            </w:r>
            <w:r>
              <w:rPr>
                <w:rFonts w:asciiTheme="majorHAnsi" w:hAnsiTheme="majorHAnsi"/>
                <w:sz w:val="10"/>
                <w:szCs w:val="10"/>
              </w:rPr>
              <w:t xml:space="preserve">.........                                                                                                        </w:t>
            </w:r>
            <w:r w:rsidRPr="0045290F">
              <w:rPr>
                <w:rFonts w:asciiTheme="majorHAnsi" w:hAnsiTheme="majorHAnsi"/>
                <w:sz w:val="16"/>
                <w:szCs w:val="16"/>
                <w:vertAlign w:val="subscript"/>
              </w:rPr>
              <w:t>……………………</w:t>
            </w:r>
            <w:r>
              <w:rPr>
                <w:rFonts w:asciiTheme="majorHAnsi" w:hAnsiTheme="majorHAnsi"/>
                <w:sz w:val="16"/>
                <w:szCs w:val="16"/>
                <w:vertAlign w:val="subscript"/>
              </w:rPr>
              <w:t>…………………..</w:t>
            </w:r>
            <w:r w:rsidRPr="0045290F">
              <w:rPr>
                <w:rFonts w:asciiTheme="majorHAnsi" w:hAnsiTheme="majorHAnsi"/>
                <w:sz w:val="16"/>
                <w:szCs w:val="16"/>
                <w:vertAlign w:val="subscript"/>
              </w:rPr>
              <w:t>………</w:t>
            </w:r>
            <w:r>
              <w:rPr>
                <w:rFonts w:asciiTheme="majorHAnsi" w:hAnsiTheme="majorHAnsi"/>
                <w:sz w:val="16"/>
                <w:szCs w:val="16"/>
                <w:vertAlign w:val="subscript"/>
              </w:rPr>
              <w:t>…….                                                                                               …………………………………………………………….</w:t>
            </w:r>
          </w:p>
        </w:tc>
      </w:tr>
      <w:tr w:rsidR="003C6F4A" w:rsidRPr="00B61AFF" w:rsidTr="00292F7F">
        <w:trPr>
          <w:trHeight w:val="538"/>
          <w:jc w:val="center"/>
        </w:trPr>
        <w:tc>
          <w:tcPr>
            <w:tcW w:w="3397" w:type="dxa"/>
            <w:gridSpan w:val="2"/>
            <w:shd w:val="clear" w:color="auto" w:fill="FFFFFF"/>
          </w:tcPr>
          <w:p w:rsidR="003C6F4A" w:rsidRPr="001773E4" w:rsidRDefault="003C6F4A" w:rsidP="003C6F4A">
            <w:pPr>
              <w:pStyle w:val="Teksttreci20"/>
              <w:shd w:val="clear" w:color="auto" w:fill="auto"/>
              <w:spacing w:line="180" w:lineRule="exact"/>
              <w:ind w:left="28" w:right="28" w:firstLine="336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Style w:val="Teksttreci29"/>
                <w:rFonts w:asciiTheme="majorHAnsi" w:hAnsiTheme="majorHAnsi"/>
                <w:color w:val="000000"/>
                <w:sz w:val="16"/>
                <w:szCs w:val="16"/>
              </w:rPr>
              <w:t xml:space="preserve">    </w:t>
            </w:r>
            <w:r w:rsidRPr="001773E4">
              <w:rPr>
                <w:rStyle w:val="Teksttreci29"/>
                <w:rFonts w:asciiTheme="majorHAnsi" w:hAnsiTheme="majorHAnsi"/>
                <w:color w:val="000000"/>
                <w:sz w:val="16"/>
                <w:szCs w:val="16"/>
              </w:rPr>
              <w:t xml:space="preserve">     (główny księgowy)</w:t>
            </w:r>
          </w:p>
        </w:tc>
        <w:tc>
          <w:tcPr>
            <w:tcW w:w="4116" w:type="dxa"/>
            <w:shd w:val="clear" w:color="auto" w:fill="FFFFFF"/>
          </w:tcPr>
          <w:p w:rsidR="003C6F4A" w:rsidRPr="001773E4" w:rsidRDefault="003C6F4A" w:rsidP="003C6F4A">
            <w:pPr>
              <w:pStyle w:val="Teksttreci20"/>
              <w:shd w:val="clear" w:color="auto" w:fill="auto"/>
              <w:spacing w:line="180" w:lineRule="exact"/>
              <w:ind w:right="28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Style w:val="Teksttreci29"/>
                <w:rFonts w:asciiTheme="majorHAnsi" w:hAnsiTheme="majorHAnsi"/>
                <w:color w:val="000000"/>
                <w:sz w:val="16"/>
                <w:szCs w:val="16"/>
              </w:rPr>
              <w:t xml:space="preserve">                          </w:t>
            </w:r>
            <w:r w:rsidRPr="001773E4">
              <w:rPr>
                <w:rStyle w:val="Teksttreci29"/>
                <w:rFonts w:asciiTheme="majorHAnsi" w:hAnsiTheme="majorHAnsi"/>
                <w:color w:val="000000"/>
                <w:sz w:val="16"/>
                <w:szCs w:val="16"/>
              </w:rPr>
              <w:t xml:space="preserve">    (rok, miesiąc, dzień)</w:t>
            </w:r>
          </w:p>
        </w:tc>
        <w:tc>
          <w:tcPr>
            <w:tcW w:w="3119" w:type="dxa"/>
            <w:shd w:val="clear" w:color="auto" w:fill="FFFFFF"/>
          </w:tcPr>
          <w:p w:rsidR="003C6F4A" w:rsidRPr="001773E4" w:rsidRDefault="003C6F4A" w:rsidP="003C6F4A">
            <w:pPr>
              <w:pStyle w:val="Teksttreci20"/>
              <w:shd w:val="clear" w:color="auto" w:fill="auto"/>
              <w:spacing w:line="140" w:lineRule="atLeast"/>
              <w:ind w:right="28"/>
              <w:rPr>
                <w:rFonts w:asciiTheme="majorHAnsi" w:hAnsiTheme="majorHAnsi"/>
                <w:sz w:val="16"/>
                <w:szCs w:val="16"/>
              </w:rPr>
            </w:pPr>
            <w:r w:rsidRPr="001773E4">
              <w:rPr>
                <w:rStyle w:val="Teksttreci29"/>
                <w:rFonts w:asciiTheme="majorHAnsi" w:hAnsiTheme="majorHAnsi"/>
                <w:color w:val="000000"/>
                <w:sz w:val="16"/>
                <w:szCs w:val="16"/>
              </w:rPr>
              <w:t xml:space="preserve">                       (kierownik jednostki)</w:t>
            </w:r>
          </w:p>
        </w:tc>
      </w:tr>
      <w:tr w:rsidR="003C6F4A" w:rsidRPr="00B61AFF" w:rsidTr="00292F7F">
        <w:trPr>
          <w:trHeight w:val="538"/>
          <w:jc w:val="center"/>
        </w:trPr>
        <w:tc>
          <w:tcPr>
            <w:tcW w:w="3397" w:type="dxa"/>
            <w:gridSpan w:val="2"/>
            <w:shd w:val="clear" w:color="auto" w:fill="FFFFFF"/>
          </w:tcPr>
          <w:p w:rsidR="003C6F4A" w:rsidRDefault="003C6F4A" w:rsidP="003C6F4A">
            <w:pPr>
              <w:pStyle w:val="Teksttreci20"/>
              <w:shd w:val="clear" w:color="auto" w:fill="auto"/>
              <w:ind w:left="28" w:right="28" w:firstLine="336"/>
              <w:rPr>
                <w:rStyle w:val="Teksttreci29"/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116" w:type="dxa"/>
            <w:shd w:val="clear" w:color="auto" w:fill="FFFFFF"/>
          </w:tcPr>
          <w:p w:rsidR="003C6F4A" w:rsidRDefault="003C6F4A" w:rsidP="003C6F4A">
            <w:pPr>
              <w:pStyle w:val="Teksttreci20"/>
              <w:shd w:val="clear" w:color="auto" w:fill="auto"/>
              <w:ind w:right="28"/>
              <w:rPr>
                <w:rStyle w:val="Teksttreci29"/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/>
          </w:tcPr>
          <w:p w:rsidR="003C6F4A" w:rsidRPr="001773E4" w:rsidRDefault="003C6F4A" w:rsidP="003C6F4A">
            <w:pPr>
              <w:pStyle w:val="Teksttreci20"/>
              <w:shd w:val="clear" w:color="auto" w:fill="auto"/>
              <w:ind w:right="28"/>
              <w:rPr>
                <w:rStyle w:val="Teksttreci29"/>
                <w:rFonts w:asciiTheme="majorHAnsi" w:hAnsiTheme="majorHAnsi"/>
                <w:color w:val="000000"/>
                <w:sz w:val="16"/>
                <w:szCs w:val="16"/>
              </w:rPr>
            </w:pPr>
          </w:p>
        </w:tc>
      </w:tr>
    </w:tbl>
    <w:p w:rsidR="002253EE" w:rsidRPr="00B61AFF" w:rsidRDefault="002253EE" w:rsidP="0045290F">
      <w:pPr>
        <w:spacing w:after="0" w:line="240" w:lineRule="auto"/>
        <w:ind w:right="28"/>
        <w:rPr>
          <w:rFonts w:asciiTheme="majorHAnsi" w:hAnsiTheme="majorHAnsi"/>
        </w:rPr>
      </w:pPr>
    </w:p>
    <w:sectPr w:rsidR="002253EE" w:rsidRPr="00B61AFF" w:rsidSect="004B20DD">
      <w:pgSz w:w="11909" w:h="16840" w:code="9"/>
      <w:pgMar w:top="851" w:right="567" w:bottom="851" w:left="1021" w:header="0" w:footer="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DB2" w:rsidRDefault="00245DB2" w:rsidP="003F4E40">
      <w:pPr>
        <w:spacing w:after="0" w:line="240" w:lineRule="auto"/>
      </w:pPr>
      <w:r>
        <w:separator/>
      </w:r>
    </w:p>
  </w:endnote>
  <w:endnote w:type="continuationSeparator" w:id="0">
    <w:p w:rsidR="00245DB2" w:rsidRDefault="00245DB2" w:rsidP="003F4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DB2" w:rsidRDefault="00245DB2" w:rsidP="003F4E40">
      <w:pPr>
        <w:spacing w:after="0" w:line="240" w:lineRule="auto"/>
      </w:pPr>
      <w:r>
        <w:separator/>
      </w:r>
    </w:p>
  </w:footnote>
  <w:footnote w:type="continuationSeparator" w:id="0">
    <w:p w:rsidR="00245DB2" w:rsidRDefault="00245DB2" w:rsidP="003F4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53D18"/>
    <w:multiLevelType w:val="hybridMultilevel"/>
    <w:tmpl w:val="740A24B4"/>
    <w:lvl w:ilvl="0" w:tplc="A64E9AB4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BB83F37"/>
    <w:multiLevelType w:val="hybridMultilevel"/>
    <w:tmpl w:val="C9C07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41968"/>
    <w:multiLevelType w:val="hybridMultilevel"/>
    <w:tmpl w:val="775A2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372B2"/>
    <w:multiLevelType w:val="hybridMultilevel"/>
    <w:tmpl w:val="F2FAF142"/>
    <w:lvl w:ilvl="0" w:tplc="F878C4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9594F"/>
    <w:multiLevelType w:val="hybridMultilevel"/>
    <w:tmpl w:val="15782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97EDF"/>
    <w:multiLevelType w:val="hybridMultilevel"/>
    <w:tmpl w:val="F73E8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B3DE7"/>
    <w:multiLevelType w:val="hybridMultilevel"/>
    <w:tmpl w:val="8E7CD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C4491"/>
    <w:multiLevelType w:val="hybridMultilevel"/>
    <w:tmpl w:val="67848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50891"/>
    <w:multiLevelType w:val="hybridMultilevel"/>
    <w:tmpl w:val="8D4AB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B66FA"/>
    <w:multiLevelType w:val="hybridMultilevel"/>
    <w:tmpl w:val="B08205FC"/>
    <w:lvl w:ilvl="0" w:tplc="3F6CA05E">
      <w:start w:val="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34601203"/>
    <w:multiLevelType w:val="hybridMultilevel"/>
    <w:tmpl w:val="795C3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8677F"/>
    <w:multiLevelType w:val="hybridMultilevel"/>
    <w:tmpl w:val="8C6C8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15EA7"/>
    <w:multiLevelType w:val="hybridMultilevel"/>
    <w:tmpl w:val="748A48D8"/>
    <w:lvl w:ilvl="0" w:tplc="39D067B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53DC6FC5"/>
    <w:multiLevelType w:val="hybridMultilevel"/>
    <w:tmpl w:val="90F0E894"/>
    <w:lvl w:ilvl="0" w:tplc="79960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E491E8">
      <w:start w:val="4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840BFA"/>
    <w:multiLevelType w:val="hybridMultilevel"/>
    <w:tmpl w:val="749AC9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C1263E"/>
    <w:multiLevelType w:val="hybridMultilevel"/>
    <w:tmpl w:val="968049F8"/>
    <w:lvl w:ilvl="0" w:tplc="B7D04530">
      <w:start w:val="5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6" w15:restartNumberingAfterBreak="0">
    <w:nsid w:val="61071F6B"/>
    <w:multiLevelType w:val="hybridMultilevel"/>
    <w:tmpl w:val="05A01B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0A4885"/>
    <w:multiLevelType w:val="hybridMultilevel"/>
    <w:tmpl w:val="59242886"/>
    <w:lvl w:ilvl="0" w:tplc="AFB2F52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699660D3"/>
    <w:multiLevelType w:val="hybridMultilevel"/>
    <w:tmpl w:val="01E03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BF7BD3"/>
    <w:multiLevelType w:val="hybridMultilevel"/>
    <w:tmpl w:val="45D8D86E"/>
    <w:lvl w:ilvl="0" w:tplc="AFB2F52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782B64EB"/>
    <w:multiLevelType w:val="hybridMultilevel"/>
    <w:tmpl w:val="388001FE"/>
    <w:lvl w:ilvl="0" w:tplc="A1C8FA12">
      <w:start w:val="5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20"/>
  </w:num>
  <w:num w:numId="5">
    <w:abstractNumId w:val="15"/>
  </w:num>
  <w:num w:numId="6">
    <w:abstractNumId w:val="5"/>
  </w:num>
  <w:num w:numId="7">
    <w:abstractNumId w:val="3"/>
  </w:num>
  <w:num w:numId="8">
    <w:abstractNumId w:val="7"/>
  </w:num>
  <w:num w:numId="9">
    <w:abstractNumId w:val="1"/>
  </w:num>
  <w:num w:numId="10">
    <w:abstractNumId w:val="2"/>
  </w:num>
  <w:num w:numId="11">
    <w:abstractNumId w:val="14"/>
  </w:num>
  <w:num w:numId="12">
    <w:abstractNumId w:val="16"/>
  </w:num>
  <w:num w:numId="13">
    <w:abstractNumId w:val="10"/>
  </w:num>
  <w:num w:numId="14">
    <w:abstractNumId w:val="12"/>
  </w:num>
  <w:num w:numId="15">
    <w:abstractNumId w:val="18"/>
  </w:num>
  <w:num w:numId="16">
    <w:abstractNumId w:val="6"/>
  </w:num>
  <w:num w:numId="17">
    <w:abstractNumId w:val="0"/>
  </w:num>
  <w:num w:numId="18">
    <w:abstractNumId w:val="9"/>
  </w:num>
  <w:num w:numId="19">
    <w:abstractNumId w:val="4"/>
  </w:num>
  <w:num w:numId="20">
    <w:abstractNumId w:val="1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drawingGridHorizontalSpacing w:val="142"/>
  <w:drawingGridVerticalSpacing w:val="142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E3"/>
    <w:rsid w:val="0002089C"/>
    <w:rsid w:val="00021703"/>
    <w:rsid w:val="000318FB"/>
    <w:rsid w:val="000558FA"/>
    <w:rsid w:val="000578AA"/>
    <w:rsid w:val="000606A7"/>
    <w:rsid w:val="0006495B"/>
    <w:rsid w:val="0006637F"/>
    <w:rsid w:val="0009197B"/>
    <w:rsid w:val="000C6B33"/>
    <w:rsid w:val="000D0162"/>
    <w:rsid w:val="0011479A"/>
    <w:rsid w:val="0012431A"/>
    <w:rsid w:val="00134A3F"/>
    <w:rsid w:val="00177172"/>
    <w:rsid w:val="001773E4"/>
    <w:rsid w:val="00184906"/>
    <w:rsid w:val="001B013D"/>
    <w:rsid w:val="001B61D8"/>
    <w:rsid w:val="001E03D4"/>
    <w:rsid w:val="001E62D7"/>
    <w:rsid w:val="001F5550"/>
    <w:rsid w:val="001F5BF5"/>
    <w:rsid w:val="00202639"/>
    <w:rsid w:val="002253EE"/>
    <w:rsid w:val="00245DB2"/>
    <w:rsid w:val="00252785"/>
    <w:rsid w:val="0027224B"/>
    <w:rsid w:val="0027483E"/>
    <w:rsid w:val="0027599E"/>
    <w:rsid w:val="00292172"/>
    <w:rsid w:val="00292F7F"/>
    <w:rsid w:val="00292FE3"/>
    <w:rsid w:val="002B5536"/>
    <w:rsid w:val="002D6FB5"/>
    <w:rsid w:val="002E1F1E"/>
    <w:rsid w:val="002E557F"/>
    <w:rsid w:val="002F132C"/>
    <w:rsid w:val="002F6C5B"/>
    <w:rsid w:val="00300BAF"/>
    <w:rsid w:val="00301852"/>
    <w:rsid w:val="0031023E"/>
    <w:rsid w:val="003227C7"/>
    <w:rsid w:val="00323F82"/>
    <w:rsid w:val="00351D17"/>
    <w:rsid w:val="00361B12"/>
    <w:rsid w:val="003621CF"/>
    <w:rsid w:val="00372A7D"/>
    <w:rsid w:val="003915F3"/>
    <w:rsid w:val="003C6312"/>
    <w:rsid w:val="003C6F4A"/>
    <w:rsid w:val="003D5859"/>
    <w:rsid w:val="003F4E40"/>
    <w:rsid w:val="00400CE7"/>
    <w:rsid w:val="004075BD"/>
    <w:rsid w:val="004137DF"/>
    <w:rsid w:val="00435A2E"/>
    <w:rsid w:val="004470E1"/>
    <w:rsid w:val="0045290F"/>
    <w:rsid w:val="00462091"/>
    <w:rsid w:val="0049101D"/>
    <w:rsid w:val="00492E9A"/>
    <w:rsid w:val="004933C3"/>
    <w:rsid w:val="004B20DD"/>
    <w:rsid w:val="004C67B1"/>
    <w:rsid w:val="004D7F37"/>
    <w:rsid w:val="004E44C9"/>
    <w:rsid w:val="004F1CC7"/>
    <w:rsid w:val="004F6C77"/>
    <w:rsid w:val="005017F0"/>
    <w:rsid w:val="005136B7"/>
    <w:rsid w:val="00514BF2"/>
    <w:rsid w:val="00553345"/>
    <w:rsid w:val="00555000"/>
    <w:rsid w:val="00557783"/>
    <w:rsid w:val="005605C0"/>
    <w:rsid w:val="0056368D"/>
    <w:rsid w:val="00572A70"/>
    <w:rsid w:val="00584417"/>
    <w:rsid w:val="0058623E"/>
    <w:rsid w:val="005B6383"/>
    <w:rsid w:val="005B6BE9"/>
    <w:rsid w:val="005C4C2F"/>
    <w:rsid w:val="005D4AAD"/>
    <w:rsid w:val="005F5043"/>
    <w:rsid w:val="00614BC9"/>
    <w:rsid w:val="00617187"/>
    <w:rsid w:val="00626E06"/>
    <w:rsid w:val="00633AAE"/>
    <w:rsid w:val="00647453"/>
    <w:rsid w:val="00666AFE"/>
    <w:rsid w:val="00681E57"/>
    <w:rsid w:val="00684CBB"/>
    <w:rsid w:val="00693C85"/>
    <w:rsid w:val="00697CA5"/>
    <w:rsid w:val="006A44B7"/>
    <w:rsid w:val="006C73E3"/>
    <w:rsid w:val="006F1CEB"/>
    <w:rsid w:val="00737672"/>
    <w:rsid w:val="00743071"/>
    <w:rsid w:val="0076746B"/>
    <w:rsid w:val="00771AD5"/>
    <w:rsid w:val="00781614"/>
    <w:rsid w:val="007A731B"/>
    <w:rsid w:val="007D6A87"/>
    <w:rsid w:val="007E06C2"/>
    <w:rsid w:val="007E36EB"/>
    <w:rsid w:val="007E7042"/>
    <w:rsid w:val="007E77A3"/>
    <w:rsid w:val="007F64D0"/>
    <w:rsid w:val="00812905"/>
    <w:rsid w:val="0083791F"/>
    <w:rsid w:val="00847E57"/>
    <w:rsid w:val="00861D53"/>
    <w:rsid w:val="008A2F69"/>
    <w:rsid w:val="008B0E6D"/>
    <w:rsid w:val="008E05F7"/>
    <w:rsid w:val="008E4493"/>
    <w:rsid w:val="008F56BF"/>
    <w:rsid w:val="00902DED"/>
    <w:rsid w:val="0090505A"/>
    <w:rsid w:val="0090566C"/>
    <w:rsid w:val="0092702A"/>
    <w:rsid w:val="00967296"/>
    <w:rsid w:val="0099380C"/>
    <w:rsid w:val="00996A7D"/>
    <w:rsid w:val="009A29B2"/>
    <w:rsid w:val="009A79AB"/>
    <w:rsid w:val="009B5250"/>
    <w:rsid w:val="009C2CAA"/>
    <w:rsid w:val="009D0E8D"/>
    <w:rsid w:val="009D17F3"/>
    <w:rsid w:val="009D1BB5"/>
    <w:rsid w:val="009E7FD4"/>
    <w:rsid w:val="00A04E1C"/>
    <w:rsid w:val="00A069A6"/>
    <w:rsid w:val="00A20272"/>
    <w:rsid w:val="00A35737"/>
    <w:rsid w:val="00A437A5"/>
    <w:rsid w:val="00A532F1"/>
    <w:rsid w:val="00A753D8"/>
    <w:rsid w:val="00A755E6"/>
    <w:rsid w:val="00A81F85"/>
    <w:rsid w:val="00A8498C"/>
    <w:rsid w:val="00AA7FCB"/>
    <w:rsid w:val="00AD0006"/>
    <w:rsid w:val="00AE7A2A"/>
    <w:rsid w:val="00AF2DAA"/>
    <w:rsid w:val="00AF7DE6"/>
    <w:rsid w:val="00B54FAD"/>
    <w:rsid w:val="00B60B9A"/>
    <w:rsid w:val="00B61AFF"/>
    <w:rsid w:val="00B65C9F"/>
    <w:rsid w:val="00B739B7"/>
    <w:rsid w:val="00B75549"/>
    <w:rsid w:val="00BA6C11"/>
    <w:rsid w:val="00BC1085"/>
    <w:rsid w:val="00BC6DE4"/>
    <w:rsid w:val="00BD0808"/>
    <w:rsid w:val="00BD2A0D"/>
    <w:rsid w:val="00BD5887"/>
    <w:rsid w:val="00BD6870"/>
    <w:rsid w:val="00BE1B03"/>
    <w:rsid w:val="00BE2AEF"/>
    <w:rsid w:val="00BE5BA2"/>
    <w:rsid w:val="00C11534"/>
    <w:rsid w:val="00C16BF4"/>
    <w:rsid w:val="00C24877"/>
    <w:rsid w:val="00C32700"/>
    <w:rsid w:val="00C33D5E"/>
    <w:rsid w:val="00C44FB7"/>
    <w:rsid w:val="00C62FEE"/>
    <w:rsid w:val="00C64606"/>
    <w:rsid w:val="00C81DFD"/>
    <w:rsid w:val="00C912E5"/>
    <w:rsid w:val="00CD07F6"/>
    <w:rsid w:val="00CE55BA"/>
    <w:rsid w:val="00CF6C5B"/>
    <w:rsid w:val="00D24BFA"/>
    <w:rsid w:val="00D326D3"/>
    <w:rsid w:val="00D46B97"/>
    <w:rsid w:val="00D544EC"/>
    <w:rsid w:val="00D65709"/>
    <w:rsid w:val="00D86E8D"/>
    <w:rsid w:val="00D96A20"/>
    <w:rsid w:val="00DC13C3"/>
    <w:rsid w:val="00DE769F"/>
    <w:rsid w:val="00DF4B75"/>
    <w:rsid w:val="00E11E7C"/>
    <w:rsid w:val="00E86BFA"/>
    <w:rsid w:val="00EB077D"/>
    <w:rsid w:val="00ED4B0E"/>
    <w:rsid w:val="00F23E64"/>
    <w:rsid w:val="00F31391"/>
    <w:rsid w:val="00F5081A"/>
    <w:rsid w:val="00F721C3"/>
    <w:rsid w:val="00F80E11"/>
    <w:rsid w:val="00F8792C"/>
    <w:rsid w:val="00FD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A23652A-E199-4A8E-821B-6CD93A029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7A5"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33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8498C"/>
    <w:pPr>
      <w:keepNext/>
      <w:widowControl w:val="0"/>
      <w:autoSpaceDE w:val="0"/>
      <w:autoSpaceDN w:val="0"/>
      <w:adjustRightInd w:val="0"/>
      <w:spacing w:before="60" w:after="60" w:line="240" w:lineRule="auto"/>
      <w:jc w:val="center"/>
      <w:outlineLvl w:val="1"/>
    </w:pPr>
    <w:rPr>
      <w:rFonts w:ascii="Times New Roman" w:hAnsi="Times New Roman"/>
      <w:b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292FE3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292FE3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91,5 pt1"/>
    <w:basedOn w:val="Teksttreci2"/>
    <w:uiPriority w:val="99"/>
    <w:qFormat/>
    <w:rsid w:val="00292FE3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292FE3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781614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6B9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3F4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F4E4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F4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F4E40"/>
    <w:rPr>
      <w:rFonts w:cs="Times New Roman"/>
    </w:rPr>
  </w:style>
  <w:style w:type="paragraph" w:styleId="Bezodstpw">
    <w:name w:val="No Spacing"/>
    <w:uiPriority w:val="1"/>
    <w:qFormat/>
    <w:rsid w:val="00B61AFF"/>
    <w:pPr>
      <w:spacing w:after="0" w:line="240" w:lineRule="auto"/>
    </w:pPr>
    <w:rPr>
      <w:rFonts w:cs="Times New Roman"/>
    </w:rPr>
  </w:style>
  <w:style w:type="paragraph" w:styleId="Tekstpodstawowy">
    <w:name w:val="Body Text"/>
    <w:basedOn w:val="Normalny"/>
    <w:link w:val="TekstpodstawowyZnak"/>
    <w:rsid w:val="00A849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8498C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8498C"/>
    <w:rPr>
      <w:rFonts w:ascii="Times New Roman" w:hAnsi="Times New Roman" w:cs="Times New Roman"/>
      <w:b/>
      <w:sz w:val="28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533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177172"/>
    <w:pPr>
      <w:ind w:left="720"/>
      <w:contextualSpacing/>
    </w:pPr>
  </w:style>
  <w:style w:type="table" w:styleId="Tabela-Siatka">
    <w:name w:val="Table Grid"/>
    <w:basedOn w:val="Standardowy"/>
    <w:uiPriority w:val="59"/>
    <w:rsid w:val="00391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6D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C885A-302D-4F5F-B418-F25AFAF0C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1502</TotalTime>
  <Pages>1</Pages>
  <Words>2727</Words>
  <Characters>16365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Anna.Soczowka</dc:creator>
  <cp:keywords/>
  <dc:description>ZNAKI:4444</dc:description>
  <cp:lastModifiedBy>Admin</cp:lastModifiedBy>
  <cp:revision>85</cp:revision>
  <cp:lastPrinted>2020-02-24T14:01:00Z</cp:lastPrinted>
  <dcterms:created xsi:type="dcterms:W3CDTF">2018-08-29T08:38:00Z</dcterms:created>
  <dcterms:modified xsi:type="dcterms:W3CDTF">2020-02-24T14:03:00Z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4444</vt:lpwstr>
  </property>
  <property fmtid="{D5CDD505-2E9C-101B-9397-08002B2CF9AE}" pid="4" name="ZNAKI:">
    <vt:lpwstr>4444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2017-11-07 12:55:52</vt:lpwstr>
  </property>
</Properties>
</file>