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B799" w14:textId="70FAA741" w:rsidR="00163DF5" w:rsidRPr="00D44D33" w:rsidRDefault="00163DF5"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UZASADNIENIE</w:t>
      </w:r>
    </w:p>
    <w:p w14:paraId="771F4C89" w14:textId="10E68AB3" w:rsidR="38DEF9C2" w:rsidRPr="00D44D33" w:rsidRDefault="38DEF9C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styczniu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Parlament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podkreślił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rolę,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postępie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odgrywają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prywatne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inwestycje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stabilnych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umożliwianiu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inwestowania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obszarach,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obszarach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wiejskich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oddalonych.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Podobnie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wezwała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czerwcu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stałych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bezprzewodowych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szerokopasmowych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dużej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przepustowości,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przyszłej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konkurencyjności,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reformy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dziedzinie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stworzenia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zachęt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dużych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inwestycji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jednocześnie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wspierania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efektywnej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konsumentów.</w:t>
      </w:r>
      <w:r w:rsidR="00970B2E" w:rsidRPr="00D44D33">
        <w:rPr>
          <w:rFonts w:ascii="Times New Roman" w:eastAsia="Times New Roman" w:hAnsi="Times New Roman" w:cs="Times New Roman"/>
          <w:sz w:val="24"/>
          <w:szCs w:val="24"/>
        </w:rPr>
        <w:t xml:space="preserve"> </w:t>
      </w:r>
      <w:r w:rsidR="0087444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874446" w:rsidRPr="00D44D33">
        <w:rPr>
          <w:rFonts w:ascii="Times New Roman" w:eastAsia="Times New Roman" w:hAnsi="Times New Roman" w:cs="Times New Roman"/>
          <w:sz w:val="24"/>
          <w:szCs w:val="24"/>
        </w:rPr>
        <w:t>dniu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14</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września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Komisja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przedstawiła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długo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zapowiadaną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kompleksową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reformę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najambitniejszych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strategii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Jednolitego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przedstawione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dyrektywy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0847F8"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 xml:space="preserve">dyrektywy Parlamentu Europejskiego i Rady (UE) 2018/1972 z dnia 11 grudnia 2018 r. ustanawiającej </w:t>
      </w:r>
      <w:r w:rsidRPr="00D44D33">
        <w:rPr>
          <w:rFonts w:ascii="Times New Roman" w:eastAsia="Times New Roman" w:hAnsi="Times New Roman" w:cs="Times New Roman"/>
          <w:sz w:val="24"/>
          <w:szCs w:val="24"/>
        </w:rPr>
        <w:t>Europejski</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k</w:t>
      </w:r>
      <w:r w:rsidRPr="00D44D33">
        <w:rPr>
          <w:rFonts w:ascii="Times New Roman" w:eastAsia="Times New Roman" w:hAnsi="Times New Roman" w:cs="Times New Roman"/>
          <w:sz w:val="24"/>
          <w:szCs w:val="24"/>
        </w:rPr>
        <w:t>odeks</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ł</w:t>
      </w:r>
      <w:r w:rsidRPr="00D44D33">
        <w:rPr>
          <w:rFonts w:ascii="Times New Roman" w:eastAsia="Times New Roman" w:hAnsi="Times New Roman" w:cs="Times New Roman"/>
          <w:sz w:val="24"/>
          <w:szCs w:val="24"/>
        </w:rPr>
        <w:t>ączności</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e</w:t>
      </w:r>
      <w:r w:rsidRPr="00D44D33">
        <w:rPr>
          <w:rFonts w:ascii="Times New Roman" w:eastAsia="Times New Roman" w:hAnsi="Times New Roman" w:cs="Times New Roman"/>
          <w:sz w:val="24"/>
          <w:szCs w:val="24"/>
        </w:rPr>
        <w:t>lektronicznej</w:t>
      </w:r>
      <w:r w:rsidR="00106B7C" w:rsidRPr="00D44D33">
        <w:rPr>
          <w:rFonts w:ascii="Times New Roman" w:eastAsia="Times New Roman" w:hAnsi="Times New Roman" w:cs="Times New Roman"/>
          <w:sz w:val="24"/>
          <w:szCs w:val="24"/>
        </w:rPr>
        <w:t xml:space="preserve"> (Dz. Urz. UE L 321 z 17.12.2018, str. 34, z późn. zm.)</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Towarzyszy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pakiet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Komisji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Parlamentu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Komitetu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Ekonomiczno-Społecznego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Komitetu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Regionów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„Łączność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konkurencyjnego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jednolitego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kierunku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gigabitowego”.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106B7C" w:rsidRPr="00D44D33">
        <w:rPr>
          <w:rFonts w:ascii="Times New Roman" w:eastAsia="Times New Roman" w:hAnsi="Times New Roman" w:cs="Times New Roman"/>
          <w:sz w:val="24"/>
          <w:szCs w:val="24"/>
        </w:rPr>
        <w:t xml:space="preserve"> ww.</w:t>
      </w:r>
      <w:r w:rsidR="000847F8"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jednolitego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rynku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podkreślono,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już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teraz</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 xml:space="preserve">jest </w:t>
      </w:r>
      <w:r w:rsidRPr="00D44D33">
        <w:rPr>
          <w:rFonts w:ascii="Times New Roman" w:eastAsia="Times New Roman" w:hAnsi="Times New Roman" w:cs="Times New Roman"/>
          <w:sz w:val="24"/>
          <w:szCs w:val="24"/>
        </w:rPr>
        <w:t>potrzebne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rozmieszczenie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przyszłości.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przedstawiono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wizję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gigabitowego”,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dostępność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dużej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przepustowości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umożliwia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powszechne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aplikacji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jednolitego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Realizacja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wymaga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osiągnięcia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2025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trzech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strategicznych: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gigabitowego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miejscach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siłę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napędową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rozwoju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społeczno-gospodarczego,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wspierać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wzrost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zatrudnienie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obszarach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miejskich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szlakach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zasięgu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wspierać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konkurencyjność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gospodarstwach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domowych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przepustowości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najmniej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100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Mb/s,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wspierać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spójność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Europy.</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Rząd</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Rzeczypospolitej</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Polskiej,</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ślad</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komunikatem</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Komisji,</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przyjętej</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Radę</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Ministrów</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 xml:space="preserve">uchwały nr 27/2020 z </w:t>
      </w:r>
      <w:r w:rsidR="3C8C1B65" w:rsidRPr="00D44D33">
        <w:rPr>
          <w:rFonts w:ascii="Times New Roman" w:eastAsia="Times New Roman" w:hAnsi="Times New Roman" w:cs="Times New Roman"/>
          <w:sz w:val="24"/>
          <w:szCs w:val="24"/>
        </w:rPr>
        <w:t>dni</w:t>
      </w:r>
      <w:r w:rsidR="00106B7C"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10</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marca</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2020</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r</w:t>
      </w:r>
      <w:r w:rsidR="0087444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zmieniającej uchwałę w sprawie przyjęcia programu rozwoju</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w:t>
      </w:r>
      <w:r w:rsidR="3C8C1B65" w:rsidRPr="00D44D33">
        <w:rPr>
          <w:rFonts w:ascii="Times New Roman" w:eastAsia="Times New Roman" w:hAnsi="Times New Roman" w:cs="Times New Roman"/>
          <w:sz w:val="24"/>
          <w:szCs w:val="24"/>
        </w:rPr>
        <w:t>Narodow</w:t>
      </w:r>
      <w:r w:rsidR="00106B7C" w:rsidRPr="00D44D33">
        <w:rPr>
          <w:rFonts w:ascii="Times New Roman" w:eastAsia="Times New Roman" w:hAnsi="Times New Roman" w:cs="Times New Roman"/>
          <w:sz w:val="24"/>
          <w:szCs w:val="24"/>
        </w:rPr>
        <w:t>y</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Plan</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Szerokopasmow</w:t>
      </w:r>
      <w:r w:rsidR="00106B7C" w:rsidRPr="00D44D33">
        <w:rPr>
          <w:rFonts w:ascii="Times New Roman" w:eastAsia="Times New Roman" w:hAnsi="Times New Roman" w:cs="Times New Roman"/>
          <w:sz w:val="24"/>
          <w:szCs w:val="24"/>
        </w:rPr>
        <w:t>y”</w:t>
      </w:r>
      <w:r w:rsidR="3C8C1B65"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 xml:space="preserve">aktualizującej ten Plan, </w:t>
      </w:r>
      <w:r w:rsidR="3C8C1B65" w:rsidRPr="00D44D33">
        <w:rPr>
          <w:rFonts w:ascii="Times New Roman" w:eastAsia="Times New Roman" w:hAnsi="Times New Roman" w:cs="Times New Roman"/>
          <w:sz w:val="24"/>
          <w:szCs w:val="24"/>
        </w:rPr>
        <w:t>zobowiązał</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celów</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ciągu</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najbliższych</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3C8C1B65" w:rsidRPr="00D44D33">
        <w:rPr>
          <w:rFonts w:ascii="Times New Roman" w:eastAsia="Times New Roman" w:hAnsi="Times New Roman" w:cs="Times New Roman"/>
          <w:sz w:val="24"/>
          <w:szCs w:val="24"/>
        </w:rPr>
        <w:t>lat</w:t>
      </w:r>
      <w:r w:rsidR="00C53EAB" w:rsidRPr="00D44D33">
        <w:rPr>
          <w:rFonts w:ascii="Times New Roman" w:eastAsia="Times New Roman" w:hAnsi="Times New Roman" w:cs="Times New Roman"/>
          <w:sz w:val="24"/>
          <w:szCs w:val="24"/>
        </w:rPr>
        <w:t>.</w:t>
      </w:r>
    </w:p>
    <w:p w14:paraId="06C80973" w14:textId="6E4B8CB2" w:rsidR="38DEF9C2" w:rsidRPr="00D44D33" w:rsidRDefault="38DEF9C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pomóc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urzeczywistnić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wizję,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komunikacie</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 xml:space="preserve">Komisji </w:t>
      </w:r>
      <w:r w:rsidRPr="00D44D33">
        <w:rPr>
          <w:rFonts w:ascii="Times New Roman" w:eastAsia="Times New Roman" w:hAnsi="Times New Roman" w:cs="Times New Roman"/>
          <w:sz w:val="24"/>
          <w:szCs w:val="24"/>
        </w:rPr>
        <w:t>zaproponowano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szereg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inicjatyw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stworzeniu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odpowiednich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niezbędnych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inwestycji,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zrealizowane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rynek.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Inicjatywy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obejmują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istotną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reformę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dziedzinie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postaci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towarzyszącego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ustawodawczego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sprawie</w:t>
      </w:r>
      <w:r w:rsidR="00970B2E" w:rsidRPr="00D44D33">
        <w:rPr>
          <w:rFonts w:ascii="Times New Roman" w:eastAsia="Times New Roman" w:hAnsi="Times New Roman" w:cs="Times New Roman"/>
          <w:sz w:val="24"/>
          <w:szCs w:val="24"/>
        </w:rPr>
        <w:t xml:space="preserve"> </w:t>
      </w:r>
      <w:r w:rsidR="2F9F2A80" w:rsidRPr="00D44D33">
        <w:rPr>
          <w:rFonts w:ascii="Times New Roman" w:eastAsia="Times New Roman" w:hAnsi="Times New Roman" w:cs="Times New Roman"/>
          <w:sz w:val="24"/>
          <w:szCs w:val="24"/>
        </w:rPr>
        <w:t>e</w:t>
      </w:r>
      <w:r w:rsidRPr="00D44D33">
        <w:rPr>
          <w:rFonts w:ascii="Times New Roman" w:eastAsia="Times New Roman" w:hAnsi="Times New Roman" w:cs="Times New Roman"/>
          <w:sz w:val="24"/>
          <w:szCs w:val="24"/>
        </w:rPr>
        <w:t>uropejskiego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kodeksu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(kodeksu)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sprawie</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lastRenderedPageBreak/>
        <w:t>Organu Europejskich Regulatorów Łączności Elektronicznej (</w:t>
      </w:r>
      <w:r w:rsidRPr="00D44D33">
        <w:rPr>
          <w:rFonts w:ascii="Times New Roman" w:eastAsia="Times New Roman" w:hAnsi="Times New Roman" w:cs="Times New Roman"/>
          <w:sz w:val="24"/>
          <w:szCs w:val="24"/>
        </w:rPr>
        <w:t>BEREC</w:t>
      </w:r>
      <w:r w:rsidR="00106B7C" w:rsidRPr="00D44D33">
        <w:rPr>
          <w:rFonts w:ascii="Times New Roman" w:eastAsia="Times New Roman" w:hAnsi="Times New Roman" w:cs="Times New Roman"/>
          <w:sz w:val="24"/>
          <w:szCs w:val="24"/>
        </w:rPr>
        <w: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plan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dalsze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finansowe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polityki,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zarówno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szczeblu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unijnym,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lokalnym,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inicjatywy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„Wi-Fi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sprzyjać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powszechnej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połączeń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Wi-Fi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całej</w:t>
      </w:r>
      <w:r w:rsidR="00970B2E" w:rsidRPr="00D44D33">
        <w:rPr>
          <w:rFonts w:ascii="Times New Roman" w:eastAsia="Times New Roman" w:hAnsi="Times New Roman" w:cs="Times New Roman"/>
          <w:sz w:val="24"/>
          <w:szCs w:val="24"/>
        </w:rPr>
        <w:t xml:space="preserve"> </w:t>
      </w:r>
      <w:r w:rsidR="00106B7C" w:rsidRPr="00D44D33">
        <w:rPr>
          <w:rFonts w:ascii="Times New Roman" w:eastAsia="Times New Roman" w:hAnsi="Times New Roman" w:cs="Times New Roman"/>
          <w:sz w:val="24"/>
          <w:szCs w:val="24"/>
        </w:rPr>
        <w:t>Unii Europejskiej (</w:t>
      </w:r>
      <w:r w:rsidRPr="00D44D33">
        <w:rPr>
          <w:rFonts w:ascii="Times New Roman" w:eastAsia="Times New Roman" w:hAnsi="Times New Roman" w:cs="Times New Roman"/>
          <w:sz w:val="24"/>
          <w:szCs w:val="24"/>
        </w:rPr>
        <w:t>UE</w:t>
      </w:r>
      <w:r w:rsidR="00106B7C" w:rsidRPr="00D44D33">
        <w:rPr>
          <w:rFonts w:ascii="Times New Roman" w:eastAsia="Times New Roman" w:hAnsi="Times New Roman" w:cs="Times New Roman"/>
          <w:sz w:val="24"/>
          <w:szCs w:val="24"/>
        </w:rPr>
        <w: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ożywienie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zwiększenie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konkurencyjności,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zachęcenie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społeczeństw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aktywnego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uczestnictwa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jednolitym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sprostanie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większym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Europejczyków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łączności.</w:t>
      </w:r>
    </w:p>
    <w:p w14:paraId="431F46FC" w14:textId="4EBDA304" w:rsidR="26C1DEE0" w:rsidRPr="00D44D33" w:rsidRDefault="26C1DEE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Rozwój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szybkich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szerokopasmowych,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zarówno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światłowodowych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371EEA">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bezprzewodowych,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uznawany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strategicznych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elementów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rozwoju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gospodarczego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Duży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nacisk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chwili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kładzie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traktowane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najważniejszych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czynników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postęp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ekonomiczny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techniczny,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przezwyciężania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kryzysu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wywołanego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pandemią.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uruchamiane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świecie,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tempo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procesu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poszczególnych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decydowało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t>
      </w:r>
      <w:r w:rsidR="00106B7C"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świecie,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samym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Umożliwią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innowacyjnych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inteligentne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miasta</w:t>
      </w:r>
      <w:r w:rsidR="00106B7C" w:rsidRPr="00D44D33">
        <w:rPr>
          <w:rFonts w:ascii="Times New Roman" w:eastAsia="Times New Roman" w:hAnsi="Times New Roman" w:cs="Times New Roman"/>
          <w:sz w:val="24"/>
          <w:szCs w:val="24"/>
        </w:rPr>
        <w:t xml:space="preserve"> 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inteligentne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transportowe,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przekształcając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dotychczasowe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modele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biznesowe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wprowadzając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nowe</w:t>
      </w:r>
      <w:r w:rsidR="00106B7C" w:rsidRPr="00D44D33">
        <w:rPr>
          <w:rFonts w:ascii="Times New Roman" w:eastAsia="Times New Roman" w:hAnsi="Times New Roman" w:cs="Times New Roman"/>
          <w:sz w:val="24"/>
          <w:szCs w:val="24"/>
        </w:rPr>
        <w:t xml:space="preserve"> modele</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całkowicie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zmienią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sposoby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interakcji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urządzeniami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mobilnymi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otaczającym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końcowych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środowi</w:t>
      </w:r>
      <w:r w:rsidRPr="00D44D33">
        <w:rPr>
          <w:rFonts w:ascii="Times New Roman" w:eastAsia="Times New Roman" w:hAnsi="Times New Roman" w:cs="Times New Roman"/>
          <w:sz w:val="24"/>
          <w:szCs w:val="24"/>
        </w:rPr>
        <w:lastRenderedPageBreak/>
        <w:t>skiem.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2020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CF7FB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prowadziła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wzmocnienia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konkurencyjności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innowacyjności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dając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szansę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gospodarczym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umocnienie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swojej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zaawansowanych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obszarach.</w:t>
      </w:r>
    </w:p>
    <w:p w14:paraId="21F312F5" w14:textId="3725BBD3" w:rsidR="5E5E7E32" w:rsidRPr="00D44D33" w:rsidRDefault="7DDD3B4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ostatnich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miesiącach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jesteśmy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świadkami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narastającej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fali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dezinformacji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rozprzestrzeniania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fake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newsów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kluczowych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kwestii: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pandemii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mobilnej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infrastruktury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kolei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wydarzenia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czerwca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2020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CF7FB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pokazały,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intensywnych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zdecydowane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dementowanie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wszelkich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szkodliwe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oddziaływanie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bazowych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telefonii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komórkowej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panującą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pandemią,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okazały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niewystarczające.</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Dodatkowo</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pojawiły</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nawoływania</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niszczenia</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typu</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infrastruktury.</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Mają</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one</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charakter</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systematycznego</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zasilania</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treściami,</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nakierowanymi</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wywołanie</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określonych</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reakcji</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działań,</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już</w:t>
      </w:r>
      <w:r w:rsidR="00970B2E" w:rsidRPr="00D44D33">
        <w:rPr>
          <w:rFonts w:ascii="Times New Roman" w:eastAsia="Times New Roman" w:hAnsi="Times New Roman" w:cs="Times New Roman"/>
          <w:sz w:val="24"/>
          <w:szCs w:val="24"/>
        </w:rPr>
        <w:t xml:space="preserve"> </w:t>
      </w:r>
      <w:r w:rsidR="3B6E6DFC" w:rsidRPr="00D44D33">
        <w:rPr>
          <w:rFonts w:ascii="Times New Roman" w:eastAsia="Times New Roman" w:hAnsi="Times New Roman" w:cs="Times New Roman"/>
          <w:sz w:val="24"/>
          <w:szCs w:val="24"/>
        </w:rPr>
        <w:t>nastąpiło.</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przeciwdziałania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dezinformacji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uruchomiona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została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stro</w:t>
      </w:r>
      <w:r w:rsidR="234A5C2C"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internetow</w:t>
      </w:r>
      <w:r w:rsidR="3420A7BE"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poświęcon</w:t>
      </w:r>
      <w:r w:rsidR="16E503FC"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zagadnieniom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dotyczącym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polu</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elektromagnetycznemu</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t>
      </w:r>
      <w:hyperlink r:id="rId8" w:history="1">
        <w:r w:rsidR="1E30C08A" w:rsidRPr="00D44D33">
          <w:rPr>
            <w:rStyle w:val="Hipercze"/>
            <w:rFonts w:ascii="Times New Roman" w:eastAsia="Calibri" w:hAnsi="Times New Roman" w:cs="Times New Roman"/>
            <w:color w:val="auto"/>
            <w:sz w:val="24"/>
            <w:szCs w:val="24"/>
            <w:u w:val="none"/>
          </w:rPr>
          <w:t>www.gov.pl/web/5G</w:t>
        </w:r>
      </w:hyperlink>
      <w:r w:rsidR="1E30C08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stronie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tej</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publikowane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aktualności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wdrożenia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Polsce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świecie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temat</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badań</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raportów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pola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elektromagnetycznego.</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działań</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edukacyjnych</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udostępniono</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napisany</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przystępnym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językiem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„Przewodnik</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5G”,</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przedstawiono</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najważniejsze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zagadnienia</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nowej</w:t>
      </w:r>
      <w:r w:rsidR="00970B2E" w:rsidRPr="00D44D33">
        <w:rPr>
          <w:rFonts w:ascii="Times New Roman" w:eastAsia="Times New Roman" w:hAnsi="Times New Roman" w:cs="Times New Roman"/>
          <w:sz w:val="24"/>
          <w:szCs w:val="24"/>
        </w:rPr>
        <w:t xml:space="preserve"> </w:t>
      </w:r>
      <w:r w:rsidR="1E30C08A" w:rsidRPr="00D44D33">
        <w:rPr>
          <w:rFonts w:ascii="Times New Roman" w:eastAsia="Times New Roman" w:hAnsi="Times New Roman" w:cs="Times New Roman"/>
          <w:sz w:val="24"/>
          <w:szCs w:val="24"/>
        </w:rPr>
        <w:t>generacji.</w:t>
      </w:r>
    </w:p>
    <w:p w14:paraId="052AF994" w14:textId="39412553" w:rsidR="2CFE7CE7" w:rsidRPr="00D44D33" w:rsidRDefault="2CFE7CE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lastRenderedPageBreak/>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zasięg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mobilnych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gwarantują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edukacji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zajęć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kontekst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edukacji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fundamentalne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Przerwy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edukacji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głęboko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zaszkodzić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rozwojowi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dziecka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utrudnić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zmniejszenie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różnic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osiągnięciach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rodzinami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371EEA">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niskich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dochodach.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obliczu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sytuacji</w:t>
      </w:r>
      <w:r w:rsidR="00AA0145">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znajduje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371EEA">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pandemią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koronawirusa,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kluczowe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szerokopasmowego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Jednocześnie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musimy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technicznie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przygotowani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kolejnego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lockdownu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SARS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CoV-2.</w:t>
      </w:r>
      <w:r w:rsidR="00970B2E" w:rsidRPr="00D44D33">
        <w:rPr>
          <w:rFonts w:ascii="Times New Roman" w:eastAsia="Times New Roman" w:hAnsi="Times New Roman" w:cs="Times New Roman"/>
          <w:sz w:val="24"/>
          <w:szCs w:val="24"/>
        </w:rPr>
        <w:t xml:space="preserve"> </w:t>
      </w:r>
    </w:p>
    <w:p w14:paraId="34867104" w14:textId="5A71A9CA" w:rsidR="008F5B98" w:rsidRPr="00D44D33" w:rsidRDefault="45672DB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6E0C66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3A7F8EA" w:rsidRPr="00D44D33">
        <w:rPr>
          <w:rFonts w:ascii="Times New Roman" w:eastAsiaTheme="minorEastAsia" w:hAnsi="Times New Roman" w:cs="Times New Roman"/>
          <w:sz w:val="24"/>
          <w:szCs w:val="24"/>
        </w:rPr>
        <w:t>zwany</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w:t>
      </w:r>
      <w:r w:rsidR="43404BD5" w:rsidRPr="00D44D33">
        <w:rPr>
          <w:rFonts w:ascii="Times New Roman" w:eastAsiaTheme="minorEastAsia" w:hAnsi="Times New Roman" w:cs="Times New Roman"/>
          <w:sz w:val="24"/>
          <w:szCs w:val="24"/>
        </w:rPr>
        <w:t>Pke</w:t>
      </w:r>
      <w:r w:rsidR="6E0C66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D3BDFD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C71F2A" w:rsidRPr="00D44D33">
        <w:rPr>
          <w:rFonts w:ascii="Times New Roman" w:eastAsiaTheme="minorEastAsia" w:hAnsi="Times New Roman" w:cs="Times New Roman"/>
          <w:sz w:val="24"/>
          <w:szCs w:val="24"/>
        </w:rPr>
        <w:t>„</w:t>
      </w:r>
      <w:r w:rsidR="2D3BDFD6"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2D3BDFD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kompleksowo</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D3E1240"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D3E1240"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1961ACA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1961ACA7" w:rsidRPr="00D44D33">
        <w:rPr>
          <w:rFonts w:ascii="Times New Roman" w:eastAsiaTheme="minorEastAsia" w:hAnsi="Times New Roman" w:cs="Times New Roman"/>
          <w:sz w:val="24"/>
          <w:szCs w:val="24"/>
        </w:rPr>
        <w:t>polegającej</w:t>
      </w:r>
      <w:r w:rsidR="00970B2E" w:rsidRPr="00D44D33">
        <w:rPr>
          <w:rFonts w:ascii="Times New Roman" w:eastAsiaTheme="minorEastAsia" w:hAnsi="Times New Roman" w:cs="Times New Roman"/>
          <w:sz w:val="24"/>
          <w:szCs w:val="24"/>
        </w:rPr>
        <w:t xml:space="preserve"> </w:t>
      </w:r>
      <w:r w:rsidR="1961ACA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94769" w:rsidRPr="00D44D33">
        <w:rPr>
          <w:rFonts w:ascii="Times New Roman" w:eastAsiaTheme="minorEastAsia" w:hAnsi="Times New Roman" w:cs="Times New Roman"/>
          <w:sz w:val="24"/>
          <w:szCs w:val="24"/>
        </w:rPr>
        <w:t xml:space="preserve">zapewnieniu </w:t>
      </w:r>
      <w:r w:rsidR="1961ACA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961ACA7" w:rsidRPr="00D44D33">
        <w:rPr>
          <w:rFonts w:ascii="Times New Roman" w:eastAsiaTheme="minorEastAsia" w:hAnsi="Times New Roman" w:cs="Times New Roman"/>
          <w:sz w:val="24"/>
          <w:szCs w:val="24"/>
        </w:rPr>
        <w:t>elektronicznej</w:t>
      </w:r>
      <w:r w:rsidR="14891B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regulowania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elektronicznej</w:t>
      </w:r>
      <w:r w:rsidR="14891B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orbitalnymi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numeracj</w:t>
      </w:r>
      <w:r w:rsidR="6E0C6695" w:rsidRPr="00D44D33">
        <w:rPr>
          <w:rFonts w:ascii="Times New Roman" w:eastAsiaTheme="minorEastAsia" w:hAnsi="Times New Roman" w:cs="Times New Roman"/>
          <w:sz w:val="24"/>
          <w:szCs w:val="24"/>
        </w:rPr>
        <w:t>i</w:t>
      </w:r>
      <w:r w:rsidR="14891B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1961ACA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961ACA7" w:rsidRPr="00D44D33">
        <w:rPr>
          <w:rFonts w:ascii="Times New Roman" w:eastAsiaTheme="minorEastAsia" w:hAnsi="Times New Roman" w:cs="Times New Roman"/>
          <w:sz w:val="24"/>
          <w:szCs w:val="24"/>
        </w:rPr>
        <w:t>elektronicznej</w:t>
      </w:r>
      <w:r w:rsidR="14891B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materia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telekomunikacyjne</w:t>
      </w:r>
      <w:r w:rsidR="00C94769" w:rsidRPr="00D44D33">
        <w:rPr>
          <w:rFonts w:ascii="Times New Roman" w:eastAsiaTheme="minorEastAsia" w:hAnsi="Times New Roman" w:cs="Times New Roman"/>
          <w:sz w:val="24"/>
          <w:szCs w:val="24"/>
        </w:rPr>
        <w:t xml:space="preserve"> (Dz. U. z 202</w:t>
      </w:r>
      <w:r w:rsidR="004C248E" w:rsidRPr="00D44D33">
        <w:rPr>
          <w:rFonts w:ascii="Times New Roman" w:eastAsiaTheme="minorEastAsia" w:hAnsi="Times New Roman" w:cs="Times New Roman"/>
          <w:sz w:val="24"/>
          <w:szCs w:val="24"/>
        </w:rPr>
        <w:t>2</w:t>
      </w:r>
      <w:r w:rsidR="00C94769" w:rsidRPr="00D44D33">
        <w:rPr>
          <w:rFonts w:ascii="Times New Roman" w:eastAsiaTheme="minorEastAsia" w:hAnsi="Times New Roman" w:cs="Times New Roman"/>
          <w:sz w:val="24"/>
          <w:szCs w:val="24"/>
        </w:rPr>
        <w:t xml:space="preserve"> poz. </w:t>
      </w:r>
      <w:r w:rsidR="004C248E" w:rsidRPr="00D44D33">
        <w:rPr>
          <w:rFonts w:ascii="Times New Roman" w:eastAsiaTheme="minorEastAsia" w:hAnsi="Times New Roman" w:cs="Times New Roman"/>
          <w:sz w:val="24"/>
          <w:szCs w:val="24"/>
        </w:rPr>
        <w:t>1648 i 1933</w:t>
      </w:r>
      <w:r w:rsidR="00C94769" w:rsidRPr="00D44D33">
        <w:rPr>
          <w:rFonts w:ascii="Times New Roman" w:eastAsiaTheme="minorEastAsia" w:hAnsi="Times New Roman" w:cs="Times New Roman"/>
          <w:sz w:val="24"/>
          <w:szCs w:val="24"/>
        </w:rPr>
        <w:t>)</w:t>
      </w:r>
      <w:r w:rsidR="6E0C66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E0C6695" w:rsidRPr="00D44D33">
        <w:rPr>
          <w:rFonts w:ascii="Times New Roman" w:eastAsiaTheme="minorEastAsia" w:hAnsi="Times New Roman" w:cs="Times New Roman"/>
          <w:sz w:val="24"/>
          <w:szCs w:val="24"/>
        </w:rPr>
        <w:t>zwan</w:t>
      </w:r>
      <w:r w:rsidR="35C7CB20"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944E86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C71F2A" w:rsidRPr="00D44D33">
        <w:rPr>
          <w:rFonts w:ascii="Times New Roman" w:eastAsiaTheme="minorEastAsia" w:hAnsi="Times New Roman" w:cs="Times New Roman"/>
          <w:sz w:val="24"/>
          <w:szCs w:val="24"/>
        </w:rPr>
        <w:t>„</w:t>
      </w:r>
      <w:r w:rsidR="1944E86E"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1944E86E" w:rsidRPr="00D44D33">
        <w:rPr>
          <w:rFonts w:ascii="Times New Roman" w:eastAsiaTheme="minorEastAsia" w:hAnsi="Times New Roman" w:cs="Times New Roman"/>
          <w:sz w:val="24"/>
          <w:szCs w:val="24"/>
        </w:rPr>
        <w:t>Pt”</w:t>
      </w:r>
      <w:r w:rsidR="14891B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zastąpiona</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niniejszą</w:t>
      </w:r>
      <w:r w:rsidR="00970B2E" w:rsidRPr="00D44D33">
        <w:rPr>
          <w:rFonts w:ascii="Times New Roman" w:eastAsiaTheme="minorEastAsia" w:hAnsi="Times New Roman" w:cs="Times New Roman"/>
          <w:sz w:val="24"/>
          <w:szCs w:val="24"/>
        </w:rPr>
        <w:t xml:space="preserve"> </w:t>
      </w:r>
      <w:r w:rsidR="14891BDC" w:rsidRPr="00D44D33">
        <w:rPr>
          <w:rFonts w:ascii="Times New Roman" w:eastAsiaTheme="minorEastAsia" w:hAnsi="Times New Roman" w:cs="Times New Roman"/>
          <w:sz w:val="24"/>
          <w:szCs w:val="24"/>
        </w:rPr>
        <w:t>ustawą.</w:t>
      </w:r>
    </w:p>
    <w:p w14:paraId="24AA67CB" w14:textId="09F1E03F" w:rsidR="008F5B98" w:rsidRPr="00D44D33" w:rsidRDefault="00C9476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Konieczność o</w:t>
      </w:r>
      <w:r w:rsidR="008F5B98" w:rsidRPr="00D44D33">
        <w:rPr>
          <w:rFonts w:ascii="Times New Roman" w:eastAsiaTheme="minorEastAsia" w:hAnsi="Times New Roman" w:cs="Times New Roman"/>
          <w:sz w:val="24"/>
          <w:szCs w:val="24"/>
        </w:rPr>
        <w:t>pracowani</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F5B98"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008F5B98"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D71C5"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9D71C5" w:rsidRPr="00D44D33">
        <w:rPr>
          <w:rFonts w:ascii="Times New Roman" w:eastAsiaTheme="minorEastAsia" w:hAnsi="Times New Roman" w:cs="Times New Roman"/>
          <w:sz w:val="24"/>
          <w:szCs w:val="24"/>
        </w:rPr>
        <w:t>wdrożenia</w:t>
      </w:r>
      <w:r w:rsidR="00970B2E" w:rsidRPr="00D44D33">
        <w:rPr>
          <w:rFonts w:ascii="Times New Roman" w:eastAsiaTheme="minorEastAsia" w:hAnsi="Times New Roman" w:cs="Times New Roman"/>
          <w:sz w:val="24"/>
          <w:szCs w:val="24"/>
        </w:rPr>
        <w:t xml:space="preserve"> </w:t>
      </w:r>
      <w:r w:rsidR="009D71C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polskiego</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C5796A" w:rsidRPr="00D44D33">
        <w:rPr>
          <w:rFonts w:ascii="Times New Roman" w:eastAsiaTheme="minorEastAsia" w:hAnsi="Times New Roman" w:cs="Times New Roman"/>
          <w:sz w:val="24"/>
          <w:szCs w:val="24"/>
        </w:rPr>
        <w:t>yrektywy</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2018/1972</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lastRenderedPageBreak/>
        <w:t>dnia</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11</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ustanawiającej</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Europejski</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kodeks</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elektroniczne</w:t>
      </w:r>
      <w:r w:rsidR="00673A7D" w:rsidRPr="00D44D33">
        <w:rPr>
          <w:rFonts w:ascii="Times New Roman" w:eastAsiaTheme="minorEastAsia" w:hAnsi="Times New Roman" w:cs="Times New Roman"/>
          <w:sz w:val="24"/>
          <w:szCs w:val="24"/>
        </w:rPr>
        <w:t>j</w:t>
      </w:r>
      <w:r w:rsidR="004A5C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71F2A" w:rsidRPr="00D44D33">
        <w:rPr>
          <w:rFonts w:ascii="Times New Roman" w:eastAsiaTheme="minorEastAsia" w:hAnsi="Times New Roman" w:cs="Times New Roman"/>
          <w:sz w:val="24"/>
          <w:szCs w:val="24"/>
        </w:rPr>
        <w:t>zwany</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C5796A"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3A753A" w:rsidRPr="00D44D33">
        <w:rPr>
          <w:rStyle w:val="normaltextrun"/>
          <w:rFonts w:ascii="Times New Roman" w:hAnsi="Times New Roman" w:cs="Times New Roman"/>
          <w:sz w:val="24"/>
          <w:szCs w:val="24"/>
        </w:rPr>
        <w:t>Zastąpienie</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dotychczasowej</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ustawy</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Pt</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nowym</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aktem</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prawnym</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uzasadnione</w:t>
      </w:r>
      <w:r w:rsidR="00970B2E" w:rsidRPr="00D44D33">
        <w:rPr>
          <w:rStyle w:val="normaltextrun"/>
          <w:rFonts w:ascii="Times New Roman" w:hAnsi="Times New Roman" w:cs="Times New Roman"/>
          <w:sz w:val="24"/>
          <w:szCs w:val="24"/>
        </w:rPr>
        <w:t xml:space="preserve"> </w:t>
      </w:r>
      <w:r w:rsidR="003A753A" w:rsidRPr="00D44D33">
        <w:rPr>
          <w:rStyle w:val="normaltextrun"/>
          <w:rFonts w:ascii="Times New Roman" w:hAnsi="Times New Roman" w:cs="Times New Roman"/>
          <w:sz w:val="24"/>
          <w:szCs w:val="24"/>
        </w:rPr>
        <w:t>jest</w:t>
      </w:r>
      <w:r w:rsidR="00970B2E" w:rsidRPr="00D44D33">
        <w:rPr>
          <w:rStyle w:val="normaltextrun"/>
          <w:rFonts w:ascii="Times New Roman" w:hAnsi="Times New Roman" w:cs="Times New Roman"/>
          <w:sz w:val="24"/>
          <w:szCs w:val="24"/>
        </w:rPr>
        <w:t xml:space="preserve"> </w:t>
      </w:r>
      <w:r w:rsidR="00C23A15" w:rsidRPr="00D44D33">
        <w:rPr>
          <w:rFonts w:ascii="Times New Roman" w:eastAsiaTheme="minorEastAsia" w:hAnsi="Times New Roman" w:cs="Times New Roman"/>
          <w:sz w:val="24"/>
          <w:szCs w:val="24"/>
        </w:rPr>
        <w:t>z</w:t>
      </w:r>
      <w:r w:rsidR="00B708B9" w:rsidRPr="00D44D33">
        <w:rPr>
          <w:rFonts w:ascii="Times New Roman" w:eastAsiaTheme="minorEastAsia" w:hAnsi="Times New Roman" w:cs="Times New Roman"/>
          <w:sz w:val="24"/>
          <w:szCs w:val="24"/>
        </w:rPr>
        <w:t>akres</w:t>
      </w:r>
      <w:r w:rsidR="003A753A" w:rsidRPr="00D44D33">
        <w:rPr>
          <w:rFonts w:ascii="Times New Roman" w:eastAsiaTheme="minorEastAsia" w:hAnsi="Times New Roman" w:cs="Times New Roman"/>
          <w:sz w:val="24"/>
          <w:szCs w:val="24"/>
        </w:rPr>
        <w:t>em</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iloś</w:t>
      </w:r>
      <w:r w:rsidR="003A753A" w:rsidRPr="00D44D33">
        <w:rPr>
          <w:rFonts w:ascii="Times New Roman" w:eastAsiaTheme="minorEastAsia" w:hAnsi="Times New Roman" w:cs="Times New Roman"/>
          <w:sz w:val="24"/>
          <w:szCs w:val="24"/>
        </w:rPr>
        <w:t>cią</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koniecznoś</w:t>
      </w:r>
      <w:r w:rsidR="003A753A" w:rsidRPr="00D44D33">
        <w:rPr>
          <w:rFonts w:ascii="Times New Roman" w:eastAsiaTheme="minorEastAsia" w:hAnsi="Times New Roman" w:cs="Times New Roman"/>
          <w:sz w:val="24"/>
          <w:szCs w:val="24"/>
        </w:rPr>
        <w:t>cią</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uporządkowania</w:t>
      </w:r>
      <w:r w:rsidR="00AF757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przeredagowania</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niejednokrotnie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uproszczenia</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funkcjonujących</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08B9"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B708B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85C9935" w14:textId="77777777" w:rsidR="4FE16AFA" w:rsidRPr="00D44D33" w:rsidRDefault="4FE16AF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EKŁE:</w:t>
      </w:r>
    </w:p>
    <w:p w14:paraId="536E6483" w14:textId="1A5DA0E5" w:rsidR="4FE16AFA" w:rsidRPr="00D44D33" w:rsidRDefault="4FE16AFA" w:rsidP="00D44D33">
      <w:pPr>
        <w:pStyle w:val="Akapitzlist"/>
        <w:numPr>
          <w:ilvl w:val="0"/>
          <w:numId w:val="76"/>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zawiera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szereg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uaktualnionych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towarzyszące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p>
    <w:p w14:paraId="4D12E2C3" w14:textId="18CE4EA8" w:rsidR="4FE16AFA" w:rsidRPr="00D44D33" w:rsidRDefault="4FE16AFA" w:rsidP="00D44D33">
      <w:pPr>
        <w:pStyle w:val="Akapitzlist"/>
        <w:numPr>
          <w:ilvl w:val="0"/>
          <w:numId w:val="76"/>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określa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regulacyjne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szereg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procedur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harmonizacji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p>
    <w:p w14:paraId="68921F44" w14:textId="3A1FA53D" w:rsidR="4FE16AFA" w:rsidRPr="00D44D33" w:rsidRDefault="4FE16AFA" w:rsidP="00D44D33">
      <w:pPr>
        <w:pStyle w:val="Akapitzlist"/>
        <w:numPr>
          <w:ilvl w:val="0"/>
          <w:numId w:val="76"/>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stymulowanie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konkurencji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zwiększenie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inwestycji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5G</w:t>
      </w:r>
      <w:r w:rsidR="00970B2E" w:rsidRPr="00D44D33">
        <w:rPr>
          <w:rStyle w:val="Hipercze"/>
          <w:rFonts w:ascii="Times New Roman" w:eastAsia="Times New Roman" w:hAnsi="Times New Roman" w:cs="Times New Roman"/>
          <w:color w:val="auto"/>
          <w:sz w:val="24"/>
          <w:szCs w:val="24"/>
          <w:u w:val="none"/>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dużej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przepustowości,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łączności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cieszyć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poziomem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konsumentów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większym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wyborem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innowacyjnych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cyfrowych.</w:t>
      </w:r>
    </w:p>
    <w:p w14:paraId="48C65808" w14:textId="62DB844C" w:rsidR="4FE16AFA" w:rsidRPr="00D44D33" w:rsidRDefault="4FE16AF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Cele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ogólne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EKŁE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p>
    <w:p w14:paraId="7C2C0D0F" w14:textId="0AFCAB50" w:rsidR="4FE16AFA" w:rsidRPr="00D44D33" w:rsidRDefault="4FE16AFA" w:rsidP="00D44D33">
      <w:pPr>
        <w:pStyle w:val="Akapitzlist"/>
        <w:numPr>
          <w:ilvl w:val="0"/>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lastRenderedPageBreak/>
        <w:t>promowanie</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łączności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dużej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przepustowości,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stacjonarnych,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ruchomych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bezprzewodowych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p>
    <w:p w14:paraId="40FDF6B4" w14:textId="3B892B1A" w:rsidR="4FE16AFA" w:rsidRPr="00D44D33" w:rsidRDefault="4FE16AFA" w:rsidP="00D44D33">
      <w:pPr>
        <w:pStyle w:val="Akapitzlist"/>
        <w:numPr>
          <w:ilvl w:val="0"/>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wspieranie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interesów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p>
    <w:p w14:paraId="69EE33C6" w14:textId="250F800D"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umożliwienie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czerpania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maksymalnych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względem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możliwości</w:t>
      </w:r>
      <w:r w:rsidR="00C71F2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wyboru,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dzięki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wydajnej</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konkurencji</w:t>
      </w:r>
      <w:r w:rsidR="00C71F2A" w:rsidRPr="00D44D33">
        <w:rPr>
          <w:rFonts w:ascii="Times New Roman" w:eastAsia="Times New Roman" w:hAnsi="Times New Roman" w:cs="Times New Roman"/>
          <w:bCs/>
          <w:sz w:val="24"/>
          <w:szCs w:val="24"/>
        </w:rPr>
        <w:t>,</w:t>
      </w:r>
    </w:p>
    <w:p w14:paraId="724531B5" w14:textId="15C89666"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b/>
          <w:bCs/>
          <w:sz w:val="24"/>
          <w:szCs w:val="24"/>
        </w:rPr>
      </w:pPr>
      <w:r w:rsidRPr="00D44D33">
        <w:rPr>
          <w:rFonts w:ascii="Times New Roman" w:eastAsia="Times New Roman" w:hAnsi="Times New Roman" w:cs="Times New Roman"/>
          <w:sz w:val="24"/>
          <w:szCs w:val="24"/>
        </w:rPr>
        <w:t>dbanie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bezpieczeństwo</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sieci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usług</w:t>
      </w:r>
      <w:r w:rsidR="00C71F2A" w:rsidRPr="00D44D33">
        <w:rPr>
          <w:rFonts w:ascii="Times New Roman" w:eastAsia="Times New Roman" w:hAnsi="Times New Roman" w:cs="Times New Roman"/>
          <w:bCs/>
          <w:sz w:val="24"/>
          <w:szCs w:val="24"/>
        </w:rPr>
        <w:t>,</w:t>
      </w:r>
    </w:p>
    <w:p w14:paraId="6390D37B" w14:textId="7437568A"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b/>
          <w:bCs/>
          <w:sz w:val="24"/>
          <w:szCs w:val="24"/>
        </w:rPr>
      </w:pPr>
      <w:r w:rsidRPr="00D44D33">
        <w:rPr>
          <w:rFonts w:ascii="Times New Roman" w:eastAsia="Times New Roman" w:hAnsi="Times New Roman" w:cs="Times New Roman"/>
          <w:sz w:val="24"/>
          <w:szCs w:val="24"/>
        </w:rPr>
        <w:t>zapewnianie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ochrony</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konsumentów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p>
    <w:p w14:paraId="460DF0B9" w14:textId="5774CF33"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b/>
          <w:bCs/>
          <w:sz w:val="24"/>
          <w:szCs w:val="24"/>
        </w:rPr>
      </w:pPr>
      <w:r w:rsidRPr="00D44D33">
        <w:rPr>
          <w:rFonts w:ascii="Times New Roman" w:eastAsia="Times New Roman" w:hAnsi="Times New Roman" w:cs="Times New Roman"/>
          <w:sz w:val="24"/>
          <w:szCs w:val="24"/>
        </w:rPr>
        <w:t>zaspokajanie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potrzeb</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konkretnych</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grup</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społecznych</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zwłaszcza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niepełnosprawnościami,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starszych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społecznych;</w:t>
      </w:r>
    </w:p>
    <w:p w14:paraId="1FD8B749" w14:textId="21C89998" w:rsidR="4FE16AFA" w:rsidRPr="00D44D33" w:rsidRDefault="4FE16AFA" w:rsidP="00D44D33">
      <w:pPr>
        <w:pStyle w:val="Akapitzlist"/>
        <w:numPr>
          <w:ilvl w:val="0"/>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ułatwianie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wchodzenia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rynek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promowanie</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konkurencji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dostarczaniu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towarzyszących;</w:t>
      </w:r>
    </w:p>
    <w:p w14:paraId="57FC2956" w14:textId="3C9C30EE" w:rsidR="4FE16AFA" w:rsidRPr="00D44D33" w:rsidRDefault="4FE16AFA" w:rsidP="00D44D33">
      <w:pPr>
        <w:pStyle w:val="Akapitzlist"/>
        <w:numPr>
          <w:ilvl w:val="0"/>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przyczynianie</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się</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do</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rozwoju</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rynku</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wewnętrznego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obszarze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opracowywanie</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wspólnych</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przepisów</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przewidywalnych</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podejść</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regulacyjnych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p>
    <w:p w14:paraId="7FCA9C75" w14:textId="7BB16349"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skutecznego,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wydajnego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skoordynowanego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widma</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radiowego</w:t>
      </w:r>
      <w:r w:rsidRPr="00D44D33">
        <w:rPr>
          <w:rFonts w:ascii="Times New Roman" w:eastAsia="Times New Roman" w:hAnsi="Times New Roman" w:cs="Times New Roman"/>
          <w:sz w:val="24"/>
          <w:szCs w:val="24"/>
        </w:rPr>
        <w:t>;</w:t>
      </w:r>
    </w:p>
    <w:p w14:paraId="1AE13B01" w14:textId="5F3AEEB0"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otwartych</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innowacji</w:t>
      </w:r>
      <w:r w:rsidRPr="00D44D33">
        <w:rPr>
          <w:rFonts w:ascii="Times New Roman" w:eastAsia="Times New Roman" w:hAnsi="Times New Roman" w:cs="Times New Roman"/>
          <w:sz w:val="24"/>
          <w:szCs w:val="24"/>
        </w:rPr>
        <w:t>;</w:t>
      </w:r>
    </w:p>
    <w:p w14:paraId="4DA14AA3" w14:textId="27C389F6"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lastRenderedPageBreak/>
        <w:t>rozwijania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b/>
          <w:bCs/>
          <w:sz w:val="24"/>
          <w:szCs w:val="24"/>
        </w:rPr>
        <w:t>sieci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transeuropejskich</w:t>
      </w:r>
      <w:r w:rsidRPr="00D44D33">
        <w:rPr>
          <w:rFonts w:ascii="Times New Roman" w:eastAsia="Times New Roman" w:hAnsi="Times New Roman" w:cs="Times New Roman"/>
          <w:sz w:val="24"/>
          <w:szCs w:val="24"/>
        </w:rPr>
        <w:t>;</w:t>
      </w:r>
    </w:p>
    <w:p w14:paraId="3FB92EAD" w14:textId="26BAC72C" w:rsidR="4FE16AFA"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dostępności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interoperacyjności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ogólnoeuropejskich</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p>
    <w:p w14:paraId="3E40660F" w14:textId="7E5FA021" w:rsidR="750036A2" w:rsidRPr="00D44D33" w:rsidRDefault="4FE16AFA" w:rsidP="00D44D33">
      <w:pPr>
        <w:pStyle w:val="Akapitzlist"/>
        <w:numPr>
          <w:ilvl w:val="1"/>
          <w:numId w:val="75"/>
        </w:num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połączeń</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między</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użytkownikami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końcowymi</w:t>
      </w:r>
      <w:r w:rsidRPr="00D44D33">
        <w:rPr>
          <w:rFonts w:ascii="Times New Roman" w:eastAsia="Times New Roman" w:hAnsi="Times New Roman" w:cs="Times New Roman"/>
          <w:sz w:val="24"/>
          <w:szCs w:val="24"/>
        </w:rPr>
        <w:t>.</w:t>
      </w:r>
    </w:p>
    <w:p w14:paraId="479824AA" w14:textId="5C956999" w:rsidR="07A5ADFD" w:rsidRPr="00D44D33" w:rsidRDefault="07A5ADF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uregulowane</w:t>
      </w:r>
      <w:r w:rsidR="5D7D583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B574128"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niestanowiące</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zarazem</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wymienić</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2D468BE6"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661282D2"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6B704D31" w:rsidRPr="00D44D33">
        <w:rPr>
          <w:rFonts w:ascii="Times New Roman" w:eastAsiaTheme="minorEastAsia" w:hAnsi="Times New Roman" w:cs="Times New Roman"/>
          <w:sz w:val="24"/>
          <w:szCs w:val="24"/>
        </w:rPr>
        <w:t>tajemni</w:t>
      </w:r>
      <w:r w:rsidR="7DAB8AA7" w:rsidRPr="00D44D33">
        <w:rPr>
          <w:rFonts w:ascii="Times New Roman" w:eastAsiaTheme="minorEastAsia" w:hAnsi="Times New Roman" w:cs="Times New Roman"/>
          <w:sz w:val="24"/>
          <w:szCs w:val="24"/>
        </w:rPr>
        <w:t>cy</w:t>
      </w:r>
      <w:r w:rsidR="00970B2E" w:rsidRPr="00D44D33">
        <w:rPr>
          <w:rFonts w:ascii="Times New Roman" w:eastAsiaTheme="minorEastAsia" w:hAnsi="Times New Roman" w:cs="Times New Roman"/>
          <w:sz w:val="24"/>
          <w:szCs w:val="24"/>
        </w:rPr>
        <w:t xml:space="preserve"> </w:t>
      </w:r>
      <w:r w:rsidR="7DAB8AA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188E1C2" w:rsidRPr="00D44D33">
        <w:rPr>
          <w:rFonts w:ascii="Times New Roman" w:eastAsiaTheme="minorEastAsia" w:hAnsi="Times New Roman" w:cs="Times New Roman"/>
          <w:sz w:val="24"/>
          <w:szCs w:val="24"/>
        </w:rPr>
        <w:t>elektronicznej</w:t>
      </w:r>
      <w:r w:rsidR="4DBAF9C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F1E46B7"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F1E46B7"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5F1E46B7"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5F1E46B7"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5F1E46B7" w:rsidRPr="00D44D33">
        <w:rPr>
          <w:rFonts w:ascii="Times New Roman" w:eastAsiaTheme="minorEastAsia" w:hAnsi="Times New Roman" w:cs="Times New Roman"/>
          <w:caps/>
          <w:sz w:val="24"/>
          <w:szCs w:val="24"/>
        </w:rPr>
        <w:t>2002/58/WE</w:t>
      </w:r>
      <w:r w:rsidR="00970B2E" w:rsidRPr="00D44D33">
        <w:rPr>
          <w:rFonts w:ascii="Times New Roman" w:eastAsiaTheme="minorEastAsia" w:hAnsi="Times New Roman" w:cs="Times New Roman"/>
          <w:caps/>
          <w:sz w:val="24"/>
          <w:szCs w:val="24"/>
        </w:rPr>
        <w:t xml:space="preserve"> </w:t>
      </w:r>
      <w:r w:rsidR="1D44C4A1" w:rsidRPr="00D44D33">
        <w:rPr>
          <w:rFonts w:ascii="Times New Roman" w:eastAsiaTheme="minorEastAsia" w:hAnsi="Times New Roman" w:cs="Times New Roman"/>
          <w:caps/>
          <w:sz w:val="24"/>
          <w:szCs w:val="24"/>
        </w:rPr>
        <w:t>P</w:t>
      </w:r>
      <w:r w:rsidR="1D44C4A1" w:rsidRPr="00D44D33">
        <w:rPr>
          <w:rFonts w:ascii="Times New Roman" w:eastAsiaTheme="minorEastAsia" w:hAnsi="Times New Roman" w:cs="Times New Roman"/>
          <w:sz w:val="24"/>
          <w:szCs w:val="24"/>
        </w:rPr>
        <w:t>arlamentu</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2002</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sektorze</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(dyrektywa</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C94769" w:rsidRPr="00D44D33">
        <w:rPr>
          <w:rFonts w:ascii="Times New Roman" w:eastAsiaTheme="minorEastAsia" w:hAnsi="Times New Roman" w:cs="Times New Roman"/>
          <w:sz w:val="24"/>
          <w:szCs w:val="24"/>
        </w:rPr>
        <w:t xml:space="preserve">(Dz. Urz. UE L 201 z 31.07.2002, str. 37, z późn. zm.), </w:t>
      </w:r>
      <w:r w:rsidR="00C41BB2" w:rsidRPr="00D44D33">
        <w:rPr>
          <w:rFonts w:ascii="Times New Roman" w:eastAsiaTheme="minorEastAsia" w:hAnsi="Times New Roman" w:cs="Times New Roman"/>
          <w:sz w:val="24"/>
          <w:szCs w:val="24"/>
        </w:rPr>
        <w:t xml:space="preserve">zwanej </w:t>
      </w:r>
      <w:r w:rsidR="00C94769" w:rsidRPr="00D44D33">
        <w:rPr>
          <w:rFonts w:ascii="Times New Roman" w:eastAsiaTheme="minorEastAsia" w:hAnsi="Times New Roman" w:cs="Times New Roman"/>
          <w:sz w:val="24"/>
          <w:szCs w:val="24"/>
        </w:rPr>
        <w:t>dalej „dyrektyw</w:t>
      </w:r>
      <w:r w:rsidR="00C41BB2" w:rsidRPr="00D44D33">
        <w:rPr>
          <w:rFonts w:ascii="Times New Roman" w:eastAsiaTheme="minorEastAsia" w:hAnsi="Times New Roman" w:cs="Times New Roman"/>
          <w:sz w:val="24"/>
          <w:szCs w:val="24"/>
        </w:rPr>
        <w:t>ą</w:t>
      </w:r>
      <w:r w:rsidR="00C94769" w:rsidRPr="00D44D33">
        <w:rPr>
          <w:rFonts w:ascii="Times New Roman" w:eastAsiaTheme="minorEastAsia" w:hAnsi="Times New Roman" w:cs="Times New Roman"/>
          <w:sz w:val="24"/>
          <w:szCs w:val="24"/>
        </w:rPr>
        <w:t xml:space="preserve"> 2002/58/WE”, </w:t>
      </w:r>
      <w:r w:rsidR="1D44C4A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1D44C4A1" w:rsidRPr="00D44D33">
        <w:rPr>
          <w:rFonts w:ascii="Times New Roman" w:eastAsiaTheme="minorEastAsia" w:hAnsi="Times New Roman" w:cs="Times New Roman"/>
          <w:sz w:val="24"/>
          <w:szCs w:val="24"/>
        </w:rPr>
        <w:t>u</w:t>
      </w:r>
      <w:r w:rsidR="77F466F3" w:rsidRPr="00D44D33">
        <w:rPr>
          <w:rFonts w:ascii="Times New Roman" w:eastAsiaTheme="minorEastAsia" w:hAnsi="Times New Roman" w:cs="Times New Roman"/>
          <w:sz w:val="24"/>
          <w:szCs w:val="24"/>
        </w:rPr>
        <w:t>rządzeń</w:t>
      </w:r>
      <w:r w:rsidR="00970B2E" w:rsidRPr="00D44D33">
        <w:rPr>
          <w:rFonts w:ascii="Times New Roman" w:eastAsiaTheme="minorEastAsia" w:hAnsi="Times New Roman" w:cs="Times New Roman"/>
          <w:sz w:val="24"/>
          <w:szCs w:val="24"/>
        </w:rPr>
        <w:t xml:space="preserve"> </w:t>
      </w:r>
      <w:r w:rsidR="77F466F3" w:rsidRPr="00D44D33">
        <w:rPr>
          <w:rFonts w:ascii="Times New Roman" w:eastAsiaTheme="minorEastAsia" w:hAnsi="Times New Roman" w:cs="Times New Roman"/>
          <w:sz w:val="24"/>
          <w:szCs w:val="24"/>
        </w:rPr>
        <w:t>radiowych</w:t>
      </w:r>
      <w:r w:rsidR="08A2A9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wdrażają</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2014/53/UE</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2014</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harmonizacji</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ustawodawstw</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uchylając</w:t>
      </w:r>
      <w:r w:rsidR="192C6061"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08A2A980" w:rsidRPr="00D44D33">
        <w:rPr>
          <w:rFonts w:ascii="Times New Roman" w:eastAsiaTheme="minorEastAsia" w:hAnsi="Times New Roman" w:cs="Times New Roman"/>
          <w:sz w:val="24"/>
          <w:szCs w:val="24"/>
        </w:rPr>
        <w:t>1999/5/WE</w:t>
      </w:r>
      <w:r w:rsidR="00C94769" w:rsidRPr="00D44D33">
        <w:rPr>
          <w:rFonts w:ascii="Times New Roman" w:eastAsiaTheme="minorEastAsia" w:hAnsi="Times New Roman" w:cs="Times New Roman"/>
          <w:sz w:val="24"/>
          <w:szCs w:val="24"/>
        </w:rPr>
        <w:t xml:space="preserve"> (Dz. Urz. UE L 153 z 22.05.2014, str. 62, z późn. zm.), </w:t>
      </w:r>
      <w:r w:rsidR="00C41BB2" w:rsidRPr="00D44D33">
        <w:rPr>
          <w:rFonts w:ascii="Times New Roman" w:eastAsiaTheme="minorEastAsia" w:hAnsi="Times New Roman" w:cs="Times New Roman"/>
          <w:sz w:val="24"/>
          <w:szCs w:val="24"/>
        </w:rPr>
        <w:t xml:space="preserve">zwanej </w:t>
      </w:r>
      <w:r w:rsidR="00C94769" w:rsidRPr="00D44D33">
        <w:rPr>
          <w:rFonts w:ascii="Times New Roman" w:eastAsiaTheme="minorEastAsia" w:hAnsi="Times New Roman" w:cs="Times New Roman"/>
          <w:sz w:val="24"/>
          <w:szCs w:val="24"/>
        </w:rPr>
        <w:t>dalej „dyrektyw</w:t>
      </w:r>
      <w:r w:rsidR="00C41BB2" w:rsidRPr="00D44D33">
        <w:rPr>
          <w:rFonts w:ascii="Times New Roman" w:eastAsiaTheme="minorEastAsia" w:hAnsi="Times New Roman" w:cs="Times New Roman"/>
          <w:sz w:val="24"/>
          <w:szCs w:val="24"/>
        </w:rPr>
        <w:t>ą</w:t>
      </w:r>
      <w:r w:rsidR="00C94769" w:rsidRPr="00D44D33">
        <w:rPr>
          <w:rFonts w:ascii="Times New Roman" w:eastAsiaTheme="minorEastAsia" w:hAnsi="Times New Roman" w:cs="Times New Roman"/>
          <w:sz w:val="24"/>
          <w:szCs w:val="24"/>
        </w:rPr>
        <w:t xml:space="preserve"> 2014/53/UE”</w:t>
      </w:r>
      <w:r w:rsidR="08A2A9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2C37815" w14:textId="634B2B61" w:rsidR="00AF7579" w:rsidRPr="00D44D33" w:rsidRDefault="00C9476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 c</w:t>
      </w:r>
      <w:r w:rsidR="00AF7579" w:rsidRPr="00D44D33">
        <w:rPr>
          <w:rFonts w:ascii="Times New Roman" w:eastAsiaTheme="minorEastAsia" w:hAnsi="Times New Roman" w:cs="Times New Roman"/>
          <w:sz w:val="24"/>
          <w:szCs w:val="24"/>
        </w:rPr>
        <w:t>el</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zwiększenia</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uporządkowania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 xml:space="preserve">w projekcie </w:t>
      </w:r>
      <w:r w:rsidR="00AF7579" w:rsidRPr="00D44D33">
        <w:rPr>
          <w:rFonts w:ascii="Times New Roman" w:eastAsiaTheme="minorEastAsia" w:hAnsi="Times New Roman" w:cs="Times New Roman"/>
          <w:sz w:val="24"/>
          <w:szCs w:val="24"/>
        </w:rPr>
        <w:t>przyjęto</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systematykę,</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mierze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bazuje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systematyce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przyjętej</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49423B" w:rsidRPr="00D44D33">
        <w:rPr>
          <w:rFonts w:ascii="Times New Roman" w:eastAsiaTheme="minorEastAsia" w:hAnsi="Times New Roman" w:cs="Times New Roman"/>
          <w:sz w:val="24"/>
          <w:szCs w:val="24"/>
        </w:rPr>
        <w:t xml:space="preserve">Pke </w:t>
      </w:r>
      <w:r w:rsidR="00AF7579"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pogrupowane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oddziały,</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rozdziały,</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następujące</w:t>
      </w:r>
      <w:r w:rsidR="00970B2E" w:rsidRPr="00D44D33">
        <w:rPr>
          <w:rFonts w:ascii="Times New Roman" w:eastAsiaTheme="minorEastAsia" w:hAnsi="Times New Roman" w:cs="Times New Roman"/>
          <w:sz w:val="24"/>
          <w:szCs w:val="24"/>
        </w:rPr>
        <w:t xml:space="preserve"> </w:t>
      </w:r>
      <w:r w:rsidR="00AF7579" w:rsidRPr="00D44D33">
        <w:rPr>
          <w:rFonts w:ascii="Times New Roman" w:eastAsiaTheme="minorEastAsia" w:hAnsi="Times New Roman" w:cs="Times New Roman"/>
          <w:sz w:val="24"/>
          <w:szCs w:val="24"/>
        </w:rPr>
        <w:t>działy</w:t>
      </w:r>
      <w:r w:rsidR="00970B2E" w:rsidRPr="00D44D33">
        <w:rPr>
          <w:rFonts w:ascii="Times New Roman" w:eastAsiaTheme="minorEastAsia" w:hAnsi="Times New Roman" w:cs="Times New Roman"/>
          <w:sz w:val="24"/>
          <w:szCs w:val="24"/>
        </w:rPr>
        <w:t xml:space="preserve"> </w:t>
      </w:r>
      <w:r w:rsidR="002D4BA3"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002D4BA3" w:rsidRPr="00D44D33">
        <w:rPr>
          <w:rFonts w:ascii="Times New Roman" w:eastAsiaTheme="minorEastAsia" w:hAnsi="Times New Roman" w:cs="Times New Roman"/>
          <w:sz w:val="24"/>
          <w:szCs w:val="24"/>
        </w:rPr>
        <w:t>następującej</w:t>
      </w:r>
      <w:r w:rsidR="00970B2E" w:rsidRPr="00D44D33">
        <w:rPr>
          <w:rFonts w:ascii="Times New Roman" w:eastAsiaTheme="minorEastAsia" w:hAnsi="Times New Roman" w:cs="Times New Roman"/>
          <w:sz w:val="24"/>
          <w:szCs w:val="24"/>
        </w:rPr>
        <w:t xml:space="preserve"> </w:t>
      </w:r>
      <w:r w:rsidR="002D4BA3" w:rsidRPr="00D44D33">
        <w:rPr>
          <w:rFonts w:ascii="Times New Roman" w:eastAsiaTheme="minorEastAsia" w:hAnsi="Times New Roman" w:cs="Times New Roman"/>
          <w:sz w:val="24"/>
          <w:szCs w:val="24"/>
        </w:rPr>
        <w:t>systematyki</w:t>
      </w:r>
      <w:r w:rsidR="00AF7579" w:rsidRPr="00D44D33">
        <w:rPr>
          <w:rFonts w:ascii="Times New Roman" w:eastAsiaTheme="minorEastAsia" w:hAnsi="Times New Roman" w:cs="Times New Roman"/>
          <w:sz w:val="24"/>
          <w:szCs w:val="24"/>
        </w:rPr>
        <w:t>:</w:t>
      </w:r>
    </w:p>
    <w:p w14:paraId="0FE28DCE" w14:textId="15879F90" w:rsidR="003D5944" w:rsidRPr="00D44D33" w:rsidRDefault="0066128E" w:rsidP="00D44D33">
      <w:pPr>
        <w:spacing w:before="120" w:after="120" w:line="360" w:lineRule="auto"/>
        <w:ind w:left="567"/>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D6878"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terytorialnego</w:t>
      </w:r>
      <w:r w:rsidR="0049423B" w:rsidRPr="00D44D33">
        <w:rPr>
          <w:rFonts w:ascii="Times New Roman" w:eastAsiaTheme="minorEastAsia" w:hAnsi="Times New Roman" w:cs="Times New Roman"/>
          <w:sz w:val="24"/>
          <w:szCs w:val="24"/>
        </w:rPr>
        <w:t xml:space="preserve"> wykonujących działalność w zakresie telekomunikacji</w:t>
      </w:r>
      <w:r w:rsidR="003D594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informacyjne</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sprawozdawcze</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D5944" w:rsidRPr="00D44D33">
        <w:rPr>
          <w:rFonts w:ascii="Times New Roman" w:eastAsiaTheme="minorEastAsia" w:hAnsi="Times New Roman" w:cs="Times New Roman"/>
          <w:sz w:val="24"/>
          <w:szCs w:val="24"/>
        </w:rPr>
        <w:t>konsolidacyjne,</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6378AB47" w:rsidRPr="00D44D33">
        <w:rPr>
          <w:rFonts w:ascii="Times New Roman" w:eastAsiaTheme="minorEastAsia" w:hAnsi="Times New Roman" w:cs="Times New Roman"/>
          <w:sz w:val="24"/>
          <w:szCs w:val="24"/>
        </w:rPr>
        <w:t>publicznego</w:t>
      </w:r>
      <w:r w:rsidR="00325FF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satelitarnej</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regulowanym</w:t>
      </w:r>
      <w:r w:rsidR="00970B2E" w:rsidRPr="00D44D33">
        <w:rPr>
          <w:rFonts w:ascii="Times New Roman" w:eastAsiaTheme="minorEastAsia" w:hAnsi="Times New Roman" w:cs="Times New Roman"/>
          <w:sz w:val="24"/>
          <w:szCs w:val="24"/>
        </w:rPr>
        <w:t xml:space="preserve"> </w:t>
      </w:r>
      <w:r w:rsidR="00325FFB"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49423B" w:rsidRPr="00D44D33">
        <w:rPr>
          <w:rFonts w:ascii="Times New Roman" w:eastAsiaTheme="minorEastAsia" w:hAnsi="Times New Roman" w:cs="Times New Roman"/>
          <w:sz w:val="24"/>
          <w:szCs w:val="24"/>
        </w:rPr>
        <w:t>(</w:t>
      </w:r>
      <w:r w:rsidR="00325FFB" w:rsidRPr="00D44D33">
        <w:rPr>
          <w:rFonts w:ascii="Times New Roman" w:eastAsiaTheme="minorEastAsia" w:hAnsi="Times New Roman" w:cs="Times New Roman"/>
          <w:sz w:val="24"/>
          <w:szCs w:val="24"/>
        </w:rPr>
        <w:t>PRS</w:t>
      </w:r>
      <w:r w:rsidR="003D5944" w:rsidRPr="00D44D33">
        <w:rPr>
          <w:rFonts w:ascii="Times New Roman" w:eastAsiaTheme="minorEastAsia" w:hAnsi="Times New Roman" w:cs="Times New Roman"/>
          <w:sz w:val="24"/>
          <w:szCs w:val="24"/>
        </w:rPr>
        <w:t>)</w:t>
      </w:r>
      <w:r w:rsidR="0049423B" w:rsidRPr="00D44D33">
        <w:rPr>
          <w:rFonts w:ascii="Times New Roman" w:eastAsiaTheme="minorEastAsia" w:hAnsi="Times New Roman" w:cs="Times New Roman"/>
          <w:sz w:val="24"/>
          <w:szCs w:val="24"/>
        </w:rPr>
        <w:t>;</w:t>
      </w:r>
    </w:p>
    <w:p w14:paraId="0166D8F4" w14:textId="155A413F" w:rsidR="003D5944" w:rsidRPr="00D44D33" w:rsidRDefault="003D5944" w:rsidP="00D44D33">
      <w:pPr>
        <w:spacing w:before="120" w:after="120" w:line="360" w:lineRule="auto"/>
        <w:ind w:left="567"/>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D6878"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003D6878"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gospodarowanie</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obsługa</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zarządzanie</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003431EC" w:rsidRPr="00D44D33">
        <w:rPr>
          <w:rFonts w:ascii="Times New Roman" w:eastAsiaTheme="minorEastAsia" w:hAnsi="Times New Roman" w:cs="Times New Roman"/>
          <w:sz w:val="24"/>
          <w:szCs w:val="24"/>
        </w:rPr>
        <w:t>numeracji)</w:t>
      </w:r>
      <w:r w:rsidR="0049423B" w:rsidRPr="00D44D33">
        <w:rPr>
          <w:rFonts w:ascii="Times New Roman" w:eastAsiaTheme="minorEastAsia" w:hAnsi="Times New Roman" w:cs="Times New Roman"/>
          <w:sz w:val="24"/>
          <w:szCs w:val="24"/>
        </w:rPr>
        <w:t>;</w:t>
      </w:r>
    </w:p>
    <w:p w14:paraId="619DB632" w14:textId="6B00FB8E" w:rsidR="00E97D0F" w:rsidRPr="00D44D33" w:rsidRDefault="71315570" w:rsidP="00D44D33">
      <w:pPr>
        <w:spacing w:before="120" w:after="120" w:line="360" w:lineRule="auto"/>
        <w:ind w:left="567"/>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6E686899"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657AE072"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657AE072"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657AE07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symetryczny,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koordynacja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2D0D3A3"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2C39EAE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3FFBCB14" w:rsidRPr="00D44D33">
        <w:rPr>
          <w:rFonts w:ascii="Times New Roman" w:eastAsiaTheme="minorEastAsia" w:hAnsi="Times New Roman" w:cs="Times New Roman"/>
          <w:sz w:val="24"/>
          <w:szCs w:val="24"/>
        </w:rPr>
        <w:t>obszarowe</w:t>
      </w:r>
      <w:r w:rsidR="00970B2E" w:rsidRPr="00D44D33">
        <w:rPr>
          <w:rFonts w:ascii="Times New Roman" w:eastAsiaTheme="minorEastAsia" w:hAnsi="Times New Roman" w:cs="Times New Roman"/>
          <w:sz w:val="24"/>
          <w:szCs w:val="24"/>
        </w:rPr>
        <w:t xml:space="preserve"> </w:t>
      </w:r>
      <w:r w:rsidR="657AE07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57AE072"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657AE07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7C14C8B5" w:rsidRPr="00D44D33">
        <w:rPr>
          <w:rFonts w:ascii="Times New Roman" w:eastAsiaTheme="minorEastAsia" w:hAnsi="Times New Roman" w:cs="Times New Roman"/>
          <w:sz w:val="24"/>
          <w:szCs w:val="24"/>
        </w:rPr>
        <w:t>telekomunikacyjnego</w:t>
      </w:r>
      <w:r w:rsidR="7C55A3DE" w:rsidRPr="00D44D33">
        <w:rPr>
          <w:rFonts w:ascii="Times New Roman" w:eastAsiaTheme="minorEastAsia" w:hAnsi="Times New Roman" w:cs="Times New Roman"/>
          <w:sz w:val="24"/>
          <w:szCs w:val="24"/>
        </w:rPr>
        <w:t>)</w:t>
      </w:r>
      <w:r w:rsidR="0049423B" w:rsidRPr="00D44D33">
        <w:rPr>
          <w:rFonts w:ascii="Times New Roman" w:eastAsiaTheme="minorEastAsia" w:hAnsi="Times New Roman" w:cs="Times New Roman"/>
          <w:sz w:val="24"/>
          <w:szCs w:val="24"/>
        </w:rPr>
        <w:t>;</w:t>
      </w:r>
    </w:p>
    <w:p w14:paraId="7A6386C9" w14:textId="43775EE0" w:rsidR="00E97D0F" w:rsidRPr="00D44D33" w:rsidRDefault="00BB2DD7" w:rsidP="00D44D33">
      <w:pPr>
        <w:spacing w:before="120" w:after="120" w:line="360" w:lineRule="auto"/>
        <w:ind w:left="567"/>
        <w:jc w:val="both"/>
        <w:rPr>
          <w:rFonts w:ascii="Times New Roman" w:hAnsi="Times New Roman" w:cs="Times New Roman"/>
          <w:bCs/>
          <w:sz w:val="24"/>
          <w:szCs w:val="24"/>
        </w:rPr>
      </w:pPr>
      <w:r w:rsidRPr="00D44D33">
        <w:rPr>
          <w:rFonts w:ascii="Times New Roman" w:hAnsi="Times New Roman" w:cs="Times New Roman"/>
          <w:bCs/>
          <w:sz w:val="24"/>
          <w:szCs w:val="24"/>
        </w:rPr>
        <w:t>DZIAŁ</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IV.</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Regulowanie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rynku</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komunikacji</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elektronicznej</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(w</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tym</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analiza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rynków,</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nakładanie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obowiązków</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regulacyjnych,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obowiązki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na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rynkach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hurtowych,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ograniczenia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na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rynkach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detalicznych,</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szczegółowe</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warunki</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regulacyjne,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szczegółowe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warunki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inwestowania</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oraz</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rachunkowość</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regulacyjna</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i</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kalkulacja</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kosztów</w:t>
      </w:r>
      <w:r w:rsidRPr="00D44D33">
        <w:rPr>
          <w:rFonts w:ascii="Times New Roman" w:hAnsi="Times New Roman" w:cs="Times New Roman"/>
          <w:bCs/>
          <w:sz w:val="24"/>
          <w:szCs w:val="24"/>
        </w:rPr>
        <w:t>)</w:t>
      </w:r>
      <w:r w:rsidR="0049423B" w:rsidRPr="00D44D33">
        <w:rPr>
          <w:rFonts w:ascii="Times New Roman" w:hAnsi="Times New Roman" w:cs="Times New Roman"/>
          <w:bCs/>
          <w:sz w:val="24"/>
          <w:szCs w:val="24"/>
        </w:rPr>
        <w:t>;</w:t>
      </w:r>
    </w:p>
    <w:p w14:paraId="5736C487" w14:textId="705BD026" w:rsidR="00E97D0F" w:rsidRPr="00D44D33" w:rsidRDefault="00BB2DD7" w:rsidP="00D44D33">
      <w:pPr>
        <w:spacing w:before="120" w:after="120" w:line="360" w:lineRule="auto"/>
        <w:ind w:left="567"/>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V.</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49423B" w:rsidRPr="00D44D33">
        <w:rPr>
          <w:rFonts w:ascii="Times New Roman" w:eastAsiaTheme="minorEastAsia" w:hAnsi="Times New Roman" w:cs="Times New Roman"/>
          <w:sz w:val="24"/>
          <w:szCs w:val="24"/>
        </w:rPr>
        <w:t>;</w:t>
      </w:r>
    </w:p>
    <w:p w14:paraId="6B1E6474" w14:textId="1C6E0013" w:rsidR="00E97D0F" w:rsidRPr="00D44D33" w:rsidRDefault="00BB2DD7" w:rsidP="00D44D33">
      <w:pPr>
        <w:spacing w:before="120" w:after="120" w:line="360" w:lineRule="auto"/>
        <w:ind w:left="567"/>
        <w:jc w:val="both"/>
        <w:rPr>
          <w:rFonts w:ascii="Times New Roman" w:hAnsi="Times New Roman" w:cs="Times New Roman"/>
          <w:bCs/>
          <w:sz w:val="24"/>
          <w:szCs w:val="24"/>
        </w:rPr>
      </w:pPr>
      <w:r w:rsidRPr="00D44D33">
        <w:rPr>
          <w:rFonts w:ascii="Times New Roman" w:hAnsi="Times New Roman" w:cs="Times New Roman"/>
          <w:bCs/>
          <w:sz w:val="24"/>
          <w:szCs w:val="24"/>
        </w:rPr>
        <w:t>DZIAŁ</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VI.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Urządzenia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radiowe</w:t>
      </w:r>
      <w:r w:rsidR="0049423B" w:rsidRPr="00D44D33">
        <w:rPr>
          <w:rFonts w:ascii="Times New Roman" w:hAnsi="Times New Roman" w:cs="Times New Roman"/>
          <w:bCs/>
          <w:sz w:val="24"/>
          <w:szCs w:val="24"/>
        </w:rPr>
        <w:t>;</w:t>
      </w:r>
    </w:p>
    <w:p w14:paraId="0800A82F" w14:textId="53580B20" w:rsidR="00BB2DD7" w:rsidRPr="00D44D33" w:rsidRDefault="00BB2DD7" w:rsidP="00D44D33">
      <w:pPr>
        <w:spacing w:before="120" w:after="120" w:line="360" w:lineRule="auto"/>
        <w:ind w:left="567"/>
        <w:jc w:val="both"/>
        <w:rPr>
          <w:rFonts w:ascii="Times New Roman" w:hAnsi="Times New Roman" w:cs="Times New Roman"/>
          <w:bCs/>
          <w:sz w:val="24"/>
          <w:szCs w:val="24"/>
        </w:rPr>
      </w:pPr>
      <w:r w:rsidRPr="00D44D33">
        <w:rPr>
          <w:rFonts w:ascii="Times New Roman" w:hAnsi="Times New Roman" w:cs="Times New Roman"/>
          <w:bCs/>
          <w:sz w:val="24"/>
          <w:szCs w:val="24"/>
        </w:rPr>
        <w:lastRenderedPageBreak/>
        <w:t>DZIAŁ</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VII.</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Publicznie</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dostępne</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u</w:t>
      </w:r>
      <w:r w:rsidRPr="00D44D33">
        <w:rPr>
          <w:rFonts w:ascii="Times New Roman" w:hAnsi="Times New Roman" w:cs="Times New Roman"/>
          <w:bCs/>
          <w:sz w:val="24"/>
          <w:szCs w:val="24"/>
        </w:rPr>
        <w:t>sługi</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komunikacji</w:t>
      </w:r>
      <w:r w:rsidR="00970B2E" w:rsidRPr="00D44D33">
        <w:rPr>
          <w:rFonts w:ascii="Times New Roman" w:hAnsi="Times New Roman" w:cs="Times New Roman"/>
          <w:bCs/>
          <w:sz w:val="24"/>
          <w:szCs w:val="24"/>
        </w:rPr>
        <w:t xml:space="preserve"> </w:t>
      </w:r>
      <w:r w:rsidR="00325FFB" w:rsidRPr="00D44D33">
        <w:rPr>
          <w:rFonts w:ascii="Times New Roman" w:hAnsi="Times New Roman" w:cs="Times New Roman"/>
          <w:bCs/>
          <w:sz w:val="24"/>
          <w:szCs w:val="24"/>
        </w:rPr>
        <w:t>elektronicznej</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(w</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tym</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prawa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użytkowników</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końcowych,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regulacje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dotyczące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usługi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powszechnej,</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odpowiedzialności</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za</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niewykonanie</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lub</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nienależyte</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wykonanie</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usług</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komunikacji</w:t>
      </w:r>
      <w:r w:rsidR="00970B2E" w:rsidRPr="00D44D33">
        <w:rPr>
          <w:rFonts w:ascii="Times New Roman" w:hAnsi="Times New Roman" w:cs="Times New Roman"/>
          <w:bCs/>
          <w:sz w:val="24"/>
          <w:szCs w:val="24"/>
        </w:rPr>
        <w:t xml:space="preserve"> </w:t>
      </w:r>
      <w:r w:rsidR="003431EC" w:rsidRPr="00D44D33">
        <w:rPr>
          <w:rFonts w:ascii="Times New Roman" w:hAnsi="Times New Roman" w:cs="Times New Roman"/>
          <w:bCs/>
          <w:sz w:val="24"/>
          <w:szCs w:val="24"/>
        </w:rPr>
        <w:t>elektronicznej,</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tajemnicy</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komunikacji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elektronicznej,</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a</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także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kwestie</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cyfrowych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transmisji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radiofonicznych</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i</w:t>
      </w:r>
      <w:r w:rsidR="00970B2E" w:rsidRPr="00D44D33">
        <w:rPr>
          <w:rFonts w:ascii="Times New Roman" w:hAnsi="Times New Roman" w:cs="Times New Roman"/>
          <w:bCs/>
          <w:sz w:val="24"/>
          <w:szCs w:val="24"/>
        </w:rPr>
        <w:t xml:space="preserve"> </w:t>
      </w:r>
      <w:r w:rsidRPr="00D44D33">
        <w:rPr>
          <w:rFonts w:ascii="Times New Roman" w:hAnsi="Times New Roman" w:cs="Times New Roman"/>
          <w:bCs/>
          <w:sz w:val="24"/>
          <w:szCs w:val="24"/>
        </w:rPr>
        <w:t>telewizyjnych)</w:t>
      </w:r>
      <w:r w:rsidR="0049423B" w:rsidRPr="00D44D33">
        <w:rPr>
          <w:rFonts w:ascii="Times New Roman" w:hAnsi="Times New Roman" w:cs="Times New Roman"/>
          <w:bCs/>
          <w:sz w:val="24"/>
          <w:szCs w:val="24"/>
        </w:rPr>
        <w:t>;</w:t>
      </w:r>
    </w:p>
    <w:p w14:paraId="1C40D83C" w14:textId="543ABC8A" w:rsidR="008C29C6" w:rsidRPr="00D44D33" w:rsidRDefault="00146F5E" w:rsidP="00D44D33">
      <w:pPr>
        <w:pStyle w:val="ROZDZODDZPRZEDMprzedmiotregulacjirozdziauluboddziau"/>
        <w:spacing w:after="120"/>
        <w:ind w:left="567"/>
        <w:jc w:val="both"/>
        <w:rPr>
          <w:rFonts w:ascii="Times New Roman" w:hAnsi="Times New Roman"/>
          <w:b w:val="0"/>
          <w:bCs w:val="0"/>
          <w:lang w:eastAsia="en-US"/>
        </w:rPr>
      </w:pPr>
      <w:r w:rsidRPr="00D44D33">
        <w:rPr>
          <w:rFonts w:ascii="Times New Roman" w:hAnsi="Times New Roman"/>
          <w:b w:val="0"/>
          <w:bCs w:val="0"/>
          <w:lang w:eastAsia="en-US"/>
        </w:rPr>
        <w:t>DZIAŁ</w:t>
      </w:r>
      <w:r w:rsidR="00970B2E" w:rsidRPr="00D44D33">
        <w:rPr>
          <w:rFonts w:ascii="Times New Roman" w:hAnsi="Times New Roman"/>
          <w:b w:val="0"/>
          <w:bCs w:val="0"/>
          <w:lang w:eastAsia="en-US"/>
        </w:rPr>
        <w:t xml:space="preserve"> </w:t>
      </w:r>
      <w:r w:rsidR="00BB2DD7" w:rsidRPr="00D44D33">
        <w:rPr>
          <w:rFonts w:ascii="Times New Roman" w:hAnsi="Times New Roman"/>
          <w:b w:val="0"/>
          <w:bCs w:val="0"/>
        </w:rPr>
        <w:t>VIII</w:t>
      </w:r>
      <w:r w:rsidR="00BB2DD7" w:rsidRPr="00D44D33">
        <w:rPr>
          <w:rFonts w:ascii="Times New Roman" w:hAnsi="Times New Roman"/>
          <w:b w:val="0"/>
          <w:bCs w:val="0"/>
          <w:lang w:eastAsia="en-US"/>
        </w:rPr>
        <w:t>.</w:t>
      </w:r>
      <w:r w:rsidR="00970B2E" w:rsidRPr="00D44D33">
        <w:rPr>
          <w:rFonts w:ascii="Times New Roman" w:hAnsi="Times New Roman"/>
          <w:b w:val="0"/>
          <w:bCs w:val="0"/>
          <w:lang w:eastAsia="en-US"/>
        </w:rPr>
        <w:t xml:space="preserve"> </w:t>
      </w:r>
      <w:r w:rsidR="003431EC" w:rsidRPr="00D44D33">
        <w:rPr>
          <w:rFonts w:ascii="Times New Roman" w:hAnsi="Times New Roman"/>
          <w:b w:val="0"/>
          <w:bCs w:val="0"/>
          <w:lang w:eastAsia="en-US"/>
        </w:rPr>
        <w:t>Organy</w:t>
      </w:r>
      <w:r w:rsidR="00970B2E" w:rsidRPr="00D44D33">
        <w:rPr>
          <w:rFonts w:ascii="Times New Roman" w:hAnsi="Times New Roman"/>
          <w:b w:val="0"/>
          <w:bCs w:val="0"/>
          <w:lang w:eastAsia="en-US"/>
        </w:rPr>
        <w:t xml:space="preserve"> </w:t>
      </w:r>
      <w:r w:rsidR="003431EC" w:rsidRPr="00D44D33">
        <w:rPr>
          <w:rFonts w:ascii="Times New Roman" w:hAnsi="Times New Roman"/>
          <w:b w:val="0"/>
          <w:bCs w:val="0"/>
          <w:lang w:eastAsia="en-US"/>
        </w:rPr>
        <w:t>właściwe</w:t>
      </w:r>
      <w:r w:rsidR="00970B2E" w:rsidRPr="00D44D33">
        <w:rPr>
          <w:rFonts w:ascii="Times New Roman" w:hAnsi="Times New Roman"/>
          <w:b w:val="0"/>
          <w:bCs w:val="0"/>
          <w:lang w:eastAsia="en-US"/>
        </w:rPr>
        <w:t xml:space="preserve"> </w:t>
      </w:r>
      <w:r w:rsidR="003431EC" w:rsidRPr="00D44D33">
        <w:rPr>
          <w:rFonts w:ascii="Times New Roman" w:hAnsi="Times New Roman"/>
          <w:b w:val="0"/>
          <w:bCs w:val="0"/>
          <w:lang w:eastAsia="en-US"/>
        </w:rPr>
        <w:t>w</w:t>
      </w:r>
      <w:r w:rsidR="00970B2E" w:rsidRPr="00D44D33">
        <w:rPr>
          <w:rFonts w:ascii="Times New Roman" w:hAnsi="Times New Roman"/>
          <w:b w:val="0"/>
          <w:bCs w:val="0"/>
          <w:lang w:eastAsia="en-US"/>
        </w:rPr>
        <w:t xml:space="preserve"> </w:t>
      </w:r>
      <w:r w:rsidR="003431EC" w:rsidRPr="00D44D33">
        <w:rPr>
          <w:rFonts w:ascii="Times New Roman" w:hAnsi="Times New Roman"/>
          <w:b w:val="0"/>
          <w:bCs w:val="0"/>
          <w:lang w:eastAsia="en-US"/>
        </w:rPr>
        <w:t>sprawach</w:t>
      </w:r>
      <w:r w:rsidR="00970B2E" w:rsidRPr="00D44D33">
        <w:rPr>
          <w:rFonts w:ascii="Times New Roman" w:hAnsi="Times New Roman"/>
          <w:b w:val="0"/>
          <w:bCs w:val="0"/>
          <w:lang w:eastAsia="en-US"/>
        </w:rPr>
        <w:t xml:space="preserve"> </w:t>
      </w:r>
      <w:r w:rsidR="003431EC" w:rsidRPr="00D44D33">
        <w:rPr>
          <w:rFonts w:ascii="Times New Roman" w:hAnsi="Times New Roman"/>
          <w:b w:val="0"/>
          <w:bCs w:val="0"/>
          <w:lang w:eastAsia="en-US"/>
        </w:rPr>
        <w:t>komunikacji</w:t>
      </w:r>
      <w:r w:rsidR="00970B2E" w:rsidRPr="00D44D33">
        <w:rPr>
          <w:rFonts w:ascii="Times New Roman" w:hAnsi="Times New Roman"/>
          <w:b w:val="0"/>
          <w:bCs w:val="0"/>
          <w:lang w:eastAsia="en-US"/>
        </w:rPr>
        <w:t xml:space="preserve"> </w:t>
      </w:r>
      <w:r w:rsidR="003431EC" w:rsidRPr="00D44D33">
        <w:rPr>
          <w:rFonts w:ascii="Times New Roman" w:hAnsi="Times New Roman"/>
          <w:b w:val="0"/>
          <w:bCs w:val="0"/>
          <w:lang w:eastAsia="en-US"/>
        </w:rPr>
        <w:t>elektronicznej</w:t>
      </w:r>
      <w:r w:rsidR="00970B2E" w:rsidRPr="00D44D33">
        <w:rPr>
          <w:rFonts w:ascii="Times New Roman" w:hAnsi="Times New Roman"/>
          <w:b w:val="0"/>
          <w:bCs w:val="0"/>
          <w:lang w:eastAsia="en-US"/>
        </w:rPr>
        <w:t xml:space="preserve"> </w:t>
      </w:r>
      <w:r w:rsidR="00C157D3" w:rsidRPr="00D44D33">
        <w:rPr>
          <w:rFonts w:ascii="Times New Roman" w:hAnsi="Times New Roman"/>
          <w:b w:val="0"/>
          <w:bCs w:val="0"/>
        </w:rPr>
        <w:t>oraz</w:t>
      </w:r>
      <w:r w:rsidR="00970B2E" w:rsidRPr="00D44D33">
        <w:rPr>
          <w:rFonts w:ascii="Times New Roman" w:hAnsi="Times New Roman"/>
          <w:b w:val="0"/>
          <w:bCs w:val="0"/>
        </w:rPr>
        <w:t xml:space="preserve"> </w:t>
      </w:r>
      <w:r w:rsidR="00C157D3" w:rsidRPr="00D44D33">
        <w:rPr>
          <w:rFonts w:ascii="Times New Roman" w:hAnsi="Times New Roman"/>
          <w:b w:val="0"/>
          <w:bCs w:val="0"/>
        </w:rPr>
        <w:t>postępowanie</w:t>
      </w:r>
      <w:r w:rsidR="00970B2E" w:rsidRPr="00D44D33">
        <w:rPr>
          <w:rFonts w:ascii="Times New Roman" w:hAnsi="Times New Roman"/>
          <w:b w:val="0"/>
          <w:bCs w:val="0"/>
        </w:rPr>
        <w:t xml:space="preserve"> </w:t>
      </w:r>
      <w:r w:rsidR="00C157D3" w:rsidRPr="00D44D33">
        <w:rPr>
          <w:rFonts w:ascii="Times New Roman" w:hAnsi="Times New Roman"/>
          <w:b w:val="0"/>
          <w:bCs w:val="0"/>
        </w:rPr>
        <w:t>przed</w:t>
      </w:r>
      <w:r w:rsidR="00970B2E" w:rsidRPr="00D44D33">
        <w:rPr>
          <w:rFonts w:ascii="Times New Roman" w:hAnsi="Times New Roman"/>
          <w:b w:val="0"/>
          <w:bCs w:val="0"/>
        </w:rPr>
        <w:t xml:space="preserve"> </w:t>
      </w:r>
      <w:r w:rsidR="00C157D3" w:rsidRPr="00D44D33">
        <w:rPr>
          <w:rFonts w:ascii="Times New Roman" w:hAnsi="Times New Roman"/>
          <w:b w:val="0"/>
          <w:bCs w:val="0"/>
        </w:rPr>
        <w:t>Prezesem</w:t>
      </w:r>
      <w:r w:rsidR="00970B2E" w:rsidRPr="00D44D33">
        <w:rPr>
          <w:rFonts w:ascii="Times New Roman" w:hAnsi="Times New Roman"/>
          <w:b w:val="0"/>
          <w:bCs w:val="0"/>
        </w:rPr>
        <w:t xml:space="preserve"> </w:t>
      </w:r>
      <w:r w:rsidR="00C157D3" w:rsidRPr="00D44D33">
        <w:rPr>
          <w:rFonts w:ascii="Times New Roman" w:hAnsi="Times New Roman"/>
          <w:b w:val="0"/>
          <w:bCs w:val="0"/>
        </w:rPr>
        <w:t>U</w:t>
      </w:r>
      <w:r w:rsidR="0049423B" w:rsidRPr="00D44D33">
        <w:rPr>
          <w:rFonts w:ascii="Times New Roman" w:hAnsi="Times New Roman"/>
          <w:b w:val="0"/>
          <w:bCs w:val="0"/>
        </w:rPr>
        <w:t xml:space="preserve">rzędu </w:t>
      </w:r>
      <w:r w:rsidR="00C157D3" w:rsidRPr="00D44D33">
        <w:rPr>
          <w:rFonts w:ascii="Times New Roman" w:hAnsi="Times New Roman"/>
          <w:b w:val="0"/>
          <w:bCs w:val="0"/>
        </w:rPr>
        <w:t>K</w:t>
      </w:r>
      <w:r w:rsidR="0049423B" w:rsidRPr="00D44D33">
        <w:rPr>
          <w:rFonts w:ascii="Times New Roman" w:hAnsi="Times New Roman"/>
          <w:b w:val="0"/>
          <w:bCs w:val="0"/>
        </w:rPr>
        <w:t xml:space="preserve">omunikacji </w:t>
      </w:r>
      <w:r w:rsidR="00C157D3" w:rsidRPr="00D44D33">
        <w:rPr>
          <w:rFonts w:ascii="Times New Roman" w:hAnsi="Times New Roman"/>
          <w:b w:val="0"/>
          <w:bCs w:val="0"/>
        </w:rPr>
        <w:t>E</w:t>
      </w:r>
      <w:r w:rsidR="0049423B" w:rsidRPr="00D44D33">
        <w:rPr>
          <w:rFonts w:ascii="Times New Roman" w:hAnsi="Times New Roman"/>
          <w:b w:val="0"/>
          <w:bCs w:val="0"/>
          <w:lang w:eastAsia="en-US"/>
        </w:rPr>
        <w:t>lektronicznej;</w:t>
      </w:r>
      <w:r w:rsidR="00970B2E" w:rsidRPr="00D44D33">
        <w:rPr>
          <w:rFonts w:ascii="Times New Roman" w:hAnsi="Times New Roman"/>
          <w:b w:val="0"/>
          <w:bCs w:val="0"/>
          <w:lang w:eastAsia="en-US"/>
        </w:rPr>
        <w:t xml:space="preserve"> </w:t>
      </w:r>
    </w:p>
    <w:p w14:paraId="1585A68B" w14:textId="77777777" w:rsidR="00707D10" w:rsidRPr="00D44D33" w:rsidRDefault="00CE34E9" w:rsidP="00D44D33">
      <w:pPr>
        <w:pStyle w:val="ROZDZODDZPRZEDMprzedmiotregulacjirozdziauluboddziau"/>
        <w:spacing w:after="120"/>
        <w:ind w:left="567"/>
        <w:jc w:val="both"/>
        <w:rPr>
          <w:rFonts w:ascii="Times New Roman" w:hAnsi="Times New Roman"/>
          <w:b w:val="0"/>
        </w:rPr>
      </w:pPr>
      <w:r w:rsidRPr="00D44D33">
        <w:rPr>
          <w:rFonts w:ascii="Times New Roman" w:hAnsi="Times New Roman"/>
          <w:b w:val="0"/>
          <w:lang w:eastAsia="en-US"/>
        </w:rPr>
        <w:t>DZIAŁ</w:t>
      </w:r>
      <w:r w:rsidR="00970B2E" w:rsidRPr="00D44D33">
        <w:rPr>
          <w:rFonts w:ascii="Times New Roman" w:hAnsi="Times New Roman"/>
          <w:b w:val="0"/>
          <w:lang w:eastAsia="en-US"/>
        </w:rPr>
        <w:t xml:space="preserve"> </w:t>
      </w:r>
      <w:r w:rsidRPr="00D44D33">
        <w:rPr>
          <w:rFonts w:ascii="Times New Roman" w:hAnsi="Times New Roman"/>
          <w:b w:val="0"/>
          <w:lang w:eastAsia="en-US"/>
        </w:rPr>
        <w:t>IX.</w:t>
      </w:r>
      <w:r w:rsidR="00970B2E" w:rsidRPr="00D44D33">
        <w:rPr>
          <w:rFonts w:ascii="Times New Roman" w:hAnsi="Times New Roman"/>
          <w:b w:val="0"/>
          <w:lang w:eastAsia="en-US"/>
        </w:rPr>
        <w:t xml:space="preserve"> </w:t>
      </w:r>
      <w:r w:rsidR="00FA557E" w:rsidRPr="00D44D33">
        <w:rPr>
          <w:rFonts w:ascii="Times New Roman" w:hAnsi="Times New Roman"/>
          <w:b w:val="0"/>
        </w:rPr>
        <w:t>Przepisy o karach pieniężnych i przepisy karne</w:t>
      </w:r>
      <w:r w:rsidR="00707D10" w:rsidRPr="00D44D33">
        <w:rPr>
          <w:rFonts w:ascii="Times New Roman" w:hAnsi="Times New Roman"/>
          <w:b w:val="0"/>
        </w:rPr>
        <w:t>;</w:t>
      </w:r>
    </w:p>
    <w:p w14:paraId="7EB4425F" w14:textId="2D947723" w:rsidR="00BB2DD7" w:rsidRPr="00D44D33" w:rsidRDefault="00707D10" w:rsidP="00D44D33">
      <w:pPr>
        <w:pStyle w:val="ROZDZODDZPRZEDMprzedmiotregulacjirozdziauluboddziau"/>
        <w:spacing w:after="120"/>
        <w:ind w:left="567"/>
        <w:jc w:val="both"/>
        <w:rPr>
          <w:rFonts w:ascii="Times New Roman" w:hAnsi="Times New Roman"/>
          <w:b w:val="0"/>
          <w:lang w:eastAsia="en-US"/>
        </w:rPr>
      </w:pPr>
      <w:r w:rsidRPr="00D44D33">
        <w:rPr>
          <w:rFonts w:ascii="Times New Roman" w:hAnsi="Times New Roman"/>
          <w:b w:val="0"/>
          <w:lang w:eastAsia="en-US"/>
        </w:rPr>
        <w:t>DZIAŁ X</w:t>
      </w:r>
      <w:r w:rsidRPr="00D44D33">
        <w:rPr>
          <w:rFonts w:ascii="Times New Roman" w:hAnsi="Times New Roman"/>
          <w:b w:val="0"/>
        </w:rPr>
        <w:t>. Przepis końcowy</w:t>
      </w:r>
      <w:r w:rsidR="0049423B" w:rsidRPr="00D44D33">
        <w:rPr>
          <w:rFonts w:ascii="Times New Roman" w:hAnsi="Times New Roman"/>
          <w:b w:val="0"/>
        </w:rPr>
        <w:t>.</w:t>
      </w:r>
    </w:p>
    <w:p w14:paraId="646328C7" w14:textId="1FBF62C9" w:rsidR="33487D30" w:rsidRPr="00D44D33" w:rsidRDefault="6DE9891D"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lang w:eastAsia="en-US"/>
        </w:rPr>
        <w:t>Projektodawca</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wskazuje,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że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zgodnie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zasadami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prawidłowej</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legislacji</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posługuje</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się</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w</w:t>
      </w:r>
      <w:r w:rsidR="00371EEA">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większości</w:t>
      </w:r>
      <w:r w:rsidR="00970B2E" w:rsidRPr="00D44D33">
        <w:rPr>
          <w:rFonts w:ascii="Times New Roman" w:hAnsi="Times New Roman" w:cs="Times New Roman"/>
          <w:szCs w:val="24"/>
          <w:lang w:eastAsia="en-US"/>
        </w:rPr>
        <w:t xml:space="preserve"> </w:t>
      </w:r>
      <w:r w:rsidR="171AC135" w:rsidRPr="00D44D33">
        <w:rPr>
          <w:rFonts w:ascii="Times New Roman" w:hAnsi="Times New Roman" w:cs="Times New Roman"/>
          <w:szCs w:val="24"/>
          <w:lang w:eastAsia="en-US"/>
        </w:rPr>
        <w:t>przepisów</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liczbą</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pojedynczą</w:t>
      </w:r>
      <w:r w:rsidR="00970B2E" w:rsidRPr="00D44D33">
        <w:rPr>
          <w:rFonts w:ascii="Times New Roman" w:hAnsi="Times New Roman" w:cs="Times New Roman"/>
          <w:szCs w:val="24"/>
          <w:lang w:eastAsia="en-US"/>
        </w:rPr>
        <w:t xml:space="preserve"> </w:t>
      </w:r>
      <w:r w:rsidR="0049423B" w:rsidRPr="00D44D33">
        <w:rPr>
          <w:rFonts w:ascii="Times New Roman" w:hAnsi="Times New Roman" w:cs="Times New Roman"/>
          <w:szCs w:val="24"/>
          <w:lang w:eastAsia="en-US"/>
        </w:rPr>
        <w:t xml:space="preserve">w </w:t>
      </w:r>
      <w:r w:rsidR="71915B6F" w:rsidRPr="00D44D33">
        <w:rPr>
          <w:rFonts w:ascii="Times New Roman" w:hAnsi="Times New Roman" w:cs="Times New Roman"/>
          <w:szCs w:val="24"/>
          <w:lang w:eastAsia="en-US"/>
        </w:rPr>
        <w:t>cel</w:t>
      </w:r>
      <w:r w:rsidR="0049423B" w:rsidRPr="00D44D33">
        <w:rPr>
          <w:rFonts w:ascii="Times New Roman" w:hAnsi="Times New Roman" w:cs="Times New Roman"/>
          <w:szCs w:val="24"/>
          <w:lang w:eastAsia="en-US"/>
        </w:rPr>
        <w:t>u</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zapobiegnięcia</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ewentualnym</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wątpliwościom</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związanym</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71915B6F" w:rsidRPr="00D44D33">
        <w:rPr>
          <w:rFonts w:ascii="Times New Roman" w:hAnsi="Times New Roman" w:cs="Times New Roman"/>
          <w:szCs w:val="24"/>
          <w:lang w:eastAsia="en-US"/>
        </w:rPr>
        <w:t>określeniem</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przedmiotu</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przepisu,</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do</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którego</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odnosi</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się</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czynność</w:t>
      </w:r>
      <w:r w:rsidR="00970B2E" w:rsidRPr="00D44D33">
        <w:rPr>
          <w:rFonts w:ascii="Times New Roman" w:hAnsi="Times New Roman" w:cs="Times New Roman"/>
          <w:szCs w:val="24"/>
          <w:lang w:eastAsia="en-US"/>
        </w:rPr>
        <w:t xml:space="preserve"> </w:t>
      </w:r>
      <w:r w:rsidR="08480ABE" w:rsidRPr="00D44D33">
        <w:rPr>
          <w:rFonts w:ascii="Times New Roman" w:hAnsi="Times New Roman" w:cs="Times New Roman"/>
          <w:szCs w:val="24"/>
          <w:lang w:eastAsia="en-US"/>
        </w:rPr>
        <w:t>czasownikowa</w:t>
      </w:r>
      <w:r w:rsidR="09C3E750"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9C3E750" w:rsidRPr="00D44D33">
        <w:rPr>
          <w:rFonts w:ascii="Times New Roman" w:hAnsi="Times New Roman" w:cs="Times New Roman"/>
          <w:szCs w:val="24"/>
          <w:lang w:eastAsia="en-US"/>
        </w:rPr>
        <w:t>przyjmując,</w:t>
      </w:r>
      <w:r w:rsidR="00970B2E" w:rsidRPr="00D44D33">
        <w:rPr>
          <w:rFonts w:ascii="Times New Roman" w:hAnsi="Times New Roman" w:cs="Times New Roman"/>
          <w:szCs w:val="24"/>
          <w:lang w:eastAsia="en-US"/>
        </w:rPr>
        <w:t xml:space="preserve"> </w:t>
      </w:r>
      <w:r w:rsidR="09C3E750" w:rsidRPr="00D44D33">
        <w:rPr>
          <w:rFonts w:ascii="Times New Roman" w:hAnsi="Times New Roman" w:cs="Times New Roman"/>
          <w:szCs w:val="24"/>
          <w:lang w:eastAsia="en-US"/>
        </w:rPr>
        <w:t>że</w:t>
      </w:r>
      <w:r w:rsidR="00970B2E" w:rsidRPr="00D44D33">
        <w:rPr>
          <w:rFonts w:ascii="Times New Roman" w:hAnsi="Times New Roman" w:cs="Times New Roman"/>
          <w:szCs w:val="24"/>
          <w:lang w:eastAsia="en-US"/>
        </w:rPr>
        <w:t xml:space="preserve"> </w:t>
      </w:r>
      <w:r w:rsidR="5C18FB74" w:rsidRPr="00D44D33">
        <w:rPr>
          <w:rFonts w:ascii="Times New Roman" w:hAnsi="Times New Roman" w:cs="Times New Roman"/>
          <w:szCs w:val="24"/>
          <w:lang w:eastAsia="en-US"/>
        </w:rPr>
        <w:t>jego</w:t>
      </w:r>
      <w:r w:rsidR="00970B2E" w:rsidRPr="00D44D33">
        <w:rPr>
          <w:rFonts w:ascii="Times New Roman" w:hAnsi="Times New Roman" w:cs="Times New Roman"/>
          <w:szCs w:val="24"/>
          <w:lang w:eastAsia="en-US"/>
        </w:rPr>
        <w:t xml:space="preserve"> </w:t>
      </w:r>
      <w:r w:rsidR="09C3E750" w:rsidRPr="00D44D33">
        <w:rPr>
          <w:rFonts w:ascii="Times New Roman" w:hAnsi="Times New Roman" w:cs="Times New Roman"/>
          <w:szCs w:val="24"/>
          <w:lang w:eastAsia="en-US"/>
        </w:rPr>
        <w:t>użycie</w:t>
      </w:r>
      <w:r w:rsidR="00970B2E" w:rsidRPr="00D44D33">
        <w:rPr>
          <w:rFonts w:ascii="Times New Roman" w:hAnsi="Times New Roman" w:cs="Times New Roman"/>
          <w:szCs w:val="24"/>
          <w:lang w:eastAsia="en-US"/>
        </w:rPr>
        <w:t xml:space="preserve"> </w:t>
      </w:r>
      <w:r w:rsidR="09C3E750" w:rsidRPr="00D44D33">
        <w:rPr>
          <w:rFonts w:ascii="Times New Roman" w:hAnsi="Times New Roman" w:cs="Times New Roman"/>
          <w:szCs w:val="24"/>
          <w:lang w:eastAsia="en-US"/>
        </w:rPr>
        <w:t>w</w:t>
      </w:r>
      <w:r w:rsidR="00970B2E" w:rsidRPr="00D44D33">
        <w:rPr>
          <w:rFonts w:ascii="Times New Roman" w:hAnsi="Times New Roman" w:cs="Times New Roman"/>
          <w:szCs w:val="24"/>
          <w:lang w:eastAsia="en-US"/>
        </w:rPr>
        <w:t xml:space="preserve"> </w:t>
      </w:r>
      <w:r w:rsidR="09C3E750" w:rsidRPr="00D44D33">
        <w:rPr>
          <w:rFonts w:ascii="Times New Roman" w:hAnsi="Times New Roman" w:cs="Times New Roman"/>
          <w:szCs w:val="24"/>
          <w:lang w:eastAsia="en-US"/>
        </w:rPr>
        <w:t>liczbie</w:t>
      </w:r>
      <w:r w:rsidR="00970B2E" w:rsidRPr="00D44D33">
        <w:rPr>
          <w:rFonts w:ascii="Times New Roman" w:hAnsi="Times New Roman" w:cs="Times New Roman"/>
          <w:szCs w:val="24"/>
          <w:lang w:eastAsia="en-US"/>
        </w:rPr>
        <w:t xml:space="preserve"> </w:t>
      </w:r>
      <w:r w:rsidR="586FB9D5" w:rsidRPr="00D44D33">
        <w:rPr>
          <w:rFonts w:ascii="Times New Roman" w:hAnsi="Times New Roman" w:cs="Times New Roman"/>
          <w:szCs w:val="24"/>
          <w:lang w:eastAsia="en-US"/>
        </w:rPr>
        <w:t>pojedynczej</w:t>
      </w:r>
      <w:r w:rsidR="00970B2E" w:rsidRPr="00D44D33">
        <w:rPr>
          <w:rFonts w:ascii="Times New Roman" w:hAnsi="Times New Roman" w:cs="Times New Roman"/>
          <w:szCs w:val="24"/>
          <w:lang w:eastAsia="en-US"/>
        </w:rPr>
        <w:t xml:space="preserve"> </w:t>
      </w:r>
      <w:r w:rsidR="441128D1" w:rsidRPr="00D44D33">
        <w:rPr>
          <w:rFonts w:ascii="Times New Roman" w:hAnsi="Times New Roman" w:cs="Times New Roman"/>
          <w:szCs w:val="24"/>
          <w:lang w:eastAsia="en-US"/>
        </w:rPr>
        <w:t>nie</w:t>
      </w:r>
      <w:r w:rsidR="00970B2E" w:rsidRPr="00D44D33">
        <w:rPr>
          <w:rFonts w:ascii="Times New Roman" w:hAnsi="Times New Roman" w:cs="Times New Roman"/>
          <w:szCs w:val="24"/>
          <w:lang w:eastAsia="en-US"/>
        </w:rPr>
        <w:t xml:space="preserve"> </w:t>
      </w:r>
      <w:r w:rsidR="441128D1" w:rsidRPr="00D44D33">
        <w:rPr>
          <w:rFonts w:ascii="Times New Roman" w:hAnsi="Times New Roman" w:cs="Times New Roman"/>
          <w:szCs w:val="24"/>
          <w:lang w:eastAsia="en-US"/>
        </w:rPr>
        <w:t>stanowi</w:t>
      </w:r>
      <w:r w:rsidR="00970B2E" w:rsidRPr="00D44D33">
        <w:rPr>
          <w:rFonts w:ascii="Times New Roman" w:hAnsi="Times New Roman" w:cs="Times New Roman"/>
          <w:szCs w:val="24"/>
          <w:lang w:eastAsia="en-US"/>
        </w:rPr>
        <w:t xml:space="preserve"> </w:t>
      </w:r>
      <w:r w:rsidR="441128D1" w:rsidRPr="00D44D33">
        <w:rPr>
          <w:rFonts w:ascii="Times New Roman" w:hAnsi="Times New Roman" w:cs="Times New Roman"/>
          <w:szCs w:val="24"/>
          <w:lang w:eastAsia="en-US"/>
        </w:rPr>
        <w:t>limitu</w:t>
      </w:r>
      <w:r w:rsidR="00970B2E" w:rsidRPr="00D44D33">
        <w:rPr>
          <w:rFonts w:ascii="Times New Roman" w:hAnsi="Times New Roman" w:cs="Times New Roman"/>
          <w:szCs w:val="24"/>
          <w:lang w:eastAsia="en-US"/>
        </w:rPr>
        <w:t xml:space="preserve"> </w:t>
      </w:r>
      <w:r w:rsidR="7865C291" w:rsidRPr="00D44D33">
        <w:rPr>
          <w:rFonts w:ascii="Times New Roman" w:hAnsi="Times New Roman" w:cs="Times New Roman"/>
          <w:szCs w:val="24"/>
          <w:lang w:eastAsia="en-US"/>
        </w:rPr>
        <w:t>liczbowego</w:t>
      </w:r>
      <w:r w:rsidR="00970B2E" w:rsidRPr="00D44D33">
        <w:rPr>
          <w:rFonts w:ascii="Times New Roman" w:hAnsi="Times New Roman" w:cs="Times New Roman"/>
          <w:szCs w:val="24"/>
          <w:lang w:eastAsia="en-US"/>
        </w:rPr>
        <w:t xml:space="preserve"> </w:t>
      </w:r>
      <w:r w:rsidR="7865C291" w:rsidRPr="00D44D33">
        <w:rPr>
          <w:rFonts w:ascii="Times New Roman" w:hAnsi="Times New Roman" w:cs="Times New Roman"/>
          <w:szCs w:val="24"/>
          <w:lang w:eastAsia="en-US"/>
        </w:rPr>
        <w:t>i</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pozwala</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także</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na</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zastosowanie</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przepisów</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do</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liczby</w:t>
      </w:r>
      <w:r w:rsidR="00970B2E" w:rsidRPr="00D44D33">
        <w:rPr>
          <w:rFonts w:ascii="Times New Roman" w:hAnsi="Times New Roman" w:cs="Times New Roman"/>
          <w:szCs w:val="24"/>
          <w:lang w:eastAsia="en-US"/>
        </w:rPr>
        <w:t xml:space="preserve"> </w:t>
      </w:r>
      <w:r w:rsidR="688E5C33" w:rsidRPr="00D44D33">
        <w:rPr>
          <w:rFonts w:ascii="Times New Roman" w:hAnsi="Times New Roman" w:cs="Times New Roman"/>
          <w:szCs w:val="24"/>
          <w:lang w:eastAsia="en-US"/>
        </w:rPr>
        <w:t>mnogiej</w:t>
      </w:r>
      <w:r w:rsidR="41A2086D"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41A2086D" w:rsidRPr="00D44D33">
        <w:rPr>
          <w:rFonts w:ascii="Times New Roman" w:hAnsi="Times New Roman" w:cs="Times New Roman"/>
          <w:szCs w:val="24"/>
          <w:lang w:eastAsia="en-US"/>
        </w:rPr>
        <w:t>jeżeli</w:t>
      </w:r>
      <w:r w:rsidR="00970B2E" w:rsidRPr="00D44D33">
        <w:rPr>
          <w:rFonts w:ascii="Times New Roman" w:hAnsi="Times New Roman" w:cs="Times New Roman"/>
          <w:szCs w:val="24"/>
          <w:lang w:eastAsia="en-US"/>
        </w:rPr>
        <w:t xml:space="preserve"> </w:t>
      </w:r>
      <w:r w:rsidR="41A2086D" w:rsidRPr="00D44D33">
        <w:rPr>
          <w:rFonts w:ascii="Times New Roman" w:hAnsi="Times New Roman" w:cs="Times New Roman"/>
          <w:szCs w:val="24"/>
          <w:lang w:eastAsia="en-US"/>
        </w:rPr>
        <w:t>stoi</w:t>
      </w:r>
      <w:r w:rsidR="00970B2E" w:rsidRPr="00D44D33">
        <w:rPr>
          <w:rFonts w:ascii="Times New Roman" w:hAnsi="Times New Roman" w:cs="Times New Roman"/>
          <w:szCs w:val="24"/>
          <w:lang w:eastAsia="en-US"/>
        </w:rPr>
        <w:t xml:space="preserve"> </w:t>
      </w:r>
      <w:r w:rsidR="41A2086D" w:rsidRPr="00D44D33">
        <w:rPr>
          <w:rFonts w:ascii="Times New Roman" w:hAnsi="Times New Roman" w:cs="Times New Roman"/>
          <w:szCs w:val="24"/>
          <w:lang w:eastAsia="en-US"/>
        </w:rPr>
        <w:t>za</w:t>
      </w:r>
      <w:r w:rsidR="00970B2E" w:rsidRPr="00D44D33">
        <w:rPr>
          <w:rFonts w:ascii="Times New Roman" w:hAnsi="Times New Roman" w:cs="Times New Roman"/>
          <w:szCs w:val="24"/>
          <w:lang w:eastAsia="en-US"/>
        </w:rPr>
        <w:t xml:space="preserve"> </w:t>
      </w:r>
      <w:r w:rsidR="41A2086D" w:rsidRPr="00D44D33">
        <w:rPr>
          <w:rFonts w:ascii="Times New Roman" w:hAnsi="Times New Roman" w:cs="Times New Roman"/>
          <w:szCs w:val="24"/>
          <w:lang w:eastAsia="en-US"/>
        </w:rPr>
        <w:t>tym</w:t>
      </w:r>
      <w:r w:rsidR="00970B2E" w:rsidRPr="00D44D33">
        <w:rPr>
          <w:rFonts w:ascii="Times New Roman" w:hAnsi="Times New Roman" w:cs="Times New Roman"/>
          <w:szCs w:val="24"/>
          <w:lang w:eastAsia="en-US"/>
        </w:rPr>
        <w:t xml:space="preserve"> </w:t>
      </w:r>
      <w:r w:rsidR="41A2086D" w:rsidRPr="00D44D33">
        <w:rPr>
          <w:rFonts w:ascii="Times New Roman" w:hAnsi="Times New Roman" w:cs="Times New Roman"/>
          <w:szCs w:val="24"/>
          <w:lang w:eastAsia="en-US"/>
        </w:rPr>
        <w:t>racjonalna</w:t>
      </w:r>
      <w:r w:rsidR="00970B2E" w:rsidRPr="00D44D33">
        <w:rPr>
          <w:rFonts w:ascii="Times New Roman" w:hAnsi="Times New Roman" w:cs="Times New Roman"/>
          <w:szCs w:val="24"/>
          <w:lang w:eastAsia="en-US"/>
        </w:rPr>
        <w:t xml:space="preserve"> </w:t>
      </w:r>
      <w:r w:rsidR="41A2086D" w:rsidRPr="00D44D33">
        <w:rPr>
          <w:rFonts w:ascii="Times New Roman" w:hAnsi="Times New Roman" w:cs="Times New Roman"/>
          <w:szCs w:val="24"/>
          <w:lang w:eastAsia="en-US"/>
        </w:rPr>
        <w:t>przesłanka</w:t>
      </w:r>
      <w:r w:rsidR="688E5C33"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7D54C81D" w:rsidRPr="00D44D33">
        <w:rPr>
          <w:rFonts w:ascii="Times New Roman" w:hAnsi="Times New Roman" w:cs="Times New Roman"/>
          <w:szCs w:val="24"/>
          <w:lang w:eastAsia="en-US"/>
        </w:rPr>
        <w:t>N</w:t>
      </w:r>
      <w:r w:rsidR="7D54C81D" w:rsidRPr="00D44D33">
        <w:rPr>
          <w:rFonts w:ascii="Times New Roman" w:hAnsi="Times New Roman" w:cs="Times New Roman"/>
          <w:szCs w:val="24"/>
        </w:rPr>
        <w:t>iemniej</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niektórych</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wypadkach</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charakter</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przedmiotu</w:t>
      </w:r>
      <w:r w:rsidR="00970B2E" w:rsidRPr="00D44D33">
        <w:rPr>
          <w:rFonts w:ascii="Times New Roman" w:hAnsi="Times New Roman" w:cs="Times New Roman"/>
          <w:szCs w:val="24"/>
        </w:rPr>
        <w:t xml:space="preserve"> </w:t>
      </w:r>
      <w:r w:rsidR="7DDB7B89" w:rsidRPr="00D44D33">
        <w:rPr>
          <w:rFonts w:ascii="Times New Roman" w:hAnsi="Times New Roman" w:cs="Times New Roman"/>
          <w:szCs w:val="24"/>
        </w:rPr>
        <w:t>uzasadniał</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użycie</w:t>
      </w:r>
      <w:r w:rsidR="00970B2E" w:rsidRPr="00D44D33">
        <w:rPr>
          <w:rFonts w:ascii="Times New Roman" w:hAnsi="Times New Roman" w:cs="Times New Roman"/>
          <w:szCs w:val="24"/>
        </w:rPr>
        <w:t xml:space="preserve"> </w:t>
      </w:r>
      <w:r w:rsidR="648260C9"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648260C9" w:rsidRPr="00D44D33">
        <w:rPr>
          <w:rFonts w:ascii="Times New Roman" w:hAnsi="Times New Roman" w:cs="Times New Roman"/>
          <w:szCs w:val="24"/>
        </w:rPr>
        <w:t>projektodawcę</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liczby</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mnogiej</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jako</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trafniejszej</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językowo</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7D54C81D" w:rsidRPr="00D44D33">
        <w:rPr>
          <w:rFonts w:ascii="Times New Roman" w:hAnsi="Times New Roman" w:cs="Times New Roman"/>
          <w:szCs w:val="24"/>
        </w:rPr>
        <w:t>logicznie</w:t>
      </w:r>
      <w:r w:rsidR="3BCD056C" w:rsidRPr="00D44D33">
        <w:rPr>
          <w:rFonts w:ascii="Times New Roman" w:hAnsi="Times New Roman" w:cs="Times New Roman"/>
          <w:szCs w:val="24"/>
        </w:rPr>
        <w:t>.</w:t>
      </w:r>
    </w:p>
    <w:p w14:paraId="4B203448" w14:textId="2D1738E0" w:rsidR="000B4120" w:rsidRPr="00D44D33" w:rsidRDefault="0049423B" w:rsidP="00D44D33">
      <w:pPr>
        <w:pStyle w:val="ARTartustawynprozporzdzenia"/>
        <w:spacing w:after="120"/>
        <w:ind w:firstLine="0"/>
        <w:rPr>
          <w:rFonts w:ascii="Times New Roman" w:hAnsi="Times New Roman" w:cs="Times New Roman"/>
          <w:szCs w:val="24"/>
          <w:lang w:eastAsia="en-US"/>
        </w:rPr>
      </w:pPr>
      <w:r w:rsidRPr="00D44D33">
        <w:rPr>
          <w:rFonts w:ascii="Times New Roman" w:hAnsi="Times New Roman" w:cs="Times New Roman"/>
          <w:szCs w:val="24"/>
          <w:lang w:eastAsia="en-US"/>
        </w:rPr>
        <w:t>P</w:t>
      </w:r>
      <w:r w:rsidR="000B4120" w:rsidRPr="00D44D33">
        <w:rPr>
          <w:rFonts w:ascii="Times New Roman" w:hAnsi="Times New Roman" w:cs="Times New Roman"/>
          <w:szCs w:val="24"/>
          <w:lang w:eastAsia="en-US"/>
        </w:rPr>
        <w:t>rojektodawca</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przyjął</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 xml:space="preserve">także </w:t>
      </w:r>
      <w:r w:rsidR="000B4120" w:rsidRPr="00D44D33">
        <w:rPr>
          <w:rFonts w:ascii="Times New Roman" w:hAnsi="Times New Roman" w:cs="Times New Roman"/>
          <w:szCs w:val="24"/>
          <w:lang w:eastAsia="en-US"/>
        </w:rPr>
        <w:t>zasadę,</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iż</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przypadku</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gdy</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przepis</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nie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wskazuje</w:t>
      </w:r>
      <w:r w:rsidR="00354D50">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czy</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określone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postępowanie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lub</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czynność</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wszczynane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są</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lub</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dokonywane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urzędu</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albo</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na</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wniosek</w:t>
      </w:r>
      <w:r w:rsidR="00354D50">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oznacza</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to</w:t>
      </w:r>
      <w:r w:rsidR="00354D50">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że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mamy</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do</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czynienia</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działaniem</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organu</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wyłącznie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urzędu.</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Jednak</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w:t>
      </w:r>
      <w:r w:rsidR="00371EEA">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kilku</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lastRenderedPageBreak/>
        <w:t>szczególnych</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przypadkach,</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tak</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aby</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uniknąć</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jakichkolwiek</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wątpliwości</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interpretacyjnych,</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wskazano</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wprost</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w</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przepisach</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na</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działanie</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000B4120" w:rsidRPr="00D44D33">
        <w:rPr>
          <w:rFonts w:ascii="Times New Roman" w:hAnsi="Times New Roman" w:cs="Times New Roman"/>
          <w:szCs w:val="24"/>
          <w:lang w:eastAsia="en-US"/>
        </w:rPr>
        <w:t>urzędu.</w:t>
      </w:r>
      <w:r w:rsidR="00970B2E" w:rsidRPr="00D44D33">
        <w:rPr>
          <w:rFonts w:ascii="Times New Roman" w:hAnsi="Times New Roman" w:cs="Times New Roman"/>
          <w:szCs w:val="24"/>
          <w:lang w:eastAsia="en-US"/>
        </w:rPr>
        <w:t xml:space="preserve"> </w:t>
      </w:r>
    </w:p>
    <w:p w14:paraId="20BA3A24" w14:textId="77777777" w:rsidR="00DD7F59" w:rsidRPr="00D44D33" w:rsidRDefault="00DD7F59" w:rsidP="00D44D33">
      <w:pPr>
        <w:pStyle w:val="ARTartustawynprozporzdzenia"/>
        <w:spacing w:after="120"/>
        <w:ind w:firstLine="0"/>
        <w:rPr>
          <w:rFonts w:ascii="Times New Roman" w:hAnsi="Times New Roman" w:cs="Times New Roman"/>
          <w:szCs w:val="24"/>
          <w:lang w:eastAsia="en-US"/>
        </w:rPr>
      </w:pPr>
    </w:p>
    <w:p w14:paraId="0485695B" w14:textId="7ED3F9FE" w:rsidR="00146F5E" w:rsidRPr="00D44D33" w:rsidRDefault="00146F5E" w:rsidP="00D44D33">
      <w:pPr>
        <w:pStyle w:val="ARTartustawynprozporzdzenia"/>
        <w:spacing w:after="120"/>
        <w:ind w:firstLine="0"/>
        <w:jc w:val="center"/>
        <w:rPr>
          <w:rFonts w:ascii="Times New Roman" w:hAnsi="Times New Roman" w:cs="Times New Roman"/>
          <w:b/>
          <w:bCs/>
          <w:szCs w:val="24"/>
        </w:rPr>
      </w:pPr>
      <w:r w:rsidRPr="00D44D33">
        <w:rPr>
          <w:rFonts w:ascii="Times New Roman" w:hAnsi="Times New Roman" w:cs="Times New Roman"/>
          <w:b/>
          <w:bCs/>
          <w:szCs w:val="24"/>
        </w:rPr>
        <w:t>Szczegółowe</w:t>
      </w:r>
      <w:r w:rsidR="00970B2E" w:rsidRPr="00D44D33">
        <w:rPr>
          <w:rFonts w:ascii="Times New Roman" w:hAnsi="Times New Roman" w:cs="Times New Roman"/>
          <w:b/>
          <w:bCs/>
          <w:szCs w:val="24"/>
        </w:rPr>
        <w:t xml:space="preserve"> </w:t>
      </w:r>
      <w:r w:rsidRPr="00D44D33">
        <w:rPr>
          <w:rFonts w:ascii="Times New Roman" w:hAnsi="Times New Roman" w:cs="Times New Roman"/>
          <w:b/>
          <w:bCs/>
          <w:szCs w:val="24"/>
        </w:rPr>
        <w:t>regulacje</w:t>
      </w:r>
    </w:p>
    <w:p w14:paraId="06EDFCCD" w14:textId="7DE24B79" w:rsidR="00DD7F59" w:rsidRPr="00D44D33" w:rsidRDefault="00E37FC4" w:rsidP="00D44D33">
      <w:pPr>
        <w:pStyle w:val="TYTDZPRZEDMprzedmiotregulacjitytuulubdziau"/>
        <w:spacing w:after="120"/>
        <w:rPr>
          <w:rFonts w:ascii="Times New Roman" w:eastAsiaTheme="minorEastAsia" w:hAnsi="Times New Roman"/>
          <w:szCs w:val="24"/>
          <w:lang w:eastAsia="en-US"/>
        </w:rPr>
      </w:pPr>
      <w:r w:rsidRPr="00D44D33">
        <w:rPr>
          <w:rFonts w:ascii="Times New Roman" w:eastAsiaTheme="minorEastAsia" w:hAnsi="Times New Roman"/>
          <w:szCs w:val="24"/>
          <w:lang w:eastAsia="en-US"/>
        </w:rPr>
        <w:t>DZIAŁ</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I</w:t>
      </w:r>
      <w:r w:rsidR="00970B2E" w:rsidRPr="00D44D33">
        <w:rPr>
          <w:rFonts w:ascii="Times New Roman" w:eastAsiaTheme="minorEastAsia" w:hAnsi="Times New Roman"/>
          <w:szCs w:val="24"/>
          <w:lang w:eastAsia="en-US"/>
        </w:rPr>
        <w:t xml:space="preserve"> </w:t>
      </w:r>
    </w:p>
    <w:p w14:paraId="3D1A3B32" w14:textId="5F988A57" w:rsidR="0066128E" w:rsidRPr="00D44D33" w:rsidRDefault="00E37FC4" w:rsidP="00D44D33">
      <w:pPr>
        <w:pStyle w:val="TYTDZPRZEDMprzedmiotregulacjitytuulubdziau"/>
        <w:spacing w:after="120"/>
        <w:rPr>
          <w:rFonts w:ascii="Times New Roman" w:eastAsiaTheme="minorEastAsia" w:hAnsi="Times New Roman"/>
          <w:szCs w:val="24"/>
          <w:lang w:eastAsia="en-US"/>
        </w:rPr>
      </w:pPr>
      <w:r w:rsidRPr="00D44D33">
        <w:rPr>
          <w:rFonts w:ascii="Times New Roman" w:eastAsiaTheme="minorEastAsia" w:hAnsi="Times New Roman"/>
          <w:szCs w:val="24"/>
          <w:lang w:eastAsia="en-US"/>
        </w:rPr>
        <w:t>Postanowienia</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ogólne</w:t>
      </w:r>
    </w:p>
    <w:p w14:paraId="781F7D7E" w14:textId="726423F7" w:rsidR="00DD7F59" w:rsidRPr="00D44D33" w:rsidRDefault="00E37FC4" w:rsidP="00D44D33">
      <w:pPr>
        <w:pStyle w:val="ARTartustawynprozporzdzenia"/>
        <w:spacing w:after="120"/>
        <w:ind w:firstLine="0"/>
        <w:jc w:val="center"/>
        <w:rPr>
          <w:rFonts w:ascii="Times New Roman" w:hAnsi="Times New Roman" w:cs="Times New Roman"/>
          <w:b/>
          <w:bCs/>
          <w:szCs w:val="24"/>
          <w:lang w:eastAsia="en-US"/>
        </w:rPr>
      </w:pPr>
      <w:r w:rsidRPr="00D44D33">
        <w:rPr>
          <w:rFonts w:ascii="Times New Roman" w:hAnsi="Times New Roman" w:cs="Times New Roman"/>
          <w:b/>
          <w:bCs/>
          <w:szCs w:val="24"/>
          <w:lang w:eastAsia="en-US"/>
        </w:rPr>
        <w:t>Rozdział</w:t>
      </w:r>
      <w:r w:rsidR="00970B2E" w:rsidRPr="00D44D33">
        <w:rPr>
          <w:rFonts w:ascii="Times New Roman" w:hAnsi="Times New Roman" w:cs="Times New Roman"/>
          <w:b/>
          <w:bCs/>
          <w:szCs w:val="24"/>
          <w:lang w:eastAsia="en-US"/>
        </w:rPr>
        <w:t xml:space="preserve"> </w:t>
      </w:r>
      <w:r w:rsidRPr="00D44D33">
        <w:rPr>
          <w:rFonts w:ascii="Times New Roman" w:hAnsi="Times New Roman" w:cs="Times New Roman"/>
          <w:b/>
          <w:bCs/>
          <w:szCs w:val="24"/>
          <w:lang w:eastAsia="en-US"/>
        </w:rPr>
        <w:t>1</w:t>
      </w:r>
      <w:r w:rsidR="00970B2E" w:rsidRPr="00D44D33">
        <w:rPr>
          <w:rFonts w:ascii="Times New Roman" w:hAnsi="Times New Roman" w:cs="Times New Roman"/>
          <w:b/>
          <w:bCs/>
          <w:szCs w:val="24"/>
          <w:lang w:eastAsia="en-US"/>
        </w:rPr>
        <w:t xml:space="preserve"> </w:t>
      </w:r>
    </w:p>
    <w:p w14:paraId="325DB64C" w14:textId="06C4AF66" w:rsidR="00E37FC4" w:rsidRPr="00D44D33" w:rsidRDefault="00E37FC4" w:rsidP="00D44D33">
      <w:pPr>
        <w:pStyle w:val="ARTartustawynprozporzdzenia"/>
        <w:spacing w:after="120"/>
        <w:ind w:firstLine="0"/>
        <w:jc w:val="center"/>
        <w:rPr>
          <w:rFonts w:ascii="Times New Roman" w:hAnsi="Times New Roman" w:cs="Times New Roman"/>
          <w:b/>
          <w:bCs/>
          <w:szCs w:val="24"/>
          <w:lang w:eastAsia="en-US"/>
        </w:rPr>
      </w:pPr>
      <w:r w:rsidRPr="00D44D33">
        <w:rPr>
          <w:rFonts w:ascii="Times New Roman" w:hAnsi="Times New Roman" w:cs="Times New Roman"/>
          <w:b/>
          <w:bCs/>
          <w:szCs w:val="24"/>
          <w:lang w:eastAsia="en-US"/>
        </w:rPr>
        <w:t>Zakres</w:t>
      </w:r>
      <w:r w:rsidR="00970B2E" w:rsidRPr="00D44D33">
        <w:rPr>
          <w:rFonts w:ascii="Times New Roman" w:hAnsi="Times New Roman" w:cs="Times New Roman"/>
          <w:b/>
          <w:bCs/>
          <w:szCs w:val="24"/>
          <w:lang w:eastAsia="en-US"/>
        </w:rPr>
        <w:t xml:space="preserve"> </w:t>
      </w:r>
      <w:r w:rsidRPr="00D44D33">
        <w:rPr>
          <w:rFonts w:ascii="Times New Roman" w:hAnsi="Times New Roman" w:cs="Times New Roman"/>
          <w:b/>
          <w:bCs/>
          <w:szCs w:val="24"/>
          <w:lang w:eastAsia="en-US"/>
        </w:rPr>
        <w:t>ustawy</w:t>
      </w:r>
    </w:p>
    <w:p w14:paraId="50273FE0" w14:textId="4289887D" w:rsidR="00E37FC4" w:rsidRPr="00D44D33" w:rsidRDefault="000F496D" w:rsidP="00D44D33">
      <w:pPr>
        <w:pStyle w:val="ARTartustawynprozporzdzenia"/>
        <w:spacing w:after="120"/>
        <w:ind w:firstLine="0"/>
        <w:jc w:val="center"/>
        <w:rPr>
          <w:rFonts w:ascii="Times New Roman" w:hAnsi="Times New Roman" w:cs="Times New Roman"/>
          <w:b/>
          <w:bCs/>
          <w:szCs w:val="24"/>
          <w:lang w:eastAsia="en-US"/>
        </w:rPr>
      </w:pPr>
      <w:r w:rsidRPr="00D44D33">
        <w:rPr>
          <w:rFonts w:ascii="Times New Roman" w:hAnsi="Times New Roman" w:cs="Times New Roman"/>
          <w:b/>
          <w:bCs/>
          <w:szCs w:val="24"/>
          <w:lang w:eastAsia="en-US"/>
        </w:rPr>
        <w:t>Art.</w:t>
      </w:r>
      <w:r w:rsidR="00970B2E" w:rsidRPr="00D44D33">
        <w:rPr>
          <w:rFonts w:ascii="Times New Roman" w:hAnsi="Times New Roman" w:cs="Times New Roman"/>
          <w:b/>
          <w:bCs/>
          <w:szCs w:val="24"/>
          <w:lang w:eastAsia="en-US"/>
        </w:rPr>
        <w:t xml:space="preserve"> </w:t>
      </w:r>
      <w:r w:rsidRPr="00D44D33">
        <w:rPr>
          <w:rFonts w:ascii="Times New Roman" w:hAnsi="Times New Roman" w:cs="Times New Roman"/>
          <w:b/>
          <w:bCs/>
          <w:szCs w:val="24"/>
          <w:lang w:eastAsia="en-US"/>
        </w:rPr>
        <w:t>1</w:t>
      </w:r>
    </w:p>
    <w:p w14:paraId="0CCA4C0B" w14:textId="50420F17" w:rsidR="003431EC" w:rsidRPr="00D44D33" w:rsidRDefault="002D4BA3" w:rsidP="00D44D33">
      <w:pPr>
        <w:pStyle w:val="USTustnpkodeksu"/>
        <w:spacing w:before="120" w:after="120"/>
        <w:ind w:firstLine="0"/>
        <w:rPr>
          <w:rFonts w:ascii="Times New Roman" w:hAnsi="Times New Roman" w:cs="Times New Roman"/>
          <w:szCs w:val="24"/>
        </w:rPr>
      </w:pPr>
      <w:r w:rsidRPr="00D44D33">
        <w:rPr>
          <w:rFonts w:ascii="Times New Roman" w:hAnsi="Times New Roman" w:cs="Times New Roman"/>
          <w:szCs w:val="24"/>
        </w:rPr>
        <w:t>Zasadniczy</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zakres</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0049423B" w:rsidRPr="00D44D33">
        <w:rPr>
          <w:rFonts w:ascii="Times New Roman" w:hAnsi="Times New Roman" w:cs="Times New Roman"/>
          <w:szCs w:val="24"/>
        </w:rPr>
        <w:t xml:space="preserve">Pke </w:t>
      </w:r>
      <w:r w:rsidRPr="00D44D33">
        <w:rPr>
          <w:rFonts w:ascii="Times New Roman" w:hAnsi="Times New Roman" w:cs="Times New Roman"/>
          <w:szCs w:val="24"/>
        </w:rPr>
        <w:t>(podmiotowy</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371EEA">
        <w:rPr>
          <w:rFonts w:ascii="Times New Roman" w:hAnsi="Times New Roman" w:cs="Times New Roman"/>
          <w:szCs w:val="24"/>
        </w:rPr>
        <w:t xml:space="preserve"> </w:t>
      </w:r>
      <w:r w:rsidRPr="00D44D33">
        <w:rPr>
          <w:rFonts w:ascii="Times New Roman" w:hAnsi="Times New Roman" w:cs="Times New Roman"/>
          <w:szCs w:val="24"/>
        </w:rPr>
        <w:t>przedmiotowy)</w:t>
      </w:r>
      <w:r w:rsidR="00970B2E" w:rsidRPr="00D44D33">
        <w:rPr>
          <w:rFonts w:ascii="Times New Roman" w:hAnsi="Times New Roman" w:cs="Times New Roman"/>
          <w:szCs w:val="24"/>
        </w:rPr>
        <w:t xml:space="preserve"> </w:t>
      </w:r>
      <w:r w:rsidRPr="00D44D33">
        <w:rPr>
          <w:rFonts w:ascii="Times New Roman" w:hAnsi="Times New Roman" w:cs="Times New Roman"/>
          <w:szCs w:val="24"/>
        </w:rPr>
        <w:t>został</w:t>
      </w:r>
      <w:r w:rsidR="00970B2E" w:rsidRPr="00D44D33">
        <w:rPr>
          <w:rFonts w:ascii="Times New Roman" w:hAnsi="Times New Roman" w:cs="Times New Roman"/>
          <w:szCs w:val="24"/>
        </w:rPr>
        <w:t xml:space="preserve"> </w:t>
      </w:r>
      <w:r w:rsidRPr="00D44D33">
        <w:rPr>
          <w:rFonts w:ascii="Times New Roman" w:hAnsi="Times New Roman" w:cs="Times New Roman"/>
          <w:szCs w:val="24"/>
        </w:rPr>
        <w:t>wskazany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1.</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myśl</w:t>
      </w:r>
      <w:r w:rsidR="00970B2E" w:rsidRPr="00D44D33">
        <w:rPr>
          <w:rFonts w:ascii="Times New Roman" w:hAnsi="Times New Roman" w:cs="Times New Roman"/>
          <w:szCs w:val="24"/>
        </w:rPr>
        <w:t xml:space="preserve"> </w:t>
      </w:r>
      <w:r w:rsidRPr="00D44D33">
        <w:rPr>
          <w:rFonts w:ascii="Times New Roman" w:hAnsi="Times New Roman" w:cs="Times New Roman"/>
          <w:szCs w:val="24"/>
        </w:rPr>
        <w:t>tego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przepisu</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ustawa</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reguluje</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zasady</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wykonywania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kontroli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polegającej</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4DE224B3" w:rsidRPr="00D44D33">
        <w:rPr>
          <w:rFonts w:ascii="Times New Roman" w:hAnsi="Times New Roman" w:cs="Times New Roman"/>
          <w:szCs w:val="24"/>
        </w:rPr>
        <w:t>zapewnianiu</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prawa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obowiązki</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uczestników</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rynku</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elektronicznej</w:t>
      </w:r>
      <w:r w:rsidR="0049423B"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przedsiębiorców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elektronicznej</w:t>
      </w:r>
      <w:r w:rsidR="001C568C"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użytkowników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końcowych</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użytkowników</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radiowych</w:t>
      </w:r>
      <w:r w:rsidR="003431EC"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warunki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podejmowania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wykonywania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polegającej</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dostarczaniu</w:t>
      </w:r>
      <w:r w:rsidR="00970B2E" w:rsidRPr="00D44D33">
        <w:rPr>
          <w:rFonts w:ascii="Times New Roman" w:hAnsi="Times New Roman" w:cs="Times New Roman"/>
          <w:szCs w:val="24"/>
        </w:rPr>
        <w:t xml:space="preserve"> </w:t>
      </w:r>
      <w:r w:rsidR="00397982" w:rsidRPr="00D44D33">
        <w:rPr>
          <w:rFonts w:ascii="Times New Roman" w:hAnsi="Times New Roman" w:cs="Times New Roman"/>
          <w:szCs w:val="24"/>
        </w:rPr>
        <w:t>publicznych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sieci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udogodnień</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towarzyszących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świadczeniu</w:t>
      </w:r>
      <w:r w:rsidR="00970B2E" w:rsidRPr="00D44D33">
        <w:rPr>
          <w:rFonts w:ascii="Times New Roman" w:hAnsi="Times New Roman" w:cs="Times New Roman"/>
          <w:szCs w:val="24"/>
        </w:rPr>
        <w:t xml:space="preserve"> </w:t>
      </w:r>
      <w:r w:rsidR="00397982" w:rsidRPr="00D44D33">
        <w:rPr>
          <w:rFonts w:ascii="Times New Roman" w:hAnsi="Times New Roman" w:cs="Times New Roman"/>
          <w:szCs w:val="24"/>
        </w:rPr>
        <w:t>publicznie</w:t>
      </w:r>
      <w:r w:rsidR="00970B2E" w:rsidRPr="00D44D33">
        <w:rPr>
          <w:rFonts w:ascii="Times New Roman" w:hAnsi="Times New Roman" w:cs="Times New Roman"/>
          <w:szCs w:val="24"/>
        </w:rPr>
        <w:t xml:space="preserve"> </w:t>
      </w:r>
      <w:r w:rsidR="00397982" w:rsidRPr="00D44D33">
        <w:rPr>
          <w:rFonts w:ascii="Times New Roman" w:hAnsi="Times New Roman" w:cs="Times New Roman"/>
          <w:szCs w:val="24"/>
        </w:rPr>
        <w:t>dostępnych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usług</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telekomunikacyjnych,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zadania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obowiązki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rzecz</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bezpieczeństwa</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państwa</w:t>
      </w:r>
      <w:r w:rsidR="003431EC"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EDFDF6D" w:rsidRPr="00D44D33">
        <w:rPr>
          <w:rFonts w:ascii="Times New Roman" w:eastAsia="Calibri" w:hAnsi="Times New Roman" w:cs="Times New Roman"/>
          <w:szCs w:val="24"/>
        </w:rPr>
        <w:t>uzyskiwani</w:t>
      </w:r>
      <w:r w:rsidR="00A04A33" w:rsidRPr="00D44D33">
        <w:rPr>
          <w:rFonts w:ascii="Times New Roman" w:eastAsia="Calibri" w:hAnsi="Times New Roman" w:cs="Times New Roman"/>
          <w:szCs w:val="24"/>
        </w:rPr>
        <w:t>e</w:t>
      </w:r>
      <w:r w:rsidR="00970B2E" w:rsidRPr="00D44D33">
        <w:rPr>
          <w:rFonts w:ascii="Times New Roman" w:eastAsia="Calibri" w:hAnsi="Times New Roman" w:cs="Times New Roman"/>
          <w:szCs w:val="24"/>
        </w:rPr>
        <w:t xml:space="preserve"> </w:t>
      </w:r>
      <w:r w:rsidR="0EDFDF6D" w:rsidRPr="00D44D33">
        <w:rPr>
          <w:rFonts w:ascii="Times New Roman" w:eastAsia="Calibri" w:hAnsi="Times New Roman" w:cs="Times New Roman"/>
          <w:szCs w:val="24"/>
        </w:rPr>
        <w:t>dostępu</w:t>
      </w:r>
      <w:r w:rsidR="6E37BBC2" w:rsidRPr="00D44D33">
        <w:rPr>
          <w:rFonts w:ascii="Times New Roman" w:eastAsia="Calibri" w:hAnsi="Times New Roman" w:cs="Times New Roman"/>
          <w:szCs w:val="24"/>
        </w:rPr>
        <w:t>,</w:t>
      </w:r>
      <w:r w:rsidR="00970B2E" w:rsidRPr="00D44D33">
        <w:rPr>
          <w:rFonts w:ascii="Times New Roman" w:eastAsia="Calibri" w:hAnsi="Times New Roman" w:cs="Times New Roman"/>
          <w:szCs w:val="24"/>
        </w:rPr>
        <w:t xml:space="preserve"> </w:t>
      </w:r>
      <w:r w:rsidR="0EDFDF6D" w:rsidRPr="00D44D33">
        <w:rPr>
          <w:rFonts w:ascii="Times New Roman" w:eastAsia="Calibri" w:hAnsi="Times New Roman" w:cs="Times New Roman"/>
          <w:szCs w:val="24"/>
        </w:rPr>
        <w:t>korzystani</w:t>
      </w:r>
      <w:r w:rsidR="00A04A33" w:rsidRPr="00D44D33">
        <w:rPr>
          <w:rFonts w:ascii="Times New Roman" w:eastAsia="Calibri" w:hAnsi="Times New Roman" w:cs="Times New Roman"/>
          <w:szCs w:val="24"/>
        </w:rPr>
        <w:t>e</w:t>
      </w:r>
      <w:r w:rsidR="00970B2E" w:rsidRPr="00D44D33">
        <w:rPr>
          <w:rFonts w:ascii="Times New Roman" w:eastAsia="Calibri" w:hAnsi="Times New Roman" w:cs="Times New Roman"/>
          <w:szCs w:val="24"/>
        </w:rPr>
        <w:t xml:space="preserve"> </w:t>
      </w:r>
      <w:r w:rsidR="4E3E60E1" w:rsidRPr="00D44D33">
        <w:rPr>
          <w:rFonts w:ascii="Times New Roman" w:eastAsia="Calibri" w:hAnsi="Times New Roman" w:cs="Times New Roman"/>
          <w:szCs w:val="24"/>
        </w:rPr>
        <w:t>i</w:t>
      </w:r>
      <w:r w:rsidR="00970B2E" w:rsidRPr="00D44D33">
        <w:rPr>
          <w:rFonts w:ascii="Times New Roman" w:eastAsia="Calibri" w:hAnsi="Times New Roman" w:cs="Times New Roman"/>
          <w:szCs w:val="24"/>
        </w:rPr>
        <w:t xml:space="preserve"> </w:t>
      </w:r>
      <w:r w:rsidR="4E3E60E1" w:rsidRPr="00D44D33">
        <w:rPr>
          <w:rFonts w:ascii="Times New Roman" w:eastAsia="Calibri" w:hAnsi="Times New Roman" w:cs="Times New Roman"/>
          <w:szCs w:val="24"/>
        </w:rPr>
        <w:t>zarządzani</w:t>
      </w:r>
      <w:r w:rsidR="00A04A33" w:rsidRPr="00D44D33">
        <w:rPr>
          <w:rFonts w:ascii="Times New Roman" w:eastAsia="Calibri" w:hAnsi="Times New Roman" w:cs="Times New Roman"/>
          <w:szCs w:val="24"/>
        </w:rPr>
        <w:t>e</w:t>
      </w:r>
      <w:r w:rsidR="00970B2E" w:rsidRPr="00D44D33">
        <w:rPr>
          <w:rFonts w:ascii="Times New Roman" w:eastAsia="Calibri" w:hAnsi="Times New Roman" w:cs="Times New Roman"/>
          <w:szCs w:val="24"/>
        </w:rPr>
        <w:t xml:space="preserve"> </w:t>
      </w:r>
      <w:r w:rsidR="4E3E60E1" w:rsidRPr="00D44D33">
        <w:rPr>
          <w:rFonts w:ascii="Times New Roman" w:eastAsia="Calibri" w:hAnsi="Times New Roman" w:cs="Times New Roman"/>
          <w:szCs w:val="24"/>
        </w:rPr>
        <w:t>usługą</w:t>
      </w:r>
      <w:r w:rsidR="00970B2E" w:rsidRPr="00D44D33">
        <w:rPr>
          <w:rFonts w:ascii="Times New Roman" w:eastAsia="Calibri" w:hAnsi="Times New Roman" w:cs="Times New Roman"/>
          <w:szCs w:val="24"/>
        </w:rPr>
        <w:t xml:space="preserve"> </w:t>
      </w:r>
      <w:r w:rsidR="4E3E60E1" w:rsidRPr="00D44D33">
        <w:rPr>
          <w:rFonts w:ascii="Times New Roman" w:eastAsia="Calibri" w:hAnsi="Times New Roman" w:cs="Times New Roman"/>
          <w:szCs w:val="24"/>
        </w:rPr>
        <w:t>PRS,</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warunki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gospodarowania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częstotliwościami,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zasobami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orbitalnymi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zasobami</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lastRenderedPageBreak/>
        <w:t>numeracji,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zasady</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dostępu</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warunki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regulowania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rynku</w:t>
      </w:r>
      <w:r w:rsidR="00970B2E" w:rsidRPr="00D44D33">
        <w:rPr>
          <w:rFonts w:ascii="Times New Roman" w:hAnsi="Times New Roman" w:cs="Times New Roman"/>
          <w:szCs w:val="24"/>
        </w:rPr>
        <w:t xml:space="preserve"> </w:t>
      </w:r>
      <w:r w:rsidR="7F37F1E3"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7F37F1E3" w:rsidRPr="00D44D33">
        <w:rPr>
          <w:rFonts w:ascii="Times New Roman" w:hAnsi="Times New Roman" w:cs="Times New Roman"/>
          <w:szCs w:val="24"/>
        </w:rPr>
        <w:t>elektronicznej</w:t>
      </w:r>
      <w:r w:rsidR="001C568C"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wymagania,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jakim</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powinn</w:t>
      </w:r>
      <w:r w:rsidR="001C568C" w:rsidRPr="00D44D33">
        <w:rPr>
          <w:rFonts w:ascii="Times New Roman" w:hAnsi="Times New Roman" w:cs="Times New Roman"/>
          <w:szCs w:val="24"/>
        </w:rPr>
        <w:t>y</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odpowiadać</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001C568C" w:rsidRPr="00D44D33">
        <w:rPr>
          <w:rFonts w:ascii="Times New Roman" w:hAnsi="Times New Roman" w:cs="Times New Roman"/>
          <w:szCs w:val="24"/>
        </w:rPr>
        <w:t>radiowe,</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warunki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przetwarzania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ramach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świadczenia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usług</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ochrony</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tajemnicy</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funkcjonowanie</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organów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właściwych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sprawach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ich</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współdziałania</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innymi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organami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krajowymi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instytucjami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U</w:t>
      </w:r>
      <w:r w:rsidR="0049423B" w:rsidRPr="00D44D33">
        <w:rPr>
          <w:rFonts w:ascii="Times New Roman" w:hAnsi="Times New Roman" w:cs="Times New Roman"/>
          <w:szCs w:val="24"/>
        </w:rPr>
        <w:t>E</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regulacji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3431EC"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5EC2B437" w:rsidRPr="00D44D33">
        <w:rPr>
          <w:rFonts w:ascii="Times New Roman" w:hAnsi="Times New Roman" w:cs="Times New Roman"/>
          <w:szCs w:val="24"/>
        </w:rPr>
        <w:t>Analogiczny</w:t>
      </w:r>
      <w:r w:rsidR="00970B2E" w:rsidRPr="00D44D33">
        <w:rPr>
          <w:rFonts w:ascii="Times New Roman" w:hAnsi="Times New Roman" w:cs="Times New Roman"/>
          <w:szCs w:val="24"/>
        </w:rPr>
        <w:t xml:space="preserve"> </w:t>
      </w:r>
      <w:r w:rsidR="5EC2B437"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5EC2B437" w:rsidRPr="00D44D33">
        <w:rPr>
          <w:rFonts w:ascii="Times New Roman" w:hAnsi="Times New Roman" w:cs="Times New Roman"/>
          <w:szCs w:val="24"/>
        </w:rPr>
        <w:t>funkcjonował</w:t>
      </w:r>
      <w:r w:rsidR="00970B2E" w:rsidRPr="00D44D33">
        <w:rPr>
          <w:rFonts w:ascii="Times New Roman" w:hAnsi="Times New Roman" w:cs="Times New Roman"/>
          <w:szCs w:val="24"/>
        </w:rPr>
        <w:t xml:space="preserve"> </w:t>
      </w:r>
      <w:r w:rsidR="5EC2B437"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5EC2B437" w:rsidRPr="00D44D33">
        <w:rPr>
          <w:rFonts w:ascii="Times New Roman" w:hAnsi="Times New Roman" w:cs="Times New Roman"/>
          <w:szCs w:val="24"/>
        </w:rPr>
        <w:t>ustawie</w:t>
      </w:r>
      <w:r w:rsidR="00970B2E" w:rsidRPr="00D44D33">
        <w:rPr>
          <w:rFonts w:ascii="Times New Roman" w:hAnsi="Times New Roman" w:cs="Times New Roman"/>
          <w:szCs w:val="24"/>
        </w:rPr>
        <w:t xml:space="preserve"> </w:t>
      </w:r>
      <w:r w:rsidR="5EC2B437" w:rsidRPr="00D44D33">
        <w:rPr>
          <w:rFonts w:ascii="Times New Roman" w:hAnsi="Times New Roman" w:cs="Times New Roman"/>
          <w:szCs w:val="24"/>
        </w:rPr>
        <w:t>Pt.</w:t>
      </w:r>
    </w:p>
    <w:p w14:paraId="1AE4BE96" w14:textId="50FFF009" w:rsidR="00381609" w:rsidRPr="00D44D33" w:rsidRDefault="00381609" w:rsidP="00D44D33">
      <w:pPr>
        <w:pStyle w:val="USTustnpkodeksu"/>
        <w:spacing w:before="120" w:after="120"/>
        <w:ind w:firstLine="0"/>
        <w:rPr>
          <w:rFonts w:ascii="Times New Roman" w:hAnsi="Times New Roman" w:cs="Times New Roman"/>
          <w:szCs w:val="24"/>
        </w:rPr>
      </w:pPr>
      <w:r w:rsidRPr="00D44D33">
        <w:rPr>
          <w:rFonts w:ascii="Times New Roman" w:hAnsi="Times New Roman" w:cs="Times New Roman"/>
          <w:szCs w:val="24"/>
        </w:rPr>
        <w:t xml:space="preserve">Projektowany przepis </w:t>
      </w:r>
      <w:r w:rsidR="0049423B" w:rsidRPr="00D44D33">
        <w:rPr>
          <w:rFonts w:ascii="Times New Roman" w:hAnsi="Times New Roman" w:cs="Times New Roman"/>
          <w:szCs w:val="24"/>
        </w:rPr>
        <w:t xml:space="preserve">art. 1 ust. 2 </w:t>
      </w:r>
      <w:r w:rsidRPr="00D44D33">
        <w:rPr>
          <w:rFonts w:ascii="Times New Roman" w:hAnsi="Times New Roman" w:cs="Times New Roman"/>
          <w:szCs w:val="24"/>
        </w:rPr>
        <w:t>przesądza także, że czynność polegająca na umożliwianiu korzystania z</w:t>
      </w:r>
      <w:r w:rsidR="00371EEA">
        <w:rPr>
          <w:rFonts w:ascii="Times New Roman" w:hAnsi="Times New Roman" w:cs="Times New Roman"/>
          <w:szCs w:val="24"/>
        </w:rPr>
        <w:t xml:space="preserve"> </w:t>
      </w:r>
      <w:r w:rsidRPr="00D44D33">
        <w:rPr>
          <w:rFonts w:ascii="Times New Roman" w:hAnsi="Times New Roman" w:cs="Times New Roman"/>
          <w:szCs w:val="24"/>
        </w:rPr>
        <w:t>dostępu do publicznej sieci telekomunikacyjnej za pośrednictwem lokalnej sieci radiowej nie jest działalnością podlegającą wpisowi do rejestru</w:t>
      </w:r>
      <w:r w:rsidR="0049423B" w:rsidRPr="00D44D33">
        <w:rPr>
          <w:rFonts w:ascii="Times New Roman" w:hAnsi="Times New Roman" w:cs="Times New Roman"/>
          <w:szCs w:val="24"/>
        </w:rPr>
        <w:t xml:space="preserve"> przedsiębiorców telekomunikacyjnych</w:t>
      </w:r>
      <w:r w:rsidRPr="00D44D33">
        <w:rPr>
          <w:rFonts w:ascii="Times New Roman" w:hAnsi="Times New Roman" w:cs="Times New Roman"/>
          <w:szCs w:val="24"/>
        </w:rPr>
        <w:t>, pod warunkiem, że jest to działalność dodatkowa w stosunku do wykonywanej przez podmiot działalności, innej niż telekomunikacyjna. Sam fakt zapewnienia dostępu do sieci telekomunikacyjnej przez lokalną sieć radiową nie stanowi zawsze przejawu działalności telekomunikacyjnej. Takie rozwiązanie wynika wprost z art. 56 ust. 2 EKŁE, który przesądza, że „</w:t>
      </w:r>
      <w:r w:rsidRPr="00D44D33">
        <w:rPr>
          <w:rFonts w:ascii="Times New Roman" w:hAnsi="Times New Roman" w:cs="Times New Roman"/>
          <w:i/>
          <w:iCs/>
          <w:szCs w:val="24"/>
        </w:rPr>
        <w:t xml:space="preserve">W przypadku gdy takie zapewnianie dostępu nie jest częścią działalności gospodarczej lub ma charakter dodatkowy w stosunku do działalności gospodarczej lub usługi publicznej, która nie jest uzależniona od przekazywania sygnałów w tych sieciach, przedsiębiorstwo, organ publiczny lub użytkownik końcowy, którzy zapewniają taki dostęp, nie podlegają ogólnemu zezwoleniu na dostarczanie sieci i usług łączności elektronicznej na podstawie art. 12, obowiązkom dotyczącym praw użytkowników końcowych na podstawie </w:t>
      </w:r>
      <w:r w:rsidRPr="00D44D33">
        <w:rPr>
          <w:rFonts w:ascii="Times New Roman" w:hAnsi="Times New Roman" w:cs="Times New Roman"/>
          <w:i/>
          <w:iCs/>
          <w:szCs w:val="24"/>
        </w:rPr>
        <w:lastRenderedPageBreak/>
        <w:t>części III tytuł II ani obowiązkowi zapewnienia wzajemnego połączenia ich sieci na podstawie art. 61 ust. 1.</w:t>
      </w:r>
      <w:r w:rsidRPr="00D44D33">
        <w:rPr>
          <w:rFonts w:ascii="Times New Roman" w:hAnsi="Times New Roman" w:cs="Times New Roman"/>
          <w:szCs w:val="24"/>
        </w:rPr>
        <w:t xml:space="preserve">”. W związku z niepodleganiem – określonych podmiotów, w określonej sytuacji – szeregu obowiązków związanych z ogólnym zezwoleniem na dostarczanie sieci i usług łączności elektronicznej, nie można zakwalifikować takiego działania jako działalności telekomunikacyjnej. To swoiste wyłączenie będzie miało zastosowania praktyczne w sytuacji, gdy umożliwianie korzystania z dostępu do publicznej sieci telekomunikacyjnej za pośrednictwem lokalnej sieci radiowej będzie odbywać się w przestrzeni prywatnej lub na ograniczonej przestrzeni publicznej na zasadach niekomercyjnych albo w charakterze usługi stanowiącej dodatek do innego rodzaju działalności, która nie jest zależna od takiego dostępu. </w:t>
      </w:r>
      <w:r w:rsidR="0049423B" w:rsidRPr="00D44D33">
        <w:rPr>
          <w:rFonts w:ascii="Times New Roman" w:hAnsi="Times New Roman" w:cs="Times New Roman"/>
          <w:szCs w:val="24"/>
        </w:rPr>
        <w:t>Przepis u</w:t>
      </w:r>
      <w:r w:rsidRPr="00D44D33">
        <w:rPr>
          <w:rFonts w:ascii="Times New Roman" w:hAnsi="Times New Roman" w:cs="Times New Roman"/>
          <w:szCs w:val="24"/>
        </w:rPr>
        <w:t>st</w:t>
      </w:r>
      <w:r w:rsidR="0049423B" w:rsidRPr="00D44D33">
        <w:rPr>
          <w:rFonts w:ascii="Times New Roman" w:hAnsi="Times New Roman" w:cs="Times New Roman"/>
          <w:szCs w:val="24"/>
        </w:rPr>
        <w:t>. 2</w:t>
      </w:r>
      <w:r w:rsidRPr="00D44D33">
        <w:rPr>
          <w:rFonts w:ascii="Times New Roman" w:hAnsi="Times New Roman" w:cs="Times New Roman"/>
          <w:szCs w:val="24"/>
        </w:rPr>
        <w:t xml:space="preserve"> stanowi transpozycję art. 56 ust. 1 i ust. 6 lit. a EKŁE.</w:t>
      </w:r>
    </w:p>
    <w:p w14:paraId="47D40967" w14:textId="50602294" w:rsidR="00D662DB" w:rsidRPr="00D44D33" w:rsidRDefault="00E37FC4" w:rsidP="00D44D33">
      <w:pPr>
        <w:pStyle w:val="ARTartustawynprozporzdzenia"/>
        <w:spacing w:after="120"/>
        <w:ind w:firstLine="0"/>
        <w:jc w:val="center"/>
        <w:rPr>
          <w:rFonts w:ascii="Times New Roman" w:hAnsi="Times New Roman" w:cs="Times New Roman"/>
          <w:b/>
          <w:bCs/>
          <w:szCs w:val="24"/>
          <w:lang w:eastAsia="en-US"/>
        </w:rPr>
      </w:pPr>
      <w:r w:rsidRPr="00D44D33">
        <w:rPr>
          <w:rFonts w:ascii="Times New Roman" w:hAnsi="Times New Roman" w:cs="Times New Roman"/>
          <w:b/>
          <w:bCs/>
          <w:szCs w:val="24"/>
          <w:lang w:eastAsia="en-US"/>
        </w:rPr>
        <w:t>A</w:t>
      </w:r>
      <w:r w:rsidR="000F496D" w:rsidRPr="00D44D33">
        <w:rPr>
          <w:rFonts w:ascii="Times New Roman" w:hAnsi="Times New Roman" w:cs="Times New Roman"/>
          <w:b/>
          <w:bCs/>
          <w:szCs w:val="24"/>
          <w:lang w:eastAsia="en-US"/>
        </w:rPr>
        <w:t>rt.</w:t>
      </w:r>
      <w:r w:rsidR="00970B2E" w:rsidRPr="00D44D33">
        <w:rPr>
          <w:rFonts w:ascii="Times New Roman" w:hAnsi="Times New Roman" w:cs="Times New Roman"/>
          <w:b/>
          <w:bCs/>
          <w:szCs w:val="24"/>
          <w:lang w:eastAsia="en-US"/>
        </w:rPr>
        <w:t xml:space="preserve"> </w:t>
      </w:r>
      <w:r w:rsidR="000F496D" w:rsidRPr="00D44D33">
        <w:rPr>
          <w:rFonts w:ascii="Times New Roman" w:hAnsi="Times New Roman" w:cs="Times New Roman"/>
          <w:b/>
          <w:bCs/>
          <w:szCs w:val="24"/>
          <w:lang w:eastAsia="en-US"/>
        </w:rPr>
        <w:t>2</w:t>
      </w:r>
    </w:p>
    <w:p w14:paraId="2C79923B" w14:textId="50078981" w:rsidR="00182E2F" w:rsidRPr="00D44D33" w:rsidRDefault="161D52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49423B"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częściowo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w:t>
      </w:r>
      <w:r w:rsidR="003F1364">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dostosowując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w:t>
      </w:r>
      <w:r w:rsidR="0377681B" w:rsidRPr="00D44D33">
        <w:rPr>
          <w:rFonts w:ascii="Times New Roman" w:eastAsiaTheme="minorEastAsia" w:hAnsi="Times New Roman" w:cs="Times New Roman"/>
          <w:sz w:val="24"/>
          <w:szCs w:val="24"/>
        </w:rPr>
        <w:t>iających</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realiów</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rynkowych.</w:t>
      </w:r>
    </w:p>
    <w:p w14:paraId="4EEBA4CB" w14:textId="63897B6B" w:rsidR="00443A6A" w:rsidRPr="00D44D33" w:rsidRDefault="00443A6A"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abonenta</w:t>
      </w:r>
      <w:r w:rsidR="00970B2E" w:rsidRPr="00D44D33">
        <w:rPr>
          <w:rFonts w:ascii="Times New Roman" w:eastAsiaTheme="minorEastAsia" w:hAnsi="Times New Roman" w:cs="Times New Roman"/>
          <w:b/>
          <w:bCs/>
          <w:sz w:val="24"/>
          <w:szCs w:val="24"/>
        </w:rPr>
        <w:t xml:space="preserve"> </w:t>
      </w:r>
      <w:r w:rsidR="00970B2E" w:rsidRPr="00D44D33">
        <w:rPr>
          <w:rFonts w:ascii="Times New Roman" w:eastAsiaTheme="minorEastAsia" w:hAnsi="Times New Roman" w:cs="Times New Roman"/>
          <w:sz w:val="24"/>
          <w:szCs w:val="24"/>
        </w:rPr>
        <w:t xml:space="preserve">– </w:t>
      </w:r>
      <w:r w:rsidR="5BCDB7EA"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oznacza</w:t>
      </w:r>
      <w:r w:rsidRPr="00D44D33">
        <w:rPr>
          <w:rFonts w:ascii="Times New Roman" w:eastAsiaTheme="minorEastAsia" w:hAnsi="Times New Roman" w:cs="Times New Roman"/>
          <w:sz w:val="24"/>
          <w:szCs w:val="24"/>
        </w:rPr>
        <w:t>jące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abonenta</w:t>
      </w:r>
      <w:r w:rsidR="00261D6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znaczeniu</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węższym</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odwołującym</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lastRenderedPageBreak/>
        <w:t>przepisach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relacji</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w:t>
      </w:r>
      <w:r w:rsidR="00D72623" w:rsidRPr="00D44D33">
        <w:rPr>
          <w:rFonts w:ascii="Times New Roman" w:eastAsiaTheme="minorEastAsia" w:hAnsi="Times New Roman" w:cs="Times New Roman"/>
          <w:sz w:val="24"/>
          <w:szCs w:val="24"/>
        </w:rPr>
        <w:t>ług</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elektronicznej.</w:t>
      </w:r>
    </w:p>
    <w:p w14:paraId="411DE4E6" w14:textId="12C12C94" w:rsidR="004B7EC5" w:rsidRPr="00D44D33" w:rsidRDefault="00443A6A"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aparatu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aparatu</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524C049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rozumian</w:t>
      </w:r>
      <w:r w:rsidR="28E721A2"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dostępny</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telefon,</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opłacane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automatycznie,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monety,</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żetonu,</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karty</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telefonicznej</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karty</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płatniczej.</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EKŁ</w:t>
      </w:r>
      <w:r w:rsidR="00D72623"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32E32DA3" w14:textId="0614D76F" w:rsidR="004B7EC5"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aparatury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4C248E" w:rsidRPr="00D44D33">
        <w:rPr>
          <w:rFonts w:ascii="Times New Roman" w:eastAsiaTheme="minorEastAsia" w:hAnsi="Times New Roman" w:cs="Times New Roman"/>
          <w:sz w:val="24"/>
          <w:szCs w:val="24"/>
        </w:rPr>
        <w:t>22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4C248E" w:rsidRPr="00D44D33">
        <w:rPr>
          <w:rFonts w:ascii="Times New Roman" w:eastAsiaTheme="minorEastAsia" w:hAnsi="Times New Roman" w:cs="Times New Roman"/>
          <w:sz w:val="24"/>
          <w:szCs w:val="24"/>
        </w:rPr>
        <w:t>23</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hyperlink r:id="rId9">
        <w:r w:rsidRPr="00D44D33">
          <w:rPr>
            <w:rStyle w:val="Hipercze"/>
            <w:rFonts w:ascii="Times New Roman" w:eastAsiaTheme="minorEastAsia" w:hAnsi="Times New Roman" w:cs="Times New Roman"/>
            <w:color w:val="auto"/>
            <w:sz w:val="24"/>
            <w:szCs w:val="24"/>
            <w:u w:val="none"/>
          </w:rPr>
          <w:t>art.</w:t>
        </w:r>
        <w:r w:rsidR="00970B2E" w:rsidRPr="00D44D33">
          <w:rPr>
            <w:rStyle w:val="Hipercze"/>
            <w:rFonts w:ascii="Times New Roman" w:eastAsiaTheme="minorEastAsia" w:hAnsi="Times New Roman" w:cs="Times New Roman"/>
            <w:color w:val="auto"/>
            <w:sz w:val="24"/>
            <w:szCs w:val="24"/>
            <w:u w:val="none"/>
          </w:rPr>
          <w:t xml:space="preserve"> </w:t>
        </w:r>
        <w:r w:rsidRPr="00D44D33">
          <w:rPr>
            <w:rStyle w:val="Hipercze"/>
            <w:rFonts w:ascii="Times New Roman" w:eastAsiaTheme="minorEastAsia" w:hAnsi="Times New Roman" w:cs="Times New Roman"/>
            <w:color w:val="auto"/>
            <w:sz w:val="24"/>
            <w:szCs w:val="24"/>
            <w:u w:val="none"/>
          </w:rPr>
          <w:t>6</w:t>
        </w:r>
        <w:r w:rsidR="00970B2E" w:rsidRPr="00D44D33">
          <w:rPr>
            <w:rStyle w:val="Hipercze"/>
            <w:rFonts w:ascii="Times New Roman" w:eastAsiaTheme="minorEastAsia" w:hAnsi="Times New Roman" w:cs="Times New Roman"/>
            <w:color w:val="auto"/>
            <w:sz w:val="24"/>
            <w:szCs w:val="24"/>
            <w:u w:val="none"/>
          </w:rPr>
          <w:t xml:space="preserve"> </w:t>
        </w:r>
        <w:r w:rsidRPr="00D44D33">
          <w:rPr>
            <w:rStyle w:val="Hipercze"/>
            <w:rFonts w:ascii="Times New Roman" w:eastAsiaTheme="minorEastAsia" w:hAnsi="Times New Roman" w:cs="Times New Roman"/>
            <w:color w:val="auto"/>
            <w:sz w:val="24"/>
            <w:szCs w:val="24"/>
            <w:u w:val="none"/>
          </w:rPr>
          <w:t>pkt</w:t>
        </w:r>
        <w:r w:rsidR="00970B2E" w:rsidRPr="00D44D33">
          <w:rPr>
            <w:rStyle w:val="Hipercze"/>
            <w:rFonts w:ascii="Times New Roman" w:eastAsiaTheme="minorEastAsia" w:hAnsi="Times New Roman" w:cs="Times New Roman"/>
            <w:color w:val="auto"/>
            <w:sz w:val="24"/>
            <w:szCs w:val="24"/>
            <w:u w:val="none"/>
          </w:rPr>
          <w:t xml:space="preserve"> </w:t>
        </w:r>
        <w:r w:rsidRPr="00D44D33">
          <w:rPr>
            <w:rStyle w:val="Hipercze"/>
            <w:rFonts w:ascii="Times New Roman" w:eastAsiaTheme="minorEastAsia" w:hAnsi="Times New Roman" w:cs="Times New Roman"/>
            <w:color w:val="auto"/>
            <w:sz w:val="24"/>
            <w:szCs w:val="24"/>
            <w:u w:val="none"/>
          </w:rPr>
          <w:t>1</w:t>
        </w:r>
      </w:hyperlink>
      <w:r w:rsidR="0049423B" w:rsidRPr="00D44D33">
        <w:rPr>
          <w:rStyle w:val="Hipercze"/>
          <w:rFonts w:ascii="Times New Roman" w:eastAsiaTheme="minorEastAsia" w:hAnsi="Times New Roman" w:cs="Times New Roman"/>
          <w:color w:val="auto"/>
          <w:sz w:val="24"/>
          <w:szCs w:val="24"/>
          <w:u w:val="none"/>
        </w:rPr>
        <w:t xml:space="preserve"> 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363E66"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aparaturą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zespół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montażu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stawiane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aparaturze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wywoływała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środowisku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przekraczających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odporność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środowisku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odporność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61D6B" w:rsidRPr="00D44D33">
        <w:rPr>
          <w:rFonts w:ascii="Times New Roman" w:eastAsiaTheme="minorEastAsia" w:hAnsi="Times New Roman" w:cs="Times New Roman"/>
          <w:sz w:val="24"/>
          <w:szCs w:val="24"/>
        </w:rPr>
        <w:t>zaburzenia</w:t>
      </w:r>
      <w:r w:rsidR="00970B2E" w:rsidRPr="00D44D33">
        <w:rPr>
          <w:rFonts w:ascii="Times New Roman" w:eastAsiaTheme="minorEastAsia" w:hAnsi="Times New Roman" w:cs="Times New Roman"/>
          <w:sz w:val="24"/>
          <w:szCs w:val="24"/>
        </w:rPr>
        <w:t xml:space="preserve"> </w:t>
      </w:r>
      <w:r w:rsidR="00261D6B"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aparatury</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tożsama</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zawartą</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369B2D4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505A9723" w14:textId="2C95291E" w:rsidR="00DA6E7A" w:rsidRPr="00D44D33" w:rsidRDefault="00DA6E7A"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częstotliwości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zharmonizowanych</w:t>
      </w:r>
      <w:r w:rsidR="00970B2E" w:rsidRPr="00D44D33">
        <w:rPr>
          <w:rFonts w:ascii="Times New Roman" w:eastAsiaTheme="minorEastAsia" w:hAnsi="Times New Roman" w:cs="Times New Roman"/>
          <w:b/>
          <w:bCs/>
          <w:sz w:val="24"/>
          <w:szCs w:val="24"/>
        </w:rPr>
        <w:t xml:space="preserve"> </w:t>
      </w:r>
      <w:r w:rsidR="00970B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zdefiniowane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49423B" w:rsidRPr="00D44D33">
        <w:rPr>
          <w:rFonts w:ascii="Times New Roman" w:eastAsiaTheme="minorEastAsia" w:hAnsi="Times New Roman" w:cs="Times New Roman"/>
          <w:sz w:val="24"/>
          <w:szCs w:val="24"/>
        </w:rPr>
        <w:t xml:space="preserve">Pt </w:t>
      </w:r>
      <w:r w:rsidR="4D94277E"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wdrażany</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niej</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zawierał</w:t>
      </w:r>
      <w:r w:rsidR="055129E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00B9D18" w:rsidRPr="00D44D33">
        <w:rPr>
          <w:rFonts w:ascii="Times New Roman" w:eastAsiaTheme="minorEastAsia" w:hAnsi="Times New Roman" w:cs="Times New Roman"/>
          <w:sz w:val="24"/>
          <w:szCs w:val="24"/>
        </w:rPr>
        <w:lastRenderedPageBreak/>
        <w:t>w</w:t>
      </w:r>
      <w:r w:rsidR="00371EEA">
        <w:rPr>
          <w:rFonts w:ascii="Times New Roman" w:eastAsiaTheme="minorEastAsia" w:hAnsi="Times New Roman" w:cs="Times New Roman"/>
          <w:sz w:val="24"/>
          <w:szCs w:val="24"/>
        </w:rPr>
        <w:t xml:space="preserve"> </w:t>
      </w:r>
      <w:r w:rsidR="600B9D18" w:rsidRPr="00D44D33">
        <w:rPr>
          <w:rFonts w:ascii="Times New Roman" w:eastAsiaTheme="minorEastAsia" w:hAnsi="Times New Roman" w:cs="Times New Roman"/>
          <w:sz w:val="24"/>
          <w:szCs w:val="24"/>
        </w:rPr>
        <w:t>przeciwieństwie</w:t>
      </w:r>
      <w:r w:rsidR="00970B2E" w:rsidRPr="00D44D33">
        <w:rPr>
          <w:rFonts w:ascii="Times New Roman" w:eastAsiaTheme="minorEastAsia" w:hAnsi="Times New Roman" w:cs="Times New Roman"/>
          <w:sz w:val="24"/>
          <w:szCs w:val="24"/>
        </w:rPr>
        <w:t xml:space="preserve"> </w:t>
      </w:r>
      <w:r w:rsidR="600B9D1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00B9D18"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4D94277E"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431B3B02"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431B3B02"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431B3B02"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00673A7D" w:rsidRPr="00D44D33">
        <w:rPr>
          <w:rFonts w:ascii="Times New Roman" w:eastAsiaTheme="minorEastAsia" w:hAnsi="Times New Roman" w:cs="Times New Roman"/>
          <w:sz w:val="24"/>
          <w:szCs w:val="24"/>
        </w:rPr>
        <w:t>z</w:t>
      </w:r>
      <w:r w:rsidRPr="00D44D33">
        <w:rPr>
          <w:rFonts w:ascii="Times New Roman" w:eastAsiaTheme="minorEastAsia" w:hAnsi="Times New Roman" w:cs="Times New Roman"/>
          <w:sz w:val="24"/>
          <w:szCs w:val="24"/>
        </w:rPr>
        <w:t>harmonizowanymi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49423B" w:rsidRPr="00D44D33">
        <w:rPr>
          <w:rFonts w:ascii="Times New Roman" w:eastAsiaTheme="minorEastAsia" w:hAnsi="Times New Roman" w:cs="Times New Roman"/>
          <w:sz w:val="24"/>
          <w:szCs w:val="24"/>
        </w:rPr>
        <w:t>d</w:t>
      </w:r>
      <w:r w:rsidRPr="00D44D33">
        <w:rPr>
          <w:rFonts w:ascii="Times New Roman" w:eastAsiaTheme="minorEastAsia" w:hAnsi="Times New Roman" w:cs="Times New Roman"/>
          <w:sz w:val="24"/>
          <w:szCs w:val="24"/>
        </w:rPr>
        <w:t>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676/2002/WE</w:t>
      </w:r>
      <w:r w:rsidR="0049423B" w:rsidRPr="00D44D33">
        <w:rPr>
          <w:rFonts w:ascii="Times New Roman" w:eastAsiaTheme="minorEastAsia" w:hAnsi="Times New Roman" w:cs="Times New Roman"/>
          <w:sz w:val="24"/>
          <w:szCs w:val="24"/>
        </w:rPr>
        <w:t xml:space="preserve"> Parlamentu Europejskiego i Rady Z dnia 7 marca 2002 r. w sprawie ram regulacyjnych dotyczących polityki spektrum radiowego we Wspólnocie Europejskiej (decyzja o spektrum radiowym) (Dz. Urz. WE L 108 z 24.04.2002, str. 1 - Dz. Urz. UE Polskie wydanie specjalne Polskie rozdz. 13, t. 29, str. 317), </w:t>
      </w:r>
      <w:r w:rsidR="005A0519" w:rsidRPr="00D44D33">
        <w:rPr>
          <w:rFonts w:ascii="Times New Roman" w:eastAsiaTheme="minorEastAsia" w:hAnsi="Times New Roman" w:cs="Times New Roman"/>
          <w:sz w:val="24"/>
          <w:szCs w:val="24"/>
        </w:rPr>
        <w:t xml:space="preserve">zwanej </w:t>
      </w:r>
      <w:r w:rsidR="0049423B" w:rsidRPr="00D44D33">
        <w:rPr>
          <w:rFonts w:ascii="Times New Roman" w:eastAsiaTheme="minorEastAsia" w:hAnsi="Times New Roman" w:cs="Times New Roman"/>
          <w:sz w:val="24"/>
          <w:szCs w:val="24"/>
        </w:rPr>
        <w:t>dalej „decyzj</w:t>
      </w:r>
      <w:r w:rsidR="005A0519" w:rsidRPr="00D44D33">
        <w:rPr>
          <w:rFonts w:ascii="Times New Roman" w:eastAsiaTheme="minorEastAsia" w:hAnsi="Times New Roman" w:cs="Times New Roman"/>
          <w:sz w:val="24"/>
          <w:szCs w:val="24"/>
        </w:rPr>
        <w:t>ą</w:t>
      </w:r>
      <w:r w:rsidR="0049423B" w:rsidRPr="00D44D33">
        <w:rPr>
          <w:rFonts w:ascii="Times New Roman" w:eastAsiaTheme="minorEastAsia" w:hAnsi="Times New Roman" w:cs="Times New Roman"/>
          <w:sz w:val="24"/>
          <w:szCs w:val="24"/>
        </w:rPr>
        <w:t xml:space="preserve"> nr 676/2002/WE”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d</w:t>
      </w:r>
      <w:r w:rsidRPr="00D44D33">
        <w:rPr>
          <w:rFonts w:ascii="Times New Roman" w:eastAsiaTheme="minorEastAsia" w:hAnsi="Times New Roman" w:cs="Times New Roman"/>
          <w:sz w:val="24"/>
          <w:szCs w:val="24"/>
        </w:rPr>
        <w:t>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shd w:val="clear" w:color="auto" w:fill="FFFFFF"/>
        </w:rPr>
        <w:t>676/2002/WE.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Celem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decyzji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jest</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ustanowienie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U</w:t>
      </w:r>
      <w:r w:rsidR="002D583D" w:rsidRPr="00D44D33">
        <w:rPr>
          <w:rFonts w:ascii="Times New Roman" w:eastAsiaTheme="minorEastAsia" w:hAnsi="Times New Roman" w:cs="Times New Roman"/>
          <w:sz w:val="24"/>
          <w:szCs w:val="24"/>
          <w:shd w:val="clear" w:color="auto" w:fill="FFFFFF"/>
        </w:rPr>
        <w:t>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polityki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prawnych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ram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dla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zapewnienia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koordynacji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koncepcji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politycznych,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tam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gdzie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sytuacja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tego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wymaga,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harmonizacja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warunków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dostępności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skutecznego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korzystania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ze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spektrum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radiowego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koniecznych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ustanowienia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funkcjonowania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rynku</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wewnętrznego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obszarach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objętych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polityką</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Wspólnoty,</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takich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jak</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łączność</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elektroniczna,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transport</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oraz</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badania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rozwój.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shd w:val="clear" w:color="auto" w:fill="FFFFFF"/>
        </w:rPr>
        <w:t>Komisja,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na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podstawie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art.</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4</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decyzji,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przedkłada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Komitetowi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ds.</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Spektrum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Radiowego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właściwe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techniczne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środki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wykonawcze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celu</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zapewnienia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zharmonizowanych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warunków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dostępności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skutecznego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wykorzystania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spektrum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radiowego.</w:t>
      </w:r>
    </w:p>
    <w:p w14:paraId="3E64FA26" w14:textId="556464DA" w:rsidR="004B7EC5"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dostarczania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kluczowych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eksploatację,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nadzór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„przygotowanie</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wytworzenia</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(budowy)</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2FB3F8DE"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dostarczania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2863C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99235D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99235D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699235D5"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482A4373" w:rsidRPr="00D44D33">
        <w:rPr>
          <w:rFonts w:ascii="Times New Roman" w:eastAsiaTheme="minorEastAsia" w:hAnsi="Times New Roman" w:cs="Times New Roman"/>
          <w:sz w:val="24"/>
          <w:szCs w:val="24"/>
        </w:rPr>
        <w:t>t</w:t>
      </w:r>
      <w:r w:rsidR="5384BAB4" w:rsidRPr="00D44D33">
        <w:rPr>
          <w:rFonts w:ascii="Times New Roman" w:eastAsiaTheme="minorEastAsia" w:hAnsi="Times New Roman" w:cs="Times New Roman"/>
          <w:sz w:val="24"/>
          <w:szCs w:val="24"/>
        </w:rPr>
        <w:t>ożsama</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zawart</w:t>
      </w:r>
      <w:r w:rsidR="526EB396"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5384BAB4" w:rsidRPr="00D44D33">
        <w:rPr>
          <w:rFonts w:ascii="Times New Roman" w:eastAsiaTheme="minorEastAsia" w:hAnsi="Times New Roman" w:cs="Times New Roman"/>
          <w:sz w:val="24"/>
          <w:szCs w:val="24"/>
        </w:rPr>
        <w:t>Pt.</w:t>
      </w:r>
    </w:p>
    <w:p w14:paraId="42DD54E1" w14:textId="4B1D5E02" w:rsidR="00CE7EA4" w:rsidRPr="00D44D33" w:rsidRDefault="004B7EC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dostawcy</w:t>
      </w:r>
      <w:r w:rsidR="00970B2E" w:rsidRPr="00D44D33">
        <w:rPr>
          <w:rFonts w:ascii="Times New Roman" w:eastAsiaTheme="minorEastAsia" w:hAnsi="Times New Roman" w:cs="Times New Roman"/>
          <w:b/>
          <w:bCs/>
          <w:sz w:val="24"/>
          <w:szCs w:val="24"/>
        </w:rPr>
        <w:t xml:space="preserve"> </w:t>
      </w:r>
      <w:r w:rsidR="00B97845" w:rsidRPr="00D44D33">
        <w:rPr>
          <w:rFonts w:ascii="Times New Roman" w:eastAsiaTheme="minorEastAsia" w:hAnsi="Times New Roman" w:cs="Times New Roman"/>
          <w:b/>
          <w:bCs/>
          <w:sz w:val="24"/>
          <w:szCs w:val="24"/>
        </w:rPr>
        <w:t>usług</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00B62763" w:rsidRPr="00D44D33">
        <w:rPr>
          <w:rFonts w:ascii="Times New Roman" w:eastAsiaTheme="minorEastAsia" w:hAnsi="Times New Roman" w:cs="Times New Roman"/>
          <w:sz w:val="24"/>
          <w:szCs w:val="24"/>
        </w:rPr>
        <w:t>dostawc</w:t>
      </w:r>
      <w:r w:rsidR="64DBB0A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F3AA19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rozumian</w:t>
      </w:r>
      <w:r w:rsidR="4FA9B47C"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54C83980"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4C83980"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telekomunikacyjn</w:t>
      </w:r>
      <w:r w:rsidR="4D3770C4"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świadczący</w:t>
      </w:r>
      <w:r w:rsidR="00970B2E" w:rsidRPr="00D44D33">
        <w:rPr>
          <w:rFonts w:ascii="Times New Roman" w:eastAsiaTheme="minorEastAsia" w:hAnsi="Times New Roman" w:cs="Times New Roman"/>
          <w:sz w:val="24"/>
          <w:szCs w:val="24"/>
        </w:rPr>
        <w:t xml:space="preserve"> </w:t>
      </w:r>
      <w:r w:rsidR="473D8B45"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473D8B45"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usług</w:t>
      </w:r>
      <w:r w:rsidR="48A6CF7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niewykorzystując</w:t>
      </w:r>
      <w:r w:rsidR="2BDC997F"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numerów</w:t>
      </w:r>
      <w:r w:rsidR="675EA57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62763"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konsekwencją</w:t>
      </w:r>
      <w:r w:rsidR="00970B2E" w:rsidRPr="00D44D33">
        <w:rPr>
          <w:rFonts w:ascii="Times New Roman" w:eastAsiaTheme="minorEastAsia" w:hAnsi="Times New Roman" w:cs="Times New Roman"/>
          <w:sz w:val="24"/>
          <w:szCs w:val="24"/>
        </w:rPr>
        <w:t xml:space="preserve"> </w:t>
      </w:r>
      <w:r w:rsidR="4BE976B6" w:rsidRPr="00D44D33">
        <w:rPr>
          <w:rFonts w:ascii="Times New Roman" w:eastAsiaTheme="minorEastAsia" w:hAnsi="Times New Roman" w:cs="Times New Roman"/>
          <w:sz w:val="24"/>
          <w:szCs w:val="24"/>
        </w:rPr>
        <w:t>zaimplementowania</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750D9B2C" w:rsidRPr="00D44D33">
        <w:rPr>
          <w:rFonts w:ascii="Times New Roman" w:eastAsiaTheme="minorEastAsia" w:hAnsi="Times New Roman" w:cs="Times New Roman"/>
          <w:sz w:val="24"/>
          <w:szCs w:val="24"/>
        </w:rPr>
        <w:t>elektronicznej</w:t>
      </w:r>
      <w:r w:rsidR="002D583D" w:rsidRPr="00D44D33">
        <w:rPr>
          <w:rFonts w:ascii="Times New Roman" w:eastAsiaTheme="minorEastAsia" w:hAnsi="Times New Roman" w:cs="Times New Roman"/>
          <w:sz w:val="24"/>
          <w:szCs w:val="24"/>
        </w:rPr>
        <w:t>, określonej w EKŁE</w:t>
      </w:r>
      <w:r w:rsidR="750D9B2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00E03BF" w14:textId="0C3D7797" w:rsidR="00FF7922" w:rsidRPr="00D44D33" w:rsidRDefault="021E6F9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00781312" w:rsidRPr="00D44D33">
        <w:rPr>
          <w:rFonts w:ascii="Times New Roman" w:eastAsiaTheme="minorEastAsia" w:hAnsi="Times New Roman" w:cs="Times New Roman"/>
          <w:b/>
          <w:bCs/>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35C7CB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Wyszczególnia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zastąpienie</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59042DA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9042DA4"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59042DA4" w:rsidRPr="00D44D33">
        <w:rPr>
          <w:rFonts w:ascii="Times New Roman" w:eastAsiaTheme="minorEastAsia" w:hAnsi="Times New Roman" w:cs="Times New Roman"/>
          <w:sz w:val="24"/>
          <w:szCs w:val="24"/>
        </w:rPr>
        <w:t>wersji</w:t>
      </w:r>
      <w:r w:rsidR="00970B2E" w:rsidRPr="00D44D33">
        <w:rPr>
          <w:rFonts w:ascii="Times New Roman" w:eastAsiaTheme="minorEastAsia" w:hAnsi="Times New Roman" w:cs="Times New Roman"/>
          <w:sz w:val="24"/>
          <w:szCs w:val="24"/>
        </w:rPr>
        <w:t xml:space="preserve"> </w:t>
      </w:r>
      <w:r w:rsidR="59042DA4" w:rsidRPr="00D44D33">
        <w:rPr>
          <w:rFonts w:ascii="Times New Roman" w:eastAsiaTheme="minorEastAsia" w:hAnsi="Times New Roman" w:cs="Times New Roman"/>
          <w:sz w:val="24"/>
          <w:szCs w:val="24"/>
        </w:rPr>
        <w:t>językowej</w:t>
      </w:r>
      <w:r w:rsidR="00970B2E" w:rsidRPr="00D44D33">
        <w:rPr>
          <w:rFonts w:ascii="Times New Roman" w:eastAsiaTheme="minorEastAsia" w:hAnsi="Times New Roman" w:cs="Times New Roman"/>
          <w:sz w:val="24"/>
          <w:szCs w:val="24"/>
        </w:rPr>
        <w:t xml:space="preserve"> </w:t>
      </w:r>
      <w:r w:rsidR="59042DA4"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określeniem</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02BBF23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2BBF23D"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adekwatne,</w:t>
      </w:r>
      <w:r w:rsidR="00970B2E" w:rsidRPr="00D44D33">
        <w:rPr>
          <w:rFonts w:ascii="Times New Roman" w:eastAsiaTheme="minorEastAsia" w:hAnsi="Times New Roman" w:cs="Times New Roman"/>
          <w:sz w:val="24"/>
          <w:szCs w:val="24"/>
        </w:rPr>
        <w:t xml:space="preserve"> </w:t>
      </w:r>
      <w:r w:rsidR="798192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9819259"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0058F91B"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58F91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8F91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8F91B" w:rsidRPr="00D44D33">
        <w:rPr>
          <w:rFonts w:ascii="Times New Roman" w:eastAsiaTheme="minorEastAsia" w:hAnsi="Times New Roman" w:cs="Times New Roman"/>
          <w:sz w:val="24"/>
          <w:szCs w:val="24"/>
        </w:rPr>
        <w:t>budynk</w:t>
      </w:r>
      <w:r w:rsidR="0096020D"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58F91B" w:rsidRPr="00D44D33">
        <w:rPr>
          <w:rFonts w:ascii="Times New Roman" w:eastAsiaTheme="minorEastAsia" w:hAnsi="Times New Roman" w:cs="Times New Roman"/>
          <w:sz w:val="24"/>
          <w:szCs w:val="24"/>
        </w:rPr>
        <w:t>stanowiący</w:t>
      </w:r>
      <w:r w:rsidR="3EFA2987" w:rsidRPr="00D44D33">
        <w:rPr>
          <w:rFonts w:ascii="Times New Roman" w:eastAsiaTheme="minorEastAsia" w:hAnsi="Times New Roman" w:cs="Times New Roman"/>
          <w:sz w:val="24"/>
          <w:szCs w:val="24"/>
        </w:rPr>
        <w:t>c</w:t>
      </w:r>
      <w:r w:rsidR="0058F91B"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0058F91B"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293D3D79" w:rsidRPr="00D44D33">
        <w:rPr>
          <w:rFonts w:ascii="Times New Roman" w:eastAsiaTheme="minorEastAsia" w:hAnsi="Times New Roman" w:cs="Times New Roman"/>
          <w:sz w:val="24"/>
          <w:szCs w:val="24"/>
        </w:rPr>
        <w:t>definiendum</w:t>
      </w:r>
      <w:r w:rsidR="21EB7CA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desygnaty</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zamkniętego</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520F436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C71B0B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20F4365"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520F436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4CA2B7A"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34CA2B7A"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520F4365"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520F436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 </w:t>
      </w:r>
      <w:r w:rsidR="2BD93C9B" w:rsidRPr="00D44D33">
        <w:rPr>
          <w:rFonts w:ascii="Times New Roman" w:eastAsiaTheme="minorEastAsia" w:hAnsi="Times New Roman" w:cs="Times New Roman"/>
          <w:sz w:val="24"/>
          <w:szCs w:val="24"/>
        </w:rPr>
        <w:t>posłużono</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wyrażeniem</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Niemniej</w:t>
      </w:r>
      <w:r w:rsidR="00970B2E" w:rsidRPr="00D44D33">
        <w:rPr>
          <w:rFonts w:ascii="Times New Roman" w:eastAsiaTheme="minorEastAsia" w:hAnsi="Times New Roman" w:cs="Times New Roman"/>
          <w:sz w:val="24"/>
          <w:szCs w:val="24"/>
        </w:rPr>
        <w:t xml:space="preserve"> </w:t>
      </w:r>
      <w:r w:rsidR="69C7AF2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obawa,</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BD93C9B" w:rsidRPr="00D44D33">
        <w:rPr>
          <w:rFonts w:ascii="Times New Roman" w:eastAsiaTheme="minorEastAsia" w:hAnsi="Times New Roman" w:cs="Times New Roman"/>
          <w:sz w:val="24"/>
          <w:szCs w:val="24"/>
        </w:rPr>
        <w:t>zasob</w:t>
      </w:r>
      <w:r w:rsidR="4F7019C1" w:rsidRPr="00D44D33">
        <w:rPr>
          <w:rFonts w:ascii="Times New Roman" w:eastAsiaTheme="minorEastAsia" w:hAnsi="Times New Roman" w:cs="Times New Roman"/>
          <w:sz w:val="24"/>
          <w:szCs w:val="24"/>
        </w:rPr>
        <w:t>ów</w:t>
      </w:r>
      <w:r w:rsidR="00970B2E" w:rsidRPr="00D44D33">
        <w:rPr>
          <w:rFonts w:ascii="Times New Roman" w:eastAsiaTheme="minorEastAsia" w:hAnsi="Times New Roman" w:cs="Times New Roman"/>
          <w:sz w:val="24"/>
          <w:szCs w:val="24"/>
        </w:rPr>
        <w:t xml:space="preserve"> </w:t>
      </w:r>
      <w:r w:rsidR="4F7019C1"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4F7019C1" w:rsidRPr="00D44D33">
        <w:rPr>
          <w:rFonts w:ascii="Times New Roman" w:eastAsiaTheme="minorEastAsia" w:hAnsi="Times New Roman" w:cs="Times New Roman"/>
          <w:sz w:val="24"/>
          <w:szCs w:val="24"/>
        </w:rPr>
        <w:t>rozciągnąć</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4F7019C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F7019C1" w:rsidRPr="00D44D33">
        <w:rPr>
          <w:rFonts w:ascii="Times New Roman" w:eastAsiaTheme="minorEastAsia" w:hAnsi="Times New Roman" w:cs="Times New Roman"/>
          <w:sz w:val="24"/>
          <w:szCs w:val="24"/>
        </w:rPr>
        <w:lastRenderedPageBreak/>
        <w:t>zasoby</w:t>
      </w:r>
      <w:r w:rsidR="00970B2E" w:rsidRPr="00D44D33">
        <w:rPr>
          <w:rFonts w:ascii="Times New Roman" w:eastAsiaTheme="minorEastAsia" w:hAnsi="Times New Roman" w:cs="Times New Roman"/>
          <w:sz w:val="24"/>
          <w:szCs w:val="24"/>
        </w:rPr>
        <w:t xml:space="preserve"> </w:t>
      </w:r>
      <w:r w:rsidR="4F7019C1" w:rsidRPr="00D44D33">
        <w:rPr>
          <w:rFonts w:ascii="Times New Roman" w:eastAsiaTheme="minorEastAsia" w:hAnsi="Times New Roman" w:cs="Times New Roman"/>
          <w:sz w:val="24"/>
          <w:szCs w:val="24"/>
        </w:rPr>
        <w:t>osobowe</w:t>
      </w:r>
      <w:r w:rsidR="0078131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81312"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powstania</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zasobu</w:t>
      </w:r>
      <w:r w:rsidR="005E424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niezbędny</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powszechnie</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akt</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wydany</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E4245"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96020D" w:rsidRPr="00D44D33">
        <w:rPr>
          <w:rFonts w:ascii="Times New Roman" w:eastAsiaTheme="minorEastAsia" w:hAnsi="Times New Roman" w:cs="Times New Roman"/>
          <w:sz w:val="24"/>
          <w:szCs w:val="24"/>
        </w:rPr>
        <w:t>ustawy</w:t>
      </w:r>
      <w:r w:rsidR="00862A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Źródłem</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dostępowego</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per</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se</w:t>
      </w:r>
      <w:r w:rsidR="0096020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 xml:space="preserve">z dnia 7 maja 2010 r. </w:t>
      </w:r>
      <w:r w:rsidR="0040143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rozwoju</w:t>
      </w:r>
      <w:r w:rsidR="002D583D" w:rsidRPr="00D44D33">
        <w:rPr>
          <w:rFonts w:ascii="Times New Roman" w:eastAsiaTheme="minorEastAsia" w:hAnsi="Times New Roman" w:cs="Times New Roman"/>
          <w:sz w:val="24"/>
          <w:szCs w:val="24"/>
        </w:rPr>
        <w:t xml:space="preserve"> usług i sieci telekomunikacyjnych (Dz. U. z 2022 r. poz. 884</w:t>
      </w:r>
      <w:r w:rsidR="004C248E" w:rsidRPr="00D44D33">
        <w:rPr>
          <w:rFonts w:ascii="Times New Roman" w:eastAsiaTheme="minorEastAsia" w:hAnsi="Times New Roman" w:cs="Times New Roman"/>
          <w:sz w:val="24"/>
          <w:szCs w:val="24"/>
        </w:rPr>
        <w:t xml:space="preserve"> i 2164</w:t>
      </w:r>
      <w:r w:rsidR="002D583D" w:rsidRPr="00D44D33">
        <w:rPr>
          <w:rFonts w:ascii="Times New Roman" w:eastAsiaTheme="minorEastAsia" w:hAnsi="Times New Roman" w:cs="Times New Roman"/>
          <w:sz w:val="24"/>
          <w:szCs w:val="24"/>
        </w:rPr>
        <w:t>)</w:t>
      </w:r>
      <w:r w:rsidR="0040143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nieruchomości</w:t>
      </w:r>
      <w:r w:rsidR="002D583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budynków.</w:t>
      </w:r>
    </w:p>
    <w:p w14:paraId="74B27F37" w14:textId="1E35D2C7" w:rsidR="004B7EC5" w:rsidRPr="00D44D33" w:rsidRDefault="004B7EC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lokalnej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pętli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abonenckiej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polegający</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korzystaniu</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pętli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abonenckiej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podpętli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abonenckiej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tożsama</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dotychczasową</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zawartą</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3BA488C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7EC75018" w14:textId="24365665" w:rsidR="004B7EC5" w:rsidRPr="00D44D33" w:rsidRDefault="004B7EC5"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przewodnika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programach</w:t>
      </w:r>
      <w:r w:rsidR="00970B2E" w:rsidRPr="00D44D33">
        <w:rPr>
          <w:rFonts w:ascii="Times New Roman" w:eastAsiaTheme="minorEastAsia" w:hAnsi="Times New Roman" w:cs="Times New Roman"/>
          <w:b/>
          <w:bCs/>
          <w:sz w:val="24"/>
          <w:szCs w:val="24"/>
        </w:rPr>
        <w:t xml:space="preserve"> </w:t>
      </w:r>
      <w:r w:rsidR="00970B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00565915"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elektronicznego</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przewodnika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programach</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rozumian</w:t>
      </w:r>
      <w:r w:rsidR="63ED64BF"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63ED64B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środek</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2863C2"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umożliwiające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wybór</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stosowane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systemach</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zawierające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opisujące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programy</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występujące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cyfrowym</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sygnale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telewizyjnym.</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projekt</w:t>
      </w:r>
      <w:r w:rsidR="25899865" w:rsidRPr="00D44D33">
        <w:rPr>
          <w:rFonts w:ascii="Times New Roman" w:eastAsiaTheme="minorEastAsia" w:hAnsi="Times New Roman" w:cs="Times New Roman"/>
          <w:sz w:val="24"/>
          <w:szCs w:val="24"/>
        </w:rPr>
        <w:t>owanej</w:t>
      </w:r>
      <w:r w:rsidR="00970B2E" w:rsidRPr="00D44D33">
        <w:rPr>
          <w:rFonts w:ascii="Times New Roman" w:eastAsiaTheme="minorEastAsia" w:hAnsi="Times New Roman" w:cs="Times New Roman"/>
          <w:sz w:val="24"/>
          <w:szCs w:val="24"/>
        </w:rPr>
        <w:t xml:space="preserve"> </w:t>
      </w:r>
      <w:r w:rsidR="25899865"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 xml:space="preserve">Pke </w:t>
      </w:r>
      <w:r w:rsidR="00565915"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cyfrowe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transmisje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radiofoniczne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zakres</w:t>
      </w:r>
      <w:r w:rsidR="00D72623"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p>
    <w:p w14:paraId="3F58B74F" w14:textId="56563A67" w:rsidR="00EE32AB"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w:t>
      </w:r>
      <w:r w:rsidR="0048381A" w:rsidRPr="00D44D33">
        <w:rPr>
          <w:rFonts w:ascii="Times New Roman" w:eastAsiaTheme="minorEastAsia" w:hAnsi="Times New Roman" w:cs="Times New Roman"/>
          <w:b/>
          <w:bCs/>
          <w:sz w:val="24"/>
          <w:szCs w:val="24"/>
        </w:rPr>
        <w:t>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fal</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radiowych</w:t>
      </w:r>
      <w:r w:rsidR="00970B2E" w:rsidRPr="00D44D33">
        <w:rPr>
          <w:rFonts w:ascii="Times New Roman" w:eastAsiaTheme="minorEastAsia" w:hAnsi="Times New Roman" w:cs="Times New Roman"/>
          <w:b/>
          <w:bCs/>
          <w:sz w:val="24"/>
          <w:szCs w:val="24"/>
        </w:rPr>
        <w:t xml:space="preserve"> </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2014/53/UE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DF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63DF5"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63DF5"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00163DF5" w:rsidRPr="00D44D33">
        <w:rPr>
          <w:rFonts w:ascii="Times New Roman" w:eastAsiaTheme="minorEastAsia" w:hAnsi="Times New Roman" w:cs="Times New Roman"/>
          <w:sz w:val="24"/>
          <w:szCs w:val="24"/>
        </w:rPr>
        <w:t>Radiokomunikacyjnego</w:t>
      </w:r>
      <w:r w:rsidR="00EE32AB" w:rsidRPr="00D44D33">
        <w:rPr>
          <w:rFonts w:ascii="Times New Roman" w:eastAsiaTheme="minorEastAsia" w:hAnsi="Times New Roman" w:cs="Times New Roman"/>
          <w:sz w:val="24"/>
          <w:szCs w:val="24"/>
        </w:rPr>
        <w:t>.</w:t>
      </w:r>
    </w:p>
    <w:p w14:paraId="497D1EA6" w14:textId="7850E19B" w:rsidR="00EE32AB" w:rsidRPr="00D44D33" w:rsidRDefault="002D583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Omawiana d</w:t>
      </w:r>
      <w:r w:rsidR="00EE32AB" w:rsidRPr="00D44D33">
        <w:rPr>
          <w:rFonts w:ascii="Times New Roman" w:eastAsiaTheme="minorEastAsia" w:hAnsi="Times New Roman" w:cs="Times New Roman"/>
          <w:sz w:val="24"/>
          <w:szCs w:val="24"/>
        </w:rPr>
        <w:t>efinicja</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pojęciem</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fal</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fale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częstotliwościach</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niższych</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3000</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GHz,</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rozchodzące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przestrzeni</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sztucznego</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przewodnika.</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brzmieniu</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7a).</w:t>
      </w:r>
    </w:p>
    <w:p w14:paraId="600DB50C" w14:textId="0A3BC005" w:rsidR="3C32F528" w:rsidRPr="00D44D33" w:rsidRDefault="00EE32A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48381A" w:rsidRPr="00D44D33">
        <w:rPr>
          <w:rFonts w:ascii="Times New Roman" w:eastAsiaTheme="minorEastAsia" w:hAnsi="Times New Roman" w:cs="Times New Roman"/>
          <w:sz w:val="24"/>
          <w:szCs w:val="24"/>
        </w:rPr>
        <w:t>wiązana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szczególnym</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rodzajem</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emituje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odbiera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fale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radiokomunikacji</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radiolokacji,</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uzupełnione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element,</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mogło</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celowo</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emitować</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odbierać</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fale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radiokomunikacji</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381A" w:rsidRPr="00D44D33">
        <w:rPr>
          <w:rFonts w:ascii="Times New Roman" w:eastAsiaTheme="minorEastAsia" w:hAnsi="Times New Roman" w:cs="Times New Roman"/>
          <w:sz w:val="24"/>
          <w:szCs w:val="24"/>
        </w:rPr>
        <w:t>radiolokacji.</w:t>
      </w:r>
    </w:p>
    <w:p w14:paraId="08E77909" w14:textId="32F99C9E" w:rsidR="00324F13" w:rsidRPr="00D44D33" w:rsidRDefault="00324F13"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w:t>
      </w:r>
      <w:r w:rsidR="00ED32FA" w:rsidRPr="00D44D33">
        <w:rPr>
          <w:rFonts w:ascii="Times New Roman" w:eastAsiaTheme="minorEastAsia" w:hAnsi="Times New Roman" w:cs="Times New Roman"/>
          <w:b/>
          <w:bCs/>
          <w:sz w:val="24"/>
          <w:szCs w:val="24"/>
        </w:rPr>
        <w:t>f</w:t>
      </w:r>
      <w:r w:rsidRPr="00D44D33">
        <w:rPr>
          <w:rFonts w:ascii="Times New Roman" w:eastAsiaTheme="minorEastAsia" w:hAnsi="Times New Roman" w:cs="Times New Roman"/>
          <w:b/>
          <w:bCs/>
          <w:sz w:val="24"/>
          <w:szCs w:val="24"/>
        </w:rPr>
        <w:t>rastruktury</w:t>
      </w:r>
      <w:r w:rsidR="00970B2E" w:rsidRPr="00D44D33">
        <w:rPr>
          <w:rFonts w:ascii="Times New Roman" w:eastAsiaTheme="minorEastAsia" w:hAnsi="Times New Roman" w:cs="Times New Roman"/>
          <w:b/>
          <w:bCs/>
          <w:sz w:val="24"/>
          <w:szCs w:val="24"/>
        </w:rPr>
        <w:t xml:space="preserve"> </w:t>
      </w:r>
      <w:r w:rsidR="0096020D" w:rsidRPr="00D44D33">
        <w:rPr>
          <w:rFonts w:ascii="Times New Roman" w:eastAsiaTheme="minorEastAsia" w:hAnsi="Times New Roman" w:cs="Times New Roman"/>
          <w:b/>
          <w:bCs/>
          <w:sz w:val="24"/>
          <w:szCs w:val="24"/>
        </w:rPr>
        <w:t>techniczn</w:t>
      </w:r>
      <w:r w:rsidRPr="00D44D33">
        <w:rPr>
          <w:rFonts w:ascii="Times New Roman" w:eastAsiaTheme="minorEastAsia" w:hAnsi="Times New Roman" w:cs="Times New Roman"/>
          <w:b/>
          <w:bCs/>
          <w:sz w:val="24"/>
          <w:szCs w:val="24"/>
        </w:rPr>
        <w:t>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0032116D" w:rsidRPr="00D44D33">
        <w:rPr>
          <w:rFonts w:ascii="Times New Roman" w:eastAsiaTheme="minorEastAsia" w:hAnsi="Times New Roman" w:cs="Times New Roman"/>
          <w:bCs/>
          <w:sz w:val="24"/>
          <w:szCs w:val="24"/>
        </w:rPr>
        <w:t>ze</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względu</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szczególne</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znaczenie</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pojęcia</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infrastruktury</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technicznej,</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proponuje</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
          <w:bCs/>
          <w:sz w:val="24"/>
          <w:szCs w:val="24"/>
        </w:rPr>
        <w:t xml:space="preserve"> </w:t>
      </w:r>
      <w:r w:rsidR="0032116D" w:rsidRPr="00D44D33">
        <w:rPr>
          <w:rFonts w:ascii="Times New Roman" w:eastAsiaTheme="minorEastAsia" w:hAnsi="Times New Roman" w:cs="Times New Roman"/>
          <w:bCs/>
          <w:sz w:val="24"/>
          <w:szCs w:val="24"/>
        </w:rPr>
        <w:t>zawarcie</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odesłania</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definicji</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zawartej</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art.</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2</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1</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pkt</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6</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ustawy</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dnia</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7</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maja</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2010</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r.</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wspieraniu</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rozwoju</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sieci</w:t>
      </w:r>
      <w:r w:rsidR="00970B2E" w:rsidRPr="00D44D33">
        <w:rPr>
          <w:rFonts w:ascii="Times New Roman" w:eastAsiaTheme="minorEastAsia" w:hAnsi="Times New Roman" w:cs="Times New Roman"/>
          <w:bCs/>
          <w:sz w:val="24"/>
          <w:szCs w:val="24"/>
        </w:rPr>
        <w:t xml:space="preserve"> </w:t>
      </w:r>
      <w:r w:rsidR="0032116D" w:rsidRPr="00D44D33">
        <w:rPr>
          <w:rFonts w:ascii="Times New Roman" w:eastAsiaTheme="minorEastAsia" w:hAnsi="Times New Roman" w:cs="Times New Roman"/>
          <w:bCs/>
          <w:sz w:val="24"/>
          <w:szCs w:val="24"/>
        </w:rPr>
        <w:t>telekomunikacyjnych</w:t>
      </w:r>
      <w:r w:rsidR="00862484" w:rsidRPr="00D44D33">
        <w:rPr>
          <w:rFonts w:ascii="Times New Roman" w:eastAsiaTheme="minorEastAsia" w:hAnsi="Times New Roman" w:cs="Times New Roman"/>
          <w:sz w:val="24"/>
          <w:szCs w:val="24"/>
        </w:rPr>
        <w:t xml:space="preserve">. </w:t>
      </w:r>
    </w:p>
    <w:p w14:paraId="331B026C" w14:textId="51857FCF" w:rsidR="00E5318F" w:rsidRPr="00D44D33" w:rsidRDefault="00E5318F"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infrastruktury</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00F60B2E"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00F60B2E"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 xml:space="preserve">wprowadza </w:t>
      </w:r>
      <w:r w:rsidR="00862AB7"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0090629A"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90629A"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najważniejszą</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cechę</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desygnatów</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„fizyczność”</w:t>
      </w:r>
      <w:r w:rsidR="0073677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36772"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 xml:space="preserve">bowiem </w:t>
      </w:r>
      <w:r w:rsidR="00736772"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736772"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90629A"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736772" w:rsidRPr="00D44D33">
        <w:rPr>
          <w:rFonts w:ascii="Times New Roman" w:eastAsiaTheme="minorEastAsia" w:hAnsi="Times New Roman" w:cs="Times New Roman"/>
          <w:sz w:val="24"/>
          <w:szCs w:val="24"/>
        </w:rPr>
        <w:t>zasoby</w:t>
      </w:r>
      <w:r w:rsidR="00862A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862AB7" w:rsidRPr="00D44D33">
        <w:rPr>
          <w:rFonts w:ascii="Times New Roman" w:eastAsiaTheme="minorEastAsia" w:hAnsi="Times New Roman" w:cs="Times New Roman"/>
          <w:sz w:val="24"/>
          <w:szCs w:val="24"/>
        </w:rPr>
        <w:t>pr</w:t>
      </w:r>
      <w:r w:rsidR="00736772" w:rsidRPr="00D44D33">
        <w:rPr>
          <w:rFonts w:ascii="Times New Roman" w:eastAsiaTheme="minorEastAsia" w:hAnsi="Times New Roman" w:cs="Times New Roman"/>
          <w:sz w:val="24"/>
          <w:szCs w:val="24"/>
        </w:rPr>
        <w:t>zypisać</w:t>
      </w:r>
      <w:r w:rsidR="00970B2E" w:rsidRPr="00D44D33">
        <w:rPr>
          <w:rFonts w:ascii="Times New Roman" w:eastAsiaTheme="minorEastAsia" w:hAnsi="Times New Roman" w:cs="Times New Roman"/>
          <w:sz w:val="24"/>
          <w:szCs w:val="24"/>
        </w:rPr>
        <w:t xml:space="preserve"> </w:t>
      </w:r>
      <w:r w:rsidR="00736772" w:rsidRPr="00D44D33">
        <w:rPr>
          <w:rFonts w:ascii="Times New Roman" w:eastAsiaTheme="minorEastAsia" w:hAnsi="Times New Roman" w:cs="Times New Roman"/>
          <w:sz w:val="24"/>
          <w:szCs w:val="24"/>
        </w:rPr>
        <w:t>położenie</w:t>
      </w:r>
      <w:r w:rsidR="00970B2E" w:rsidRPr="00D44D33">
        <w:rPr>
          <w:rFonts w:ascii="Times New Roman" w:eastAsiaTheme="minorEastAsia" w:hAnsi="Times New Roman" w:cs="Times New Roman"/>
          <w:sz w:val="24"/>
          <w:szCs w:val="24"/>
        </w:rPr>
        <w:t xml:space="preserve"> </w:t>
      </w:r>
      <w:r w:rsidR="0073677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36772" w:rsidRPr="00D44D33">
        <w:rPr>
          <w:rFonts w:ascii="Times New Roman" w:eastAsiaTheme="minorEastAsia" w:hAnsi="Times New Roman" w:cs="Times New Roman"/>
          <w:sz w:val="24"/>
          <w:szCs w:val="24"/>
        </w:rPr>
        <w:t>przestrzeni</w:t>
      </w:r>
      <w:r w:rsidR="00862A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2E38ACE5" w14:textId="0C3F3131" w:rsidR="00E5318F" w:rsidRPr="00D44D33" w:rsidRDefault="0C2F4CE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instrukcji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00FC31EB" w:rsidRPr="00D44D33">
        <w:rPr>
          <w:rFonts w:ascii="Times New Roman" w:eastAsiaTheme="minorEastAsia" w:hAnsi="Times New Roman" w:cs="Times New Roman"/>
          <w:sz w:val="24"/>
          <w:szCs w:val="24"/>
          <w:lang w:eastAsia="pl-PL"/>
        </w:rPr>
        <w:t>definicja</w:t>
      </w:r>
      <w:r w:rsidR="00970B2E" w:rsidRPr="00D44D33">
        <w:rPr>
          <w:rFonts w:ascii="Times New Roman" w:eastAsiaTheme="minorEastAsia" w:hAnsi="Times New Roman" w:cs="Times New Roman"/>
          <w:sz w:val="24"/>
          <w:szCs w:val="24"/>
          <w:lang w:eastAsia="pl-PL"/>
        </w:rPr>
        <w:t xml:space="preserve"> </w:t>
      </w:r>
      <w:r w:rsidR="00FC31EB" w:rsidRPr="00D44D33">
        <w:rPr>
          <w:rFonts w:ascii="Times New Roman" w:eastAsiaTheme="minorEastAsia" w:hAnsi="Times New Roman" w:cs="Times New Roman"/>
          <w:sz w:val="24"/>
          <w:szCs w:val="24"/>
          <w:lang w:eastAsia="pl-PL"/>
        </w:rPr>
        <w:t>instrukcji</w:t>
      </w:r>
      <w:r w:rsidR="00970B2E" w:rsidRPr="00D44D33">
        <w:rPr>
          <w:rFonts w:ascii="Times New Roman" w:eastAsiaTheme="minorEastAsia" w:hAnsi="Times New Roman" w:cs="Times New Roman"/>
          <w:sz w:val="24"/>
          <w:szCs w:val="24"/>
          <w:lang w:eastAsia="pl-PL"/>
        </w:rPr>
        <w:t xml:space="preserve"> </w:t>
      </w:r>
      <w:r w:rsidR="285E8F07" w:rsidRPr="00D44D33">
        <w:rPr>
          <w:rFonts w:ascii="Times New Roman" w:eastAsiaTheme="minorEastAsia" w:hAnsi="Times New Roman" w:cs="Times New Roman"/>
          <w:sz w:val="24"/>
          <w:szCs w:val="24"/>
          <w:lang w:eastAsia="pl-PL"/>
        </w:rPr>
        <w:t>czyli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dokument</w:t>
      </w:r>
      <w:r w:rsidR="00FC31EB"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FC31EB" w:rsidRPr="00D44D33">
        <w:rPr>
          <w:rFonts w:ascii="Times New Roman" w:eastAsiaTheme="minorEastAsia" w:hAnsi="Times New Roman" w:cs="Times New Roman"/>
          <w:sz w:val="24"/>
          <w:szCs w:val="24"/>
        </w:rPr>
        <w:t>stanowiącego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lang w:eastAsia="pl-PL"/>
        </w:rPr>
        <w:t xml:space="preserve"> </w:t>
      </w:r>
      <w:r w:rsidR="285E8F07"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285E8F07"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285E8F07"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285E8F07"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sprawozdania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215</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231</w:t>
      </w:r>
      <w:r w:rsidR="00970B2E" w:rsidRPr="00D44D33">
        <w:rPr>
          <w:rFonts w:ascii="Times New Roman" w:hAnsi="Times New Roman" w:cs="Times New Roman"/>
          <w:sz w:val="24"/>
          <w:szCs w:val="24"/>
        </w:rPr>
        <w:t xml:space="preserve"> </w:t>
      </w:r>
      <w:r w:rsidR="00E8265A"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E8265A"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E8265A"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E8265A"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E8265A" w:rsidRPr="00D44D33">
        <w:rPr>
          <w:rFonts w:ascii="Times New Roman" w:hAnsi="Times New Roman" w:cs="Times New Roman"/>
          <w:sz w:val="24"/>
          <w:szCs w:val="24"/>
        </w:rPr>
        <w:t>lit.</w:t>
      </w:r>
      <w:r w:rsidR="00970B2E" w:rsidRPr="00D44D33">
        <w:rPr>
          <w:rFonts w:ascii="Times New Roman" w:hAnsi="Times New Roman" w:cs="Times New Roman"/>
          <w:sz w:val="24"/>
          <w:szCs w:val="24"/>
        </w:rPr>
        <w:t xml:space="preserve"> </w:t>
      </w:r>
      <w:r w:rsidR="00E8265A" w:rsidRPr="00D44D33">
        <w:rPr>
          <w:rFonts w:ascii="Times New Roman" w:hAnsi="Times New Roman" w:cs="Times New Roman"/>
          <w:sz w:val="24"/>
          <w:szCs w:val="24"/>
        </w:rPr>
        <w:t>a</w:t>
      </w:r>
      <w:r w:rsidR="002D583D" w:rsidRPr="00D44D33">
        <w:rPr>
          <w:rFonts w:ascii="Times New Roman" w:hAnsi="Times New Roman" w:cs="Times New Roman"/>
          <w:sz w:val="24"/>
          <w:szCs w:val="24"/>
        </w:rPr>
        <w:t xml:space="preserve"> Pke</w:t>
      </w:r>
      <w:r w:rsidR="00E8265A" w:rsidRPr="00D44D33">
        <w:rPr>
          <w:rFonts w:ascii="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253</w:t>
      </w:r>
      <w:r w:rsidR="00970B2E" w:rsidRPr="00D44D33">
        <w:rPr>
          <w:rFonts w:ascii="Times New Roman" w:eastAsiaTheme="minorEastAsia" w:hAnsi="Times New Roman" w:cs="Times New Roman"/>
          <w:sz w:val="24"/>
          <w:szCs w:val="24"/>
        </w:rPr>
        <w:t xml:space="preserve"> </w:t>
      </w:r>
      <w:r w:rsidR="002D583D" w:rsidRPr="00D44D33">
        <w:rPr>
          <w:rFonts w:ascii="Times New Roman" w:eastAsiaTheme="minorEastAsia" w:hAnsi="Times New Roman" w:cs="Times New Roman"/>
          <w:sz w:val="24"/>
          <w:szCs w:val="24"/>
        </w:rPr>
        <w:t xml:space="preserve">Pke </w:t>
      </w:r>
      <w:r w:rsidR="684D8B4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684D8B48" w:rsidRPr="00D44D33">
        <w:rPr>
          <w:rFonts w:ascii="Times New Roman" w:eastAsiaTheme="minorEastAsia" w:hAnsi="Times New Roman" w:cs="Times New Roman"/>
          <w:sz w:val="24"/>
          <w:szCs w:val="24"/>
        </w:rPr>
        <w:t>Pt</w:t>
      </w:r>
      <w:r w:rsidR="285E8F0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Szczegółowa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przedmiotu</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przedsiębior</w:t>
      </w:r>
      <w:r w:rsidR="59C31A81" w:rsidRPr="00D44D33">
        <w:rPr>
          <w:rFonts w:ascii="Times New Roman" w:eastAsiaTheme="minorEastAsia" w:hAnsi="Times New Roman" w:cs="Times New Roman"/>
          <w:sz w:val="24"/>
          <w:szCs w:val="24"/>
        </w:rPr>
        <w:t>cę,</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zgodna</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9C31A81" w:rsidRPr="00D44D33">
        <w:rPr>
          <w:rFonts w:ascii="Times New Roman" w:eastAsiaTheme="minorEastAsia" w:hAnsi="Times New Roman" w:cs="Times New Roman"/>
          <w:sz w:val="24"/>
          <w:szCs w:val="24"/>
        </w:rPr>
        <w:t>prze</w:t>
      </w:r>
      <w:r w:rsidR="285E8F07" w:rsidRPr="00D44D33">
        <w:rPr>
          <w:rFonts w:ascii="Times New Roman" w:eastAsiaTheme="minorEastAsia" w:hAnsi="Times New Roman" w:cs="Times New Roman"/>
          <w:sz w:val="24"/>
          <w:szCs w:val="24"/>
        </w:rPr>
        <w:t>pisami</w:t>
      </w:r>
      <w:r w:rsidR="00970B2E" w:rsidRPr="00D44D33">
        <w:rPr>
          <w:rFonts w:ascii="Times New Roman" w:eastAsiaTheme="minorEastAsia" w:hAnsi="Times New Roman" w:cs="Times New Roman"/>
          <w:sz w:val="24"/>
          <w:szCs w:val="24"/>
        </w:rPr>
        <w:t xml:space="preserve"> </w:t>
      </w:r>
      <w:r w:rsidR="00F777FA"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wydawanego</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510F71B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255</w:t>
      </w:r>
      <w:r w:rsidR="510F71B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Instrukcja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zatwierdzeniu</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U</w:t>
      </w:r>
      <w:r w:rsidR="002D583D" w:rsidRPr="00D44D33">
        <w:rPr>
          <w:rFonts w:ascii="Times New Roman" w:eastAsiaTheme="minorEastAsia" w:hAnsi="Times New Roman" w:cs="Times New Roman"/>
          <w:sz w:val="24"/>
          <w:szCs w:val="24"/>
        </w:rPr>
        <w:t xml:space="preserve">rzędu </w:t>
      </w:r>
      <w:r w:rsidR="285E8F07" w:rsidRPr="00D44D33">
        <w:rPr>
          <w:rFonts w:ascii="Times New Roman" w:eastAsiaTheme="minorEastAsia" w:hAnsi="Times New Roman" w:cs="Times New Roman"/>
          <w:sz w:val="24"/>
          <w:szCs w:val="24"/>
        </w:rPr>
        <w:t>K</w:t>
      </w:r>
      <w:r w:rsidR="002D583D" w:rsidRPr="00D44D33">
        <w:rPr>
          <w:rFonts w:ascii="Times New Roman" w:eastAsiaTheme="minorEastAsia" w:hAnsi="Times New Roman" w:cs="Times New Roman"/>
          <w:sz w:val="24"/>
          <w:szCs w:val="24"/>
        </w:rPr>
        <w:t xml:space="preserve">omunikacji </w:t>
      </w:r>
      <w:r w:rsidR="285E8F07" w:rsidRPr="00D44D33">
        <w:rPr>
          <w:rFonts w:ascii="Times New Roman" w:eastAsiaTheme="minorEastAsia" w:hAnsi="Times New Roman" w:cs="Times New Roman"/>
          <w:sz w:val="24"/>
          <w:szCs w:val="24"/>
        </w:rPr>
        <w:t>E</w:t>
      </w:r>
      <w:r w:rsidR="002D583D" w:rsidRPr="00D44D33">
        <w:rPr>
          <w:rFonts w:ascii="Times New Roman" w:eastAsiaTheme="minorEastAsia" w:hAnsi="Times New Roman" w:cs="Times New Roman"/>
          <w:sz w:val="24"/>
          <w:szCs w:val="24"/>
        </w:rPr>
        <w:t xml:space="preserve">lektronicznej, </w:t>
      </w:r>
      <w:r w:rsidR="005A0519" w:rsidRPr="00D44D33">
        <w:rPr>
          <w:rFonts w:ascii="Times New Roman" w:eastAsiaTheme="minorEastAsia" w:hAnsi="Times New Roman" w:cs="Times New Roman"/>
          <w:sz w:val="24"/>
          <w:szCs w:val="24"/>
        </w:rPr>
        <w:t xml:space="preserve">zwanego </w:t>
      </w:r>
      <w:r w:rsidR="002D583D" w:rsidRPr="00D44D33">
        <w:rPr>
          <w:rFonts w:ascii="Times New Roman" w:eastAsiaTheme="minorEastAsia" w:hAnsi="Times New Roman" w:cs="Times New Roman"/>
          <w:sz w:val="24"/>
          <w:szCs w:val="24"/>
        </w:rPr>
        <w:t>dalej „Prezes</w:t>
      </w:r>
      <w:r w:rsidR="005A0519" w:rsidRPr="00D44D33">
        <w:rPr>
          <w:rFonts w:ascii="Times New Roman" w:eastAsiaTheme="minorEastAsia" w:hAnsi="Times New Roman" w:cs="Times New Roman"/>
          <w:sz w:val="24"/>
          <w:szCs w:val="24"/>
        </w:rPr>
        <w:t>em</w:t>
      </w:r>
      <w:r w:rsidR="002D583D" w:rsidRPr="00D44D33">
        <w:rPr>
          <w:rFonts w:ascii="Times New Roman" w:eastAsiaTheme="minorEastAsia" w:hAnsi="Times New Roman" w:cs="Times New Roman"/>
          <w:sz w:val="24"/>
          <w:szCs w:val="24"/>
        </w:rPr>
        <w:t xml:space="preserve"> UKE”, </w:t>
      </w:r>
      <w:r w:rsidR="285E8F0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009E3839" w:rsidRPr="00D44D33">
        <w:rPr>
          <w:rFonts w:ascii="Times New Roman" w:eastAsiaTheme="minorEastAsia" w:hAnsi="Times New Roman" w:cs="Times New Roman"/>
          <w:sz w:val="24"/>
          <w:szCs w:val="24"/>
        </w:rPr>
        <w:t>udostępnieniu</w:t>
      </w:r>
      <w:r w:rsidR="00970B2E" w:rsidRPr="00D44D33">
        <w:rPr>
          <w:rFonts w:ascii="Times New Roman" w:eastAsiaTheme="minorEastAsia" w:hAnsi="Times New Roman" w:cs="Times New Roman"/>
          <w:sz w:val="24"/>
          <w:szCs w:val="24"/>
        </w:rPr>
        <w:t xml:space="preserve"> </w:t>
      </w:r>
      <w:r w:rsidR="009E383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E3839" w:rsidRPr="00D44D33">
        <w:rPr>
          <w:rFonts w:ascii="Times New Roman" w:hAnsi="Times New Roman" w:cs="Times New Roman"/>
          <w:sz w:val="24"/>
          <w:szCs w:val="24"/>
        </w:rPr>
        <w:t>Biuletynie</w:t>
      </w:r>
      <w:r w:rsidR="00970B2E" w:rsidRPr="00D44D33">
        <w:rPr>
          <w:rFonts w:ascii="Times New Roman" w:hAnsi="Times New Roman" w:cs="Times New Roman"/>
          <w:sz w:val="24"/>
          <w:szCs w:val="24"/>
        </w:rPr>
        <w:t xml:space="preserve"> </w:t>
      </w:r>
      <w:r w:rsidR="009E3839"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9E3839" w:rsidRPr="00D44D33">
        <w:rPr>
          <w:rFonts w:ascii="Times New Roman" w:hAnsi="Times New Roman" w:cs="Times New Roman"/>
          <w:sz w:val="24"/>
          <w:szCs w:val="24"/>
        </w:rPr>
        <w:t>Publicznej</w:t>
      </w:r>
      <w:r w:rsidR="00970B2E" w:rsidRPr="00D44D33">
        <w:rPr>
          <w:rFonts w:ascii="Times New Roman" w:hAnsi="Times New Roman" w:cs="Times New Roman"/>
          <w:sz w:val="24"/>
          <w:szCs w:val="24"/>
        </w:rPr>
        <w:t xml:space="preserve"> </w:t>
      </w:r>
      <w:r w:rsidR="285E8F0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85E8F07"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9E3839"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U</w:t>
      </w:r>
      <w:r w:rsidR="002D583D" w:rsidRPr="00D44D33">
        <w:rPr>
          <w:rFonts w:ascii="Times New Roman" w:eastAsiaTheme="minorEastAsia" w:hAnsi="Times New Roman" w:cs="Times New Roman"/>
          <w:sz w:val="24"/>
          <w:szCs w:val="24"/>
        </w:rPr>
        <w:t>KE</w:t>
      </w:r>
      <w:r w:rsidR="003A753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zwanej</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podmiotową</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UKE”</w:t>
      </w:r>
      <w:r w:rsidR="0377681B" w:rsidRPr="00D44D33">
        <w:rPr>
          <w:rFonts w:ascii="Times New Roman" w:eastAsiaTheme="minorEastAsia" w:hAnsi="Times New Roman" w:cs="Times New Roman"/>
          <w:sz w:val="24"/>
          <w:szCs w:val="24"/>
        </w:rPr>
        <w:t>.</w:t>
      </w:r>
    </w:p>
    <w:p w14:paraId="2B31909D" w14:textId="4D553AB6" w:rsidR="002D583D" w:rsidRPr="00D44D33" w:rsidRDefault="2A9CAFE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w:t>
      </w:r>
      <w:r w:rsidR="002D583D" w:rsidRPr="00D44D33">
        <w:rPr>
          <w:rFonts w:ascii="Times New Roman" w:eastAsiaTheme="minorEastAsia" w:hAnsi="Times New Roman" w:cs="Times New Roman"/>
          <w:b/>
          <w:bCs/>
          <w:sz w:val="24"/>
          <w:szCs w:val="24"/>
        </w:rPr>
        <w:t>e</w:t>
      </w:r>
      <w:r w:rsidR="00970B2E" w:rsidRPr="00D44D33">
        <w:rPr>
          <w:rFonts w:ascii="Times New Roman" w:eastAsiaTheme="minorEastAsia" w:hAnsi="Times New Roman" w:cs="Times New Roman"/>
          <w:b/>
          <w:bCs/>
          <w:sz w:val="24"/>
          <w:szCs w:val="24"/>
        </w:rPr>
        <w:t xml:space="preserve"> </w:t>
      </w:r>
      <w:r w:rsidR="0C2F4CEE" w:rsidRPr="00D44D33">
        <w:rPr>
          <w:rFonts w:ascii="Times New Roman" w:eastAsiaTheme="minorEastAsia" w:hAnsi="Times New Roman" w:cs="Times New Roman"/>
          <w:b/>
          <w:bCs/>
          <w:sz w:val="24"/>
          <w:szCs w:val="24"/>
        </w:rPr>
        <w:t>interfejsu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oraz</w:t>
      </w:r>
      <w:r w:rsidR="00970B2E" w:rsidRPr="00D44D33">
        <w:rPr>
          <w:rFonts w:ascii="Times New Roman" w:eastAsiaTheme="minorEastAsia" w:hAnsi="Times New Roman" w:cs="Times New Roman"/>
          <w:b/>
          <w:bCs/>
          <w:sz w:val="24"/>
          <w:szCs w:val="24"/>
        </w:rPr>
        <w:t xml:space="preserve"> </w:t>
      </w:r>
      <w:r w:rsidR="70BC7E72" w:rsidRPr="00D44D33">
        <w:rPr>
          <w:rFonts w:ascii="Times New Roman" w:eastAsiaTheme="minorEastAsia" w:hAnsi="Times New Roman" w:cs="Times New Roman"/>
          <w:b/>
          <w:bCs/>
          <w:sz w:val="24"/>
          <w:szCs w:val="24"/>
        </w:rPr>
        <w:t>interfejsu</w:t>
      </w:r>
      <w:r w:rsidR="00970B2E" w:rsidRPr="00D44D33">
        <w:rPr>
          <w:rFonts w:ascii="Times New Roman" w:eastAsiaTheme="minorEastAsia" w:hAnsi="Times New Roman" w:cs="Times New Roman"/>
          <w:b/>
          <w:bCs/>
          <w:sz w:val="24"/>
          <w:szCs w:val="24"/>
        </w:rPr>
        <w:t xml:space="preserve"> </w:t>
      </w:r>
      <w:r w:rsidR="6B9CC86E" w:rsidRPr="00D44D33">
        <w:rPr>
          <w:rFonts w:ascii="Times New Roman" w:eastAsiaTheme="minorEastAsia" w:hAnsi="Times New Roman" w:cs="Times New Roman"/>
          <w:b/>
          <w:bCs/>
          <w:sz w:val="24"/>
          <w:szCs w:val="24"/>
        </w:rPr>
        <w:t>programistycznego</w:t>
      </w:r>
      <w:r w:rsidR="00970B2E" w:rsidRPr="00D44D33">
        <w:rPr>
          <w:rFonts w:ascii="Times New Roman" w:eastAsiaTheme="minorEastAsia" w:hAnsi="Times New Roman" w:cs="Times New Roman"/>
          <w:b/>
          <w:bCs/>
          <w:sz w:val="24"/>
          <w:szCs w:val="24"/>
        </w:rPr>
        <w:t xml:space="preserve"> </w:t>
      </w:r>
      <w:r w:rsidR="70BC7E72" w:rsidRPr="00D44D33">
        <w:rPr>
          <w:rFonts w:ascii="Times New Roman" w:eastAsiaTheme="minorEastAsia" w:hAnsi="Times New Roman" w:cs="Times New Roman"/>
          <w:b/>
          <w:bCs/>
          <w:sz w:val="24"/>
          <w:szCs w:val="24"/>
        </w:rPr>
        <w:t>aplikac</w:t>
      </w:r>
      <w:r w:rsidR="7FC0567B" w:rsidRPr="00D44D33">
        <w:rPr>
          <w:rFonts w:ascii="Times New Roman" w:eastAsiaTheme="minorEastAsia" w:hAnsi="Times New Roman" w:cs="Times New Roman"/>
          <w:b/>
          <w:bCs/>
          <w:sz w:val="24"/>
          <w:szCs w:val="24"/>
        </w:rPr>
        <w:t>ji</w:t>
      </w:r>
      <w:r w:rsidR="00970B2E" w:rsidRPr="00D44D33">
        <w:rPr>
          <w:rFonts w:ascii="Times New Roman" w:eastAsiaTheme="minorEastAsia" w:hAnsi="Times New Roman" w:cs="Times New Roman"/>
          <w:b/>
          <w:bCs/>
          <w:sz w:val="24"/>
          <w:szCs w:val="24"/>
        </w:rPr>
        <w:t xml:space="preserve"> </w:t>
      </w:r>
      <w:r w:rsidR="70BC7E7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DFA6499"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1DFA649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DFA6499" w:rsidRPr="00D44D33">
        <w:rPr>
          <w:rFonts w:ascii="Times New Roman" w:eastAsiaTheme="minorEastAsia" w:hAnsi="Times New Roman" w:cs="Times New Roman"/>
          <w:sz w:val="24"/>
          <w:szCs w:val="24"/>
        </w:rPr>
        <w:t>t</w:t>
      </w:r>
      <w:r w:rsidR="002D583D" w:rsidRPr="00D44D33">
        <w:rPr>
          <w:rFonts w:ascii="Times New Roman" w:eastAsiaTheme="minorEastAsia" w:hAnsi="Times New Roman" w:cs="Times New Roman"/>
          <w:sz w:val="24"/>
          <w:szCs w:val="24"/>
        </w:rPr>
        <w:t>ymi</w:t>
      </w:r>
      <w:r w:rsidR="00970B2E" w:rsidRPr="00D44D33">
        <w:rPr>
          <w:rFonts w:ascii="Times New Roman" w:eastAsiaTheme="minorEastAsia" w:hAnsi="Times New Roman" w:cs="Times New Roman"/>
          <w:sz w:val="24"/>
          <w:szCs w:val="24"/>
        </w:rPr>
        <w:t xml:space="preserve"> </w:t>
      </w:r>
      <w:r w:rsidR="1DFA6499" w:rsidRPr="00D44D33">
        <w:rPr>
          <w:rFonts w:ascii="Times New Roman" w:eastAsiaTheme="minorEastAsia" w:hAnsi="Times New Roman" w:cs="Times New Roman"/>
          <w:sz w:val="24"/>
          <w:szCs w:val="24"/>
        </w:rPr>
        <w:t>definicj</w:t>
      </w:r>
      <w:r w:rsidR="002D583D" w:rsidRPr="00D44D33">
        <w:rPr>
          <w:rFonts w:ascii="Times New Roman" w:eastAsiaTheme="minorEastAsia" w:hAnsi="Times New Roman" w:cs="Times New Roman"/>
          <w:sz w:val="24"/>
          <w:szCs w:val="24"/>
        </w:rPr>
        <w:t>ami:</w:t>
      </w:r>
    </w:p>
    <w:p w14:paraId="4F4DA7DB" w14:textId="4A627785" w:rsidR="2A9CAFEC" w:rsidRPr="00D44D33" w:rsidRDefault="332BE0F8" w:rsidP="00D44D33">
      <w:pPr>
        <w:pStyle w:val="Akapitzlist"/>
        <w:numPr>
          <w:ilvl w:val="0"/>
          <w:numId w:val="137"/>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interfejs</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układ</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elektryczny,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elektroniczny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optyczny,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oprogramowaniem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oprogramowania</w:t>
      </w:r>
      <w:r w:rsidR="00970B2E" w:rsidRPr="00D44D33">
        <w:rPr>
          <w:rFonts w:ascii="Times New Roman" w:eastAsiaTheme="minorEastAsia" w:hAnsi="Times New Roman" w:cs="Times New Roman"/>
          <w:sz w:val="24"/>
          <w:szCs w:val="24"/>
        </w:rPr>
        <w:t xml:space="preserve"> </w:t>
      </w:r>
      <w:r w:rsidR="7E1F2EA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7E1F2EA7" w:rsidRPr="00D44D33">
        <w:rPr>
          <w:rFonts w:ascii="Times New Roman" w:eastAsiaTheme="minorEastAsia" w:hAnsi="Times New Roman" w:cs="Times New Roman"/>
          <w:sz w:val="24"/>
          <w:szCs w:val="24"/>
        </w:rPr>
        <w:t>oprogramowanie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umożliwiając</w:t>
      </w:r>
      <w:r w:rsidR="632EB647"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łączenie,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współpracę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wymianę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urządzeniami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połączonymi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odpowiednią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specyfikacją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techniczną.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występ</w:t>
      </w:r>
      <w:r w:rsidR="22B8C69A" w:rsidRPr="00D44D33">
        <w:rPr>
          <w:rFonts w:ascii="Times New Roman" w:eastAsiaTheme="minorEastAsia" w:hAnsi="Times New Roman" w:cs="Times New Roman"/>
          <w:sz w:val="24"/>
          <w:szCs w:val="24"/>
        </w:rPr>
        <w:t>uje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Pt</w:t>
      </w:r>
      <w:r w:rsidR="005F47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712D4E27" w14:textId="49D47979" w:rsidR="00A50E9C" w:rsidRPr="00D44D33" w:rsidRDefault="005F4788" w:rsidP="00D44D33">
      <w:pPr>
        <w:pStyle w:val="Akapitzlist"/>
        <w:numPr>
          <w:ilvl w:val="0"/>
          <w:numId w:val="137"/>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w:t>
      </w:r>
      <w:r w:rsidR="2A9CAFEC" w:rsidRPr="00D44D33">
        <w:rPr>
          <w:rFonts w:ascii="Times New Roman" w:eastAsiaTheme="minorEastAsia" w:hAnsi="Times New Roman" w:cs="Times New Roman"/>
          <w:sz w:val="24"/>
          <w:szCs w:val="24"/>
        </w:rPr>
        <w:t>ojęcie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interfejsu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program</w:t>
      </w:r>
      <w:r w:rsidR="19943285" w:rsidRPr="00D44D33">
        <w:rPr>
          <w:rFonts w:ascii="Times New Roman" w:eastAsiaTheme="minorEastAsia" w:hAnsi="Times New Roman" w:cs="Times New Roman"/>
          <w:sz w:val="24"/>
          <w:szCs w:val="24"/>
        </w:rPr>
        <w:t>istycznego</w:t>
      </w:r>
      <w:r w:rsidR="00970B2E" w:rsidRPr="00D44D33">
        <w:rPr>
          <w:rFonts w:ascii="Times New Roman" w:eastAsiaTheme="minorEastAsia" w:hAnsi="Times New Roman" w:cs="Times New Roman"/>
          <w:sz w:val="24"/>
          <w:szCs w:val="24"/>
        </w:rPr>
        <w:t xml:space="preserve"> </w:t>
      </w:r>
      <w:r w:rsidR="19943285" w:rsidRPr="00D44D33">
        <w:rPr>
          <w:rFonts w:ascii="Times New Roman" w:eastAsiaTheme="minorEastAsia" w:hAnsi="Times New Roman" w:cs="Times New Roman"/>
          <w:sz w:val="24"/>
          <w:szCs w:val="24"/>
        </w:rPr>
        <w:t>aplikacji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rozumiane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15BCD354" w:rsidRPr="00D44D33">
        <w:rPr>
          <w:rFonts w:ascii="Times New Roman" w:eastAsiaTheme="minorEastAsia" w:hAnsi="Times New Roman" w:cs="Times New Roman"/>
          <w:sz w:val="24"/>
          <w:szCs w:val="24"/>
        </w:rPr>
        <w:t>interfejs</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umożliwiając</w:t>
      </w:r>
      <w:r w:rsidR="1A343B9B"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łączenie,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współpracę,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wymianę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aplikacjami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dostarczanymi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nadawców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urządzeniami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służącymi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umożliwiających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radio</w:t>
      </w:r>
      <w:r w:rsidR="4982B1DE" w:rsidRPr="00D44D33">
        <w:rPr>
          <w:rFonts w:ascii="Times New Roman" w:eastAsiaTheme="minorEastAsia" w:hAnsi="Times New Roman" w:cs="Times New Roman"/>
          <w:sz w:val="24"/>
          <w:szCs w:val="24"/>
        </w:rPr>
        <w:t>fonicznych</w:t>
      </w:r>
      <w:r w:rsidR="2A9CAFE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EKŁE.</w:t>
      </w:r>
    </w:p>
    <w:p w14:paraId="721C26F3" w14:textId="5EB749E4" w:rsidR="001C0591"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interoperacyjności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w:t>
      </w:r>
      <w:r w:rsidR="00970B2E" w:rsidRPr="00D44D33">
        <w:rPr>
          <w:rFonts w:ascii="Times New Roman" w:eastAsiaTheme="minorEastAsia" w:hAnsi="Times New Roman" w:cs="Times New Roman"/>
          <w:sz w:val="24"/>
          <w:szCs w:val="24"/>
        </w:rPr>
        <w:t xml:space="preserve"> –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telewizyjnego</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02733ED3"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00F15EBA"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F15EBA" w:rsidRPr="00D44D33">
        <w:rPr>
          <w:rFonts w:ascii="Times New Roman" w:eastAsiaTheme="minorEastAsia" w:hAnsi="Times New Roman" w:cs="Times New Roman"/>
          <w:sz w:val="24"/>
          <w:szCs w:val="24"/>
        </w:rPr>
        <w:t>aplikacji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4A27FBA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4A27FBA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Dzięki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niezakłócone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w:t>
      </w:r>
      <w:r w:rsidR="00D72623" w:rsidRPr="00D44D33">
        <w:rPr>
          <w:rFonts w:ascii="Times New Roman" w:eastAsiaTheme="minorEastAsia" w:hAnsi="Times New Roman" w:cs="Times New Roman"/>
          <w:sz w:val="24"/>
          <w:szCs w:val="24"/>
        </w:rPr>
        <w:t>ników</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urządzeń.</w:t>
      </w:r>
    </w:p>
    <w:p w14:paraId="3D0F30FD" w14:textId="06EAF38D" w:rsidR="001C0591" w:rsidRPr="00D44D33" w:rsidRDefault="20D633B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kalkulacj</w:t>
      </w:r>
      <w:r w:rsidR="00070773"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kosztów</w:t>
      </w:r>
      <w:r w:rsidR="00970B2E" w:rsidRPr="00D44D33">
        <w:rPr>
          <w:rFonts w:ascii="Times New Roman" w:eastAsiaTheme="minorEastAsia" w:hAnsi="Times New Roman" w:cs="Times New Roman"/>
          <w:b/>
          <w:bCs/>
          <w:sz w:val="24"/>
          <w:szCs w:val="24"/>
        </w:rPr>
        <w:t xml:space="preserve"> </w:t>
      </w:r>
      <w:r w:rsidR="360FB2FC"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000830F0" w:rsidRPr="00D44D33">
        <w:rPr>
          <w:rFonts w:ascii="Times New Roman" w:eastAsiaTheme="minorEastAsia" w:hAnsi="Times New Roman" w:cs="Times New Roman"/>
          <w:sz w:val="24"/>
          <w:szCs w:val="24"/>
          <w:lang w:eastAsia="pl-PL"/>
        </w:rPr>
        <w:t>definicja</w:t>
      </w:r>
      <w:r w:rsidR="00970B2E" w:rsidRPr="00D44D33">
        <w:rPr>
          <w:rFonts w:ascii="Times New Roman" w:eastAsiaTheme="minorEastAsia" w:hAnsi="Times New Roman" w:cs="Times New Roman"/>
          <w:sz w:val="24"/>
          <w:szCs w:val="24"/>
          <w:lang w:eastAsia="pl-PL"/>
        </w:rPr>
        <w:t xml:space="preserve"> </w:t>
      </w:r>
      <w:r w:rsidR="360FB2FC" w:rsidRPr="00D44D33">
        <w:rPr>
          <w:rFonts w:ascii="Times New Roman" w:eastAsiaTheme="minorEastAsia" w:hAnsi="Times New Roman" w:cs="Times New Roman"/>
          <w:sz w:val="24"/>
          <w:szCs w:val="24"/>
          <w:lang w:eastAsia="pl-PL"/>
        </w:rPr>
        <w:t>kalkulacj</w:t>
      </w:r>
      <w:r w:rsidR="000830F0"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360FB2FC"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360FB2F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216</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231</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00E8265A" w:rsidRPr="00D44D33">
        <w:rPr>
          <w:rFonts w:ascii="Times New Roman" w:eastAsiaTheme="minorEastAsia" w:hAnsi="Times New Roman" w:cs="Times New Roman"/>
          <w:sz w:val="24"/>
          <w:szCs w:val="24"/>
        </w:rPr>
        <w:t>b</w:t>
      </w:r>
      <w:r w:rsidR="006828B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Kalkulacja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zapisanego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księgowania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0C31C056" w:rsidRPr="00D44D33">
        <w:rPr>
          <w:rFonts w:ascii="Times New Roman" w:eastAsiaTheme="minorEastAsia" w:hAnsi="Times New Roman" w:cs="Times New Roman"/>
          <w:sz w:val="24"/>
          <w:szCs w:val="24"/>
        </w:rPr>
        <w:t>Pt</w:t>
      </w:r>
      <w:r w:rsidR="360FB2F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rożne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sposoby</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777FA"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wydawanego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205190A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F2D27" w:rsidRPr="00D44D33">
        <w:rPr>
          <w:rFonts w:ascii="Times New Roman" w:eastAsiaTheme="minorEastAsia" w:hAnsi="Times New Roman" w:cs="Times New Roman"/>
          <w:sz w:val="24"/>
          <w:szCs w:val="24"/>
        </w:rPr>
        <w:t>255</w:t>
      </w:r>
      <w:r w:rsidR="360FB2F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przygotowanego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zobowiązanego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zatwierdzonego</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UKE</w:t>
      </w:r>
      <w:r w:rsidR="009A6C8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Efekty</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dokumencie</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nazwanym</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60FB2FC" w:rsidRPr="00D44D33">
        <w:rPr>
          <w:rFonts w:ascii="Times New Roman" w:eastAsiaTheme="minorEastAsia" w:hAnsi="Times New Roman" w:cs="Times New Roman"/>
          <w:sz w:val="24"/>
          <w:szCs w:val="24"/>
        </w:rPr>
        <w:t>ustawod</w:t>
      </w:r>
      <w:r w:rsidR="0377681B" w:rsidRPr="00D44D33">
        <w:rPr>
          <w:rFonts w:ascii="Times New Roman" w:eastAsiaTheme="minorEastAsia" w:hAnsi="Times New Roman" w:cs="Times New Roman"/>
          <w:sz w:val="24"/>
          <w:szCs w:val="24"/>
        </w:rPr>
        <w:t>awcę</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w:t>
      </w:r>
      <w:r w:rsidR="0377681B"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kosztów</w:t>
      </w:r>
      <w:r w:rsidR="005F4788" w:rsidRPr="00D44D33">
        <w:rPr>
          <w:rFonts w:ascii="Times New Roman" w:eastAsiaTheme="minorEastAsia" w:hAnsi="Times New Roman" w:cs="Times New Roman"/>
          <w:sz w:val="24"/>
          <w:szCs w:val="24"/>
        </w:rPr>
        <w:t>”</w:t>
      </w:r>
      <w:r w:rsidR="0377681B" w:rsidRPr="00D44D33">
        <w:rPr>
          <w:rFonts w:ascii="Times New Roman" w:eastAsiaTheme="minorEastAsia" w:hAnsi="Times New Roman" w:cs="Times New Roman"/>
          <w:sz w:val="24"/>
          <w:szCs w:val="24"/>
        </w:rPr>
        <w:t>.</w:t>
      </w:r>
    </w:p>
    <w:p w14:paraId="0AD7255E" w14:textId="36697585" w:rsidR="00BC3734" w:rsidRPr="00D44D33" w:rsidRDefault="3E2F899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kolokacji</w:t>
      </w:r>
      <w:r w:rsidR="00970B2E" w:rsidRPr="00D44D33">
        <w:rPr>
          <w:rFonts w:ascii="Times New Roman" w:eastAsiaTheme="minorEastAsia" w:hAnsi="Times New Roman" w:cs="Times New Roman"/>
          <w:sz w:val="24"/>
          <w:szCs w:val="24"/>
        </w:rPr>
        <w:t xml:space="preserve"> –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podłączającego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pętli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70F69E68"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przystosowanych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Kolokacja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pętli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abonenckiej.</w:t>
      </w:r>
    </w:p>
    <w:p w14:paraId="7AC13740" w14:textId="14B4E09F" w:rsidR="00BC3734" w:rsidRPr="00D44D33" w:rsidRDefault="00BC373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komunikatu</w:t>
      </w:r>
      <w:r w:rsidR="00970B2E" w:rsidRPr="00D44D33">
        <w:rPr>
          <w:rFonts w:ascii="Times New Roman" w:eastAsiaTheme="minorEastAsia" w:hAnsi="Times New Roman" w:cs="Times New Roman"/>
          <w:b/>
          <w:sz w:val="24"/>
          <w:szCs w:val="24"/>
        </w:rPr>
        <w:t xml:space="preserve"> </w:t>
      </w:r>
      <w:r w:rsidR="3E103005" w:rsidRPr="00D44D33">
        <w:rPr>
          <w:rFonts w:ascii="Times New Roman" w:eastAsiaTheme="minorEastAsia" w:hAnsi="Times New Roman" w:cs="Times New Roman"/>
          <w:b/>
          <w:sz w:val="24"/>
          <w:szCs w:val="24"/>
        </w:rPr>
        <w:t>elektronicznego</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komunikatem</w:t>
      </w:r>
      <w:r w:rsidR="00970B2E" w:rsidRPr="00D44D33">
        <w:rPr>
          <w:rFonts w:ascii="Times New Roman" w:eastAsiaTheme="minorEastAsia" w:hAnsi="Times New Roman" w:cs="Times New Roman"/>
          <w:sz w:val="24"/>
          <w:szCs w:val="24"/>
        </w:rPr>
        <w:t xml:space="preserve"> </w:t>
      </w:r>
      <w:r w:rsidR="6C7667F4" w:rsidRPr="00D44D33">
        <w:rPr>
          <w:rFonts w:ascii="Times New Roman" w:eastAsiaTheme="minorEastAsia" w:hAnsi="Times New Roman" w:cs="Times New Roman"/>
          <w:sz w:val="24"/>
          <w:szCs w:val="24"/>
        </w:rPr>
        <w:t>elektronicznym</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każda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wymieniana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przekazywana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użytkownikami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przekazanej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radio</w:t>
      </w:r>
      <w:r w:rsidR="57E17B32" w:rsidRPr="00D44D33">
        <w:rPr>
          <w:rFonts w:ascii="Times New Roman" w:eastAsiaTheme="minorEastAsia" w:hAnsi="Times New Roman" w:cs="Times New Roman"/>
          <w:sz w:val="24"/>
          <w:szCs w:val="24"/>
        </w:rPr>
        <w:t>fonicznych</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transmitowanych</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odnoszącej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możliwego</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zidentyfikowania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otrzymującego</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zasadniczej</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mierze</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komunikatu</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Pt</w:t>
      </w:r>
      <w:r w:rsidR="0169056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D7EFF1A" w:rsidRPr="00D44D33">
        <w:rPr>
          <w:rFonts w:ascii="Times New Roman" w:eastAsiaTheme="minorEastAsia" w:hAnsi="Times New Roman" w:cs="Times New Roman"/>
          <w:sz w:val="24"/>
          <w:szCs w:val="24"/>
        </w:rPr>
        <w:t>Rozszerza</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6FA7D6C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370A44A6"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pojęci</w:t>
      </w:r>
      <w:r w:rsidR="45D49A26"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przekazywane</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BC23EDC" w:rsidRPr="00D44D33">
        <w:rPr>
          <w:rFonts w:ascii="Times New Roman" w:eastAsiaTheme="minorEastAsia" w:hAnsi="Times New Roman" w:cs="Times New Roman"/>
          <w:sz w:val="24"/>
          <w:szCs w:val="24"/>
        </w:rPr>
        <w:t>elektronicznej</w:t>
      </w:r>
      <w:r w:rsidR="24709D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4709D93"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684D6075" w:rsidRPr="00D44D33">
        <w:rPr>
          <w:rFonts w:ascii="Times New Roman" w:eastAsiaTheme="minorEastAsia" w:hAnsi="Times New Roman" w:cs="Times New Roman"/>
          <w:caps/>
          <w:sz w:val="24"/>
          <w:szCs w:val="24"/>
        </w:rPr>
        <w:t>2002/58/WE</w:t>
      </w:r>
      <w:r w:rsidR="684D6075" w:rsidRPr="00D44D33">
        <w:rPr>
          <w:rFonts w:ascii="Times New Roman" w:eastAsiaTheme="minorEastAsia" w:hAnsi="Times New Roman" w:cs="Times New Roman"/>
          <w:sz w:val="24"/>
          <w:szCs w:val="24"/>
        </w:rPr>
        <w:t>.</w:t>
      </w:r>
    </w:p>
    <w:p w14:paraId="6171839D" w14:textId="61708E7A" w:rsidR="00922D94" w:rsidRPr="00D44D33" w:rsidRDefault="16B617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konsumenta</w:t>
      </w:r>
      <w:r w:rsidR="00970B2E" w:rsidRPr="00D44D33">
        <w:rPr>
          <w:rFonts w:ascii="Times New Roman" w:eastAsiaTheme="minorEastAsia" w:hAnsi="Times New Roman" w:cs="Times New Roman"/>
          <w:b/>
          <w:bCs/>
          <w:sz w:val="24"/>
          <w:szCs w:val="24"/>
        </w:rPr>
        <w:t xml:space="preserve"> </w:t>
      </w:r>
      <w:r w:rsidR="00970B2E" w:rsidRPr="00D44D33">
        <w:rPr>
          <w:rFonts w:ascii="Times New Roman" w:eastAsiaTheme="minorEastAsia" w:hAnsi="Times New Roman" w:cs="Times New Roman"/>
          <w:sz w:val="24"/>
          <w:szCs w:val="24"/>
        </w:rPr>
        <w:t xml:space="preserve">– </w:t>
      </w:r>
      <w:r w:rsidR="50672DF1"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0672DF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0672DF1"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50672DF1"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24566D64"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osob</w:t>
      </w:r>
      <w:r w:rsidR="1B1FFD84"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fizyczn</w:t>
      </w:r>
      <w:r w:rsidR="12F15BC5"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wnioskując</w:t>
      </w:r>
      <w:r w:rsidR="74EA4EC3"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korzystając</w:t>
      </w:r>
      <w:r w:rsidR="737DF8AF"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lastRenderedPageBreak/>
        <w:t>takich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niezwiązanych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działalnością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gospodarczą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wykonywaniem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zawodu.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odwołują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największej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mierze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VII</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 xml:space="preserve">projektu Pke </w:t>
      </w:r>
      <w:r w:rsidR="2A9CAFEC" w:rsidRPr="00D44D33">
        <w:rPr>
          <w:rFonts w:ascii="Times New Roman" w:eastAsiaTheme="minorEastAsia" w:hAnsi="Times New Roman" w:cs="Times New Roman"/>
          <w:sz w:val="24"/>
          <w:szCs w:val="24"/>
        </w:rPr>
        <w:t>regulujące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konsumen</w:t>
      </w:r>
      <w:r w:rsidR="0377681B"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relacji</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p>
    <w:p w14:paraId="5AD3177E" w14:textId="65A6E89A" w:rsidR="00C42F1C"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lokalnej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pętli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abonenckiej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lokalnej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podpętli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abonenckiej</w:t>
      </w:r>
      <w:r w:rsidR="00970B2E" w:rsidRPr="00D44D33">
        <w:rPr>
          <w:rFonts w:ascii="Times New Roman" w:eastAsiaTheme="minorEastAsia" w:hAnsi="Times New Roman" w:cs="Times New Roman"/>
          <w:sz w:val="24"/>
          <w:szCs w:val="24"/>
        </w:rPr>
        <w:t xml:space="preserve"> – </w:t>
      </w:r>
      <w:r w:rsidRPr="00D44D33">
        <w:rPr>
          <w:rFonts w:ascii="Times New Roman" w:eastAsiaTheme="minorEastAsia" w:hAnsi="Times New Roman" w:cs="Times New Roman"/>
          <w:sz w:val="24"/>
          <w:szCs w:val="24"/>
        </w:rPr>
        <w:t>lokalna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pętla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obwodem,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zainstalowane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pętli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podpętli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w:t>
      </w:r>
      <w:r w:rsidR="005F4788"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pętl</w:t>
      </w:r>
      <w:r w:rsidR="005F478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w:t>
      </w:r>
      <w:r w:rsidR="005F4788" w:rsidRPr="00D44D33">
        <w:rPr>
          <w:rFonts w:ascii="Times New Roman" w:eastAsiaTheme="minorEastAsia" w:hAnsi="Times New Roman" w:cs="Times New Roman"/>
          <w:sz w:val="24"/>
          <w:szCs w:val="24"/>
        </w:rPr>
        <w:t>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koncentratorem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pętli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różnica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obwód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Podpętla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przełącznicy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koncentratorze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t>
      </w:r>
      <w:r w:rsidR="00D72623" w:rsidRPr="00D44D33">
        <w:rPr>
          <w:rFonts w:ascii="Times New Roman" w:eastAsiaTheme="minorEastAsia" w:hAnsi="Times New Roman" w:cs="Times New Roman"/>
          <w:sz w:val="24"/>
          <w:szCs w:val="24"/>
        </w:rPr>
        <w:t>acjonarnej</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D72623" w:rsidRPr="00D44D33">
        <w:rPr>
          <w:rFonts w:ascii="Times New Roman" w:eastAsiaTheme="minorEastAsia" w:hAnsi="Times New Roman" w:cs="Times New Roman"/>
          <w:sz w:val="24"/>
          <w:szCs w:val="24"/>
        </w:rPr>
        <w:t>telefonicznej.</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Wskazane d</w:t>
      </w:r>
      <w:r w:rsidR="3E23A15C" w:rsidRPr="00D44D33">
        <w:rPr>
          <w:rFonts w:ascii="Times New Roman" w:eastAsiaTheme="minorEastAsia" w:hAnsi="Times New Roman" w:cs="Times New Roman"/>
          <w:sz w:val="24"/>
          <w:szCs w:val="24"/>
        </w:rPr>
        <w:t>efinicje</w:t>
      </w:r>
      <w:r w:rsidR="00970B2E" w:rsidRPr="00D44D33">
        <w:rPr>
          <w:rFonts w:ascii="Times New Roman" w:eastAsiaTheme="minorEastAsia" w:hAnsi="Times New Roman" w:cs="Times New Roman"/>
          <w:sz w:val="24"/>
          <w:szCs w:val="24"/>
        </w:rPr>
        <w:t xml:space="preserve"> </w:t>
      </w:r>
      <w:r w:rsidR="3E23A15C" w:rsidRPr="00D44D33">
        <w:rPr>
          <w:rFonts w:ascii="Times New Roman" w:eastAsiaTheme="minorEastAsia" w:hAnsi="Times New Roman" w:cs="Times New Roman"/>
          <w:sz w:val="24"/>
          <w:szCs w:val="24"/>
        </w:rPr>
        <w:t>występowały</w:t>
      </w:r>
      <w:r w:rsidR="00970B2E" w:rsidRPr="00D44D33">
        <w:rPr>
          <w:rFonts w:ascii="Times New Roman" w:eastAsiaTheme="minorEastAsia" w:hAnsi="Times New Roman" w:cs="Times New Roman"/>
          <w:sz w:val="24"/>
          <w:szCs w:val="24"/>
        </w:rPr>
        <w:t xml:space="preserve"> </w:t>
      </w:r>
      <w:r w:rsidR="3E23A15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E23A15C" w:rsidRPr="00D44D33">
        <w:rPr>
          <w:rFonts w:ascii="Times New Roman" w:eastAsiaTheme="minorEastAsia" w:hAnsi="Times New Roman" w:cs="Times New Roman"/>
          <w:sz w:val="24"/>
          <w:szCs w:val="24"/>
        </w:rPr>
        <w:t>Pt.</w:t>
      </w:r>
    </w:p>
    <w:p w14:paraId="6F392778" w14:textId="177E63AB" w:rsidR="00C42F1C" w:rsidRPr="00D44D33" w:rsidRDefault="2B7028C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lokalnej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51F7D" w:rsidRPr="00D44D33">
        <w:rPr>
          <w:rFonts w:ascii="Times New Roman" w:eastAsiaTheme="minorEastAsia" w:hAnsi="Times New Roman" w:cs="Times New Roman"/>
          <w:sz w:val="24"/>
          <w:szCs w:val="24"/>
        </w:rPr>
        <w:t>1 ust. 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CE643BB" w:rsidRPr="00D44D33">
        <w:rPr>
          <w:rFonts w:ascii="Times New Roman" w:eastAsiaTheme="minorEastAsia" w:hAnsi="Times New Roman" w:cs="Times New Roman"/>
          <w:sz w:val="24"/>
          <w:szCs w:val="24"/>
        </w:rPr>
        <w:t>3</w:t>
      </w:r>
      <w:r w:rsidR="00401436" w:rsidRPr="00D44D33">
        <w:rPr>
          <w:rFonts w:ascii="Times New Roman" w:eastAsiaTheme="minorEastAsia" w:hAnsi="Times New Roman" w:cs="Times New Roman"/>
          <w:sz w:val="24"/>
          <w:szCs w:val="24"/>
        </w:rPr>
        <w:t>48</w:t>
      </w:r>
      <w:r w:rsidR="00951F7D" w:rsidRPr="00D44D33">
        <w:rPr>
          <w:rFonts w:ascii="Times New Roman" w:eastAsiaTheme="minorEastAsia" w:hAnsi="Times New Roman" w:cs="Times New Roman"/>
          <w:sz w:val="24"/>
          <w:szCs w:val="24"/>
        </w:rPr>
        <w:t>,</w:t>
      </w:r>
      <w:r w:rsidR="7A9D26CC" w:rsidRPr="00D44D33">
        <w:rPr>
          <w:rFonts w:ascii="Times New Roman" w:eastAsiaTheme="minorEastAsia" w:hAnsi="Times New Roman" w:cs="Times New Roman"/>
          <w:sz w:val="24"/>
          <w:szCs w:val="24"/>
        </w:rPr>
        <w:t>3</w:t>
      </w:r>
      <w:r w:rsidR="00401436"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90DA62F" w:rsidRPr="00D44D33">
        <w:rPr>
          <w:rFonts w:ascii="Times New Roman" w:eastAsiaTheme="minorEastAsia" w:hAnsi="Times New Roman" w:cs="Times New Roman"/>
          <w:sz w:val="24"/>
          <w:szCs w:val="24"/>
        </w:rPr>
        <w:t>3</w:t>
      </w:r>
      <w:r w:rsidR="00401436"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43759A59"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propozycją,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bliskim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stwarzający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w:t>
      </w:r>
      <w:r w:rsidRPr="00D44D33">
        <w:rPr>
          <w:rFonts w:ascii="Times New Roman" w:eastAsiaTheme="minorEastAsia" w:hAnsi="Times New Roman" w:cs="Times New Roman"/>
          <w:sz w:val="24"/>
          <w:szCs w:val="24"/>
        </w:rPr>
        <w:lastRenderedPageBreak/>
        <w:t>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pobliżu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zazwyczaj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prywatnych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bookmarkStart w:id="0" w:name="_Hlk33886786"/>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bookmarkEnd w:id="0"/>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wewnątrz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zastępować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mobilnych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zmniejszać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obciążenie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7EAC199B" w14:textId="0C7113E2" w:rsidR="00061A56" w:rsidRPr="00D44D33" w:rsidRDefault="748D5FD8"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multipleksu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2A9CAFEC"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rozumiane</w:t>
      </w:r>
      <w:r w:rsidR="00970B2E" w:rsidRPr="00D44D33">
        <w:rPr>
          <w:rFonts w:ascii="Times New Roman" w:eastAsiaTheme="minorEastAsia" w:hAnsi="Times New Roman" w:cs="Times New Roman"/>
          <w:sz w:val="24"/>
          <w:szCs w:val="24"/>
        </w:rPr>
        <w:t xml:space="preserve"> </w:t>
      </w:r>
      <w:r w:rsidR="712CCAE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zespolony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strumień</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składający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strumieni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utworzonych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dodatkowych,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obejmujących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systemem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dodatkowymi.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posługuje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dziale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V</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dotyczącym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multipleksu.</w:t>
      </w:r>
    </w:p>
    <w:p w14:paraId="2B5F489E" w14:textId="425D88D4" w:rsidR="00061A56" w:rsidRPr="00D44D33" w:rsidRDefault="5FC63E67"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nadawcy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4C1D2F1"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64C1D2F1" w:rsidRPr="00D44D33">
        <w:rPr>
          <w:rFonts w:ascii="Times New Roman" w:eastAsiaTheme="minorEastAsia" w:hAnsi="Times New Roman" w:cs="Times New Roman"/>
          <w:sz w:val="24"/>
          <w:szCs w:val="24"/>
        </w:rPr>
        <w:t>pojęciem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w:t>
      </w:r>
      <w:r w:rsidR="533A8F2D"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AE58CE5"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3AE58CE5"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67CD451F"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67CD451F"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w:t>
      </w:r>
      <w:r w:rsidR="25350413"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22071E7D" w:rsidRPr="00D44D33">
        <w:rPr>
          <w:rFonts w:ascii="Times New Roman" w:eastAsiaTheme="minorEastAsia" w:hAnsi="Times New Roman" w:cs="Times New Roman"/>
          <w:sz w:val="24"/>
          <w:szCs w:val="24"/>
        </w:rPr>
        <w:t>zdefiniowanego</w:t>
      </w:r>
      <w:r w:rsidR="00970B2E" w:rsidRPr="00D44D33">
        <w:rPr>
          <w:rFonts w:ascii="Times New Roman" w:eastAsiaTheme="minorEastAsia" w:hAnsi="Times New Roman" w:cs="Times New Roman"/>
          <w:sz w:val="24"/>
          <w:szCs w:val="24"/>
        </w:rPr>
        <w:t xml:space="preserve"> </w:t>
      </w:r>
      <w:r w:rsidR="22071E7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054380" w:rsidRPr="00D44D33">
        <w:rPr>
          <w:rFonts w:ascii="Times New Roman" w:eastAsiaTheme="minorEastAsia" w:hAnsi="Times New Roman" w:cs="Times New Roman"/>
          <w:sz w:val="24"/>
          <w:szCs w:val="24"/>
        </w:rPr>
        <w:t xml:space="preserve"> (Dz. U. </w:t>
      </w:r>
      <w:r w:rsidR="00054380" w:rsidRPr="00D44D33">
        <w:rPr>
          <w:rFonts w:ascii="Times New Roman" w:hAnsi="Times New Roman" w:cs="Times New Roman"/>
          <w:sz w:val="24"/>
          <w:szCs w:val="24"/>
        </w:rPr>
        <w:t>z 202</w:t>
      </w:r>
      <w:r w:rsidR="00237422" w:rsidRPr="00D44D33">
        <w:rPr>
          <w:rFonts w:ascii="Times New Roman" w:hAnsi="Times New Roman" w:cs="Times New Roman"/>
          <w:sz w:val="24"/>
          <w:szCs w:val="24"/>
        </w:rPr>
        <w:t>2</w:t>
      </w:r>
      <w:r w:rsidR="00054380" w:rsidRPr="00D44D33">
        <w:rPr>
          <w:rFonts w:ascii="Times New Roman" w:hAnsi="Times New Roman" w:cs="Times New Roman"/>
          <w:sz w:val="24"/>
          <w:szCs w:val="24"/>
        </w:rPr>
        <w:t xml:space="preserve"> r. poz. </w:t>
      </w:r>
      <w:r w:rsidR="00237422" w:rsidRPr="00D44D33">
        <w:rPr>
          <w:rFonts w:ascii="Times New Roman" w:hAnsi="Times New Roman" w:cs="Times New Roman"/>
          <w:sz w:val="24"/>
          <w:szCs w:val="24"/>
        </w:rPr>
        <w:t>1722</w:t>
      </w:r>
      <w:r w:rsidR="00862484" w:rsidRPr="00D44D33">
        <w:rPr>
          <w:rFonts w:ascii="Times New Roman" w:eastAsiaTheme="minorEastAsia" w:hAnsi="Times New Roman" w:cs="Times New Roman"/>
          <w:sz w:val="24"/>
          <w:szCs w:val="24"/>
        </w:rPr>
        <w:t xml:space="preserve">). </w:t>
      </w:r>
    </w:p>
    <w:p w14:paraId="0171B23D" w14:textId="0C23D070" w:rsidR="66E39F98" w:rsidRPr="00D44D33" w:rsidRDefault="66E39F9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nadużycia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telekomunikacyjnego</w:t>
      </w:r>
      <w:r w:rsidR="00970B2E" w:rsidRPr="00D44D33">
        <w:rPr>
          <w:rFonts w:ascii="Times New Roman" w:eastAsiaTheme="minorEastAsia" w:hAnsi="Times New Roman" w:cs="Times New Roman"/>
          <w:b/>
          <w:bCs/>
          <w:sz w:val="24"/>
          <w:szCs w:val="24"/>
        </w:rPr>
        <w:t xml:space="preserve"> </w:t>
      </w:r>
      <w:r w:rsidR="000543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w:t>
      </w:r>
      <w:r w:rsidR="512F0C05"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rozumiane</w:t>
      </w:r>
      <w:r w:rsidR="00970B2E" w:rsidRPr="00D44D33">
        <w:rPr>
          <w:rFonts w:ascii="Times New Roman" w:eastAsiaTheme="minorEastAsia" w:hAnsi="Times New Roman" w:cs="Times New Roman"/>
          <w:sz w:val="24"/>
          <w:szCs w:val="24"/>
        </w:rPr>
        <w:t xml:space="preserve"> </w:t>
      </w:r>
      <w:r w:rsidR="014A3A1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niezgodnie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przeznaczeniem</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skutkiem</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wyrządzenie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szkody</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telekomunikacyjnemu</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osiągnięcie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nienależnych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korzyści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Nadużycia</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spory</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rozliczane</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634729" w:rsidRPr="00D44D33">
        <w:rPr>
          <w:rFonts w:ascii="Times New Roman" w:eastAsiaTheme="minorEastAsia" w:hAnsi="Times New Roman" w:cs="Times New Roman"/>
          <w:sz w:val="24"/>
          <w:szCs w:val="24"/>
        </w:rPr>
        <w:t>cywilnoprawnych.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w:t>
      </w:r>
      <w:r w:rsidR="6F1FB18C" w:rsidRPr="00D44D33">
        <w:rPr>
          <w:rFonts w:ascii="Times New Roman" w:eastAsiaTheme="minorEastAsia" w:hAnsi="Times New Roman" w:cs="Times New Roman"/>
          <w:sz w:val="24"/>
          <w:szCs w:val="24"/>
        </w:rPr>
        <w:t>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01CF83AA" w14:textId="07004C01" w:rsidR="00061A56" w:rsidRPr="00D44D33" w:rsidRDefault="748D5FD8"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alarmowego</w:t>
      </w:r>
      <w:r w:rsidR="00970B2E" w:rsidRPr="00D44D33">
        <w:rPr>
          <w:rFonts w:ascii="Times New Roman" w:eastAsiaTheme="minorEastAsia" w:hAnsi="Times New Roman" w:cs="Times New Roman"/>
          <w:b/>
          <w:bCs/>
          <w:sz w:val="24"/>
          <w:szCs w:val="24"/>
        </w:rPr>
        <w:t xml:space="preserve"> </w:t>
      </w:r>
      <w:r w:rsidR="000543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alarmow</w:t>
      </w:r>
      <w:r w:rsidR="5E19FFB8"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rozumian</w:t>
      </w:r>
      <w:r w:rsidR="3BB3C2B8"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78E0F8E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ustalony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 xml:space="preserve">Pke </w:t>
      </w:r>
      <w:r w:rsidR="2A9CAFE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planie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udostępniany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służbom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powołanym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niesienia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występ</w:t>
      </w:r>
      <w:r w:rsidR="1CD5DA02" w:rsidRPr="00D44D33">
        <w:rPr>
          <w:rFonts w:ascii="Times New Roman" w:eastAsiaTheme="minorEastAsia" w:hAnsi="Times New Roman" w:cs="Times New Roman"/>
          <w:sz w:val="24"/>
          <w:szCs w:val="24"/>
        </w:rPr>
        <w:t>uje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określających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status</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112</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wywołań</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alarmowych.</w:t>
      </w:r>
    </w:p>
    <w:p w14:paraId="10FAB866" w14:textId="298B6F7C" w:rsidR="00565915" w:rsidRPr="00D44D33" w:rsidRDefault="748D5FD8" w:rsidP="00D44D33">
      <w:pPr>
        <w:tabs>
          <w:tab w:val="left" w:pos="2820"/>
          <w:tab w:val="left" w:pos="6237"/>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w:t>
      </w:r>
      <w:r w:rsidR="005F4788" w:rsidRPr="00D44D33">
        <w:rPr>
          <w:rFonts w:ascii="Times New Roman" w:eastAsiaTheme="minorEastAsia" w:hAnsi="Times New Roman" w:cs="Times New Roman"/>
          <w:b/>
          <w:bCs/>
          <w:sz w:val="24"/>
          <w:szCs w:val="24"/>
        </w:rPr>
        <w:t>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geograficznego</w:t>
      </w:r>
      <w:r w:rsidR="00970B2E" w:rsidRPr="00D44D33">
        <w:rPr>
          <w:rFonts w:ascii="Times New Roman" w:eastAsiaTheme="minorEastAsia" w:hAnsi="Times New Roman" w:cs="Times New Roman"/>
          <w:b/>
          <w:bCs/>
          <w:sz w:val="24"/>
          <w:szCs w:val="24"/>
        </w:rPr>
        <w:t xml:space="preserve"> </w:t>
      </w:r>
      <w:r w:rsidR="2A9CAFEC"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2A9CAFEC" w:rsidRPr="00D44D33">
        <w:rPr>
          <w:rFonts w:ascii="Times New Roman" w:eastAsiaTheme="minorEastAsia" w:hAnsi="Times New Roman" w:cs="Times New Roman"/>
          <w:b/>
          <w:bCs/>
          <w:sz w:val="24"/>
          <w:szCs w:val="24"/>
        </w:rPr>
        <w:t>niegeograficznego</w:t>
      </w:r>
      <w:r w:rsidR="00970B2E" w:rsidRPr="00D44D33">
        <w:rPr>
          <w:rFonts w:ascii="Times New Roman" w:eastAsiaTheme="minorEastAsia" w:hAnsi="Times New Roman" w:cs="Times New Roman"/>
          <w:b/>
          <w:bCs/>
          <w:sz w:val="24"/>
          <w:szCs w:val="24"/>
        </w:rPr>
        <w:t xml:space="preserve"> </w:t>
      </w:r>
      <w:r w:rsidR="595C3479"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595C3479"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595C3479"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w:t>
      </w:r>
      <w:r w:rsidR="2FBB7E90" w:rsidRPr="00D44D33">
        <w:rPr>
          <w:rFonts w:ascii="Times New Roman" w:eastAsiaTheme="minorEastAsia" w:hAnsi="Times New Roman" w:cs="Times New Roman"/>
          <w:sz w:val="24"/>
          <w:szCs w:val="24"/>
        </w:rPr>
        <w:t>uje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geograficznego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niegeograficznego.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geograficzny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scharakteryzowany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zawierający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wskaźnik</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geograficznego,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wykorzystywany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kierowania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stałej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niegeograficzny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zdefiniowano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nieposiadający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wskaźnika,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doprecyzowaniem,</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ruchomej,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numery</w:t>
      </w:r>
      <w:r w:rsidR="4B5B0FE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bezpłatne</w:t>
      </w:r>
      <w:r w:rsidR="005F47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wyko</w:t>
      </w:r>
      <w:r w:rsidR="02D48BBF" w:rsidRPr="00D44D33">
        <w:rPr>
          <w:rFonts w:ascii="Times New Roman" w:eastAsiaTheme="minorEastAsia" w:hAnsi="Times New Roman" w:cs="Times New Roman"/>
          <w:sz w:val="24"/>
          <w:szCs w:val="24"/>
        </w:rPr>
        <w:lastRenderedPageBreak/>
        <w:t>rzystywane</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premium</w:t>
      </w:r>
      <w:r w:rsidR="00970B2E" w:rsidRPr="00D44D33">
        <w:rPr>
          <w:rFonts w:ascii="Times New Roman" w:eastAsiaTheme="minorEastAsia" w:hAnsi="Times New Roman" w:cs="Times New Roman"/>
          <w:sz w:val="24"/>
          <w:szCs w:val="24"/>
        </w:rPr>
        <w:t xml:space="preserve"> </w:t>
      </w:r>
      <w:r w:rsidR="02D48BBF" w:rsidRPr="00D44D33">
        <w:rPr>
          <w:rFonts w:ascii="Times New Roman" w:eastAsiaTheme="minorEastAsia" w:hAnsi="Times New Roman" w:cs="Times New Roman"/>
          <w:sz w:val="24"/>
          <w:szCs w:val="24"/>
        </w:rPr>
        <w:t>rate)</w:t>
      </w:r>
      <w:r w:rsidR="2A9CAFE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Odpowiedniki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33</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34</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odwołuje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rozróżnienia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geograficzne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niegeograficzne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przenoszenie</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samej</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A9CAFEC" w:rsidRPr="00D44D33">
        <w:rPr>
          <w:rFonts w:ascii="Times New Roman" w:eastAsiaTheme="minorEastAsia" w:hAnsi="Times New Roman" w:cs="Times New Roman"/>
          <w:sz w:val="24"/>
          <w:szCs w:val="24"/>
        </w:rPr>
        <w:t>d</w:t>
      </w:r>
      <w:r w:rsidR="0377681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377681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p>
    <w:p w14:paraId="7D80E366" w14:textId="02FFE75B" w:rsidR="00565915" w:rsidRPr="00D44D33" w:rsidRDefault="2A9CAFEC"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odbiornika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radiofonii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cyfrowej,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odbiornika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sygnału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telewizyjnego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oraz</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samochodowego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odbiornika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radiofonicznego</w:t>
      </w:r>
      <w:r w:rsidR="00970B2E" w:rsidRPr="00D44D33">
        <w:rPr>
          <w:rFonts w:ascii="Times New Roman" w:eastAsiaTheme="minorEastAsia" w:hAnsi="Times New Roman" w:cs="Times New Roman"/>
          <w:sz w:val="24"/>
          <w:szCs w:val="24"/>
        </w:rPr>
        <w:t xml:space="preserve"> </w:t>
      </w:r>
      <w:r w:rsidR="271119B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71119B3"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271119B3"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51EE6AE8"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51EE6AE8"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1EE6AE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110DEA9" w:rsidRPr="00D44D33">
        <w:rPr>
          <w:rFonts w:ascii="Times New Roman" w:eastAsiaTheme="minorEastAsia" w:hAnsi="Times New Roman" w:cs="Times New Roman"/>
          <w:sz w:val="24"/>
          <w:szCs w:val="24"/>
        </w:rPr>
        <w:t>trz</w:t>
      </w:r>
      <w:r w:rsidR="08182461" w:rsidRPr="00D44D33">
        <w:rPr>
          <w:rFonts w:ascii="Times New Roman" w:eastAsiaTheme="minorEastAsia" w:hAnsi="Times New Roman" w:cs="Times New Roman"/>
          <w:sz w:val="24"/>
          <w:szCs w:val="24"/>
        </w:rPr>
        <w:t>ech</w:t>
      </w:r>
      <w:r w:rsidR="00970B2E" w:rsidRPr="00D44D33">
        <w:rPr>
          <w:rFonts w:ascii="Times New Roman" w:eastAsiaTheme="minorEastAsia" w:hAnsi="Times New Roman" w:cs="Times New Roman"/>
          <w:sz w:val="24"/>
          <w:szCs w:val="24"/>
        </w:rPr>
        <w:t xml:space="preserve"> </w:t>
      </w:r>
      <w:r w:rsidR="69A9D0FC"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69A9D0FC"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w:t>
      </w:r>
      <w:r w:rsidR="145BF37B"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cyfrowych</w:t>
      </w:r>
      <w:r w:rsidR="3B60456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wbudowanych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pojazdów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uzupełnienie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odbiornika</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samochodowego</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odbiornika</w:t>
      </w:r>
      <w:r w:rsidR="00970B2E" w:rsidRPr="00D44D33">
        <w:rPr>
          <w:rFonts w:ascii="Times New Roman" w:eastAsiaTheme="minorEastAsia" w:hAnsi="Times New Roman" w:cs="Times New Roman"/>
          <w:sz w:val="24"/>
          <w:szCs w:val="24"/>
        </w:rPr>
        <w:t xml:space="preserve"> </w:t>
      </w:r>
      <w:r w:rsidR="7B0EE18E" w:rsidRPr="00D44D33">
        <w:rPr>
          <w:rFonts w:ascii="Times New Roman" w:eastAsiaTheme="minorEastAsia" w:hAnsi="Times New Roman" w:cs="Times New Roman"/>
          <w:sz w:val="24"/>
          <w:szCs w:val="24"/>
        </w:rPr>
        <w:t>radiofonicznego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rozumieć</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służące</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odbioru</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cyfrowych</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transmisji</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radiofonicznych,</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zawierające</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najmniej</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tuner</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obejmujący</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głowicę</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wysokiej</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demodulator,</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demultiplekser</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dekodery</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odbieranych</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antenę</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złącze</w:t>
      </w:r>
      <w:r w:rsidR="00970B2E" w:rsidRPr="00D44D33">
        <w:rPr>
          <w:rFonts w:ascii="Times New Roman" w:eastAsia="Times New Roman" w:hAnsi="Times New Roman" w:cs="Times New Roman"/>
          <w:sz w:val="24"/>
          <w:szCs w:val="24"/>
        </w:rPr>
        <w:t xml:space="preserve"> </w:t>
      </w:r>
      <w:r w:rsidR="5A24CBE3" w:rsidRPr="00D44D33">
        <w:rPr>
          <w:rFonts w:ascii="Times New Roman" w:eastAsia="Times New Roman" w:hAnsi="Times New Roman" w:cs="Times New Roman"/>
          <w:sz w:val="24"/>
          <w:szCs w:val="24"/>
        </w:rPr>
        <w:t>antenowe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tuner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głowicę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demodulator,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demultiplekser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dekodery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wyświetlacz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niezawierające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wyświetlacza.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Samochodowym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wbudowany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pojazdów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p>
    <w:p w14:paraId="54A0B667" w14:textId="7D9FFEC4" w:rsidR="00D72623" w:rsidRPr="00D44D33" w:rsidRDefault="2A9CAFEC"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1C6D590D" w:rsidRPr="00D44D33">
        <w:rPr>
          <w:rFonts w:ascii="Times New Roman" w:eastAsiaTheme="minorEastAsia" w:hAnsi="Times New Roman" w:cs="Times New Roman"/>
          <w:b/>
          <w:bCs/>
          <w:sz w:val="24"/>
          <w:szCs w:val="24"/>
        </w:rPr>
        <w:t>operator</w:t>
      </w:r>
      <w:r w:rsidRPr="00D44D33">
        <w:rPr>
          <w:rFonts w:ascii="Times New Roman" w:eastAsiaTheme="minorEastAsia" w:hAnsi="Times New Roman" w:cs="Times New Roman"/>
          <w:b/>
          <w:bCs/>
          <w:sz w:val="24"/>
          <w:szCs w:val="24"/>
        </w:rPr>
        <w:t>a</w:t>
      </w:r>
      <w:r w:rsidR="00970B2E" w:rsidRPr="00D44D33">
        <w:rPr>
          <w:rFonts w:ascii="Times New Roman" w:eastAsiaTheme="minorEastAsia" w:hAnsi="Times New Roman" w:cs="Times New Roman"/>
          <w:b/>
          <w:bCs/>
          <w:sz w:val="24"/>
          <w:szCs w:val="24"/>
        </w:rPr>
        <w:t xml:space="preserve"> </w:t>
      </w:r>
      <w:r w:rsidR="1C6D590D" w:rsidRPr="00D44D33">
        <w:rPr>
          <w:rFonts w:ascii="Times New Roman" w:eastAsiaTheme="minorEastAsia" w:hAnsi="Times New Roman" w:cs="Times New Roman"/>
          <w:b/>
          <w:bCs/>
          <w:sz w:val="24"/>
          <w:szCs w:val="24"/>
        </w:rPr>
        <w:t>multipleksu</w:t>
      </w:r>
      <w:r w:rsidR="00970B2E" w:rsidRPr="00D44D33">
        <w:rPr>
          <w:rFonts w:ascii="Times New Roman" w:eastAsiaTheme="minorEastAsia" w:hAnsi="Times New Roman" w:cs="Times New Roman"/>
          <w:sz w:val="24"/>
          <w:szCs w:val="24"/>
        </w:rPr>
        <w:t xml:space="preserve"> </w:t>
      </w:r>
      <w:r w:rsidR="000543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27749CE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27749CE8"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nadawczej.</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6AB776E4" w:rsidRPr="00D44D33">
        <w:rPr>
          <w:rFonts w:ascii="Times New Roman" w:eastAsiaTheme="minorEastAsia" w:hAnsi="Times New Roman" w:cs="Times New Roman"/>
          <w:sz w:val="24"/>
          <w:szCs w:val="24"/>
        </w:rPr>
        <w:t>Pt.</w:t>
      </w:r>
    </w:p>
    <w:p w14:paraId="348276B1" w14:textId="5B014913" w:rsidR="00244B5C" w:rsidRPr="00D44D33" w:rsidRDefault="00D72623"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b/>
          <w:bCs/>
          <w:sz w:val="24"/>
          <w:szCs w:val="24"/>
        </w:rPr>
        <w:t>operatora</w:t>
      </w:r>
      <w:r w:rsidR="00970B2E" w:rsidRPr="00D44D33">
        <w:rPr>
          <w:rFonts w:ascii="Times New Roman" w:eastAsiaTheme="minorEastAsia" w:hAnsi="Times New Roman" w:cs="Times New Roman"/>
          <w:b/>
          <w:bCs/>
          <w:sz w:val="24"/>
          <w:szCs w:val="24"/>
        </w:rPr>
        <w:t xml:space="preserve"> </w:t>
      </w:r>
      <w:r w:rsidR="00565915"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00565915" w:rsidRPr="00D44D33">
        <w:rPr>
          <w:rFonts w:ascii="Times New Roman" w:eastAsiaTheme="minorEastAsia" w:hAnsi="Times New Roman" w:cs="Times New Roman"/>
          <w:b/>
          <w:bCs/>
          <w:sz w:val="24"/>
          <w:szCs w:val="24"/>
        </w:rPr>
        <w:t>nadawczej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56591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świadczący</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radiodyfuzyjnych</w:t>
      </w:r>
      <w:r w:rsidR="00970B2E" w:rsidRPr="00D44D33">
        <w:rPr>
          <w:rFonts w:ascii="Times New Roman" w:eastAsiaTheme="minorEastAsia" w:hAnsi="Times New Roman" w:cs="Times New Roman"/>
          <w:sz w:val="24"/>
          <w:szCs w:val="24"/>
        </w:rPr>
        <w:t xml:space="preserve"> </w:t>
      </w:r>
      <w:r w:rsidR="00565915" w:rsidRPr="00D44D33">
        <w:rPr>
          <w:rFonts w:ascii="Times New Roman" w:eastAsiaTheme="minorEastAsia" w:hAnsi="Times New Roman" w:cs="Times New Roman"/>
          <w:sz w:val="24"/>
          <w:szCs w:val="24"/>
        </w:rPr>
        <w:t>dro</w:t>
      </w:r>
      <w:r w:rsidRPr="00D44D33">
        <w:rPr>
          <w:rFonts w:ascii="Times New Roman" w:eastAsiaTheme="minorEastAsia" w:hAnsi="Times New Roman" w:cs="Times New Roman"/>
          <w:sz w:val="24"/>
          <w:szCs w:val="24"/>
        </w:rPr>
        <w:t>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301BC17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301BC17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01BC170"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301BC17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01BC170"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301BC170" w:rsidRPr="00D44D33">
        <w:rPr>
          <w:rFonts w:ascii="Times New Roman" w:eastAsiaTheme="minorEastAsia" w:hAnsi="Times New Roman" w:cs="Times New Roman"/>
          <w:sz w:val="24"/>
          <w:szCs w:val="24"/>
        </w:rPr>
        <w:t>Pt.</w:t>
      </w:r>
    </w:p>
    <w:p w14:paraId="0C104603" w14:textId="4228B1E7" w:rsidR="00DE1418"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logiczne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przesłanie</w:t>
      </w:r>
      <w:r w:rsidR="00970B2E" w:rsidRPr="00D44D33">
        <w:rPr>
          <w:rFonts w:ascii="Times New Roman" w:eastAsiaTheme="minorEastAsia" w:hAnsi="Times New Roman" w:cs="Times New Roman"/>
          <w:sz w:val="24"/>
          <w:szCs w:val="24"/>
        </w:rPr>
        <w:t xml:space="preserve"> </w:t>
      </w:r>
      <w:r w:rsidR="0090629A"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0090629A" w:rsidRPr="00D44D33">
        <w:rPr>
          <w:rFonts w:ascii="Times New Roman" w:eastAsiaTheme="minorEastAsia" w:hAnsi="Times New Roman" w:cs="Times New Roman"/>
          <w:sz w:val="24"/>
          <w:szCs w:val="24"/>
        </w:rPr>
        <w:t>elektronicznych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7C5DB699"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7C5DB69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C5DB699"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7C5DB69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C5DB699"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7C5DB699" w:rsidRPr="00D44D33">
        <w:rPr>
          <w:rFonts w:ascii="Times New Roman" w:eastAsiaTheme="minorEastAsia" w:hAnsi="Times New Roman" w:cs="Times New Roman"/>
          <w:sz w:val="24"/>
          <w:szCs w:val="24"/>
        </w:rPr>
        <w:t>Pt.</w:t>
      </w:r>
    </w:p>
    <w:p w14:paraId="675A8F2B" w14:textId="7CD91A5E" w:rsidR="00B37080" w:rsidRPr="00D44D33" w:rsidRDefault="1C6D590D"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połączenia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głosowego</w:t>
      </w:r>
      <w:r w:rsidR="00970B2E" w:rsidRPr="00D44D33">
        <w:rPr>
          <w:rFonts w:ascii="Times New Roman" w:eastAsiaTheme="minorEastAsia" w:hAnsi="Times New Roman" w:cs="Times New Roman"/>
          <w:b/>
          <w:bCs/>
          <w:sz w:val="24"/>
          <w:szCs w:val="24"/>
        </w:rPr>
        <w:t xml:space="preserve"> </w:t>
      </w:r>
      <w:r w:rsidR="00054380" w:rsidRPr="00D44D33">
        <w:rPr>
          <w:rFonts w:ascii="Times New Roman" w:eastAsiaTheme="minorEastAsia" w:hAnsi="Times New Roman" w:cs="Times New Roman"/>
          <w:sz w:val="24"/>
          <w:szCs w:val="24"/>
        </w:rPr>
        <w:t>–</w:t>
      </w:r>
      <w:r w:rsidR="00371EEA">
        <w:rPr>
          <w:rFonts w:ascii="Times New Roman" w:eastAsiaTheme="minorEastAsia" w:hAnsi="Times New Roman" w:cs="Times New Roman"/>
          <w:b/>
          <w:bCs/>
          <w:sz w:val="24"/>
          <w:szCs w:val="24"/>
        </w:rPr>
        <w:t xml:space="preserve"> </w:t>
      </w:r>
      <w:r w:rsidR="0371DC0B"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371DC0B"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371DC0B" w:rsidRPr="00D44D33">
        <w:rPr>
          <w:rFonts w:ascii="Times New Roman" w:eastAsiaTheme="minorEastAsia" w:hAnsi="Times New Roman" w:cs="Times New Roman"/>
          <w:sz w:val="24"/>
          <w:szCs w:val="24"/>
        </w:rPr>
        <w:t>oznaczające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ustanowione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44171BD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4171BD2"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pozwalające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dwukierunkową</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komunikację</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głosową.</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Odpowiednik</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zawarty</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31</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głosowego</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zastępuje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zakresowo</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tożsame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telefonicznego</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występujące</w:t>
      </w:r>
      <w:r w:rsidR="00970B2E" w:rsidRPr="00D44D33">
        <w:rPr>
          <w:rFonts w:ascii="Times New Roman" w:eastAsiaTheme="minorEastAsia" w:hAnsi="Times New Roman" w:cs="Times New Roman"/>
          <w:sz w:val="24"/>
          <w:szCs w:val="24"/>
        </w:rPr>
        <w:t xml:space="preserve"> </w:t>
      </w:r>
      <w:r w:rsidR="152F44F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52F44F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152F44FC" w:rsidRPr="00D44D33">
        <w:rPr>
          <w:rFonts w:ascii="Times New Roman" w:eastAsiaTheme="minorEastAsia" w:hAnsi="Times New Roman" w:cs="Times New Roman"/>
          <w:sz w:val="24"/>
          <w:szCs w:val="24"/>
        </w:rPr>
        <w:t>Pt.</w:t>
      </w:r>
    </w:p>
    <w:p w14:paraId="183359A9" w14:textId="5A2F3A16" w:rsidR="001A0975" w:rsidRPr="00D44D33" w:rsidRDefault="00B3708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połączenia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sz w:val="24"/>
          <w:szCs w:val="24"/>
        </w:rPr>
        <w:t xml:space="preserve"> </w:t>
      </w:r>
      <w:r w:rsidR="000543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00290604"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współdziałanie</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ustanawiają</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telekomunikacyjnych</w:t>
      </w:r>
      <w:r w:rsidR="0072261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warstwie</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logicznej</w:t>
      </w:r>
      <w:r w:rsidR="0029060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szczególnym</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przypadkiem</w:t>
      </w:r>
      <w:r w:rsidR="00970B2E" w:rsidRPr="00D44D33">
        <w:rPr>
          <w:rFonts w:ascii="Times New Roman" w:eastAsiaTheme="minorEastAsia" w:hAnsi="Times New Roman" w:cs="Times New Roman"/>
          <w:sz w:val="24"/>
          <w:szCs w:val="24"/>
        </w:rPr>
        <w:t xml:space="preserve"> </w:t>
      </w:r>
      <w:r w:rsidR="00290604"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telekomunikacyjnego</w:t>
      </w:r>
      <w:r w:rsidR="383BDCD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83BDCD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383BDCD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83BDCD0"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383BDCD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83BDCD0"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383BDCD0" w:rsidRPr="00D44D33">
        <w:rPr>
          <w:rFonts w:ascii="Times New Roman" w:eastAsiaTheme="minorEastAsia" w:hAnsi="Times New Roman" w:cs="Times New Roman"/>
          <w:sz w:val="24"/>
          <w:szCs w:val="24"/>
        </w:rPr>
        <w:t>Pt.</w:t>
      </w:r>
    </w:p>
    <w:p w14:paraId="05037799" w14:textId="03F44590" w:rsidR="001A0975" w:rsidRPr="00D44D33" w:rsidRDefault="001A0975" w:rsidP="00D44D33">
      <w:pPr>
        <w:spacing w:before="120" w:after="120" w:line="360" w:lineRule="auto"/>
        <w:jc w:val="both"/>
        <w:rPr>
          <w:rFonts w:ascii="Times New Roman" w:eastAsiaTheme="minorEastAsia" w:hAnsi="Times New Roman" w:cs="Times New Roman"/>
          <w:b/>
          <w:bCs/>
          <w:sz w:val="24"/>
          <w:szCs w:val="24"/>
          <w:shd w:val="clear" w:color="auto" w:fill="FFFFFF"/>
        </w:rPr>
      </w:pPr>
      <w:r w:rsidRPr="00D44D33">
        <w:rPr>
          <w:rFonts w:ascii="Times New Roman" w:eastAsiaTheme="minorEastAsia" w:hAnsi="Times New Roman" w:cs="Times New Roman"/>
          <w:b/>
          <w:bCs/>
          <w:sz w:val="24"/>
          <w:szCs w:val="24"/>
        </w:rPr>
        <w:t>Definicj</w:t>
      </w:r>
      <w:r w:rsidR="005F4788" w:rsidRPr="00D44D33">
        <w:rPr>
          <w:rFonts w:ascii="Times New Roman" w:eastAsiaTheme="minorEastAsia" w:hAnsi="Times New Roman" w:cs="Times New Roman"/>
          <w:b/>
          <w:bCs/>
          <w:sz w:val="24"/>
          <w:szCs w:val="24"/>
        </w:rPr>
        <w:t>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shd w:val="clear" w:color="auto" w:fill="FFFFFF"/>
        </w:rPr>
        <w:t>powiązanych</w:t>
      </w:r>
      <w:r w:rsidR="00970B2E" w:rsidRPr="00D44D33">
        <w:rPr>
          <w:rFonts w:ascii="Times New Roman" w:eastAsiaTheme="minorEastAsia" w:hAnsi="Times New Roman" w:cs="Times New Roman"/>
          <w:b/>
          <w:bCs/>
          <w:sz w:val="24"/>
          <w:szCs w:val="24"/>
          <w:shd w:val="clear" w:color="auto" w:fill="FFFFFF"/>
        </w:rPr>
        <w:t xml:space="preserve"> </w:t>
      </w:r>
      <w:r w:rsidRPr="00D44D33">
        <w:rPr>
          <w:rFonts w:ascii="Times New Roman" w:eastAsiaTheme="minorEastAsia" w:hAnsi="Times New Roman" w:cs="Times New Roman"/>
          <w:b/>
          <w:bCs/>
          <w:sz w:val="24"/>
          <w:szCs w:val="24"/>
          <w:shd w:val="clear" w:color="auto" w:fill="FFFFFF"/>
        </w:rPr>
        <w:t>zasobów</w:t>
      </w:r>
      <w:r w:rsidR="00970B2E" w:rsidRPr="00D44D33">
        <w:rPr>
          <w:rFonts w:ascii="Times New Roman" w:eastAsiaTheme="minorEastAsia" w:hAnsi="Times New Roman" w:cs="Times New Roman"/>
          <w:b/>
          <w:bCs/>
          <w:sz w:val="24"/>
          <w:szCs w:val="24"/>
          <w:shd w:val="clear" w:color="auto" w:fill="FFFFFF"/>
        </w:rPr>
        <w:t xml:space="preserve"> </w:t>
      </w:r>
      <w:r w:rsidRPr="00D44D33">
        <w:rPr>
          <w:rFonts w:ascii="Times New Roman" w:eastAsiaTheme="minorEastAsia" w:hAnsi="Times New Roman" w:cs="Times New Roman"/>
          <w:b/>
          <w:bCs/>
          <w:sz w:val="24"/>
          <w:szCs w:val="24"/>
          <w:shd w:val="clear" w:color="auto" w:fill="FFFFFF"/>
        </w:rPr>
        <w:t>i</w:t>
      </w:r>
      <w:r w:rsidR="00970B2E" w:rsidRPr="00D44D33">
        <w:rPr>
          <w:rFonts w:ascii="Times New Roman" w:eastAsiaTheme="minorEastAsia" w:hAnsi="Times New Roman" w:cs="Times New Roman"/>
          <w:b/>
          <w:bCs/>
          <w:sz w:val="24"/>
          <w:szCs w:val="24"/>
          <w:shd w:val="clear" w:color="auto" w:fill="FFFFFF"/>
        </w:rPr>
        <w:t xml:space="preserve"> </w:t>
      </w:r>
      <w:r w:rsidRPr="00D44D33">
        <w:rPr>
          <w:rFonts w:ascii="Times New Roman" w:eastAsiaTheme="minorEastAsia" w:hAnsi="Times New Roman" w:cs="Times New Roman"/>
          <w:b/>
          <w:bCs/>
          <w:sz w:val="24"/>
          <w:szCs w:val="24"/>
          <w:shd w:val="clear" w:color="auto" w:fill="FFFFFF"/>
        </w:rPr>
        <w:t>powiązanych</w:t>
      </w:r>
      <w:r w:rsidR="00970B2E" w:rsidRPr="00D44D33">
        <w:rPr>
          <w:rFonts w:ascii="Times New Roman" w:eastAsiaTheme="minorEastAsia" w:hAnsi="Times New Roman" w:cs="Times New Roman"/>
          <w:b/>
          <w:bCs/>
          <w:sz w:val="24"/>
          <w:szCs w:val="24"/>
          <w:shd w:val="clear" w:color="auto" w:fill="FFFFFF"/>
        </w:rPr>
        <w:t xml:space="preserve"> </w:t>
      </w:r>
      <w:r w:rsidRPr="00D44D33">
        <w:rPr>
          <w:rFonts w:ascii="Times New Roman" w:eastAsiaTheme="minorEastAsia" w:hAnsi="Times New Roman" w:cs="Times New Roman"/>
          <w:b/>
          <w:bCs/>
          <w:sz w:val="24"/>
          <w:szCs w:val="24"/>
          <w:shd w:val="clear" w:color="auto" w:fill="FFFFFF"/>
        </w:rPr>
        <w:t>usług</w:t>
      </w:r>
      <w:r w:rsidR="00970B2E" w:rsidRPr="00D44D33">
        <w:rPr>
          <w:rFonts w:ascii="Times New Roman" w:eastAsiaTheme="minorEastAsia" w:hAnsi="Times New Roman" w:cs="Times New Roman"/>
          <w:bCs/>
          <w:sz w:val="24"/>
          <w:szCs w:val="24"/>
          <w:shd w:val="clear" w:color="auto" w:fill="FFFFFF"/>
        </w:rPr>
        <w:t xml:space="preserve"> </w:t>
      </w:r>
      <w:r w:rsidR="000543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shd w:val="clear" w:color="auto" w:fill="FFFFFF"/>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zaproponowaną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najbliższym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anteny</w:t>
      </w:r>
      <w:r w:rsidR="00707A3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p>
    <w:p w14:paraId="710FDBD5" w14:textId="6B36AA96" w:rsidR="001A0975" w:rsidRPr="00D44D33" w:rsidRDefault="001A097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uchylanego</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towarzyszące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wejść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szafek,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konstrukcji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desygnaty</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 xml:space="preserve">są objęte definicją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005F4788" w:rsidRPr="00D44D33">
        <w:rPr>
          <w:rFonts w:ascii="Times New Roman" w:eastAsiaTheme="minorEastAsia" w:hAnsi="Times New Roman" w:cs="Times New Roman"/>
          <w:sz w:val="24"/>
          <w:szCs w:val="24"/>
        </w:rPr>
        <w:t>określo</w:t>
      </w:r>
      <w:r w:rsidR="00887AC9" w:rsidRPr="00D44D33">
        <w:rPr>
          <w:rFonts w:ascii="Times New Roman" w:eastAsiaTheme="minorEastAsia" w:hAnsi="Times New Roman" w:cs="Times New Roman"/>
          <w:sz w:val="24"/>
          <w:szCs w:val="24"/>
        </w:rPr>
        <w:t>ną</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372B8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72B8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372B8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372B80" w:rsidRPr="00D44D33">
        <w:rPr>
          <w:rFonts w:ascii="Times New Roman" w:eastAsiaTheme="minorEastAsia" w:hAnsi="Times New Roman" w:cs="Times New Roman"/>
          <w:sz w:val="24"/>
          <w:szCs w:val="24"/>
        </w:rPr>
        <w:t>maja</w:t>
      </w:r>
      <w:r w:rsidR="00970B2E" w:rsidRPr="00D44D33">
        <w:rPr>
          <w:rFonts w:ascii="Times New Roman" w:eastAsiaTheme="minorEastAsia" w:hAnsi="Times New Roman" w:cs="Times New Roman"/>
          <w:sz w:val="24"/>
          <w:szCs w:val="24"/>
        </w:rPr>
        <w:t xml:space="preserve"> </w:t>
      </w:r>
      <w:r w:rsidR="00372B80" w:rsidRPr="00D44D33">
        <w:rPr>
          <w:rFonts w:ascii="Times New Roman" w:eastAsiaTheme="minorEastAsia" w:hAnsi="Times New Roman" w:cs="Times New Roman"/>
          <w:sz w:val="24"/>
          <w:szCs w:val="24"/>
        </w:rPr>
        <w:t>2010</w:t>
      </w:r>
      <w:r w:rsidR="00970B2E" w:rsidRPr="00D44D33">
        <w:rPr>
          <w:rFonts w:ascii="Times New Roman" w:eastAsiaTheme="minorEastAsia" w:hAnsi="Times New Roman" w:cs="Times New Roman"/>
          <w:sz w:val="24"/>
          <w:szCs w:val="24"/>
        </w:rPr>
        <w:t xml:space="preserve"> </w:t>
      </w:r>
      <w:r w:rsidR="00372B8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3A753A" w:rsidRPr="00D44D33">
        <w:rPr>
          <w:rFonts w:ascii="Times New Roman" w:eastAsiaTheme="minorEastAsia" w:hAnsi="Times New Roman" w:cs="Times New Roman"/>
          <w:sz w:val="24"/>
          <w:szCs w:val="24"/>
        </w:rPr>
        <w:t>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 xml:space="preserve">tej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aktywnym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rurociągi,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kanalizacja,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maszty,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komory,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studzienki,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szafki,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wejścia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instalacje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antenowe,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konstrukcje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wsporcze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kable,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włókna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zaopatrzenia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technologiczne.</w:t>
      </w:r>
      <w:r w:rsidR="00970B2E" w:rsidRPr="00D44D33">
        <w:rPr>
          <w:rFonts w:ascii="Times New Roman" w:eastAsiaTheme="minorEastAsia" w:hAnsi="Times New Roman" w:cs="Times New Roman"/>
          <w:sz w:val="24"/>
          <w:szCs w:val="24"/>
        </w:rPr>
        <w:t xml:space="preserve"> </w:t>
      </w:r>
    </w:p>
    <w:p w14:paraId="08715D83" w14:textId="1C0D248C" w:rsidR="001A0975" w:rsidRPr="00D44D33" w:rsidRDefault="204BE60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gałęzi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ujednolicenie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siatki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cechuje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jednoznacznością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zrozumiałością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towarzyszące”.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tłumaczenie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języka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angielskiego,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zdefiniowanego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„associated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facilities”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towarzyszących,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nazbyt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trafne.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frazie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przymiotnik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„associated”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przetłumaczony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angielskiej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„facilities”)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zauważyć,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języku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prawniczym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najczęściej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świetle</w:t>
      </w:r>
      <w:r w:rsidR="00970B2E" w:rsidRPr="00D44D33">
        <w:rPr>
          <w:rFonts w:ascii="Times New Roman" w:eastAsiaTheme="minorEastAsia" w:hAnsi="Times New Roman" w:cs="Times New Roman"/>
          <w:sz w:val="24"/>
          <w:szCs w:val="24"/>
        </w:rPr>
        <w:t xml:space="preserve"> </w:t>
      </w:r>
      <w:r w:rsidR="00412E0F" w:rsidRPr="00D44D33">
        <w:rPr>
          <w:rFonts w:ascii="Times New Roman" w:eastAsiaTheme="minorEastAsia" w:hAnsi="Times New Roman" w:cs="Times New Roman"/>
          <w:sz w:val="24"/>
          <w:szCs w:val="24"/>
        </w:rPr>
        <w:t xml:space="preserve">projektowanej regulacji </w:t>
      </w:r>
      <w:r w:rsidR="00707A39"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definiowanego</w:t>
      </w:r>
      <w:r w:rsidR="00410F99">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desygnatów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kładzie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akcent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p>
    <w:p w14:paraId="001D2A0F" w14:textId="44B299EA" w:rsidR="00244B5C" w:rsidRPr="00D44D33" w:rsidRDefault="5834F9C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zwiększenia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zastępującą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intuicyjną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towarzyszących”.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48B57098" w:rsidRPr="00D44D33">
        <w:rPr>
          <w:rFonts w:ascii="Times New Roman" w:eastAsiaTheme="minorEastAsia" w:hAnsi="Times New Roman" w:cs="Times New Roman"/>
          <w:sz w:val="24"/>
          <w:szCs w:val="24"/>
        </w:rPr>
        <w:t>3</w:t>
      </w:r>
      <w:r w:rsidR="00887AC9"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równoważnych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sygnalizowania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zawę</w:t>
      </w:r>
      <w:r w:rsidR="7DCAD06E" w:rsidRPr="00D44D33">
        <w:rPr>
          <w:rFonts w:ascii="Times New Roman" w:eastAsiaTheme="minorEastAsia" w:hAnsi="Times New Roman" w:cs="Times New Roman"/>
          <w:sz w:val="24"/>
          <w:szCs w:val="24"/>
        </w:rPr>
        <w:t>żeniem</w:t>
      </w:r>
      <w:r w:rsidR="00970B2E" w:rsidRPr="00D44D33">
        <w:rPr>
          <w:rFonts w:ascii="Times New Roman" w:eastAsiaTheme="minorEastAsia" w:hAnsi="Times New Roman" w:cs="Times New Roman"/>
          <w:sz w:val="24"/>
          <w:szCs w:val="24"/>
        </w:rPr>
        <w:t xml:space="preserve"> </w:t>
      </w:r>
      <w:r w:rsidR="7DCAD06E" w:rsidRPr="00D44D33">
        <w:rPr>
          <w:rFonts w:ascii="Times New Roman" w:eastAsiaTheme="minorEastAsia" w:hAnsi="Times New Roman" w:cs="Times New Roman"/>
          <w:sz w:val="24"/>
          <w:szCs w:val="24"/>
        </w:rPr>
        <w:t>wyrażenia</w:t>
      </w:r>
      <w:r w:rsidR="00970B2E" w:rsidRPr="00D44D33">
        <w:rPr>
          <w:rFonts w:ascii="Times New Roman" w:eastAsiaTheme="minorEastAsia" w:hAnsi="Times New Roman" w:cs="Times New Roman"/>
          <w:sz w:val="24"/>
          <w:szCs w:val="24"/>
        </w:rPr>
        <w:t xml:space="preserve"> </w:t>
      </w:r>
      <w:r w:rsidR="7DCAD06E" w:rsidRPr="00D44D33">
        <w:rPr>
          <w:rFonts w:ascii="Times New Roman" w:eastAsiaTheme="minorEastAsia" w:hAnsi="Times New Roman" w:cs="Times New Roman"/>
          <w:sz w:val="24"/>
          <w:szCs w:val="24"/>
        </w:rPr>
        <w:t>definiującego.</w:t>
      </w:r>
    </w:p>
    <w:p w14:paraId="79E32F27" w14:textId="53C5BF30" w:rsidR="00DE1418" w:rsidRPr="00D44D33" w:rsidRDefault="3E2F899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przedsiębiorcy</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rozszerzenia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podmiotowego</w:t>
      </w:r>
      <w:r w:rsidR="00970B2E" w:rsidRPr="00D44D33">
        <w:rPr>
          <w:rFonts w:ascii="Times New Roman" w:eastAsiaTheme="minorEastAsia" w:hAnsi="Times New Roman" w:cs="Times New Roman"/>
          <w:sz w:val="24"/>
          <w:szCs w:val="24"/>
        </w:rPr>
        <w:t xml:space="preserve"> </w:t>
      </w:r>
      <w:r w:rsidR="092B51E0"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objęcie</w:t>
      </w:r>
      <w:r w:rsidR="00970B2E" w:rsidRPr="00D44D33">
        <w:rPr>
          <w:rFonts w:ascii="Times New Roman" w:eastAsiaTheme="minorEastAsia" w:hAnsi="Times New Roman" w:cs="Times New Roman"/>
          <w:sz w:val="24"/>
          <w:szCs w:val="24"/>
        </w:rPr>
        <w:t xml:space="preserve"> </w:t>
      </w:r>
      <w:r w:rsidR="371FB5E6" w:rsidRPr="00D44D33">
        <w:rPr>
          <w:rFonts w:ascii="Times New Roman" w:eastAsiaTheme="minorEastAsia" w:hAnsi="Times New Roman" w:cs="Times New Roman"/>
          <w:sz w:val="24"/>
          <w:szCs w:val="24"/>
        </w:rPr>
        <w:t>nimi</w:t>
      </w:r>
      <w:r w:rsidR="5261FF5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tradycyjnymi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pozostających</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 xml:space="preserve">dotąd </w:t>
      </w:r>
      <w:r w:rsidR="5261FF5D"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niewykorzystującej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Przyjęcie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szerokiej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pozostawienie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zarazem</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różnym</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zakresem</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podmiotowym</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wpisowi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podlegali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telekomunikacyjni,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świadczące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niewykorzystującej</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takiemu</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wpisowi.</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wyłącza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podlegania</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ogólnemu</w:t>
      </w:r>
      <w:r w:rsidR="00970B2E" w:rsidRPr="00D44D33">
        <w:rPr>
          <w:rFonts w:ascii="Times New Roman" w:eastAsiaTheme="minorEastAsia" w:hAnsi="Times New Roman" w:cs="Times New Roman"/>
          <w:sz w:val="24"/>
          <w:szCs w:val="24"/>
        </w:rPr>
        <w:t xml:space="preserve"> </w:t>
      </w:r>
      <w:r w:rsidR="5261FF5D" w:rsidRPr="00D44D33">
        <w:rPr>
          <w:rFonts w:ascii="Times New Roman" w:eastAsiaTheme="minorEastAsia" w:hAnsi="Times New Roman" w:cs="Times New Roman"/>
          <w:sz w:val="24"/>
          <w:szCs w:val="24"/>
        </w:rPr>
        <w:t>zezwoleniu.</w:t>
      </w:r>
      <w:r w:rsidR="00970B2E" w:rsidRPr="00D44D33">
        <w:rPr>
          <w:rFonts w:ascii="Times New Roman" w:eastAsiaTheme="minorEastAsia" w:hAnsi="Times New Roman" w:cs="Times New Roman"/>
          <w:sz w:val="24"/>
          <w:szCs w:val="24"/>
        </w:rPr>
        <w:t xml:space="preserve"> </w:t>
      </w:r>
    </w:p>
    <w:p w14:paraId="1B94E3BB" w14:textId="0A972782" w:rsidR="4354F87B" w:rsidRPr="00D44D33" w:rsidRDefault="4354F87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przedsiębiorcy</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zaproponowana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p>
    <w:p w14:paraId="39F148D6" w14:textId="032337B8" w:rsidR="00B37080" w:rsidRPr="00D44D33" w:rsidRDefault="00B3708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przyłącza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telekomunikacyjnego</w:t>
      </w:r>
      <w:r w:rsidR="00970B2E" w:rsidRPr="00D44D33">
        <w:rPr>
          <w:rFonts w:ascii="Times New Roman" w:eastAsiaTheme="minorEastAsia" w:hAnsi="Times New Roman" w:cs="Times New Roman"/>
          <w:b/>
          <w:bCs/>
          <w:sz w:val="24"/>
          <w:szCs w:val="24"/>
        </w:rPr>
        <w:t xml:space="preserve"> </w:t>
      </w:r>
      <w:r w:rsidR="004B662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27b</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Je</w:t>
      </w:r>
      <w:r w:rsidR="00347DCC" w:rsidRPr="00D44D33">
        <w:rPr>
          <w:rFonts w:ascii="Times New Roman" w:eastAsiaTheme="minorEastAsia" w:hAnsi="Times New Roman" w:cs="Times New Roman"/>
          <w:sz w:val="24"/>
          <w:szCs w:val="24"/>
        </w:rPr>
        <w:t>s</w:t>
      </w:r>
      <w:r w:rsidR="00080A68"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odcinek</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złącza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rozgałęźnego</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kanalizacji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bezprzewodowy.</w:t>
      </w:r>
    </w:p>
    <w:p w14:paraId="788413A7" w14:textId="75F7BBDF" w:rsidR="00B37080" w:rsidRPr="00D44D33" w:rsidRDefault="00B37080"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b/>
          <w:bCs/>
          <w:sz w:val="24"/>
          <w:szCs w:val="24"/>
        </w:rPr>
        <w:t xml:space="preserve"> </w:t>
      </w:r>
      <w:r w:rsidR="00080A68"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wykorzystywana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głównie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powtórzenie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Pt.</w:t>
      </w:r>
    </w:p>
    <w:p w14:paraId="7DF2ECAB" w14:textId="709AE837" w:rsidR="00B37080" w:rsidRPr="00D44D33" w:rsidRDefault="3890BDB5"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61A63FCB"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61A63FCB"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b/>
          <w:bCs/>
          <w:sz w:val="24"/>
          <w:szCs w:val="24"/>
        </w:rPr>
        <w:t xml:space="preserve"> </w:t>
      </w:r>
      <w:r w:rsidR="278E12E1"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dostępn</w:t>
      </w:r>
      <w:r w:rsidR="1F943E0C"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usług</w:t>
      </w:r>
      <w:r w:rsidR="7C52C22E"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rozumian</w:t>
      </w:r>
      <w:r w:rsidR="30D9A4E5"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dostępna</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ogółu</w:t>
      </w:r>
      <w:r w:rsidR="00970B2E" w:rsidRPr="00D44D33">
        <w:rPr>
          <w:rFonts w:ascii="Times New Roman" w:eastAsiaTheme="minorEastAsia" w:hAnsi="Times New Roman" w:cs="Times New Roman"/>
          <w:sz w:val="24"/>
          <w:szCs w:val="24"/>
        </w:rPr>
        <w:t xml:space="preserve"> </w:t>
      </w:r>
      <w:r w:rsidR="54D7D1A2" w:rsidRPr="00D44D33">
        <w:rPr>
          <w:rFonts w:ascii="Times New Roman" w:eastAsiaTheme="minorEastAsia" w:hAnsi="Times New Roman" w:cs="Times New Roman"/>
          <w:sz w:val="24"/>
          <w:szCs w:val="24"/>
        </w:rPr>
        <w:t>użytkowników.</w:t>
      </w:r>
    </w:p>
    <w:p w14:paraId="6B6E57D3" w14:textId="07540DCE" w:rsidR="00B37080" w:rsidRPr="00D44D33" w:rsidRDefault="00B37080"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interpersonalnej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dostępna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ogółu</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p>
    <w:p w14:paraId="032C35AA" w14:textId="3B5523F6" w:rsidR="00A26EFC" w:rsidRPr="00D44D33" w:rsidRDefault="3890BDB5"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głosowej</w:t>
      </w:r>
      <w:r w:rsidR="00970B2E" w:rsidRPr="00D44D33">
        <w:rPr>
          <w:rFonts w:ascii="Times New Roman" w:eastAsiaTheme="minorEastAsia" w:hAnsi="Times New Roman" w:cs="Times New Roman"/>
          <w:b/>
          <w:bCs/>
          <w:sz w:val="24"/>
          <w:szCs w:val="24"/>
        </w:rPr>
        <w:t xml:space="preserve"> </w:t>
      </w:r>
      <w:r w:rsidR="00347DC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47010CD6"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47010CD6"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5636BEDF"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usług</w:t>
      </w:r>
      <w:r w:rsidR="3968F6D6"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telekomunikacyjn</w:t>
      </w:r>
      <w:r w:rsidR="2AD57B12"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dostępn</w:t>
      </w:r>
      <w:r w:rsidR="21812058"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ogółu</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inicjowania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odbierania,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pośrednio,</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lastRenderedPageBreak/>
        <w:t>pomocą</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ustalonych</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krajowym</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międzynarodowym</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planie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D47D661" w:rsidRPr="00D44D33">
        <w:rPr>
          <w:rFonts w:ascii="Times New Roman" w:eastAsiaTheme="minorEastAsia" w:hAnsi="Times New Roman" w:cs="Times New Roman"/>
          <w:sz w:val="24"/>
          <w:szCs w:val="24"/>
        </w:rPr>
        <w:t>telefonicznej.</w:t>
      </w:r>
    </w:p>
    <w:p w14:paraId="52135F8C" w14:textId="4C2D60E2" w:rsidR="00B37080" w:rsidRPr="00D44D33" w:rsidRDefault="1D47D661"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sz w:val="24"/>
          <w:szCs w:val="24"/>
        </w:rPr>
        <w:t xml:space="preserve"> </w:t>
      </w:r>
      <w:r w:rsidR="00347DC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9FDA750"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79FDA75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79FDA750"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p>
    <w:p w14:paraId="4C455ED2" w14:textId="3ECE83AA" w:rsidR="00090620" w:rsidRPr="00D44D33" w:rsidRDefault="706FFCD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punktu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proponowana</w:t>
      </w:r>
      <w:r w:rsidR="00970B2E" w:rsidRPr="00D44D33">
        <w:rPr>
          <w:rFonts w:ascii="Times New Roman" w:eastAsiaTheme="minorEastAsia" w:hAnsi="Times New Roman" w:cs="Times New Roman"/>
          <w:sz w:val="24"/>
          <w:szCs w:val="24"/>
        </w:rPr>
        <w:t xml:space="preserve"> </w:t>
      </w:r>
      <w:r w:rsidR="03098FF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budynku</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odcinek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CFAD84C" w:rsidRPr="00D44D33">
        <w:rPr>
          <w:rFonts w:ascii="Times New Roman" w:eastAsiaTheme="minorEastAsia" w:hAnsi="Times New Roman" w:cs="Times New Roman"/>
          <w:sz w:val="24"/>
          <w:szCs w:val="24"/>
        </w:rPr>
        <w:t>1</w:t>
      </w:r>
      <w:r w:rsidR="00730D27" w:rsidRPr="00D44D33">
        <w:rPr>
          <w:rFonts w:ascii="Times New Roman" w:eastAsiaTheme="minorEastAsia" w:hAnsi="Times New Roman" w:cs="Times New Roman"/>
          <w:sz w:val="24"/>
          <w:szCs w:val="24"/>
        </w:rPr>
        <w:t>76</w:t>
      </w:r>
      <w:r w:rsidR="00970B2E" w:rsidRPr="00D44D33">
        <w:rPr>
          <w:rFonts w:ascii="Times New Roman" w:eastAsiaTheme="minorEastAsia" w:hAnsi="Times New Roman" w:cs="Times New Roman"/>
          <w:sz w:val="24"/>
          <w:szCs w:val="24"/>
          <w:vertAlign w:val="superscript"/>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707A39"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propozycją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707A39" w:rsidRPr="00D44D33">
        <w:rPr>
          <w:rFonts w:ascii="Times New Roman" w:eastAsiaTheme="minorEastAsia" w:hAnsi="Times New Roman" w:cs="Times New Roman"/>
          <w:sz w:val="24"/>
          <w:szCs w:val="24"/>
        </w:rPr>
        <w:t>.</w:t>
      </w:r>
    </w:p>
    <w:p w14:paraId="1C536A6B" w14:textId="0BE2CF37" w:rsidR="00992C6E" w:rsidRPr="00D44D33" w:rsidRDefault="6321AFF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rachunkowości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830F0" w:rsidRPr="00D44D33">
        <w:rPr>
          <w:rFonts w:ascii="Times New Roman" w:eastAsiaTheme="minorEastAsia" w:hAnsi="Times New Roman" w:cs="Times New Roman"/>
          <w:sz w:val="24"/>
          <w:szCs w:val="24"/>
          <w:lang w:eastAsia="pl-PL"/>
        </w:rPr>
        <w:t>definicja</w:t>
      </w:r>
      <w:r w:rsidR="00970B2E" w:rsidRPr="00D44D33">
        <w:rPr>
          <w:rFonts w:ascii="Times New Roman" w:eastAsiaTheme="minorEastAsia" w:hAnsi="Times New Roman" w:cs="Times New Roman"/>
          <w:sz w:val="24"/>
          <w:szCs w:val="24"/>
          <w:lang w:eastAsia="pl-PL"/>
        </w:rPr>
        <w:t xml:space="preserve"> </w:t>
      </w:r>
      <w:r w:rsidR="000830F0"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000830F0" w:rsidRPr="00D44D33">
        <w:rPr>
          <w:rFonts w:ascii="Times New Roman" w:eastAsiaTheme="minorEastAsia" w:hAnsi="Times New Roman" w:cs="Times New Roman"/>
          <w:sz w:val="24"/>
          <w:szCs w:val="24"/>
          <w:lang w:eastAsia="pl-PL"/>
        </w:rPr>
        <w:t>regulacyjnej</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B3762" w:rsidRPr="00D44D33">
        <w:rPr>
          <w:rFonts w:ascii="Times New Roman" w:eastAsiaTheme="minorEastAsia" w:hAnsi="Times New Roman" w:cs="Times New Roman"/>
          <w:sz w:val="24"/>
          <w:szCs w:val="24"/>
        </w:rPr>
        <w:t>215</w:t>
      </w:r>
      <w:r w:rsidR="00970B2E" w:rsidRPr="00D44D33">
        <w:rPr>
          <w:rFonts w:ascii="Times New Roman" w:eastAsiaTheme="minorEastAsia" w:hAnsi="Times New Roman" w:cs="Times New Roman"/>
          <w:sz w:val="24"/>
          <w:szCs w:val="24"/>
        </w:rPr>
        <w:t xml:space="preserve"> </w:t>
      </w:r>
      <w:r w:rsidR="00EB376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EB376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B3762" w:rsidRPr="00D44D33">
        <w:rPr>
          <w:rFonts w:ascii="Times New Roman" w:eastAsiaTheme="minorEastAsia" w:hAnsi="Times New Roman" w:cs="Times New Roman"/>
          <w:sz w:val="24"/>
          <w:szCs w:val="24"/>
        </w:rPr>
        <w:t>231</w:t>
      </w:r>
      <w:r w:rsidR="00970B2E" w:rsidRPr="00D44D33">
        <w:rPr>
          <w:rFonts w:ascii="Times New Roman" w:hAnsi="Times New Roman" w:cs="Times New Roman"/>
          <w:sz w:val="24"/>
          <w:szCs w:val="24"/>
        </w:rPr>
        <w:t xml:space="preserve"> </w:t>
      </w:r>
      <w:r w:rsidR="00EB3762"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EB3762"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EB3762"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EB3762"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EB3762" w:rsidRPr="00D44D33">
        <w:rPr>
          <w:rFonts w:ascii="Times New Roman" w:hAnsi="Times New Roman" w:cs="Times New Roman"/>
          <w:sz w:val="24"/>
          <w:szCs w:val="24"/>
        </w:rPr>
        <w:t>lit.</w:t>
      </w:r>
      <w:r w:rsidR="00970B2E" w:rsidRPr="00D44D33">
        <w:rPr>
          <w:rFonts w:ascii="Times New Roman" w:hAnsi="Times New Roman" w:cs="Times New Roman"/>
          <w:sz w:val="24"/>
          <w:szCs w:val="24"/>
        </w:rPr>
        <w:t xml:space="preserve"> </w:t>
      </w:r>
      <w:r w:rsidR="00EB3762" w:rsidRPr="00D44D33">
        <w:rPr>
          <w:rFonts w:ascii="Times New Roman" w:hAnsi="Times New Roman" w:cs="Times New Roman"/>
          <w:sz w:val="24"/>
          <w:szCs w:val="24"/>
        </w:rPr>
        <w:t>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rozdzielności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księgowej</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32</w:t>
      </w:r>
      <w:r w:rsidR="00970B2E" w:rsidRPr="00D44D33">
        <w:rPr>
          <w:rFonts w:ascii="Times New Roman" w:eastAsiaTheme="minorEastAsia" w:hAnsi="Times New Roman" w:cs="Times New Roman"/>
          <w:sz w:val="24"/>
          <w:szCs w:val="24"/>
        </w:rPr>
        <w:t xml:space="preserve"> </w:t>
      </w:r>
      <w:r w:rsidR="1C547038"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777FA"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7A417A9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B3762" w:rsidRPr="00D44D33">
        <w:rPr>
          <w:rFonts w:ascii="Times New Roman" w:eastAsiaTheme="minorEastAsia" w:hAnsi="Times New Roman" w:cs="Times New Roman"/>
          <w:sz w:val="24"/>
          <w:szCs w:val="24"/>
        </w:rPr>
        <w:t>255</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F777F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Efekty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ustawodawcę</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sprawozdanie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887AC9"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p>
    <w:p w14:paraId="47265354" w14:textId="336BAD54" w:rsidR="00992C6E" w:rsidRPr="00D44D33" w:rsidRDefault="6321AFF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7D2B18"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7D2B18" w:rsidRPr="00D44D33">
        <w:rPr>
          <w:rFonts w:ascii="Times New Roman" w:eastAsiaTheme="minorEastAsia" w:hAnsi="Times New Roman" w:cs="Times New Roman"/>
          <w:sz w:val="24"/>
          <w:szCs w:val="24"/>
        </w:rPr>
        <w:t>217,</w:t>
      </w:r>
      <w:r w:rsidR="00970B2E" w:rsidRPr="00D44D33">
        <w:rPr>
          <w:rFonts w:ascii="Times New Roman" w:eastAsiaTheme="minorEastAsia" w:hAnsi="Times New Roman" w:cs="Times New Roman"/>
          <w:sz w:val="24"/>
          <w:szCs w:val="24"/>
        </w:rPr>
        <w:t xml:space="preserve"> </w:t>
      </w:r>
      <w:r w:rsidR="00862484" w:rsidRPr="00D44D33">
        <w:rPr>
          <w:rFonts w:ascii="Times New Roman" w:eastAsiaTheme="minorEastAsia" w:hAnsi="Times New Roman" w:cs="Times New Roman"/>
          <w:sz w:val="24"/>
          <w:szCs w:val="24"/>
        </w:rPr>
        <w:t xml:space="preserve">z późn. zm.),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pewne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4D1F8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B3762" w:rsidRPr="00D44D33">
        <w:rPr>
          <w:rFonts w:ascii="Times New Roman" w:eastAsiaTheme="minorEastAsia" w:hAnsi="Times New Roman" w:cs="Times New Roman"/>
          <w:sz w:val="24"/>
          <w:szCs w:val="24"/>
        </w:rPr>
        <w:t>255</w:t>
      </w:r>
      <w:r w:rsidR="004D1F8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245789CB" w14:textId="04602F66" w:rsidR="00992C6E" w:rsidRPr="00D44D33" w:rsidRDefault="00992C6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 xml:space="preserve">z dnia 29 września 1994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p>
    <w:p w14:paraId="4D4E0723" w14:textId="5DFFDB52" w:rsidR="00DE1418"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radiolokacji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2014/53/UE.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Radiolokacja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prędkości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dzięki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propagacyjnym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Projekt u</w:t>
      </w:r>
      <w:r w:rsidRPr="00D44D33">
        <w:rPr>
          <w:rFonts w:ascii="Times New Roman" w:eastAsiaTheme="minorEastAsia" w:hAnsi="Times New Roman" w:cs="Times New Roman"/>
          <w:sz w:val="24"/>
          <w:szCs w:val="24"/>
        </w:rPr>
        <w:t>staw</w:t>
      </w:r>
      <w:r w:rsidR="00887AC9"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odwołuje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radiolokacji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radiolokacji,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wysyłają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pomiarom.</w:t>
      </w:r>
    </w:p>
    <w:p w14:paraId="4574B41D" w14:textId="2DFEFFEB" w:rsidR="00EE32AB" w:rsidRPr="00D44D33" w:rsidRDefault="00EE32A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brzmieniu</w:t>
      </w:r>
      <w:r w:rsidR="00970B2E" w:rsidRPr="00D44D33">
        <w:rPr>
          <w:rFonts w:ascii="Times New Roman" w:eastAsiaTheme="minorEastAsia" w:hAnsi="Times New Roman" w:cs="Times New Roman"/>
          <w:sz w:val="24"/>
          <w:szCs w:val="24"/>
        </w:rPr>
        <w:t xml:space="preserve"> </w:t>
      </w:r>
      <w:r w:rsidR="73DF3B8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w:t>
      </w:r>
      <w:r w:rsidR="00080A6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32a)</w:t>
      </w:r>
      <w:r w:rsidR="63BF1D48" w:rsidRPr="00D44D33">
        <w:rPr>
          <w:rFonts w:ascii="Times New Roman" w:eastAsiaTheme="minorEastAsia" w:hAnsi="Times New Roman" w:cs="Times New Roman"/>
          <w:sz w:val="24"/>
          <w:szCs w:val="24"/>
        </w:rPr>
        <w:t>.</w:t>
      </w:r>
    </w:p>
    <w:p w14:paraId="292E93AE" w14:textId="55B4EF34" w:rsidR="2167ED7B" w:rsidRPr="00D44D33" w:rsidRDefault="63BF1D4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rezerwacji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częstotliwości</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posług</w:t>
      </w:r>
      <w:r w:rsidR="7655E429" w:rsidRPr="00D44D33">
        <w:rPr>
          <w:rFonts w:ascii="Times New Roman" w:eastAsiaTheme="minorEastAsia" w:hAnsi="Times New Roman" w:cs="Times New Roman"/>
          <w:sz w:val="24"/>
          <w:szCs w:val="24"/>
        </w:rPr>
        <w:t>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w:t>
      </w:r>
      <w:r w:rsidR="391528AA" w:rsidRPr="00D44D33">
        <w:rPr>
          <w:rFonts w:ascii="Times New Roman" w:eastAsiaTheme="minorEastAsia" w:hAnsi="Times New Roman" w:cs="Times New Roman"/>
          <w:sz w:val="24"/>
          <w:szCs w:val="24"/>
        </w:rPr>
        <w:t>zeniu</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proponowanej</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 xml:space="preserve">w Pke </w:t>
      </w:r>
      <w:r w:rsidR="391528AA"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ta</w:t>
      </w:r>
      <w:r w:rsidR="77EC58AE" w:rsidRPr="00D44D33">
        <w:rPr>
          <w:rFonts w:ascii="Times New Roman" w:eastAsiaTheme="minorEastAsia" w:hAnsi="Times New Roman" w:cs="Times New Roman"/>
          <w:sz w:val="24"/>
          <w:szCs w:val="24"/>
        </w:rPr>
        <w:t>ka</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słowniczku</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1A5AAC66"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kluczowe</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391528AA" w:rsidRPr="00D44D33">
        <w:rPr>
          <w:rFonts w:ascii="Times New Roman" w:eastAsiaTheme="minorEastAsia" w:hAnsi="Times New Roman" w:cs="Times New Roman"/>
          <w:sz w:val="24"/>
          <w:szCs w:val="24"/>
        </w:rPr>
        <w:t>rezerw</w:t>
      </w:r>
      <w:r w:rsidR="64C6A2E0" w:rsidRPr="00D44D33">
        <w:rPr>
          <w:rFonts w:ascii="Times New Roman" w:eastAsiaTheme="minorEastAsia" w:hAnsi="Times New Roman" w:cs="Times New Roman"/>
          <w:sz w:val="24"/>
          <w:szCs w:val="24"/>
        </w:rPr>
        <w:t>acji</w:t>
      </w:r>
      <w:r w:rsidR="00970B2E" w:rsidRPr="00D44D33">
        <w:rPr>
          <w:rFonts w:ascii="Times New Roman" w:eastAsiaTheme="minorEastAsia" w:hAnsi="Times New Roman" w:cs="Times New Roman"/>
          <w:sz w:val="24"/>
          <w:szCs w:val="24"/>
        </w:rPr>
        <w:t xml:space="preserve"> </w:t>
      </w:r>
      <w:r w:rsidR="64C6A2E0"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zwłaszcza</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6DC29D36"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34FE56B2"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34FE56B2"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5B60370"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25B60370"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25B6037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5B60370" w:rsidRPr="00D44D33">
        <w:rPr>
          <w:rFonts w:ascii="Times New Roman" w:eastAsiaTheme="minorEastAsia" w:hAnsi="Times New Roman" w:cs="Times New Roman"/>
          <w:sz w:val="24"/>
          <w:szCs w:val="24"/>
        </w:rPr>
        <w:t>słowniczka.</w:t>
      </w:r>
      <w:r w:rsidR="00970B2E" w:rsidRPr="00D44D33">
        <w:rPr>
          <w:rFonts w:ascii="Times New Roman" w:eastAsiaTheme="minorEastAsia" w:hAnsi="Times New Roman" w:cs="Times New Roman"/>
          <w:sz w:val="24"/>
          <w:szCs w:val="24"/>
        </w:rPr>
        <w:t xml:space="preserve"> </w:t>
      </w:r>
      <w:r w:rsidR="58525630"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58525630"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58525630"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48A76BC6" w:rsidRPr="00D44D33">
        <w:rPr>
          <w:rFonts w:ascii="Times New Roman" w:eastAsiaTheme="minorEastAsia" w:hAnsi="Times New Roman" w:cs="Times New Roman"/>
          <w:sz w:val="24"/>
          <w:szCs w:val="24"/>
        </w:rPr>
        <w:t>.</w:t>
      </w:r>
    </w:p>
    <w:p w14:paraId="7AE43733" w14:textId="1664C19F" w:rsidR="004C2CF3" w:rsidRPr="00D44D33" w:rsidRDefault="004C2CF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ruchomej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ruchoma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publiczna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publiczną</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sie</w:t>
      </w:r>
      <w:r w:rsidR="00887AC9" w:rsidRPr="00D44D33">
        <w:rPr>
          <w:rFonts w:ascii="Times New Roman" w:eastAsiaTheme="minorEastAsia" w:hAnsi="Times New Roman" w:cs="Times New Roman"/>
          <w:sz w:val="24"/>
          <w:szCs w:val="24"/>
        </w:rPr>
        <w:t>cią</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stałej</w:t>
      </w:r>
      <w:r w:rsidR="00970B2E" w:rsidRPr="00D44D33">
        <w:rPr>
          <w:rFonts w:ascii="Times New Roman" w:eastAsiaTheme="minorEastAsia" w:hAnsi="Times New Roman" w:cs="Times New Roman"/>
          <w:sz w:val="24"/>
          <w:szCs w:val="24"/>
        </w:rPr>
        <w:t xml:space="preserve"> </w:t>
      </w:r>
      <w:r w:rsidR="00080A68" w:rsidRPr="00D44D33">
        <w:rPr>
          <w:rFonts w:ascii="Times New Roman" w:eastAsiaTheme="minorEastAsia" w:hAnsi="Times New Roman" w:cs="Times New Roman"/>
          <w:sz w:val="24"/>
          <w:szCs w:val="24"/>
        </w:rPr>
        <w:t>lokalizacji.</w:t>
      </w:r>
    </w:p>
    <w:p w14:paraId="20269A30" w14:textId="62AEFF9E" w:rsidR="00F03462" w:rsidRPr="00D44D33" w:rsidRDefault="00F0346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ruchomej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887AC9" w:rsidRPr="00D44D33">
        <w:rPr>
          <w:rFonts w:ascii="Times New Roman" w:eastAsiaTheme="minorEastAsia" w:hAnsi="Times New Roman" w:cs="Times New Roman"/>
          <w:sz w:val="24"/>
          <w:szCs w:val="24"/>
        </w:rPr>
        <w:t>.</w:t>
      </w:r>
    </w:p>
    <w:p w14:paraId="03F5E441" w14:textId="57FAEDF3" w:rsidR="00DE1418"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rynku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detalicznego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00887AC9" w:rsidRPr="00D44D33">
        <w:rPr>
          <w:rFonts w:ascii="Times New Roman" w:eastAsiaTheme="minorEastAsia" w:hAnsi="Times New Roman" w:cs="Times New Roman"/>
          <w:sz w:val="24"/>
          <w:szCs w:val="24"/>
        </w:rPr>
        <w:t>detaliczny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44A689B9"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1C9B4C1"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1C9B4C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w:t>
      </w:r>
      <w:r w:rsidR="3402CBA6"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rynkami</w:t>
      </w:r>
      <w:r w:rsidR="2BC79DD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popytowej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29423AE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9423AE0"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29423AE0"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29423AE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9423AE0"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29423AE0" w:rsidRPr="00D44D33">
        <w:rPr>
          <w:rFonts w:ascii="Times New Roman" w:eastAsiaTheme="minorEastAsia" w:hAnsi="Times New Roman" w:cs="Times New Roman"/>
          <w:sz w:val="24"/>
          <w:szCs w:val="24"/>
        </w:rPr>
        <w:t>Pt.</w:t>
      </w:r>
    </w:p>
    <w:p w14:paraId="0B4249AA" w14:textId="5040BF6F" w:rsidR="7E57CF7C" w:rsidRPr="00D44D33" w:rsidRDefault="7E57CF7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satelitarnej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publicznej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regulowanym</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dostępie</w:t>
      </w:r>
      <w:r w:rsidR="00016930" w:rsidRPr="00D44D33">
        <w:rPr>
          <w:rFonts w:ascii="Times New Roman" w:eastAsiaTheme="minorEastAsia" w:hAnsi="Times New Roman" w:cs="Times New Roman"/>
          <w:b/>
          <w:bCs/>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016930" w:rsidRPr="00D44D33">
        <w:rPr>
          <w:rFonts w:ascii="Times New Roman" w:eastAsiaTheme="minorEastAsia" w:hAnsi="Times New Roman" w:cs="Times New Roman"/>
          <w:sz w:val="24"/>
          <w:szCs w:val="24"/>
        </w:rPr>
        <w:t xml:space="preserve">art. 45 ust. 1 lit. d </w:t>
      </w:r>
      <w:r w:rsidR="156CB565"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2021/696</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28</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2021</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ustanawiającego</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Unijny</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program</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kosmiczny</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Agencję</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ds.</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Programu</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Kosmicznego</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uchylającego</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912/2010,</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1285/2013</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377/2014</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009C4E49" w:rsidRPr="00D44D33">
        <w:rPr>
          <w:rFonts w:ascii="Times New Roman" w:eastAsiaTheme="minorEastAsia" w:hAnsi="Times New Roman" w:cs="Times New Roman"/>
          <w:sz w:val="24"/>
          <w:szCs w:val="24"/>
        </w:rPr>
        <w:t>541/2014/UE</w:t>
      </w:r>
      <w:r w:rsidR="00F357A4" w:rsidRPr="00D44D33">
        <w:rPr>
          <w:rFonts w:ascii="Times New Roman" w:eastAsiaTheme="minorEastAsia" w:hAnsi="Times New Roman" w:cs="Times New Roman"/>
          <w:sz w:val="24"/>
          <w:szCs w:val="24"/>
        </w:rPr>
        <w:t xml:space="preserve"> (Dz. Urz. UE L 170 z 12.05.2021, str. 69),</w:t>
      </w:r>
      <w:r w:rsidR="005A0519" w:rsidRPr="00D44D33">
        <w:rPr>
          <w:rFonts w:ascii="Times New Roman" w:eastAsiaTheme="minorEastAsia" w:hAnsi="Times New Roman" w:cs="Times New Roman"/>
          <w:sz w:val="24"/>
          <w:szCs w:val="24"/>
        </w:rPr>
        <w:t xml:space="preserve"> zwanego</w:t>
      </w:r>
      <w:r w:rsidR="00F357A4" w:rsidRPr="00D44D33">
        <w:rPr>
          <w:rFonts w:ascii="Times New Roman" w:eastAsiaTheme="minorEastAsia" w:hAnsi="Times New Roman" w:cs="Times New Roman"/>
          <w:sz w:val="24"/>
          <w:szCs w:val="24"/>
        </w:rPr>
        <w:t xml:space="preserve"> dalej „rozporządzenie</w:t>
      </w:r>
      <w:r w:rsidR="005A0519" w:rsidRPr="00D44D33">
        <w:rPr>
          <w:rFonts w:ascii="Times New Roman" w:eastAsiaTheme="minorEastAsia" w:hAnsi="Times New Roman" w:cs="Times New Roman"/>
          <w:sz w:val="24"/>
          <w:szCs w:val="24"/>
        </w:rPr>
        <w:t>m</w:t>
      </w:r>
      <w:r w:rsidR="00F357A4" w:rsidRPr="00D44D33">
        <w:rPr>
          <w:rFonts w:ascii="Times New Roman" w:eastAsiaTheme="minorEastAsia" w:hAnsi="Times New Roman" w:cs="Times New Roman"/>
          <w:sz w:val="24"/>
          <w:szCs w:val="24"/>
        </w:rPr>
        <w:t xml:space="preserve"> nr 2021/696”</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016930" w:rsidRPr="00D44D33">
        <w:rPr>
          <w:rFonts w:ascii="Times New Roman" w:eastAsiaTheme="minorEastAsia" w:hAnsi="Times New Roman" w:cs="Times New Roman"/>
          <w:sz w:val="24"/>
          <w:szCs w:val="24"/>
        </w:rPr>
        <w:t>przepisu</w:t>
      </w:r>
      <w:r w:rsidR="00F357A4" w:rsidRPr="00D44D33">
        <w:rPr>
          <w:rFonts w:ascii="Times New Roman" w:eastAsiaTheme="minorEastAsia" w:hAnsi="Times New Roman" w:cs="Times New Roman"/>
          <w:sz w:val="24"/>
          <w:szCs w:val="24"/>
        </w:rPr>
        <w:t xml:space="preserve"> satelitarna usługa publiczna o regulowanym dostępie</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PRS</w:t>
      </w:r>
      <w:r w:rsidR="00F357A4" w:rsidRPr="00D44D33">
        <w:rPr>
          <w:rFonts w:ascii="Times New Roman" w:eastAsiaTheme="minorEastAsia" w:hAnsi="Times New Roman" w:cs="Times New Roman"/>
          <w:sz w:val="24"/>
          <w:szCs w:val="24"/>
        </w:rPr>
        <w:t>,</w:t>
      </w:r>
      <w:r w:rsidR="00016930" w:rsidRPr="00D44D33">
        <w:rPr>
          <w:rFonts w:ascii="Times New Roman" w:eastAsiaTheme="minorEastAsia" w:hAnsi="Times New Roman" w:cs="Times New Roman"/>
          <w:sz w:val="24"/>
          <w:szCs w:val="24"/>
        </w:rPr>
        <w:t xml:space="preserve"> public regulated service)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zarezerwowaną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nieodpłatną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F357A4" w:rsidRPr="00D44D33">
        <w:rPr>
          <w:rFonts w:ascii="Times New Roman" w:eastAsiaTheme="minorEastAsia" w:hAnsi="Times New Roman" w:cs="Times New Roman"/>
          <w:sz w:val="24"/>
          <w:szCs w:val="24"/>
        </w:rPr>
        <w:t>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F357A4" w:rsidRPr="00D44D33">
        <w:rPr>
          <w:rFonts w:ascii="Times New Roman" w:eastAsiaTheme="minorEastAsia" w:hAnsi="Times New Roman" w:cs="Times New Roman"/>
          <w:sz w:val="24"/>
          <w:szCs w:val="24"/>
        </w:rPr>
        <w:t>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Zewnętrznych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agencji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zakodowane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następstwem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d</w:t>
      </w:r>
      <w:r w:rsidRPr="00D44D33">
        <w:rPr>
          <w:rFonts w:ascii="Times New Roman" w:eastAsiaTheme="minorEastAsia" w:hAnsi="Times New Roman" w:cs="Times New Roman"/>
          <w:sz w:val="24"/>
          <w:szCs w:val="24"/>
        </w:rPr>
        <w:t>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F357A4" w:rsidRPr="00D44D33">
        <w:rPr>
          <w:rFonts w:ascii="Times New Roman" w:eastAsiaTheme="minorEastAsia" w:hAnsi="Times New Roman" w:cs="Times New Roman"/>
          <w:sz w:val="24"/>
          <w:szCs w:val="24"/>
        </w:rPr>
        <w:t xml:space="preserve">arlamentu </w:t>
      </w:r>
      <w:r w:rsidRPr="00D44D33">
        <w:rPr>
          <w:rFonts w:ascii="Times New Roman" w:eastAsiaTheme="minorEastAsia" w:hAnsi="Times New Roman" w:cs="Times New Roman"/>
          <w:sz w:val="24"/>
          <w:szCs w:val="24"/>
        </w:rPr>
        <w:t>E</w:t>
      </w:r>
      <w:r w:rsidR="00F357A4" w:rsidRPr="00D44D33">
        <w:rPr>
          <w:rFonts w:ascii="Times New Roman" w:eastAsiaTheme="minorEastAsia" w:hAnsi="Times New Roman" w:cs="Times New Roman"/>
          <w:sz w:val="24"/>
          <w:szCs w:val="24"/>
        </w:rPr>
        <w:t>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1104/2011/UE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października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w:t>
      </w:r>
      <w:r w:rsidRPr="00D44D33">
        <w:rPr>
          <w:rFonts w:ascii="Times New Roman" w:eastAsiaTheme="minorEastAsia" w:hAnsi="Times New Roman" w:cs="Times New Roman"/>
          <w:sz w:val="24"/>
          <w:szCs w:val="24"/>
        </w:rPr>
        <w:lastRenderedPageBreak/>
        <w:t>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globalny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nawigacji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utworzony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Galileo</w:t>
      </w:r>
      <w:r w:rsidR="00F357A4" w:rsidRPr="00D44D33">
        <w:rPr>
          <w:rFonts w:ascii="Times New Roman" w:eastAsiaTheme="minorEastAsia" w:hAnsi="Times New Roman" w:cs="Times New Roman"/>
          <w:sz w:val="24"/>
          <w:szCs w:val="24"/>
        </w:rPr>
        <w:t xml:space="preserve"> (Dz. Urz. UE L 287 z 04.11.2011, str. 1), </w:t>
      </w:r>
      <w:r w:rsidR="005A0519" w:rsidRPr="00D44D33">
        <w:rPr>
          <w:rFonts w:ascii="Times New Roman" w:eastAsiaTheme="minorEastAsia" w:hAnsi="Times New Roman" w:cs="Times New Roman"/>
          <w:sz w:val="24"/>
          <w:szCs w:val="24"/>
        </w:rPr>
        <w:t xml:space="preserve">zwanej </w:t>
      </w:r>
      <w:r w:rsidR="00F357A4" w:rsidRPr="00D44D33">
        <w:rPr>
          <w:rFonts w:ascii="Times New Roman" w:eastAsiaTheme="minorEastAsia" w:hAnsi="Times New Roman" w:cs="Times New Roman"/>
          <w:sz w:val="24"/>
          <w:szCs w:val="24"/>
        </w:rPr>
        <w:t>dalej „decyzj</w:t>
      </w:r>
      <w:r w:rsidR="005A0519" w:rsidRPr="00D44D33">
        <w:rPr>
          <w:rFonts w:ascii="Times New Roman" w:eastAsiaTheme="minorEastAsia" w:hAnsi="Times New Roman" w:cs="Times New Roman"/>
          <w:sz w:val="24"/>
          <w:szCs w:val="24"/>
        </w:rPr>
        <w:t>ą</w:t>
      </w:r>
      <w:r w:rsidR="00F357A4" w:rsidRPr="00D44D33">
        <w:rPr>
          <w:rFonts w:ascii="Times New Roman" w:eastAsiaTheme="minorEastAsia" w:hAnsi="Times New Roman" w:cs="Times New Roman"/>
          <w:sz w:val="24"/>
          <w:szCs w:val="24"/>
        </w:rPr>
        <w:t xml:space="preserve"> 1104/2011/UE” albo „decyzja PRS”</w:t>
      </w:r>
      <w:r w:rsidRPr="00D44D33">
        <w:rPr>
          <w:rFonts w:ascii="Times New Roman" w:eastAsiaTheme="minorEastAsia" w:hAnsi="Times New Roman" w:cs="Times New Roman"/>
          <w:sz w:val="24"/>
          <w:szCs w:val="24"/>
        </w:rPr>
        <w:t>.</w:t>
      </w:r>
    </w:p>
    <w:p w14:paraId="0910AD24" w14:textId="413610EF" w:rsidR="00DE1418"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E097C"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001E097C"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1E097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E800ED" w:rsidRPr="00D44D33">
        <w:rPr>
          <w:rFonts w:ascii="Times New Roman" w:eastAsiaTheme="minorEastAsia" w:hAnsi="Times New Roman" w:cs="Times New Roman"/>
          <w:sz w:val="24"/>
          <w:szCs w:val="24"/>
        </w:rPr>
        <w:t>infrastruktura</w:t>
      </w:r>
      <w:r w:rsidR="00970B2E" w:rsidRPr="00D44D33">
        <w:rPr>
          <w:rFonts w:ascii="Times New Roman" w:eastAsiaTheme="minorEastAsia" w:hAnsi="Times New Roman" w:cs="Times New Roman"/>
          <w:sz w:val="24"/>
          <w:szCs w:val="24"/>
        </w:rPr>
        <w:t xml:space="preserve"> </w:t>
      </w:r>
      <w:r w:rsidR="00E800ED"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E800E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800ED" w:rsidRPr="00D44D33">
        <w:rPr>
          <w:rFonts w:ascii="Times New Roman" w:eastAsiaTheme="minorEastAsia" w:hAnsi="Times New Roman" w:cs="Times New Roman"/>
          <w:sz w:val="24"/>
          <w:szCs w:val="24"/>
        </w:rPr>
        <w:t>odcinku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trzech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pojęciach:</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telekomunikacyjnej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dystrybucji.</w:t>
      </w:r>
    </w:p>
    <w:p w14:paraId="5FCF0243" w14:textId="07B2AF1C" w:rsidR="00090620" w:rsidRPr="00D44D33" w:rsidRDefault="0009062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bardzo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dużej</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przepustowości</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przeszłości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zwiększania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zyskują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opóźnieniem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niezawodnością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rosnące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instalowane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bliżej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równoważnych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odcinku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równoważnej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dzięki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instalacji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odcinku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wielorodzinnego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podobnej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dzięki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instalacji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odcinku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Różnice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subiektywnym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odczuciu,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mediów,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ostatecznie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sieciową.</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Relewantną</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obiektywna</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jakość</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(„quality</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of</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service”).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neutralności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wykluczać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mediów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porównywalne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przyszłych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ulepszone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interfejsy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gęstszą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architekturę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p>
    <w:p w14:paraId="2396A96C" w14:textId="254793DC" w:rsidR="00BC3C21" w:rsidRPr="00D44D33" w:rsidRDefault="00090620"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publiczna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najmniej</w:t>
      </w:r>
      <w:r w:rsidR="00371EEA">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bazowej</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telefonii</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komórkowej,</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BC3C21"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największego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natężenia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F357A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4709E" w:rsidRPr="00D44D33">
        <w:rPr>
          <w:rFonts w:ascii="Times New Roman" w:hAnsi="Times New Roman" w:cs="Times New Roman"/>
          <w:sz w:val="24"/>
          <w:szCs w:val="24"/>
        </w:rPr>
        <w:t>Podobne</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parametry</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jakościowe</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usługi</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dostępu</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internetu</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odnoszą</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pobierania</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wysyłania</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danych,</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odporności,</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parametrów</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związanych</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błędami</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opóźnienia</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jego</w:t>
      </w:r>
      <w:r w:rsidR="00970B2E" w:rsidRPr="00D44D33">
        <w:rPr>
          <w:rFonts w:ascii="Times New Roman" w:hAnsi="Times New Roman" w:cs="Times New Roman"/>
          <w:sz w:val="24"/>
          <w:szCs w:val="24"/>
        </w:rPr>
        <w:t xml:space="preserve"> </w:t>
      </w:r>
      <w:r w:rsidR="00C4709E" w:rsidRPr="00D44D33">
        <w:rPr>
          <w:rFonts w:ascii="Times New Roman" w:hAnsi="Times New Roman" w:cs="Times New Roman"/>
          <w:sz w:val="24"/>
          <w:szCs w:val="24"/>
        </w:rPr>
        <w:t>zmienności.</w:t>
      </w:r>
      <w:r w:rsidR="00970B2E" w:rsidRPr="00D44D33">
        <w:rPr>
          <w:rFonts w:ascii="Times New Roman" w:hAnsi="Times New Roman" w:cs="Times New Roman"/>
          <w:sz w:val="24"/>
          <w:szCs w:val="24"/>
        </w:rPr>
        <w:t xml:space="preserve"> </w:t>
      </w:r>
    </w:p>
    <w:p w14:paraId="65EE48FB" w14:textId="1189295C" w:rsidR="00090620" w:rsidRPr="00D44D33" w:rsidRDefault="0009062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kryteria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sieć</w:t>
      </w:r>
      <w:r w:rsidR="0A7B9C2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ytycznych</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Europejskich</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Regulatorów</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BEREC</w:t>
      </w:r>
      <w:r w:rsidR="009605E7"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Wytyczne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października</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2020</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adresem:</w:t>
      </w:r>
      <w:r w:rsidR="00970B2E" w:rsidRPr="00D44D33">
        <w:rPr>
          <w:rFonts w:ascii="Times New Roman" w:eastAsiaTheme="minorEastAsia" w:hAnsi="Times New Roman" w:cs="Times New Roman"/>
          <w:sz w:val="24"/>
          <w:szCs w:val="24"/>
        </w:rPr>
        <w:t xml:space="preserve"> </w:t>
      </w:r>
      <w:r w:rsidR="00410F99" w:rsidRPr="00410F99">
        <w:rPr>
          <w:rFonts w:ascii="Times New Roman" w:eastAsiaTheme="minorEastAsia" w:hAnsi="Times New Roman" w:cs="Times New Roman"/>
          <w:sz w:val="24"/>
          <w:szCs w:val="24"/>
        </w:rPr>
        <w:t>https://berec.europa.eu/eng/document_register/subject_matter/berec/regulatory_best_practices/guidelines/9439-berec-guidelines-on-very-high-capacity-networks</w:t>
      </w:r>
      <w:r w:rsidR="00730D2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82</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wytyczne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regularnie</w:t>
      </w:r>
      <w:r w:rsidR="00970B2E" w:rsidRPr="00D44D33">
        <w:rPr>
          <w:rFonts w:ascii="Times New Roman" w:eastAsiaTheme="minorEastAsia" w:hAnsi="Times New Roman" w:cs="Times New Roman"/>
          <w:sz w:val="24"/>
          <w:szCs w:val="24"/>
        </w:rPr>
        <w:t xml:space="preserve"> </w:t>
      </w:r>
      <w:r w:rsidR="00730D27" w:rsidRPr="00D44D33">
        <w:rPr>
          <w:rFonts w:ascii="Times New Roman" w:eastAsiaTheme="minorEastAsia" w:hAnsi="Times New Roman" w:cs="Times New Roman"/>
          <w:sz w:val="24"/>
          <w:szCs w:val="24"/>
        </w:rPr>
        <w:t>aktualizowane.</w:t>
      </w:r>
    </w:p>
    <w:p w14:paraId="0172C098" w14:textId="3C9BBE27" w:rsidR="00DE1418"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myśl</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systemy</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transmisyjne,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nieaktywne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umożliwiają</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przekazywanie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przewodów,</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fal</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optycznych</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energię</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elektromagnetyczną,</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23B7E" w:rsidRPr="00D44D33">
        <w:rPr>
          <w:rFonts w:ascii="Times New Roman" w:eastAsiaTheme="minorEastAsia" w:hAnsi="Times New Roman" w:cs="Times New Roman"/>
          <w:sz w:val="24"/>
          <w:szCs w:val="24"/>
        </w:rPr>
        <w:t>ro</w:t>
      </w:r>
      <w:r w:rsidR="004C2CF3" w:rsidRPr="00D44D33">
        <w:rPr>
          <w:rFonts w:ascii="Times New Roman" w:eastAsiaTheme="minorEastAsia" w:hAnsi="Times New Roman" w:cs="Times New Roman"/>
          <w:sz w:val="24"/>
          <w:szCs w:val="24"/>
        </w:rPr>
        <w:t>dzaju</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przekazywanej</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8679D30"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8679D30"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8679D30"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08679D3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8679D30"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8679D30"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funkcjonalną</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całość,</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składającą</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warstw</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logicznej</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C4709E" w:rsidRPr="00D44D33">
        <w:rPr>
          <w:rFonts w:ascii="Times New Roman" w:eastAsiaTheme="minorEastAsia" w:hAnsi="Times New Roman" w:cs="Times New Roman"/>
          <w:sz w:val="24"/>
          <w:szCs w:val="24"/>
        </w:rPr>
        <w:t>fizycznej.</w:t>
      </w:r>
    </w:p>
    <w:p w14:paraId="2A5340EA" w14:textId="37E50D63" w:rsidR="00163DF5" w:rsidRPr="00D44D33" w:rsidRDefault="00163DF5"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00DE1418" w:rsidRPr="00D44D33">
        <w:rPr>
          <w:rFonts w:ascii="Times New Roman" w:eastAsiaTheme="minorEastAsia" w:hAnsi="Times New Roman" w:cs="Times New Roman"/>
          <w:b/>
          <w:bCs/>
          <w:sz w:val="24"/>
          <w:szCs w:val="24"/>
        </w:rPr>
        <w:t>służby</w:t>
      </w:r>
      <w:r w:rsidR="00970B2E" w:rsidRPr="00D44D33">
        <w:rPr>
          <w:rFonts w:ascii="Times New Roman" w:eastAsiaTheme="minorEastAsia" w:hAnsi="Times New Roman" w:cs="Times New Roman"/>
          <w:b/>
          <w:bCs/>
          <w:sz w:val="24"/>
          <w:szCs w:val="24"/>
        </w:rPr>
        <w:t xml:space="preserve"> </w:t>
      </w:r>
      <w:r w:rsidR="00DE1418" w:rsidRPr="00D44D33">
        <w:rPr>
          <w:rFonts w:ascii="Times New Roman" w:eastAsiaTheme="minorEastAsia" w:hAnsi="Times New Roman" w:cs="Times New Roman"/>
          <w:b/>
          <w:bCs/>
          <w:sz w:val="24"/>
          <w:szCs w:val="24"/>
        </w:rPr>
        <w:t>radiokomunikacyjnej</w:t>
      </w:r>
      <w:r w:rsidR="00970B2E" w:rsidRPr="00D44D33">
        <w:rPr>
          <w:rFonts w:ascii="Times New Roman" w:eastAsiaTheme="minorEastAsia" w:hAnsi="Times New Roman" w:cs="Times New Roman"/>
          <w:b/>
          <w:bCs/>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w:t>
      </w:r>
      <w:r w:rsidRPr="00D44D33">
        <w:rPr>
          <w:rFonts w:ascii="Times New Roman" w:eastAsiaTheme="minorEastAsia" w:hAnsi="Times New Roman" w:cs="Times New Roman"/>
          <w:sz w:val="24"/>
          <w:szCs w:val="24"/>
        </w:rPr>
        <w:t>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F357A4" w:rsidRPr="00D44D33">
        <w:rPr>
          <w:rFonts w:ascii="Times New Roman" w:eastAsiaTheme="minorEastAsia" w:hAnsi="Times New Roman" w:cs="Times New Roman"/>
          <w:sz w:val="24"/>
          <w:szCs w:val="24"/>
        </w:rPr>
        <w:t xml:space="preserve"> 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usystematyzowane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kosmicznych,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ruchomą</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ponad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w:t>
      </w:r>
    </w:p>
    <w:p w14:paraId="56EE259A" w14:textId="4F9ADB00" w:rsidR="004C2CF3" w:rsidRPr="00D44D33" w:rsidRDefault="52A193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021E6F92" w:rsidRPr="00D44D33">
        <w:rPr>
          <w:rFonts w:ascii="Times New Roman" w:eastAsiaTheme="minorEastAsia" w:hAnsi="Times New Roman" w:cs="Times New Roman"/>
          <w:b/>
          <w:bCs/>
          <w:sz w:val="24"/>
          <w:szCs w:val="24"/>
        </w:rPr>
        <w:t>służby</w:t>
      </w:r>
      <w:r w:rsidR="00970B2E" w:rsidRPr="00D44D33">
        <w:rPr>
          <w:rFonts w:ascii="Times New Roman" w:eastAsiaTheme="minorEastAsia" w:hAnsi="Times New Roman" w:cs="Times New Roman"/>
          <w:b/>
          <w:bCs/>
          <w:sz w:val="24"/>
          <w:szCs w:val="24"/>
        </w:rPr>
        <w:t xml:space="preserve"> </w:t>
      </w:r>
      <w:r w:rsidR="021E6F92" w:rsidRPr="00D44D33">
        <w:rPr>
          <w:rFonts w:ascii="Times New Roman" w:eastAsiaTheme="minorEastAsia" w:hAnsi="Times New Roman" w:cs="Times New Roman"/>
          <w:b/>
          <w:bCs/>
          <w:sz w:val="24"/>
          <w:szCs w:val="24"/>
        </w:rPr>
        <w:t>radiokomunikacyjnej</w:t>
      </w:r>
      <w:r w:rsidR="00970B2E" w:rsidRPr="00D44D33">
        <w:rPr>
          <w:rFonts w:ascii="Times New Roman" w:eastAsiaTheme="minorEastAsia" w:hAnsi="Times New Roman" w:cs="Times New Roman"/>
          <w:b/>
          <w:bCs/>
          <w:sz w:val="24"/>
          <w:szCs w:val="24"/>
        </w:rPr>
        <w:t xml:space="preserve"> </w:t>
      </w:r>
      <w:r w:rsidR="021E6F92" w:rsidRPr="00D44D33">
        <w:rPr>
          <w:rFonts w:ascii="Times New Roman" w:eastAsiaTheme="minorEastAsia" w:hAnsi="Times New Roman" w:cs="Times New Roman"/>
          <w:b/>
          <w:bCs/>
          <w:sz w:val="24"/>
          <w:szCs w:val="24"/>
        </w:rPr>
        <w:t>amatorskiej</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CD5DACD" w:rsidRPr="00D44D33">
        <w:rPr>
          <w:rFonts w:ascii="Times New Roman" w:eastAsiaTheme="minorEastAsia" w:hAnsi="Times New Roman" w:cs="Times New Roman"/>
          <w:sz w:val="24"/>
          <w:szCs w:val="24"/>
        </w:rPr>
        <w:t>z</w:t>
      </w:r>
      <w:r w:rsidR="220F6974" w:rsidRPr="00D44D33">
        <w:rPr>
          <w:rFonts w:ascii="Times New Roman" w:eastAsiaTheme="minorEastAsia" w:hAnsi="Times New Roman" w:cs="Times New Roman"/>
          <w:sz w:val="24"/>
          <w:szCs w:val="24"/>
        </w:rPr>
        <w:t>adania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służb</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radiokomunikacyjnych</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Radiokomunikacyjnego,</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służba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radiokomunikacyjna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amatorska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szcze</w:t>
      </w:r>
      <w:r w:rsidR="44630866" w:rsidRPr="00D44D33">
        <w:rPr>
          <w:rFonts w:ascii="Times New Roman" w:eastAsiaTheme="minorEastAsia" w:hAnsi="Times New Roman" w:cs="Times New Roman"/>
          <w:sz w:val="24"/>
          <w:szCs w:val="24"/>
        </w:rPr>
        <w:t>gólny,</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4463086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44630866" w:rsidRPr="00D44D33">
        <w:rPr>
          <w:rFonts w:ascii="Times New Roman" w:eastAsiaTheme="minorEastAsia" w:hAnsi="Times New Roman" w:cs="Times New Roman"/>
          <w:sz w:val="24"/>
          <w:szCs w:val="24"/>
        </w:rPr>
        <w:t>P</w:t>
      </w:r>
      <w:r w:rsidR="220F6974"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radiokomunikacyjną</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amatorską</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radiokomunikacyjną</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mającą</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nawiązywanie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wzajemnych</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badania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szkolenie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wykonywane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celach</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niezarobkowych</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uprawnione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potrzeb</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własnych.</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Radiokomunikacyjnego,</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istotnym</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radioamatorska</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celom</w:t>
      </w:r>
      <w:r w:rsidR="00970B2E" w:rsidRPr="00D44D33">
        <w:rPr>
          <w:rFonts w:ascii="Times New Roman" w:eastAsiaTheme="minorEastAsia" w:hAnsi="Times New Roman" w:cs="Times New Roman"/>
          <w:sz w:val="24"/>
          <w:szCs w:val="24"/>
        </w:rPr>
        <w:t xml:space="preserve"> </w:t>
      </w:r>
      <w:r w:rsidR="220F6974" w:rsidRPr="00D44D33">
        <w:rPr>
          <w:rFonts w:ascii="Times New Roman" w:eastAsiaTheme="minorEastAsia" w:hAnsi="Times New Roman" w:cs="Times New Roman"/>
          <w:sz w:val="24"/>
          <w:szCs w:val="24"/>
        </w:rPr>
        <w:t>zarobkowym.</w:t>
      </w:r>
    </w:p>
    <w:p w14:paraId="09256D10" w14:textId="753A0D53" w:rsidR="004C2CF3" w:rsidRPr="00D44D33" w:rsidRDefault="00080A68" w:rsidP="00D44D33">
      <w:pPr>
        <w:pStyle w:val="PKTpunkt"/>
        <w:spacing w:before="120" w:after="120"/>
        <w:ind w:left="0" w:firstLine="0"/>
        <w:rPr>
          <w:rFonts w:ascii="Times New Roman" w:hAnsi="Times New Roman" w:cs="Times New Roman"/>
          <w:szCs w:val="24"/>
        </w:rPr>
      </w:pPr>
      <w:r w:rsidRPr="00D44D33">
        <w:rPr>
          <w:rFonts w:ascii="Times New Roman" w:hAnsi="Times New Roman" w:cs="Times New Roman"/>
          <w:b/>
          <w:szCs w:val="24"/>
          <w:lang w:eastAsia="en-US"/>
        </w:rPr>
        <w:t>Definic</w:t>
      </w:r>
      <w:r w:rsidR="004C2CF3" w:rsidRPr="00D44D33">
        <w:rPr>
          <w:rFonts w:ascii="Times New Roman" w:hAnsi="Times New Roman" w:cs="Times New Roman"/>
          <w:b/>
          <w:szCs w:val="24"/>
          <w:lang w:eastAsia="en-US"/>
        </w:rPr>
        <w:t>ja</w:t>
      </w:r>
      <w:r w:rsidR="00970B2E" w:rsidRPr="00D44D33">
        <w:rPr>
          <w:rFonts w:ascii="Times New Roman" w:hAnsi="Times New Roman" w:cs="Times New Roman"/>
          <w:b/>
          <w:szCs w:val="24"/>
          <w:lang w:eastAsia="en-US"/>
        </w:rPr>
        <w:t xml:space="preserve"> </w:t>
      </w:r>
      <w:r w:rsidR="004C2CF3" w:rsidRPr="00D44D33">
        <w:rPr>
          <w:rFonts w:ascii="Times New Roman" w:hAnsi="Times New Roman" w:cs="Times New Roman"/>
          <w:b/>
          <w:szCs w:val="24"/>
          <w:lang w:eastAsia="en-US"/>
        </w:rPr>
        <w:t>stacjonarnej</w:t>
      </w:r>
      <w:r w:rsidR="00970B2E" w:rsidRPr="00D44D33">
        <w:rPr>
          <w:rFonts w:ascii="Times New Roman" w:hAnsi="Times New Roman" w:cs="Times New Roman"/>
          <w:b/>
          <w:szCs w:val="24"/>
          <w:lang w:eastAsia="en-US"/>
        </w:rPr>
        <w:t xml:space="preserve"> </w:t>
      </w:r>
      <w:r w:rsidR="004C2CF3" w:rsidRPr="00D44D33">
        <w:rPr>
          <w:rFonts w:ascii="Times New Roman" w:hAnsi="Times New Roman" w:cs="Times New Roman"/>
          <w:b/>
          <w:szCs w:val="24"/>
          <w:lang w:eastAsia="en-US"/>
        </w:rPr>
        <w:t>publicznej</w:t>
      </w:r>
      <w:r w:rsidR="00970B2E" w:rsidRPr="00D44D33">
        <w:rPr>
          <w:rFonts w:ascii="Times New Roman" w:hAnsi="Times New Roman" w:cs="Times New Roman"/>
          <w:b/>
          <w:szCs w:val="24"/>
          <w:lang w:eastAsia="en-US"/>
        </w:rPr>
        <w:t xml:space="preserve"> </w:t>
      </w:r>
      <w:r w:rsidR="004C2CF3" w:rsidRPr="00D44D33">
        <w:rPr>
          <w:rFonts w:ascii="Times New Roman" w:hAnsi="Times New Roman" w:cs="Times New Roman"/>
          <w:b/>
          <w:szCs w:val="24"/>
          <w:lang w:eastAsia="en-US"/>
        </w:rPr>
        <w:t>sieci</w:t>
      </w:r>
      <w:r w:rsidR="00970B2E" w:rsidRPr="00D44D33">
        <w:rPr>
          <w:rFonts w:ascii="Times New Roman" w:hAnsi="Times New Roman" w:cs="Times New Roman"/>
          <w:b/>
          <w:szCs w:val="24"/>
          <w:lang w:eastAsia="en-US"/>
        </w:rPr>
        <w:t xml:space="preserve"> </w:t>
      </w:r>
      <w:r w:rsidR="004C2CF3" w:rsidRPr="00D44D33">
        <w:rPr>
          <w:rFonts w:ascii="Times New Roman" w:hAnsi="Times New Roman" w:cs="Times New Roman"/>
          <w:b/>
          <w:szCs w:val="24"/>
          <w:lang w:eastAsia="en-US"/>
        </w:rPr>
        <w:t>telekomunikacyjnej</w:t>
      </w:r>
      <w:r w:rsidR="00970B2E" w:rsidRPr="00D44D33">
        <w:rPr>
          <w:rFonts w:ascii="Times New Roman" w:hAnsi="Times New Roman" w:cs="Times New Roman"/>
          <w:b/>
          <w:szCs w:val="24"/>
          <w:lang w:eastAsia="en-US"/>
        </w:rPr>
        <w:t xml:space="preserve"> </w:t>
      </w:r>
      <w:r w:rsidR="004C2CF3"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zgodnie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projektowaną</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definicją</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jest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to</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publiczna</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sieć</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telekomunikacyjna,</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w</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której</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zakończenia</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sieci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mają</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stałą</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lokalizację.</w:t>
      </w:r>
      <w:r w:rsidR="00970B2E" w:rsidRPr="00D44D33">
        <w:rPr>
          <w:rFonts w:ascii="Times New Roman" w:hAnsi="Times New Roman" w:cs="Times New Roman"/>
          <w:szCs w:val="24"/>
          <w:lang w:eastAsia="en-US"/>
        </w:rPr>
        <w:t xml:space="preserve"> </w:t>
      </w:r>
      <w:r w:rsidR="57F49F57" w:rsidRPr="00D44D33">
        <w:rPr>
          <w:rFonts w:ascii="Times New Roman" w:hAnsi="Times New Roman" w:cs="Times New Roman"/>
          <w:szCs w:val="24"/>
        </w:rPr>
        <w:t>Definicja</w:t>
      </w:r>
      <w:r w:rsidR="00970B2E" w:rsidRPr="00D44D33">
        <w:rPr>
          <w:rFonts w:ascii="Times New Roman" w:hAnsi="Times New Roman" w:cs="Times New Roman"/>
          <w:szCs w:val="24"/>
        </w:rPr>
        <w:t xml:space="preserve"> </w:t>
      </w:r>
      <w:r w:rsidR="57F49F57"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57F49F57" w:rsidRPr="00D44D33">
        <w:rPr>
          <w:rFonts w:ascii="Times New Roman" w:hAnsi="Times New Roman" w:cs="Times New Roman"/>
          <w:szCs w:val="24"/>
        </w:rPr>
        <w:t>stosowana</w:t>
      </w:r>
      <w:r w:rsidR="00970B2E" w:rsidRPr="00D44D33">
        <w:rPr>
          <w:rFonts w:ascii="Times New Roman" w:hAnsi="Times New Roman" w:cs="Times New Roman"/>
          <w:szCs w:val="24"/>
        </w:rPr>
        <w:t xml:space="preserve"> </w:t>
      </w:r>
      <w:r w:rsidR="57F49F57"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57F49F57" w:rsidRPr="00D44D33">
        <w:rPr>
          <w:rFonts w:ascii="Times New Roman" w:hAnsi="Times New Roman" w:cs="Times New Roman"/>
          <w:szCs w:val="24"/>
        </w:rPr>
        <w:t>gruncie</w:t>
      </w:r>
      <w:r w:rsidR="00970B2E" w:rsidRPr="00D44D33">
        <w:rPr>
          <w:rFonts w:ascii="Times New Roman" w:hAnsi="Times New Roman" w:cs="Times New Roman"/>
          <w:szCs w:val="24"/>
        </w:rPr>
        <w:t xml:space="preserve"> </w:t>
      </w:r>
      <w:r w:rsidR="57F49F57" w:rsidRPr="00D44D33">
        <w:rPr>
          <w:rFonts w:ascii="Times New Roman" w:hAnsi="Times New Roman" w:cs="Times New Roman"/>
          <w:szCs w:val="24"/>
        </w:rPr>
        <w:t>Pt.</w:t>
      </w:r>
    </w:p>
    <w:p w14:paraId="7BD5AE04" w14:textId="46A1E5AC" w:rsidR="003A42FB" w:rsidRPr="00D44D33" w:rsidRDefault="00F616A3"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b/>
          <w:sz w:val="24"/>
          <w:szCs w:val="24"/>
        </w:rPr>
        <w:t>Definicja</w:t>
      </w:r>
      <w:r w:rsidR="00970B2E" w:rsidRPr="00D44D33">
        <w:rPr>
          <w:rFonts w:ascii="Times New Roman" w:hAnsi="Times New Roman" w:cs="Times New Roman"/>
          <w:b/>
          <w:sz w:val="24"/>
          <w:szCs w:val="24"/>
        </w:rPr>
        <w:t xml:space="preserve"> </w:t>
      </w:r>
      <w:r w:rsidRPr="00D44D33">
        <w:rPr>
          <w:rFonts w:ascii="Times New Roman" w:hAnsi="Times New Roman" w:cs="Times New Roman"/>
          <w:b/>
          <w:sz w:val="24"/>
          <w:szCs w:val="24"/>
        </w:rPr>
        <w:t>stacjonarnej</w:t>
      </w:r>
      <w:r w:rsidR="00970B2E" w:rsidRPr="00D44D33">
        <w:rPr>
          <w:rFonts w:ascii="Times New Roman" w:hAnsi="Times New Roman" w:cs="Times New Roman"/>
          <w:b/>
          <w:sz w:val="24"/>
          <w:szCs w:val="24"/>
        </w:rPr>
        <w:t xml:space="preserve"> </w:t>
      </w:r>
      <w:r w:rsidRPr="00D44D33">
        <w:rPr>
          <w:rFonts w:ascii="Times New Roman" w:hAnsi="Times New Roman" w:cs="Times New Roman"/>
          <w:b/>
          <w:sz w:val="24"/>
          <w:szCs w:val="24"/>
        </w:rPr>
        <w:t>sieci</w:t>
      </w:r>
      <w:r w:rsidR="00970B2E" w:rsidRPr="00D44D33">
        <w:rPr>
          <w:rFonts w:ascii="Times New Roman" w:hAnsi="Times New Roman" w:cs="Times New Roman"/>
          <w:b/>
          <w:sz w:val="24"/>
          <w:szCs w:val="24"/>
        </w:rPr>
        <w:t xml:space="preserve"> </w:t>
      </w:r>
      <w:r w:rsidRPr="00D44D33">
        <w:rPr>
          <w:rFonts w:ascii="Times New Roman" w:hAnsi="Times New Roman" w:cs="Times New Roman"/>
          <w:b/>
          <w:sz w:val="24"/>
          <w:szCs w:val="24"/>
        </w:rPr>
        <w:t>telekomunikacyjnej</w:t>
      </w:r>
      <w:r w:rsidR="00970B2E" w:rsidRPr="00D44D33">
        <w:rPr>
          <w:rFonts w:ascii="Times New Roman"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projektowaną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definicją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sieć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telekomunikacyjna,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zakończenia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sieci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mają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stałą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lokalizację.</w:t>
      </w:r>
      <w:r w:rsidR="00970B2E" w:rsidRPr="00D44D33">
        <w:rPr>
          <w:rFonts w:ascii="Times New Roman" w:hAnsi="Times New Roman" w:cs="Times New Roman"/>
          <w:sz w:val="24"/>
          <w:szCs w:val="24"/>
        </w:rPr>
        <w:t xml:space="preserve"> </w:t>
      </w:r>
    </w:p>
    <w:p w14:paraId="4F81B9ED" w14:textId="0C04D08C" w:rsidR="00565915" w:rsidRPr="00D44D33" w:rsidRDefault="1117071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sygnału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multipleksu</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2D3D58D"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radiodyfuzyjnej,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przenoszący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multipleksie.</w:t>
      </w:r>
      <w:r w:rsidR="00970B2E" w:rsidRPr="00D44D33">
        <w:rPr>
          <w:rFonts w:ascii="Times New Roman" w:eastAsiaTheme="minorEastAsia" w:hAnsi="Times New Roman" w:cs="Times New Roman"/>
          <w:sz w:val="24"/>
          <w:szCs w:val="24"/>
        </w:rPr>
        <w:t xml:space="preserve"> </w:t>
      </w:r>
      <w:r w:rsidR="3C5CC6F7"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3C5CC6F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C5CC6F7"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3C5CC6F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C5CC6F7"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3C5CC6F7" w:rsidRPr="00D44D33">
        <w:rPr>
          <w:rFonts w:ascii="Times New Roman" w:eastAsiaTheme="minorEastAsia" w:hAnsi="Times New Roman" w:cs="Times New Roman"/>
          <w:sz w:val="24"/>
          <w:szCs w:val="24"/>
        </w:rPr>
        <w:t>Pt.</w:t>
      </w:r>
    </w:p>
    <w:p w14:paraId="3EC69748" w14:textId="11A7E29D" w:rsidR="00241D14" w:rsidRPr="00D44D33" w:rsidRDefault="7FD523A6"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systemu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warunkowego</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w:t>
      </w:r>
      <w:r w:rsidR="00AC48E7"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0AC48E7" w:rsidRPr="00D44D33">
        <w:rPr>
          <w:rFonts w:ascii="Times New Roman" w:eastAsiaTheme="minorEastAsia" w:hAnsi="Times New Roman" w:cs="Times New Roman"/>
          <w:sz w:val="24"/>
          <w:szCs w:val="24"/>
        </w:rPr>
        <w:t>jest</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zrozumiałej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t>
      </w:r>
      <w:r w:rsidR="70F2AE2B" w:rsidRPr="00D44D33">
        <w:rPr>
          <w:rFonts w:ascii="Times New Roman" w:eastAsiaTheme="minorEastAsia" w:hAnsi="Times New Roman" w:cs="Times New Roman"/>
          <w:sz w:val="24"/>
          <w:szCs w:val="24"/>
        </w:rPr>
        <w:t>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uwarunkowany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abonamentu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swój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63A68B5B" w14:textId="7AD77AE8" w:rsidR="3297BDE5" w:rsidRPr="00D44D33" w:rsidRDefault="3297BDE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Definicja</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sytuacji</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szczególnego</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zagrożenia</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propozycji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podtrzymano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pojęcia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odniesienia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kryzysowych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nadzwyczajnych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według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zapisów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obowiązującej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p>
    <w:p w14:paraId="073D18F9" w14:textId="11C5C53F" w:rsidR="3297BDE5" w:rsidRPr="00D44D33" w:rsidRDefault="3297BDE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Dodatkowo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pojęcie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i/>
          <w:iCs/>
          <w:sz w:val="24"/>
          <w:szCs w:val="24"/>
        </w:rPr>
        <w:t>„w</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warunkach</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zewnętrznego</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zagrożenia</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bezpieczeństwa</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państwa</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i</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czasu</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wojny”</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funkcjonuje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powszechnie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obowiązującego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136</w:t>
      </w:r>
      <w:r w:rsidR="00F357A4" w:rsidRPr="00D44D33">
        <w:rPr>
          <w:rFonts w:ascii="Times New Roman" w:eastAsia="Times New Roman" w:hAnsi="Times New Roman" w:cs="Times New Roman"/>
          <w:sz w:val="24"/>
          <w:szCs w:val="24"/>
        </w:rPr>
        <w:t xml:space="preserve"> 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229</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Konstytucji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Rzeczypospolitej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961DB0" w:rsidRPr="00D44D33">
        <w:rPr>
          <w:rFonts w:ascii="Times New Roman" w:eastAsia="Times New Roman" w:hAnsi="Times New Roman" w:cs="Times New Roman"/>
          <w:sz w:val="24"/>
          <w:szCs w:val="24"/>
        </w:rPr>
        <w:t>27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iCs/>
          <w:sz w:val="24"/>
          <w:szCs w:val="24"/>
        </w:rPr>
        <w:t>ustawy</w:t>
      </w:r>
      <w:r w:rsidR="00970B2E" w:rsidRPr="00D44D33">
        <w:rPr>
          <w:rFonts w:ascii="Times New Roman" w:eastAsia="Times New Roman" w:hAnsi="Times New Roman" w:cs="Times New Roman"/>
          <w:iCs/>
          <w:sz w:val="24"/>
          <w:szCs w:val="24"/>
        </w:rPr>
        <w:t xml:space="preserve"> </w:t>
      </w:r>
      <w:r w:rsidRPr="00D44D33">
        <w:rPr>
          <w:rFonts w:ascii="Times New Roman" w:eastAsia="Times New Roman" w:hAnsi="Times New Roman" w:cs="Times New Roman"/>
          <w:iCs/>
          <w:sz w:val="24"/>
          <w:szCs w:val="24"/>
        </w:rPr>
        <w:t>z</w:t>
      </w:r>
      <w:r w:rsidR="00970B2E" w:rsidRPr="00D44D33">
        <w:rPr>
          <w:rFonts w:ascii="Times New Roman" w:eastAsia="Times New Roman" w:hAnsi="Times New Roman" w:cs="Times New Roman"/>
          <w:iCs/>
          <w:sz w:val="24"/>
          <w:szCs w:val="24"/>
        </w:rPr>
        <w:t xml:space="preserve"> </w:t>
      </w:r>
      <w:r w:rsidRPr="00D44D33">
        <w:rPr>
          <w:rFonts w:ascii="Times New Roman" w:eastAsia="Times New Roman" w:hAnsi="Times New Roman" w:cs="Times New Roman"/>
          <w:iCs/>
          <w:sz w:val="24"/>
          <w:szCs w:val="24"/>
        </w:rPr>
        <w:t>dnia</w:t>
      </w:r>
      <w:r w:rsidR="00970B2E" w:rsidRPr="00D44D33">
        <w:rPr>
          <w:rFonts w:ascii="Times New Roman" w:eastAsia="Times New Roman" w:hAnsi="Times New Roman" w:cs="Times New Roman"/>
          <w:iCs/>
          <w:sz w:val="24"/>
          <w:szCs w:val="24"/>
        </w:rPr>
        <w:t xml:space="preserve"> </w:t>
      </w:r>
      <w:r w:rsidR="00961DB0" w:rsidRPr="00D44D33">
        <w:rPr>
          <w:rFonts w:ascii="Times New Roman" w:eastAsia="Times New Roman" w:hAnsi="Times New Roman" w:cs="Times New Roman"/>
          <w:iCs/>
          <w:sz w:val="24"/>
          <w:szCs w:val="24"/>
        </w:rPr>
        <w:t>1</w:t>
      </w:r>
      <w:r w:rsidRPr="00D44D33">
        <w:rPr>
          <w:rFonts w:ascii="Times New Roman" w:eastAsia="Times New Roman" w:hAnsi="Times New Roman" w:cs="Times New Roman"/>
          <w:iCs/>
          <w:sz w:val="24"/>
          <w:szCs w:val="24"/>
        </w:rPr>
        <w:t>1</w:t>
      </w:r>
      <w:r w:rsidR="00961DB0" w:rsidRPr="00D44D33">
        <w:rPr>
          <w:rFonts w:ascii="Times New Roman" w:eastAsia="Times New Roman" w:hAnsi="Times New Roman" w:cs="Times New Roman"/>
          <w:iCs/>
          <w:sz w:val="24"/>
          <w:szCs w:val="24"/>
        </w:rPr>
        <w:t xml:space="preserve"> marca 2022 r. o obronie </w:t>
      </w:r>
      <w:r w:rsidR="00F357A4" w:rsidRPr="00D44D33">
        <w:rPr>
          <w:rFonts w:ascii="Times New Roman" w:eastAsia="Times New Roman" w:hAnsi="Times New Roman" w:cs="Times New Roman"/>
          <w:iCs/>
          <w:sz w:val="24"/>
          <w:szCs w:val="24"/>
        </w:rPr>
        <w:t>O</w:t>
      </w:r>
      <w:r w:rsidR="00961DB0" w:rsidRPr="00D44D33">
        <w:rPr>
          <w:rFonts w:ascii="Times New Roman" w:eastAsia="Times New Roman" w:hAnsi="Times New Roman" w:cs="Times New Roman"/>
          <w:iCs/>
          <w:sz w:val="24"/>
          <w:szCs w:val="24"/>
        </w:rPr>
        <w:t xml:space="preserve">jczyzny (Dz. U. poz. </w:t>
      </w:r>
      <w:r w:rsidR="004C248E" w:rsidRPr="00D44D33">
        <w:rPr>
          <w:rFonts w:ascii="Times New Roman" w:eastAsia="Times New Roman" w:hAnsi="Times New Roman" w:cs="Times New Roman"/>
          <w:iCs/>
          <w:sz w:val="24"/>
          <w:szCs w:val="24"/>
        </w:rPr>
        <w:t>2305</w:t>
      </w:r>
      <w:r w:rsidR="00961DB0" w:rsidRPr="00D44D33">
        <w:rPr>
          <w:rFonts w:ascii="Times New Roman" w:eastAsia="Times New Roman" w:hAnsi="Times New Roman" w:cs="Times New Roman"/>
          <w:iCs/>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nawiązuje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czasie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administracji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zobowiązani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rzecz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Zbrojnych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Rzeczypospolitej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realizowane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formalnym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wprowadzeniem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wyjątkowego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wojennego.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sformułowana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rozumiana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definicja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i/>
          <w:iCs/>
          <w:sz w:val="24"/>
          <w:szCs w:val="24"/>
        </w:rPr>
        <w:t>„sytuacji</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szczególnego</w:t>
      </w:r>
      <w:r w:rsidR="00970B2E" w:rsidRPr="00D44D33">
        <w:rPr>
          <w:rFonts w:ascii="Times New Roman" w:eastAsia="Times New Roman" w:hAnsi="Times New Roman" w:cs="Times New Roman"/>
          <w:i/>
          <w:iCs/>
          <w:sz w:val="24"/>
          <w:szCs w:val="24"/>
        </w:rPr>
        <w:t xml:space="preserve"> </w:t>
      </w:r>
      <w:r w:rsidRPr="00D44D33">
        <w:rPr>
          <w:rFonts w:ascii="Times New Roman" w:eastAsia="Times New Roman" w:hAnsi="Times New Roman" w:cs="Times New Roman"/>
          <w:i/>
          <w:iCs/>
          <w:sz w:val="24"/>
          <w:szCs w:val="24"/>
        </w:rPr>
        <w:t>zagrożenia”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kluczowe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Zbrojne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4C248E" w:rsidRPr="00D44D33">
        <w:rPr>
          <w:rFonts w:ascii="Times New Roman" w:eastAsia="Times New Roman" w:hAnsi="Times New Roman" w:cs="Times New Roman"/>
          <w:sz w:val="24"/>
          <w:szCs w:val="24"/>
        </w:rPr>
        <w:t xml:space="preserve">zeczypospolitej </w:t>
      </w:r>
      <w:r w:rsidRPr="00D44D33">
        <w:rPr>
          <w:rFonts w:ascii="Times New Roman" w:eastAsia="Times New Roman" w:hAnsi="Times New Roman" w:cs="Times New Roman"/>
          <w:sz w:val="24"/>
          <w:szCs w:val="24"/>
        </w:rPr>
        <w:t>P</w:t>
      </w:r>
      <w:r w:rsidR="004C248E" w:rsidRPr="00D44D33">
        <w:rPr>
          <w:rFonts w:ascii="Times New Roman" w:eastAsia="Times New Roman" w:hAnsi="Times New Roman" w:cs="Times New Roman"/>
          <w:sz w:val="24"/>
          <w:szCs w:val="24"/>
        </w:rPr>
        <w:t>olskiej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zabezpieczenia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p>
    <w:p w14:paraId="4DF3C60C" w14:textId="64AF1D6E" w:rsidR="003A42FB" w:rsidRPr="00D44D33" w:rsidRDefault="3297BDE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definicji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podkreślono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rolę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polegającą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współpracy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państwowymi.</w:t>
      </w:r>
    </w:p>
    <w:p w14:paraId="1C01A00A" w14:textId="25CD08BA" w:rsidR="004C2CF3" w:rsidRPr="00D44D33" w:rsidRDefault="003A42F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b/>
          <w:sz w:val="24"/>
          <w:szCs w:val="24"/>
        </w:rPr>
        <w:t>D</w:t>
      </w:r>
      <w:r w:rsidR="004C2CF3" w:rsidRPr="00D44D33">
        <w:rPr>
          <w:rFonts w:ascii="Times New Roman" w:eastAsiaTheme="minorEastAsia" w:hAnsi="Times New Roman" w:cs="Times New Roman"/>
          <w:b/>
          <w:bCs/>
          <w:sz w:val="24"/>
          <w:szCs w:val="24"/>
        </w:rPr>
        <w:t>efinicja</w:t>
      </w:r>
      <w:r w:rsidR="00970B2E" w:rsidRPr="00D44D33">
        <w:rPr>
          <w:rFonts w:ascii="Times New Roman" w:eastAsiaTheme="minorEastAsia" w:hAnsi="Times New Roman" w:cs="Times New Roman"/>
          <w:b/>
          <w:bCs/>
          <w:sz w:val="24"/>
          <w:szCs w:val="24"/>
        </w:rPr>
        <w:t xml:space="preserve"> </w:t>
      </w:r>
      <w:r w:rsidR="004C2CF3" w:rsidRPr="00D44D33">
        <w:rPr>
          <w:rFonts w:ascii="Times New Roman" w:eastAsiaTheme="minorEastAsia" w:hAnsi="Times New Roman" w:cs="Times New Roman"/>
          <w:b/>
          <w:bCs/>
          <w:sz w:val="24"/>
          <w:szCs w:val="24"/>
        </w:rPr>
        <w:t>szkodliwych</w:t>
      </w:r>
      <w:r w:rsidR="00970B2E" w:rsidRPr="00D44D33">
        <w:rPr>
          <w:rFonts w:ascii="Times New Roman" w:eastAsiaTheme="minorEastAsia" w:hAnsi="Times New Roman" w:cs="Times New Roman"/>
          <w:b/>
          <w:bCs/>
          <w:sz w:val="24"/>
          <w:szCs w:val="24"/>
        </w:rPr>
        <w:t xml:space="preserve"> </w:t>
      </w:r>
      <w:r w:rsidR="004C2CF3" w:rsidRPr="00D44D33">
        <w:rPr>
          <w:rFonts w:ascii="Times New Roman" w:eastAsiaTheme="minorEastAsia" w:hAnsi="Times New Roman" w:cs="Times New Roman"/>
          <w:b/>
          <w:bCs/>
          <w:sz w:val="24"/>
          <w:szCs w:val="24"/>
        </w:rPr>
        <w:t>zaburzeń</w:t>
      </w:r>
      <w:r w:rsidR="00970B2E" w:rsidRPr="00D44D33">
        <w:rPr>
          <w:rFonts w:ascii="Times New Roman" w:eastAsiaTheme="minorEastAsia" w:hAnsi="Times New Roman" w:cs="Times New Roman"/>
          <w:b/>
          <w:bCs/>
          <w:sz w:val="24"/>
          <w:szCs w:val="24"/>
        </w:rPr>
        <w:t xml:space="preserve"> </w:t>
      </w:r>
      <w:r w:rsidR="004C2CF3" w:rsidRPr="00D44D33">
        <w:rPr>
          <w:rFonts w:ascii="Times New Roman" w:eastAsiaTheme="minorEastAsia" w:hAnsi="Times New Roman" w:cs="Times New Roman"/>
          <w:b/>
          <w:bCs/>
          <w:sz w:val="24"/>
          <w:szCs w:val="24"/>
        </w:rPr>
        <w:t>elektromagnetycznych</w:t>
      </w:r>
      <w:r w:rsidR="00961DB0" w:rsidRPr="00D44D33">
        <w:rPr>
          <w:rFonts w:ascii="Times New Roman" w:eastAsiaTheme="minorEastAsia" w:hAnsi="Times New Roman" w:cs="Times New Roman"/>
          <w:b/>
          <w:bCs/>
          <w:sz w:val="24"/>
          <w:szCs w:val="24"/>
        </w:rPr>
        <w:t xml:space="preserve"> </w:t>
      </w:r>
      <w:r w:rsidR="00961DB0" w:rsidRPr="00D44D33">
        <w:rPr>
          <w:rFonts w:ascii="Times New Roman" w:eastAsia="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szkodliwego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zaburzenia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brzmieniu</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40).</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zaburzenie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zaburzenie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363E66" w:rsidRPr="00D44D33">
        <w:rPr>
          <w:rFonts w:ascii="Times New Roman" w:eastAsiaTheme="minorEastAsia" w:hAnsi="Times New Roman" w:cs="Times New Roman"/>
          <w:sz w:val="24"/>
          <w:szCs w:val="24"/>
        </w:rPr>
        <w:t xml:space="preserve">z dnia 13 kwietnia 2007 r. </w:t>
      </w:r>
      <w:r w:rsidR="004C2CF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przekracza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poziomy</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zaburzenie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dowolne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zjawisko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obniżyć</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jakość</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niekorzystnie</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wpłynąć</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materię</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ożywioną</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rPr>
        <w:t>nieożywioną.</w:t>
      </w:r>
    </w:p>
    <w:p w14:paraId="056565C5" w14:textId="50B96368" w:rsidR="00241D14" w:rsidRPr="00D44D33" w:rsidRDefault="004C2CF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szkodliwych</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zakłóceń</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zagrażają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radionawigacyjnej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poważny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pogarszają,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wielokrotnie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przerywają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inaczej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radiokomunikacji.</w:t>
      </w:r>
    </w:p>
    <w:p w14:paraId="1DFDEAA5" w14:textId="68666911" w:rsidR="1D47D661" w:rsidRPr="00D44D33" w:rsidRDefault="1D47D66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b/>
          <w:bCs/>
          <w:sz w:val="24"/>
          <w:szCs w:val="24"/>
        </w:rPr>
        <w:lastRenderedPageBreak/>
        <w:t>Definicje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świadczenia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telekomunikacyjnych</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oraz</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świadczenia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elektronicznej</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A4F56E5" w:rsidRPr="00D44D33">
        <w:rPr>
          <w:rFonts w:ascii="Times New Roman" w:eastAsiaTheme="minorEastAsia" w:hAnsi="Times New Roman" w:cs="Times New Roman"/>
          <w:sz w:val="24"/>
          <w:szCs w:val="24"/>
        </w:rPr>
        <w:t>d</w:t>
      </w:r>
      <w:r w:rsidRPr="00D44D33">
        <w:rPr>
          <w:rFonts w:ascii="Times New Roman" w:eastAsiaTheme="minorEastAsia" w:hAnsi="Times New Roman" w:cs="Times New Roman"/>
          <w:sz w:val="24"/>
          <w:szCs w:val="24"/>
        </w:rPr>
        <w:t>efinicje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rozróżnienie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węższe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w:t>
      </w:r>
      <w:r w:rsidR="11170715" w:rsidRPr="00D44D33">
        <w:rPr>
          <w:rFonts w:ascii="Times New Roman" w:eastAsiaTheme="minorEastAsia" w:hAnsi="Times New Roman" w:cs="Times New Roman"/>
          <w:sz w:val="24"/>
          <w:szCs w:val="24"/>
        </w:rPr>
        <w:t>sowo</w:t>
      </w:r>
      <w:r w:rsidR="00970B2E" w:rsidRPr="00D44D33">
        <w:rPr>
          <w:rFonts w:ascii="Times New Roman" w:eastAsiaTheme="minorEastAsia" w:hAnsi="Times New Roman" w:cs="Times New Roman"/>
          <w:sz w:val="24"/>
          <w:szCs w:val="24"/>
        </w:rPr>
        <w:t xml:space="preserve"> </w:t>
      </w:r>
      <w:r w:rsidR="11170715"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1170715"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1C6AAAC8" w:rsidRPr="00D44D33">
        <w:rPr>
          <w:rFonts w:ascii="Times New Roman" w:eastAsiaTheme="minorEastAsia" w:hAnsi="Times New Roman" w:cs="Times New Roman"/>
          <w:sz w:val="24"/>
          <w:szCs w:val="24"/>
        </w:rPr>
        <w:t>Ś</w:t>
      </w:r>
      <w:r w:rsidR="1C6AAAC8" w:rsidRPr="00D44D33">
        <w:rPr>
          <w:rFonts w:ascii="Times New Roman" w:eastAsia="Times New Roman" w:hAnsi="Times New Roman" w:cs="Times New Roman"/>
          <w:sz w:val="24"/>
          <w:szCs w:val="24"/>
        </w:rPr>
        <w:t>wiadczenie</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oznacza</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świadczenie</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niewykorzystujących</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numerów.</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Natomiast</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świadczeniem</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wykonywanie</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własnej</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innego</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operatora</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sprzedaż</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własnym</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imieniu</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własny</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rachunek</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wykonywanej</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innego</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1C6AAAC8" w:rsidRPr="00D44D33">
        <w:rPr>
          <w:rFonts w:ascii="Times New Roman" w:eastAsia="Times New Roman" w:hAnsi="Times New Roman" w:cs="Times New Roman"/>
          <w:sz w:val="24"/>
          <w:szCs w:val="24"/>
        </w:rPr>
        <w:t>usług.</w:t>
      </w:r>
    </w:p>
    <w:p w14:paraId="311F78A2" w14:textId="42FFF4E7" w:rsidR="00E33C64" w:rsidRPr="00D44D33" w:rsidRDefault="00E33C64"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b/>
          <w:bCs/>
          <w:sz w:val="24"/>
          <w:szCs w:val="24"/>
        </w:rPr>
        <w:t>Definicja</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telekomunikacji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projektowaną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definicją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nadawanie,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odbiór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transmisję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niezależnie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rodzaju,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przewodów,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fal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bądź</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optycznych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energię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elektromagnetyczną.</w:t>
      </w:r>
      <w:r w:rsidR="00970B2E" w:rsidRPr="00D44D33">
        <w:rPr>
          <w:rFonts w:ascii="Times New Roman" w:eastAsia="Times New Roman" w:hAnsi="Times New Roman" w:cs="Times New Roman"/>
          <w:sz w:val="24"/>
          <w:szCs w:val="24"/>
        </w:rPr>
        <w:t xml:space="preserve"> </w:t>
      </w:r>
      <w:r w:rsidR="1F6CB399"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1F6CB39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F6CB399"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1F6CB39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F6CB399"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1F6CB399" w:rsidRPr="00D44D33">
        <w:rPr>
          <w:rFonts w:ascii="Times New Roman" w:eastAsiaTheme="minorEastAsia" w:hAnsi="Times New Roman" w:cs="Times New Roman"/>
          <w:sz w:val="24"/>
          <w:szCs w:val="24"/>
        </w:rPr>
        <w:t>Pt.</w:t>
      </w:r>
    </w:p>
    <w:p w14:paraId="1F63BDA3" w14:textId="56605355" w:rsidR="00241D14" w:rsidRPr="00D44D33" w:rsidRDefault="7FD523A6" w:rsidP="00D44D33">
      <w:pPr>
        <w:tabs>
          <w:tab w:val="left" w:pos="2820"/>
        </w:tabs>
        <w:spacing w:before="120" w:after="120" w:line="360" w:lineRule="auto"/>
        <w:jc w:val="both"/>
        <w:rPr>
          <w:rFonts w:ascii="Times New Roman" w:eastAsiaTheme="minorEastAsia" w:hAnsi="Times New Roman" w:cs="Times New Roman"/>
          <w:b/>
          <w:bCs/>
          <w:sz w:val="24"/>
          <w:szCs w:val="24"/>
        </w:rPr>
      </w:pPr>
      <w:r w:rsidRPr="00D44D33">
        <w:rPr>
          <w:rFonts w:ascii="Times New Roman" w:eastAsia="Times New Roman" w:hAnsi="Times New Roman" w:cs="Times New Roman"/>
          <w:b/>
          <w:bCs/>
          <w:sz w:val="24"/>
          <w:szCs w:val="24"/>
        </w:rPr>
        <w:t>Definicje</w:t>
      </w:r>
      <w:r w:rsidR="00970B2E" w:rsidRPr="00D44D33">
        <w:rPr>
          <w:rFonts w:ascii="Times New Roman" w:eastAsia="Times New Roman" w:hAnsi="Times New Roman" w:cs="Times New Roman"/>
          <w:b/>
          <w:bCs/>
          <w:sz w:val="24"/>
          <w:szCs w:val="24"/>
        </w:rPr>
        <w:t xml:space="preserve"> </w:t>
      </w:r>
      <w:r w:rsidR="3E2F8996" w:rsidRPr="00D44D33">
        <w:rPr>
          <w:rFonts w:ascii="Times New Roman" w:eastAsia="Times New Roman" w:hAnsi="Times New Roman" w:cs="Times New Roman"/>
          <w:b/>
          <w:bCs/>
          <w:sz w:val="24"/>
          <w:szCs w:val="24"/>
        </w:rPr>
        <w:t>telekomunikacyjne</w:t>
      </w:r>
      <w:r w:rsidR="3E2F8996" w:rsidRPr="00D44D33">
        <w:rPr>
          <w:rFonts w:ascii="Times New Roman" w:eastAsiaTheme="minorEastAsia" w:hAnsi="Times New Roman" w:cs="Times New Roman"/>
          <w:b/>
          <w:bCs/>
          <w:sz w:val="24"/>
          <w:szCs w:val="24"/>
        </w:rPr>
        <w:t>go</w:t>
      </w:r>
      <w:r w:rsidR="00970B2E" w:rsidRPr="00D44D33">
        <w:rPr>
          <w:rFonts w:ascii="Times New Roman" w:eastAsiaTheme="minorEastAsia" w:hAnsi="Times New Roman" w:cs="Times New Roman"/>
          <w:b/>
          <w:bCs/>
          <w:sz w:val="24"/>
          <w:szCs w:val="24"/>
        </w:rPr>
        <w:t xml:space="preserve"> </w:t>
      </w:r>
      <w:r w:rsidR="3E2F8996" w:rsidRPr="00D44D33">
        <w:rPr>
          <w:rFonts w:ascii="Times New Roman" w:eastAsiaTheme="minorEastAsia" w:hAnsi="Times New Roman" w:cs="Times New Roman"/>
          <w:b/>
          <w:bCs/>
          <w:sz w:val="24"/>
          <w:szCs w:val="24"/>
        </w:rPr>
        <w:t>urządzenia</w:t>
      </w:r>
      <w:r w:rsidR="00970B2E" w:rsidRPr="00D44D33">
        <w:rPr>
          <w:rFonts w:ascii="Times New Roman" w:eastAsiaTheme="minorEastAsia" w:hAnsi="Times New Roman" w:cs="Times New Roman"/>
          <w:b/>
          <w:bCs/>
          <w:sz w:val="24"/>
          <w:szCs w:val="24"/>
        </w:rPr>
        <w:t xml:space="preserve"> </w:t>
      </w:r>
      <w:r w:rsidR="3E2F8996" w:rsidRPr="00D44D33">
        <w:rPr>
          <w:rFonts w:ascii="Times New Roman" w:eastAsiaTheme="minorEastAsia" w:hAnsi="Times New Roman" w:cs="Times New Roman"/>
          <w:b/>
          <w:bCs/>
          <w:sz w:val="24"/>
          <w:szCs w:val="24"/>
        </w:rPr>
        <w:t>końcowego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oraz</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urządzenia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telekomunikacyjnego</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70A5D4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270A5D4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70A5D47" w:rsidRPr="00D44D33">
        <w:rPr>
          <w:rFonts w:ascii="Times New Roman" w:eastAsiaTheme="minorEastAsia" w:hAnsi="Times New Roman" w:cs="Times New Roman"/>
          <w:sz w:val="24"/>
          <w:szCs w:val="24"/>
        </w:rPr>
        <w:t>def</w:t>
      </w:r>
      <w:r w:rsidR="77D734E7" w:rsidRPr="00D44D33">
        <w:rPr>
          <w:rFonts w:ascii="Times New Roman" w:eastAsiaTheme="minorEastAsia" w:hAnsi="Times New Roman" w:cs="Times New Roman"/>
          <w:sz w:val="24"/>
          <w:szCs w:val="24"/>
        </w:rPr>
        <w:t>inicją</w:t>
      </w:r>
      <w:r w:rsidR="00970B2E" w:rsidRPr="00D44D33">
        <w:rPr>
          <w:rFonts w:ascii="Times New Roman" w:eastAsiaTheme="minorEastAsia" w:hAnsi="Times New Roman" w:cs="Times New Roman"/>
          <w:sz w:val="24"/>
          <w:szCs w:val="24"/>
        </w:rPr>
        <w:t xml:space="preserve"> </w:t>
      </w:r>
      <w:r w:rsidR="77D734E7" w:rsidRPr="00D44D33">
        <w:rPr>
          <w:rFonts w:ascii="Times New Roman" w:eastAsiaTheme="minorEastAsia" w:hAnsi="Times New Roman" w:cs="Times New Roman"/>
          <w:sz w:val="24"/>
          <w:szCs w:val="24"/>
        </w:rPr>
        <w:t>u</w:t>
      </w:r>
      <w:r w:rsidRPr="00D44D33">
        <w:rPr>
          <w:rFonts w:ascii="Times New Roman" w:eastAsiaTheme="minorEastAsia" w:hAnsi="Times New Roman" w:cs="Times New Roman"/>
          <w:sz w:val="24"/>
          <w:szCs w:val="24"/>
        </w:rPr>
        <w:t>rządzeni</w:t>
      </w:r>
      <w:r w:rsidR="00F357A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w:t>
      </w:r>
      <w:r w:rsidR="00F357A4"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 xml:space="preserve">to </w:t>
      </w:r>
      <w:r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p>
    <w:p w14:paraId="506EE770" w14:textId="259DEA34" w:rsidR="00602BCA" w:rsidRPr="00D44D33" w:rsidRDefault="00DE1418"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trwałego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nośnika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C2CF3" w:rsidRPr="00D44D33">
        <w:rPr>
          <w:rFonts w:ascii="Times New Roman" w:eastAsiaTheme="minorEastAsia" w:hAnsi="Times New Roman" w:cs="Times New Roman"/>
          <w:sz w:val="24"/>
          <w:szCs w:val="24"/>
          <w:shd w:val="clear" w:color="auto" w:fill="FFFFFF"/>
        </w:rPr>
        <w:t>p</w:t>
      </w:r>
      <w:r w:rsidR="0072293E" w:rsidRPr="00D44D33">
        <w:rPr>
          <w:rFonts w:ascii="Times New Roman" w:eastAsiaTheme="minorEastAsia" w:hAnsi="Times New Roman" w:cs="Times New Roman"/>
          <w:sz w:val="24"/>
          <w:szCs w:val="24"/>
          <w:shd w:val="clear" w:color="auto" w:fill="FFFFFF"/>
        </w:rPr>
        <w:t>ojęcie</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trwałego</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nośnika</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zostało</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zdefiniowane</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art.</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2</w:t>
      </w:r>
      <w:r w:rsidR="00970B2E" w:rsidRPr="00D44D33">
        <w:rPr>
          <w:rFonts w:ascii="Times New Roman" w:eastAsiaTheme="minorEastAsia" w:hAnsi="Times New Roman" w:cs="Times New Roman"/>
          <w:sz w:val="24"/>
          <w:szCs w:val="24"/>
          <w:shd w:val="clear" w:color="auto" w:fill="FFFFFF"/>
        </w:rPr>
        <w:t xml:space="preserve"> </w:t>
      </w:r>
      <w:r w:rsidR="00D6136B"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pkt</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4</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ustawy</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z</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dnia</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30</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maja</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2014</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r.</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o</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prawach</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konsumenta</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(Dz.</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U.</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z</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2020</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r.</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poz.</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287</w:t>
      </w:r>
      <w:r w:rsidR="00237422" w:rsidRPr="00D44D33">
        <w:rPr>
          <w:rFonts w:ascii="Times New Roman" w:eastAsiaTheme="minorEastAsia" w:hAnsi="Times New Roman" w:cs="Times New Roman"/>
          <w:sz w:val="24"/>
          <w:szCs w:val="24"/>
          <w:shd w:val="clear" w:color="auto" w:fill="FFFFFF"/>
        </w:rPr>
        <w:t>,</w:t>
      </w:r>
      <w:r w:rsidR="00862484" w:rsidRPr="00D44D33">
        <w:rPr>
          <w:rFonts w:ascii="Times New Roman" w:eastAsiaTheme="minorEastAsia" w:hAnsi="Times New Roman" w:cs="Times New Roman"/>
          <w:sz w:val="24"/>
          <w:szCs w:val="24"/>
        </w:rPr>
        <w:t xml:space="preserve"> z późn. zm.)</w:t>
      </w:r>
      <w:r w:rsidR="00A5481D" w:rsidRPr="00D44D33">
        <w:rPr>
          <w:rFonts w:ascii="Times New Roman" w:eastAsiaTheme="minorEastAsia" w:hAnsi="Times New Roman" w:cs="Times New Roman"/>
          <w:sz w:val="24"/>
          <w:szCs w:val="24"/>
        </w:rPr>
        <w:t xml:space="preserve">, </w:t>
      </w:r>
      <w:r w:rsidR="00A5481D" w:rsidRPr="00D44D33">
        <w:rPr>
          <w:rFonts w:ascii="Times New Roman" w:eastAsiaTheme="minorEastAsia" w:hAnsi="Times New Roman" w:cs="Times New Roman"/>
          <w:sz w:val="24"/>
          <w:szCs w:val="24"/>
        </w:rPr>
        <w:lastRenderedPageBreak/>
        <w:t>zwanej dalej „Upk”</w:t>
      </w:r>
      <w:r w:rsidR="00862484" w:rsidRPr="00D44D33">
        <w:rPr>
          <w:rFonts w:ascii="Times New Roman" w:eastAsiaTheme="minorEastAsia" w:hAnsi="Times New Roman" w:cs="Times New Roman"/>
          <w:sz w:val="24"/>
          <w:szCs w:val="24"/>
        </w:rPr>
        <w:t xml:space="preserve">. </w:t>
      </w:r>
      <w:r w:rsidR="0072293E"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myśl</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tego</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przepisu</w:t>
      </w:r>
      <w:r w:rsidR="00970B2E" w:rsidRPr="00D44D33">
        <w:rPr>
          <w:rFonts w:ascii="Times New Roman" w:eastAsiaTheme="minorEastAsia" w:hAnsi="Times New Roman" w:cs="Times New Roman"/>
          <w:sz w:val="24"/>
          <w:szCs w:val="24"/>
          <w:shd w:val="clear" w:color="auto" w:fill="FFFFFF"/>
        </w:rPr>
        <w:t xml:space="preserve"> </w:t>
      </w:r>
      <w:r w:rsidR="0072293E" w:rsidRPr="00D44D33">
        <w:rPr>
          <w:rFonts w:ascii="Times New Roman" w:eastAsiaTheme="minorEastAsia" w:hAnsi="Times New Roman" w:cs="Times New Roman"/>
          <w:sz w:val="24"/>
          <w:szCs w:val="24"/>
          <w:shd w:val="clear" w:color="auto" w:fill="FFFFFF"/>
        </w:rPr>
        <w:t>t</w:t>
      </w:r>
      <w:r w:rsidR="0072293E" w:rsidRPr="00D44D33">
        <w:rPr>
          <w:rFonts w:ascii="Times New Roman" w:eastAsiaTheme="minorEastAsia" w:hAnsi="Times New Roman" w:cs="Times New Roman"/>
          <w:sz w:val="24"/>
          <w:szCs w:val="24"/>
          <w:lang w:eastAsia="pl-PL"/>
        </w:rPr>
        <w:t>rwały</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nośnik</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materiałem</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narzędziem,</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umożliwia</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konsumentowi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przechowywanie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zapewniając</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mu</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dostęp</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czas</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odpowiedni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celów,</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informacje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służą</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pozwala</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odtworzenie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przechowywanych</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niezmienionej</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postaci.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praktyce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trwały</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nośnik</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musi</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spełniać</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same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funkcje</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co</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forma</w:t>
      </w:r>
      <w:r w:rsidR="00970B2E" w:rsidRPr="00D44D33">
        <w:rPr>
          <w:rFonts w:ascii="Times New Roman" w:eastAsiaTheme="minorEastAsia" w:hAnsi="Times New Roman" w:cs="Times New Roman"/>
          <w:sz w:val="24"/>
          <w:szCs w:val="24"/>
          <w:lang w:eastAsia="pl-PL"/>
        </w:rPr>
        <w:t xml:space="preserve"> </w:t>
      </w:r>
      <w:r w:rsidR="0072293E" w:rsidRPr="00D44D33">
        <w:rPr>
          <w:rFonts w:ascii="Times New Roman" w:eastAsiaTheme="minorEastAsia" w:hAnsi="Times New Roman" w:cs="Times New Roman"/>
          <w:sz w:val="24"/>
          <w:szCs w:val="24"/>
          <w:lang w:eastAsia="pl-PL"/>
        </w:rPr>
        <w:t>papierowa.</w:t>
      </w:r>
      <w:r w:rsidR="00970B2E" w:rsidRPr="00D44D33">
        <w:rPr>
          <w:rFonts w:ascii="Times New Roman" w:eastAsiaTheme="minorEastAsia" w:hAnsi="Times New Roman" w:cs="Times New Roman"/>
          <w:sz w:val="24"/>
          <w:szCs w:val="24"/>
          <w:lang w:eastAsia="pl-PL"/>
        </w:rPr>
        <w:t xml:space="preserve"> </w:t>
      </w:r>
    </w:p>
    <w:p w14:paraId="49B189A1" w14:textId="58EE2631" w:rsidR="004C2CF3" w:rsidRPr="00D44D33" w:rsidRDefault="004C2CF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urządzenia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2014/53/UE.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emituje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p>
    <w:p w14:paraId="3AF9CC71" w14:textId="2C9BCD2A" w:rsidR="786FF7C5" w:rsidRPr="00D44D33" w:rsidRDefault="786FF7C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03D05283" w:rsidRPr="00D44D33">
        <w:rPr>
          <w:rFonts w:ascii="Times New Roman" w:eastAsiaTheme="minorEastAsia" w:hAnsi="Times New Roman" w:cs="Times New Roman"/>
          <w:b/>
          <w:bCs/>
          <w:sz w:val="24"/>
          <w:szCs w:val="24"/>
        </w:rPr>
        <w:t>fakultatywnego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obciążania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rachunku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670309" w:rsidRPr="00D44D33">
        <w:rPr>
          <w:rFonts w:ascii="Times New Roman" w:eastAsia="Times New Roman" w:hAnsi="Times New Roman" w:cs="Times New Roman"/>
          <w:sz w:val="24"/>
          <w:szCs w:val="24"/>
        </w:rPr>
        <w:t>usługę</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polegająca</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pośredniczeniu</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sprzedaży</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towarów</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świadczeniu</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pośredniczeniu</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płatności</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towary</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wartość</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uwzględniana</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rachunku</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wykonane</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00670309"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00A112F7"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A112F7" w:rsidRPr="00D44D33">
        <w:rPr>
          <w:rFonts w:ascii="Times New Roman" w:eastAsia="Times New Roman" w:hAnsi="Times New Roman" w:cs="Times New Roman"/>
          <w:sz w:val="24"/>
          <w:szCs w:val="24"/>
        </w:rPr>
        <w:t>pokrywana</w:t>
      </w:r>
      <w:r w:rsidR="00970B2E" w:rsidRPr="00D44D33">
        <w:rPr>
          <w:rFonts w:ascii="Times New Roman" w:eastAsia="Times New Roman" w:hAnsi="Times New Roman" w:cs="Times New Roman"/>
          <w:sz w:val="24"/>
          <w:szCs w:val="24"/>
        </w:rPr>
        <w:t xml:space="preserve"> </w:t>
      </w:r>
      <w:r w:rsidR="00A112F7"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00A112F7"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00A112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A112F7" w:rsidRPr="00D44D33">
        <w:rPr>
          <w:rFonts w:ascii="Times New Roman" w:eastAsia="Times New Roman" w:hAnsi="Times New Roman" w:cs="Times New Roman"/>
          <w:sz w:val="24"/>
          <w:szCs w:val="24"/>
        </w:rPr>
        <w:t>doładowań.</w:t>
      </w:r>
    </w:p>
    <w:p w14:paraId="1C24D48F" w14:textId="4DEF872A" w:rsidR="009A6575" w:rsidRPr="00D44D33" w:rsidRDefault="754121AA"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interpersonalnej</w:t>
      </w:r>
      <w:r w:rsidR="00970B2E" w:rsidRPr="00D44D33">
        <w:rPr>
          <w:rFonts w:ascii="Times New Roman" w:eastAsiaTheme="minorEastAsia" w:hAnsi="Times New Roman" w:cs="Times New Roman"/>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rozumiana</w:t>
      </w:r>
      <w:r w:rsidR="00970B2E" w:rsidRPr="00D44D33">
        <w:rPr>
          <w:rFonts w:ascii="Times New Roman" w:eastAsiaTheme="minorEastAsia" w:hAnsi="Times New Roman" w:cs="Times New Roman"/>
          <w:sz w:val="24"/>
          <w:szCs w:val="24"/>
        </w:rPr>
        <w:t xml:space="preserve"> </w:t>
      </w:r>
      <w:r w:rsidR="48E46E8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interaktywną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skończoną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odbiorcach,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interaktywna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podrzędną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podstawowej</w:t>
      </w:r>
      <w:r w:rsidR="1117071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motywie</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17</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rodzaje</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czatów</w:t>
      </w:r>
      <w:r w:rsidR="00970B2E" w:rsidRPr="00D44D33">
        <w:rPr>
          <w:rFonts w:ascii="Times New Roman" w:eastAsiaTheme="minorEastAsia" w:hAnsi="Times New Roman" w:cs="Times New Roman"/>
          <w:sz w:val="24"/>
          <w:szCs w:val="24"/>
        </w:rPr>
        <w:t xml:space="preserve"> </w:t>
      </w:r>
      <w:r w:rsidR="78874D4B" w:rsidRPr="00D44D33">
        <w:rPr>
          <w:rFonts w:ascii="Times New Roman" w:eastAsiaTheme="minorEastAsia" w:hAnsi="Times New Roman" w:cs="Times New Roman"/>
          <w:sz w:val="24"/>
          <w:szCs w:val="24"/>
        </w:rPr>
        <w:t>grupowych</w:t>
      </w:r>
      <w:r w:rsidR="14FF4C6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4FF4C64"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6FCB687C"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6FCB687C"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292453A2"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usług</w:t>
      </w:r>
      <w:r w:rsidR="48F91189"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wykorzystując</w:t>
      </w:r>
      <w:r w:rsidR="7C64F6B6"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456D639" w:rsidRPr="00D44D33">
        <w:rPr>
          <w:rFonts w:ascii="Times New Roman" w:eastAsiaTheme="minorEastAsia" w:hAnsi="Times New Roman" w:cs="Times New Roman"/>
          <w:sz w:val="24"/>
          <w:szCs w:val="24"/>
        </w:rPr>
        <w:t>u</w:t>
      </w:r>
      <w:r w:rsidR="009A6575" w:rsidRPr="00D44D33">
        <w:rPr>
          <w:rFonts w:ascii="Times New Roman" w:eastAsiaTheme="minorEastAsia" w:hAnsi="Times New Roman" w:cs="Times New Roman"/>
          <w:sz w:val="24"/>
          <w:szCs w:val="24"/>
        </w:rPr>
        <w:t>sług</w:t>
      </w:r>
      <w:r w:rsidR="400AF3C1"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niewykorzystując</w:t>
      </w:r>
      <w:r w:rsidR="24A4C9E8"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kryterium</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rozróżnienia</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numerami</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planu</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A6575" w:rsidRPr="00D44D33">
        <w:rPr>
          <w:rFonts w:ascii="Times New Roman" w:eastAsiaTheme="minorEastAsia" w:hAnsi="Times New Roman" w:cs="Times New Roman"/>
          <w:sz w:val="24"/>
          <w:szCs w:val="24"/>
        </w:rPr>
        <w:t>międzynarodowej.</w:t>
      </w:r>
      <w:r w:rsidR="00970B2E" w:rsidRPr="00D44D33">
        <w:rPr>
          <w:rFonts w:ascii="Times New Roman" w:eastAsiaTheme="minorEastAsia" w:hAnsi="Times New Roman" w:cs="Times New Roman"/>
          <w:sz w:val="24"/>
          <w:szCs w:val="24"/>
        </w:rPr>
        <w:t xml:space="preserve"> </w:t>
      </w:r>
    </w:p>
    <w:p w14:paraId="4BFB2CB1" w14:textId="6C34A5D1" w:rsidR="07A10C6F" w:rsidRPr="00D44D33" w:rsidRDefault="07A10C6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F357A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zazwyczaj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wynagrodzeniem.</w:t>
      </w:r>
    </w:p>
    <w:p w14:paraId="7DEE6BB9" w14:textId="58CA35B7" w:rsidR="006E0790" w:rsidRPr="00D44D33" w:rsidRDefault="006E079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sz w:val="24"/>
          <w:szCs w:val="24"/>
        </w:rPr>
        <w:t>Definicja</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usługi</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dodatkowym</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świadczeniem</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telekomunikacyjna</w:t>
      </w:r>
      <w:r w:rsidR="00533CD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towarzyszy</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w:t>
      </w:r>
      <w:r w:rsidR="00533CD4"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polegając</w:t>
      </w:r>
      <w:r w:rsidR="00533CD4"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utworów,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rozrywkowych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realizowan</w:t>
      </w:r>
      <w:r w:rsidR="00533CD4"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533CD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imes New Roman" w:hAnsi="Times New Roman" w:cs="Times New Roman"/>
          <w:sz w:val="24"/>
          <w:szCs w:val="24"/>
        </w:rPr>
        <w:t xml:space="preserve"> </w:t>
      </w:r>
    </w:p>
    <w:p w14:paraId="3EA787DA" w14:textId="52494EE2" w:rsidR="00F02018" w:rsidRPr="00D44D33" w:rsidRDefault="004C2CF3"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wartości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wzbogaconej</w:t>
      </w:r>
      <w:r w:rsidR="00970B2E" w:rsidRPr="00D44D33">
        <w:rPr>
          <w:rFonts w:ascii="Times New Roman" w:eastAsiaTheme="minorEastAsia" w:hAnsi="Times New Roman" w:cs="Times New Roman"/>
          <w:b/>
          <w:bCs/>
          <w:sz w:val="24"/>
          <w:szCs w:val="24"/>
        </w:rPr>
        <w:t xml:space="preserve"> </w:t>
      </w:r>
      <w:r w:rsidR="00F02018"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00F02018"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08138F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8138F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9D6508" w:rsidRPr="00D44D33">
        <w:rPr>
          <w:rFonts w:ascii="Times New Roman" w:eastAsiaTheme="minorEastAsia" w:hAnsi="Times New Roman" w:cs="Times New Roman"/>
          <w:sz w:val="24"/>
          <w:szCs w:val="24"/>
        </w:rPr>
        <w:t>wymagająca</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przetworzenia</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tworzących</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wartość</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dodaną</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zdefiniowanych</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hyperlink r:id="rId10">
        <w:r w:rsidR="00F02018" w:rsidRPr="00D44D33">
          <w:rPr>
            <w:rStyle w:val="Hipercze"/>
            <w:rFonts w:ascii="Times New Roman" w:eastAsiaTheme="minorEastAsia" w:hAnsi="Times New Roman" w:cs="Times New Roman"/>
            <w:color w:val="auto"/>
            <w:sz w:val="24"/>
            <w:szCs w:val="24"/>
            <w:u w:val="none"/>
          </w:rPr>
          <w:t>art.</w:t>
        </w:r>
        <w:r w:rsidR="00970B2E" w:rsidRPr="00D44D33">
          <w:rPr>
            <w:rStyle w:val="Hipercze"/>
            <w:rFonts w:ascii="Times New Roman" w:eastAsiaTheme="minorEastAsia" w:hAnsi="Times New Roman" w:cs="Times New Roman"/>
            <w:color w:val="auto"/>
            <w:sz w:val="24"/>
            <w:szCs w:val="24"/>
            <w:u w:val="none"/>
          </w:rPr>
          <w:t xml:space="preserve"> </w:t>
        </w:r>
        <w:r w:rsidR="00F02018" w:rsidRPr="00D44D33">
          <w:rPr>
            <w:rStyle w:val="Hipercze"/>
            <w:rFonts w:ascii="Times New Roman" w:eastAsiaTheme="minorEastAsia" w:hAnsi="Times New Roman" w:cs="Times New Roman"/>
            <w:color w:val="auto"/>
            <w:sz w:val="24"/>
            <w:szCs w:val="24"/>
            <w:u w:val="none"/>
          </w:rPr>
          <w:t>2</w:t>
        </w:r>
        <w:r w:rsidR="00970B2E" w:rsidRPr="00D44D33">
          <w:rPr>
            <w:rStyle w:val="Hipercze"/>
            <w:rFonts w:ascii="Times New Roman" w:eastAsiaTheme="minorEastAsia" w:hAnsi="Times New Roman" w:cs="Times New Roman"/>
            <w:color w:val="auto"/>
            <w:sz w:val="24"/>
            <w:szCs w:val="24"/>
            <w:u w:val="none"/>
          </w:rPr>
          <w:t xml:space="preserve"> </w:t>
        </w:r>
        <w:r w:rsidR="00F02018" w:rsidRPr="00D44D33">
          <w:rPr>
            <w:rStyle w:val="Hipercze"/>
            <w:rFonts w:ascii="Times New Roman" w:eastAsiaTheme="minorEastAsia" w:hAnsi="Times New Roman" w:cs="Times New Roman"/>
            <w:color w:val="auto"/>
            <w:sz w:val="24"/>
            <w:szCs w:val="24"/>
            <w:u w:val="none"/>
          </w:rPr>
          <w:t>lit.</w:t>
        </w:r>
        <w:r w:rsidR="00970B2E" w:rsidRPr="00D44D33">
          <w:rPr>
            <w:rStyle w:val="Hipercze"/>
            <w:rFonts w:ascii="Times New Roman" w:eastAsiaTheme="minorEastAsia" w:hAnsi="Times New Roman" w:cs="Times New Roman"/>
            <w:color w:val="auto"/>
            <w:sz w:val="24"/>
            <w:szCs w:val="24"/>
            <w:u w:val="none"/>
          </w:rPr>
          <w:t xml:space="preserve"> </w:t>
        </w:r>
        <w:r w:rsidR="00F02018" w:rsidRPr="00D44D33">
          <w:rPr>
            <w:rStyle w:val="Hipercze"/>
            <w:rFonts w:ascii="Times New Roman" w:eastAsiaTheme="minorEastAsia" w:hAnsi="Times New Roman" w:cs="Times New Roman"/>
            <w:color w:val="auto"/>
            <w:sz w:val="24"/>
            <w:szCs w:val="24"/>
            <w:u w:val="none"/>
          </w:rPr>
          <w:t>g</w:t>
        </w:r>
      </w:hyperlink>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F02018" w:rsidRPr="00D44D33">
        <w:rPr>
          <w:rFonts w:ascii="Times New Roman" w:eastAsiaTheme="minorEastAsia" w:hAnsi="Times New Roman" w:cs="Times New Roman"/>
          <w:sz w:val="24"/>
          <w:szCs w:val="24"/>
        </w:rPr>
        <w:t>2002/58/WE.</w:t>
      </w:r>
    </w:p>
    <w:p w14:paraId="3C13828C" w14:textId="54705007" w:rsidR="00602BCA" w:rsidRPr="00D44D33" w:rsidRDefault="0F319B53"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elektronicznej</w:t>
      </w:r>
      <w:r w:rsidR="00970B2E" w:rsidRPr="00D44D33">
        <w:rPr>
          <w:rFonts w:ascii="Times New Roman" w:eastAsiaTheme="minorEastAsia" w:hAnsi="Times New Roman" w:cs="Times New Roman"/>
          <w:sz w:val="24"/>
          <w:szCs w:val="24"/>
        </w:rPr>
        <w:t xml:space="preserve"> </w:t>
      </w:r>
      <w:r w:rsidR="04F5FA3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4F5FA38"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4F5FA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4F5FA38"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04F5FA38"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rozumiana</w:t>
      </w:r>
      <w:r w:rsidR="00970B2E" w:rsidRPr="00D44D33">
        <w:rPr>
          <w:rFonts w:ascii="Times New Roman" w:eastAsiaTheme="minorEastAsia" w:hAnsi="Times New Roman" w:cs="Times New Roman"/>
          <w:sz w:val="24"/>
          <w:szCs w:val="24"/>
        </w:rPr>
        <w:t xml:space="preserve"> </w:t>
      </w:r>
      <w:r w:rsidR="4D279C4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zwykle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wynagrodzeniem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obejmująca:</w:t>
      </w:r>
    </w:p>
    <w:p w14:paraId="53841238" w14:textId="5B1EF950" w:rsidR="00602BCA" w:rsidRPr="00371EEA" w:rsidRDefault="00602BCA" w:rsidP="00371EEA">
      <w:pPr>
        <w:pStyle w:val="Akapitzlist"/>
        <w:numPr>
          <w:ilvl w:val="0"/>
          <w:numId w:val="138"/>
        </w:numPr>
        <w:tabs>
          <w:tab w:val="left" w:pos="2820"/>
        </w:tabs>
        <w:spacing w:before="120" w:after="120" w:line="360" w:lineRule="auto"/>
        <w:ind w:left="426"/>
        <w:jc w:val="both"/>
        <w:rPr>
          <w:rFonts w:ascii="Times New Roman" w:eastAsiaTheme="minorEastAsia" w:hAnsi="Times New Roman" w:cs="Times New Roman"/>
          <w:sz w:val="24"/>
          <w:szCs w:val="24"/>
        </w:rPr>
      </w:pPr>
      <w:r w:rsidRPr="00371EEA">
        <w:rPr>
          <w:rFonts w:ascii="Times New Roman" w:eastAsiaTheme="minorEastAsia" w:hAnsi="Times New Roman" w:cs="Times New Roman"/>
          <w:sz w:val="24"/>
          <w:szCs w:val="24"/>
        </w:rPr>
        <w:t>usługę</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dostępu</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do</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internetu</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w</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rozumieniu</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art.</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2</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akapit</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drugi</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pkt</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2</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rozporządzenia</w:t>
      </w:r>
      <w:r w:rsidR="00F357A4" w:rsidRPr="00371EEA">
        <w:rPr>
          <w:rFonts w:ascii="Times New Roman" w:eastAsiaTheme="minorEastAsia" w:hAnsi="Times New Roman" w:cs="Times New Roman"/>
          <w:sz w:val="24"/>
          <w:szCs w:val="24"/>
        </w:rPr>
        <w:t xml:space="preserve"> Parlamentu Europejskiego i Rady (UE) nr 2015/2120 z dnia 25 listopada 2015 r. ustanawiającego środki dotyczące dostępu do otwartego internetu oraz zmieniającego dyrektywę 2002/22/WE w sprawie usługi powszechnej i związanych z sieciami i usługami łączności elektronicznej praw użytkowników, a także rozporządzenie (UE) nr 531/2012 w sprawie roamingu w publicznych sieciach łączności ruchomej wewnątrz Unii (Dz. Urz. UE L 310 z 26.11.2015, str. 1, z późn. zm.)</w:t>
      </w:r>
      <w:r w:rsidRPr="00371EEA">
        <w:rPr>
          <w:rFonts w:ascii="Times New Roman" w:eastAsiaTheme="minorEastAsia" w:hAnsi="Times New Roman" w:cs="Times New Roman"/>
          <w:sz w:val="24"/>
          <w:szCs w:val="24"/>
        </w:rPr>
        <w:t>,</w:t>
      </w:r>
    </w:p>
    <w:p w14:paraId="0CBBD4A0" w14:textId="2CC8C148" w:rsidR="00602BCA" w:rsidRPr="00371EEA" w:rsidRDefault="00602BCA" w:rsidP="00371EEA">
      <w:pPr>
        <w:pStyle w:val="Akapitzlist"/>
        <w:numPr>
          <w:ilvl w:val="0"/>
          <w:numId w:val="138"/>
        </w:numPr>
        <w:tabs>
          <w:tab w:val="left" w:pos="2820"/>
        </w:tabs>
        <w:spacing w:before="120" w:after="120" w:line="360" w:lineRule="auto"/>
        <w:ind w:left="426"/>
        <w:jc w:val="both"/>
        <w:rPr>
          <w:rFonts w:ascii="Times New Roman" w:eastAsiaTheme="minorEastAsia" w:hAnsi="Times New Roman" w:cs="Times New Roman"/>
          <w:sz w:val="24"/>
          <w:szCs w:val="24"/>
        </w:rPr>
      </w:pPr>
      <w:r w:rsidRPr="00371EEA">
        <w:rPr>
          <w:rFonts w:ascii="Times New Roman" w:eastAsiaTheme="minorEastAsia" w:hAnsi="Times New Roman" w:cs="Times New Roman"/>
          <w:sz w:val="24"/>
          <w:szCs w:val="24"/>
        </w:rPr>
        <w:t>usługę</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komunikacji</w:t>
      </w:r>
      <w:r w:rsidR="00970B2E" w:rsidRPr="00371EEA">
        <w:rPr>
          <w:rFonts w:ascii="Times New Roman" w:eastAsiaTheme="minorEastAsia" w:hAnsi="Times New Roman" w:cs="Times New Roman"/>
          <w:sz w:val="24"/>
          <w:szCs w:val="24"/>
        </w:rPr>
        <w:t xml:space="preserve"> </w:t>
      </w:r>
      <w:r w:rsidRPr="00371EEA">
        <w:rPr>
          <w:rFonts w:ascii="Times New Roman" w:eastAsiaTheme="minorEastAsia" w:hAnsi="Times New Roman" w:cs="Times New Roman"/>
          <w:sz w:val="24"/>
          <w:szCs w:val="24"/>
        </w:rPr>
        <w:t>interpersonalnej,</w:t>
      </w:r>
      <w:r w:rsidR="00970B2E" w:rsidRPr="00371EEA">
        <w:rPr>
          <w:rFonts w:ascii="Times New Roman" w:eastAsiaTheme="minorEastAsia" w:hAnsi="Times New Roman" w:cs="Times New Roman"/>
          <w:sz w:val="24"/>
          <w:szCs w:val="24"/>
        </w:rPr>
        <w:t xml:space="preserve"> </w:t>
      </w:r>
    </w:p>
    <w:p w14:paraId="1D604E42" w14:textId="140553A5" w:rsidR="00602BCA" w:rsidRPr="00371EEA" w:rsidRDefault="42D325BD" w:rsidP="00371EEA">
      <w:pPr>
        <w:pStyle w:val="Akapitzlist"/>
        <w:numPr>
          <w:ilvl w:val="0"/>
          <w:numId w:val="138"/>
        </w:numPr>
        <w:spacing w:line="360" w:lineRule="auto"/>
        <w:ind w:left="426"/>
        <w:jc w:val="both"/>
        <w:rPr>
          <w:rFonts w:ascii="Times New Roman" w:eastAsia="Times" w:hAnsi="Times New Roman" w:cs="Times New Roman"/>
          <w:sz w:val="24"/>
          <w:szCs w:val="24"/>
        </w:rPr>
      </w:pPr>
      <w:r w:rsidRPr="00371EEA">
        <w:rPr>
          <w:rFonts w:ascii="Times New Roman" w:eastAsia="Times" w:hAnsi="Times New Roman" w:cs="Times New Roman"/>
          <w:sz w:val="24"/>
          <w:szCs w:val="24"/>
        </w:rPr>
        <w:t>usług</w:t>
      </w:r>
      <w:r w:rsidR="00F05928" w:rsidRPr="00371EEA">
        <w:rPr>
          <w:rFonts w:ascii="Times New Roman" w:eastAsia="Times" w:hAnsi="Times New Roman" w:cs="Times New Roman"/>
          <w:sz w:val="24"/>
          <w:szCs w:val="24"/>
        </w:rPr>
        <w:t>i</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polegając</w:t>
      </w:r>
      <w:r w:rsidR="00F05928" w:rsidRPr="00371EEA">
        <w:rPr>
          <w:rFonts w:ascii="Times New Roman" w:eastAsia="Times" w:hAnsi="Times New Roman" w:cs="Times New Roman"/>
          <w:sz w:val="24"/>
          <w:szCs w:val="24"/>
        </w:rPr>
        <w:t>e</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całkowicie</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lub</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głównie</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na</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przekazywaniu</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sygnałów,</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w</w:t>
      </w:r>
      <w:r w:rsidR="00970B2E" w:rsidRPr="00371EEA">
        <w:rPr>
          <w:rFonts w:ascii="Times New Roman" w:eastAsia="Times" w:hAnsi="Times New Roman" w:cs="Times New Roman"/>
          <w:sz w:val="24"/>
          <w:szCs w:val="24"/>
        </w:rPr>
        <w:t xml:space="preserve"> </w:t>
      </w:r>
      <w:r w:rsidRPr="00371EEA">
        <w:rPr>
          <w:rFonts w:ascii="Times New Roman" w:eastAsia="Times" w:hAnsi="Times New Roman" w:cs="Times New Roman"/>
          <w:sz w:val="24"/>
          <w:szCs w:val="24"/>
        </w:rPr>
        <w:t>szczególności:</w:t>
      </w:r>
      <w:r w:rsidR="00970B2E" w:rsidRPr="00371EEA">
        <w:rPr>
          <w:rFonts w:ascii="Times New Roman" w:eastAsia="Times" w:hAnsi="Times New Roman" w:cs="Times New Roman"/>
          <w:sz w:val="24"/>
          <w:szCs w:val="24"/>
        </w:rPr>
        <w:t xml:space="preserve"> </w:t>
      </w:r>
    </w:p>
    <w:p w14:paraId="2DC63501" w14:textId="0521CD06" w:rsidR="42D325BD" w:rsidRPr="00D44D33" w:rsidRDefault="42D325BD" w:rsidP="00D44D33">
      <w:pPr>
        <w:pStyle w:val="Akapitzlist"/>
        <w:numPr>
          <w:ilvl w:val="0"/>
          <w:numId w:val="2"/>
        </w:numPr>
        <w:spacing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przesyłanie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sygnałów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niezależnie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stosowanej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69898DD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9898DD1"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69898DD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9898DD1"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12BA9E8B"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0AD179C7" w:rsidRPr="00D44D33">
        <w:rPr>
          <w:rFonts w:ascii="Times New Roman" w:eastAsia="Times New Roman" w:hAnsi="Times New Roman" w:cs="Times New Roman"/>
          <w:sz w:val="24"/>
          <w:szCs w:val="24"/>
        </w:rPr>
        <w:t>V</w:t>
      </w:r>
      <w:r w:rsidR="034C882F" w:rsidRPr="00D44D33">
        <w:rPr>
          <w:rFonts w:ascii="Times New Roman" w:eastAsia="Times New Roman" w:hAnsi="Times New Roman" w:cs="Times New Roman"/>
          <w:sz w:val="24"/>
          <w:szCs w:val="24"/>
        </w:rPr>
        <w:t>oice</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over</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LTE,</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Voice</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over</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WiFi</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0F05928"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034C882F" w:rsidRPr="00D44D33">
        <w:rPr>
          <w:rFonts w:ascii="Times New Roman" w:eastAsia="Times New Roman" w:hAnsi="Times New Roman" w:cs="Times New Roman"/>
          <w:sz w:val="24"/>
          <w:szCs w:val="24"/>
        </w:rPr>
        <w:t>późniejszych</w:t>
      </w:r>
      <w:r w:rsidR="00F0592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F05928" w:rsidRPr="00D44D33">
        <w:rPr>
          <w:rFonts w:ascii="Times New Roman" w:eastAsia="Times New Roman" w:hAnsi="Times New Roman" w:cs="Times New Roman"/>
          <w:sz w:val="24"/>
          <w:szCs w:val="24"/>
        </w:rPr>
        <w:t>będących</w:t>
      </w:r>
      <w:r w:rsidR="00970B2E" w:rsidRPr="00D44D33">
        <w:rPr>
          <w:rFonts w:ascii="Times New Roman" w:eastAsia="Times New Roman" w:hAnsi="Times New Roman" w:cs="Times New Roman"/>
          <w:sz w:val="24"/>
          <w:szCs w:val="24"/>
        </w:rPr>
        <w:t xml:space="preserve"> </w:t>
      </w:r>
      <w:r w:rsidR="00F05928" w:rsidRPr="00D44D33">
        <w:rPr>
          <w:rFonts w:ascii="Times New Roman" w:eastAsia="Times New Roman" w:hAnsi="Times New Roman" w:cs="Times New Roman"/>
          <w:sz w:val="24"/>
          <w:szCs w:val="24"/>
        </w:rPr>
        <w:t>następcami</w:t>
      </w:r>
      <w:r w:rsidR="00970B2E" w:rsidRPr="00D44D33">
        <w:rPr>
          <w:rFonts w:ascii="Times New Roman" w:eastAsia="Times New Roman" w:hAnsi="Times New Roman" w:cs="Times New Roman"/>
          <w:sz w:val="24"/>
          <w:szCs w:val="24"/>
        </w:rPr>
        <w:t xml:space="preserve"> </w:t>
      </w:r>
      <w:r w:rsidR="00F05928" w:rsidRPr="00D44D33">
        <w:rPr>
          <w:rFonts w:ascii="Times New Roman" w:eastAsia="Times New Roman" w:hAnsi="Times New Roman" w:cs="Times New Roman"/>
          <w:sz w:val="24"/>
          <w:szCs w:val="24"/>
        </w:rPr>
        <w:t>wykorzystywanych</w:t>
      </w:r>
      <w:r w:rsidR="00970B2E" w:rsidRPr="00D44D33">
        <w:rPr>
          <w:rFonts w:ascii="Times New Roman" w:eastAsia="Times New Roman" w:hAnsi="Times New Roman" w:cs="Times New Roman"/>
          <w:sz w:val="24"/>
          <w:szCs w:val="24"/>
        </w:rPr>
        <w:t xml:space="preserve"> </w:t>
      </w:r>
      <w:r w:rsidR="00F05928" w:rsidRPr="00D44D33">
        <w:rPr>
          <w:rFonts w:ascii="Times New Roman" w:eastAsia="Times New Roman" w:hAnsi="Times New Roman" w:cs="Times New Roman"/>
          <w:sz w:val="24"/>
          <w:szCs w:val="24"/>
        </w:rPr>
        <w:t>obecnie</w:t>
      </w:r>
      <w:r w:rsidR="08111B60" w:rsidRPr="00D44D33">
        <w:rPr>
          <w:rFonts w:ascii="Times New Roman" w:eastAsia="Times New Roman" w:hAnsi="Times New Roman" w:cs="Times New Roman"/>
          <w:sz w:val="24"/>
          <w:szCs w:val="24"/>
        </w:rPr>
        <w:t>)</w:t>
      </w:r>
      <w:r w:rsidRPr="00D44D33">
        <w:rPr>
          <w:rFonts w:ascii="Times New Roman" w:eastAsia="Times New Roman" w:hAnsi="Times New Roman" w:cs="Times New Roman"/>
          <w:sz w:val="24"/>
          <w:szCs w:val="24"/>
        </w:rPr>
        <w:t>,</w:t>
      </w:r>
      <w:r w:rsidR="00371EEA">
        <w:rPr>
          <w:rFonts w:ascii="Times New Roman" w:eastAsia="Times New Roman" w:hAnsi="Times New Roman" w:cs="Times New Roman"/>
          <w:sz w:val="24"/>
          <w:szCs w:val="24"/>
        </w:rPr>
        <w:t xml:space="preserve"> </w:t>
      </w:r>
    </w:p>
    <w:p w14:paraId="4BD3809B" w14:textId="54AF0ADF" w:rsidR="42D325BD" w:rsidRPr="00D44D33" w:rsidRDefault="42D325BD" w:rsidP="00D44D33">
      <w:pPr>
        <w:pStyle w:val="Akapitzlist"/>
        <w:numPr>
          <w:ilvl w:val="0"/>
          <w:numId w:val="2"/>
        </w:numPr>
        <w:spacing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usługę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transmisyjną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stosowaną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maszyna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maszyna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nadawania</w:t>
      </w:r>
      <w:r w:rsidR="00CB53D7" w:rsidRPr="00D44D33">
        <w:rPr>
          <w:rFonts w:ascii="Times New Roman" w:eastAsia="Times New Roman" w:hAnsi="Times New Roman" w:cs="Times New Roman"/>
          <w:sz w:val="24"/>
          <w:szCs w:val="24"/>
        </w:rPr>
        <w:t>.</w:t>
      </w:r>
    </w:p>
    <w:p w14:paraId="3FC916A0" w14:textId="07FDAD48" w:rsidR="00602BCA" w:rsidRPr="00D44D33" w:rsidRDefault="00602BCA"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2A259852" w:rsidRPr="00D44D33">
        <w:rPr>
          <w:rFonts w:ascii="Times New Roman" w:eastAsiaTheme="minorEastAsia" w:hAnsi="Times New Roman" w:cs="Times New Roman"/>
          <w:sz w:val="24"/>
          <w:szCs w:val="24"/>
        </w:rPr>
        <w:t>.</w:t>
      </w:r>
    </w:p>
    <w:p w14:paraId="2075DE2E" w14:textId="72AC571C" w:rsidR="00FF7922" w:rsidRPr="00D44D33" w:rsidRDefault="2A25985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wymienione</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szeroki</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zakres</w:t>
      </w:r>
      <w:r w:rsidR="00F357A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wskazywanie</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enumeratywnie</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2FDB86B0" w:rsidRPr="00D44D33">
        <w:rPr>
          <w:rFonts w:ascii="Times New Roman" w:eastAsiaTheme="minorEastAsia" w:hAnsi="Times New Roman" w:cs="Times New Roman"/>
          <w:sz w:val="24"/>
          <w:szCs w:val="24"/>
        </w:rPr>
        <w:t>wywołać</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interpretacyjne</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niewskazanych</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BBA161"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zaliczane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funkcjonuje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węższa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zakresowo</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jednoznacznie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rozstrzygnięta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wyroku</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Trybunału</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Sprawiedliwości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listopada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2013</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C-518/11</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(UPC</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Nederland</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BV</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v.</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Gemeente</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Hilversum)</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wyroku</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Sądu</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listopada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2013</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(sygn.</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akt</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XVII</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AmA</w:t>
      </w:r>
      <w:r w:rsidR="00970B2E" w:rsidRPr="00D44D33">
        <w:rPr>
          <w:rFonts w:ascii="Times New Roman" w:eastAsiaTheme="minorEastAsia" w:hAnsi="Times New Roman" w:cs="Times New Roman"/>
          <w:sz w:val="24"/>
          <w:szCs w:val="24"/>
        </w:rPr>
        <w:t xml:space="preserve"> </w:t>
      </w:r>
      <w:r w:rsidR="5F705013" w:rsidRPr="00D44D33">
        <w:rPr>
          <w:rFonts w:ascii="Times New Roman" w:eastAsiaTheme="minorEastAsia" w:hAnsi="Times New Roman" w:cs="Times New Roman"/>
          <w:sz w:val="24"/>
          <w:szCs w:val="24"/>
        </w:rPr>
        <w:t>5/12).</w:t>
      </w:r>
    </w:p>
    <w:p w14:paraId="1CB40771" w14:textId="3A67D8AB" w:rsidR="00201042" w:rsidRPr="00D44D33" w:rsidRDefault="0020104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telekomunikacyjnej</w:t>
      </w:r>
      <w:r w:rsidR="00970B2E" w:rsidRPr="00D44D33">
        <w:rPr>
          <w:rFonts w:ascii="Times New Roman" w:eastAsiaTheme="minorEastAsia" w:hAnsi="Times New Roman" w:cs="Times New Roman"/>
          <w:b/>
          <w:bCs/>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004B6620"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pojęciem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węższym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001069B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obejmuje</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swoim</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zakresem</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polegające</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dostępie</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wykorzystujące</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numery</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usługę</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polegającą</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całkowicie</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głównie</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przekazywaniu</w:t>
      </w:r>
      <w:r w:rsidR="00970B2E" w:rsidRPr="00D44D33">
        <w:rPr>
          <w:rFonts w:ascii="Times New Roman" w:eastAsia="Times New Roman" w:hAnsi="Times New Roman" w:cs="Times New Roman"/>
          <w:sz w:val="24"/>
          <w:szCs w:val="24"/>
        </w:rPr>
        <w:t xml:space="preserve"> </w:t>
      </w:r>
      <w:r w:rsidR="43E66A01" w:rsidRPr="00D44D33">
        <w:rPr>
          <w:rFonts w:ascii="Times New Roman" w:eastAsia="Times New Roman" w:hAnsi="Times New Roman" w:cs="Times New Roman"/>
          <w:sz w:val="24"/>
          <w:szCs w:val="24"/>
        </w:rPr>
        <w:t>sygnałów.</w:t>
      </w:r>
    </w:p>
    <w:p w14:paraId="7F782EFB" w14:textId="633072E7" w:rsidR="00086241" w:rsidRPr="00D44D33" w:rsidRDefault="0008624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użytkowania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cywilnego,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użytkowania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rządowego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oraz</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użytkowania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cywilno-rządowego</w:t>
      </w:r>
      <w:r w:rsidR="00961DB0" w:rsidRPr="00D44D33">
        <w:rPr>
          <w:rFonts w:ascii="Times New Roman" w:eastAsiaTheme="minorEastAsia" w:hAnsi="Times New Roman" w:cs="Times New Roman"/>
          <w:b/>
          <w:bCs/>
          <w:sz w:val="24"/>
          <w:szCs w:val="24"/>
        </w:rPr>
        <w:t xml:space="preserve"> </w:t>
      </w:r>
      <w:r w:rsidR="00961D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Tablicy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załącznik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Tablicy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AD55A1" w:rsidRPr="00D44D33">
        <w:rPr>
          <w:rFonts w:ascii="Times New Roman" w:eastAsiaTheme="minorEastAsia" w:hAnsi="Times New Roman" w:cs="Times New Roman"/>
          <w:sz w:val="24"/>
          <w:szCs w:val="24"/>
        </w:rPr>
        <w:t>(Dz. U. z 202</w:t>
      </w:r>
      <w:r w:rsidR="00BC6A1D" w:rsidRPr="00D44D33">
        <w:rPr>
          <w:rFonts w:ascii="Times New Roman" w:eastAsiaTheme="minorEastAsia" w:hAnsi="Times New Roman" w:cs="Times New Roman"/>
          <w:sz w:val="24"/>
          <w:szCs w:val="24"/>
        </w:rPr>
        <w:t>2</w:t>
      </w:r>
      <w:r w:rsidR="00AD55A1" w:rsidRPr="00D44D33">
        <w:rPr>
          <w:rFonts w:ascii="Times New Roman" w:eastAsiaTheme="minorEastAsia" w:hAnsi="Times New Roman" w:cs="Times New Roman"/>
          <w:sz w:val="24"/>
          <w:szCs w:val="24"/>
        </w:rPr>
        <w:t xml:space="preserve"> r. poz. </w:t>
      </w:r>
      <w:r w:rsidR="00BC6A1D" w:rsidRPr="00D44D33">
        <w:rPr>
          <w:rFonts w:ascii="Times New Roman" w:eastAsiaTheme="minorEastAsia" w:hAnsi="Times New Roman" w:cs="Times New Roman"/>
          <w:sz w:val="24"/>
          <w:szCs w:val="24"/>
        </w:rPr>
        <w:t>1988</w:t>
      </w:r>
      <w:r w:rsidR="00AD55A1"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cywilno-rządowego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rangi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ustawowej.</w:t>
      </w:r>
    </w:p>
    <w:p w14:paraId="40AF5E7A" w14:textId="76E81901" w:rsidR="00CC5781" w:rsidRPr="00D44D33" w:rsidRDefault="2076EDE2" w:rsidP="00D44D33">
      <w:pPr>
        <w:tabs>
          <w:tab w:val="left" w:pos="2820"/>
        </w:tabs>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użytkownika</w:t>
      </w:r>
      <w:r w:rsidR="00970B2E" w:rsidRPr="00D44D33">
        <w:rPr>
          <w:rFonts w:ascii="Times New Roman" w:eastAsiaTheme="minorEastAsia" w:hAnsi="Times New Roman" w:cs="Times New Roman"/>
          <w:sz w:val="24"/>
          <w:szCs w:val="24"/>
        </w:rPr>
        <w:t xml:space="preserve"> </w:t>
      </w:r>
      <w:r w:rsidR="007446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C2B0BE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22C83B93" w14:textId="0EC17877" w:rsidR="00CC5781" w:rsidRPr="00D44D33" w:rsidRDefault="00CC5781"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użytkownika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końcowego</w:t>
      </w:r>
      <w:r w:rsidR="00970B2E" w:rsidRPr="00D44D33">
        <w:rPr>
          <w:rFonts w:ascii="Times New Roman" w:eastAsiaTheme="minorEastAsia" w:hAnsi="Times New Roman" w:cs="Times New Roman"/>
          <w:b/>
          <w:bCs/>
          <w:sz w:val="24"/>
          <w:szCs w:val="24"/>
        </w:rPr>
        <w:t xml:space="preserve"> </w:t>
      </w:r>
      <w:r w:rsidR="007446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użytkownikiem</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korzystający</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żądający</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zaspokojenia</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własnych</w:t>
      </w:r>
      <w:r w:rsidR="00970B2E" w:rsidRPr="00D44D33">
        <w:rPr>
          <w:rFonts w:ascii="Times New Roman" w:eastAsiaTheme="minorEastAsia" w:hAnsi="Times New Roman" w:cs="Times New Roman"/>
          <w:sz w:val="24"/>
          <w:szCs w:val="24"/>
        </w:rPr>
        <w:t xml:space="preserve"> </w:t>
      </w:r>
      <w:r w:rsidR="004B6620" w:rsidRPr="00D44D33">
        <w:rPr>
          <w:rFonts w:ascii="Times New Roman" w:eastAsiaTheme="minorEastAsia" w:hAnsi="Times New Roman" w:cs="Times New Roman"/>
          <w:sz w:val="24"/>
          <w:szCs w:val="24"/>
        </w:rPr>
        <w:t>potrzeb.</w:t>
      </w:r>
    </w:p>
    <w:p w14:paraId="76A2344A" w14:textId="1654046C" w:rsidR="00E33959" w:rsidRPr="00D44D33" w:rsidRDefault="00E3395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użytkownika</w:t>
      </w:r>
      <w:r w:rsidR="00970B2E" w:rsidRPr="00D44D33">
        <w:rPr>
          <w:rFonts w:ascii="Times New Roman" w:eastAsiaTheme="minorEastAsia" w:hAnsi="Times New Roman" w:cs="Times New Roman"/>
          <w:b/>
          <w:bCs/>
          <w:sz w:val="24"/>
          <w:szCs w:val="24"/>
        </w:rPr>
        <w:t xml:space="preserve"> </w:t>
      </w:r>
      <w:r w:rsidR="00FB5435" w:rsidRPr="00D44D33">
        <w:rPr>
          <w:rFonts w:ascii="Times New Roman" w:eastAsiaTheme="minorEastAsia" w:hAnsi="Times New Roman" w:cs="Times New Roman"/>
          <w:b/>
          <w:bCs/>
          <w:sz w:val="24"/>
          <w:szCs w:val="24"/>
        </w:rPr>
        <w:t>satelitarnej usługi o regulowanym 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delegowanej</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15</w:t>
      </w:r>
      <w:r w:rsidR="00F357A4" w:rsidRPr="00D44D33">
        <w:rPr>
          <w:rFonts w:ascii="Times New Roman" w:eastAsiaTheme="minorEastAsia" w:hAnsi="Times New Roman" w:cs="Times New Roman"/>
          <w:sz w:val="24"/>
          <w:szCs w:val="24"/>
        </w:rPr>
        <w:t xml:space="preserve"> września </w:t>
      </w:r>
      <w:r w:rsidR="00CA44DC" w:rsidRPr="00D44D33">
        <w:rPr>
          <w:rFonts w:ascii="Times New Roman" w:eastAsiaTheme="minorEastAsia" w:hAnsi="Times New Roman" w:cs="Times New Roman"/>
          <w:sz w:val="24"/>
          <w:szCs w:val="24"/>
        </w:rPr>
        <w:lastRenderedPageBreak/>
        <w:t>2015</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uzupełniającej</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1104/2011/UE</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wspólnych</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minimalnych</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norm,</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przestrzegać</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odpowiedzialne</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CA44DC" w:rsidRPr="00D44D33">
        <w:rPr>
          <w:rFonts w:ascii="Times New Roman" w:eastAsiaTheme="minorEastAsia" w:hAnsi="Times New Roman" w:cs="Times New Roman"/>
          <w:sz w:val="24"/>
          <w:szCs w:val="24"/>
        </w:rPr>
        <w:t>PRS</w:t>
      </w:r>
      <w:r w:rsidRPr="00D44D33">
        <w:rPr>
          <w:rFonts w:ascii="Times New Roman" w:eastAsiaTheme="minorEastAsia" w:hAnsi="Times New Roman" w:cs="Times New Roman"/>
          <w:sz w:val="24"/>
          <w:szCs w:val="24"/>
        </w:rPr>
        <w:t>.</w:t>
      </w:r>
    </w:p>
    <w:p w14:paraId="47BCFC6F" w14:textId="3F2266F8" w:rsidR="007E466F" w:rsidRPr="00D44D33" w:rsidRDefault="007E466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użytkownika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rządowego</w:t>
      </w:r>
      <w:r w:rsidR="00970B2E" w:rsidRPr="00D44D33">
        <w:rPr>
          <w:rFonts w:ascii="Times New Roman" w:eastAsiaTheme="minorEastAsia" w:hAnsi="Times New Roman" w:cs="Times New Roman"/>
          <w:b/>
          <w:bCs/>
          <w:sz w:val="24"/>
          <w:szCs w:val="24"/>
        </w:rPr>
        <w:t xml:space="preserve"> </w:t>
      </w:r>
      <w:r w:rsidR="007446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zaproponowana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Przepis a</w:t>
      </w:r>
      <w:r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wskazywał,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traktowani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odmiennie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komórki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Narodowej,</w:t>
      </w:r>
      <w:r w:rsidR="00970B2E" w:rsidRPr="00D44D33">
        <w:rPr>
          <w:rFonts w:ascii="Times New Roman" w:eastAsiaTheme="minorEastAsia" w:hAnsi="Times New Roman" w:cs="Times New Roman"/>
          <w:sz w:val="24"/>
          <w:szCs w:val="24"/>
        </w:rPr>
        <w:t xml:space="preserve"> </w:t>
      </w:r>
      <w:r w:rsidR="0EBA20A6" w:rsidRPr="00D44D33">
        <w:rPr>
          <w:rFonts w:ascii="Times New Roman" w:eastAsiaTheme="minorEastAsia" w:hAnsi="Times New Roman" w:cs="Times New Roman"/>
          <w:sz w:val="24"/>
          <w:szCs w:val="24"/>
        </w:rPr>
        <w:t>ministrowi</w:t>
      </w:r>
      <w:r w:rsidR="00970B2E" w:rsidRPr="00D44D33">
        <w:rPr>
          <w:rFonts w:ascii="Times New Roman" w:eastAsiaTheme="minorEastAsia" w:hAnsi="Times New Roman" w:cs="Times New Roman"/>
          <w:sz w:val="24"/>
          <w:szCs w:val="24"/>
        </w:rPr>
        <w:t xml:space="preserve"> </w:t>
      </w:r>
      <w:r w:rsidR="0EBA20A6" w:rsidRPr="00D44D33">
        <w:rPr>
          <w:rFonts w:ascii="Times New Roman" w:eastAsiaTheme="minorEastAsia" w:hAnsi="Times New Roman" w:cs="Times New Roman"/>
          <w:sz w:val="24"/>
          <w:szCs w:val="24"/>
        </w:rPr>
        <w:t>właściwemu</w:t>
      </w:r>
      <w:r w:rsidR="00970B2E" w:rsidRPr="00D44D33">
        <w:rPr>
          <w:rFonts w:ascii="Times New Roman" w:eastAsiaTheme="minorEastAsia" w:hAnsi="Times New Roman" w:cs="Times New Roman"/>
          <w:sz w:val="24"/>
          <w:szCs w:val="24"/>
        </w:rPr>
        <w:t xml:space="preserve"> </w:t>
      </w:r>
      <w:r w:rsidR="0EBA20A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EBA20A6"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EBA20A6" w:rsidRPr="00D44D33">
        <w:rPr>
          <w:rFonts w:ascii="Times New Roman" w:eastAsiaTheme="minorEastAsia" w:hAnsi="Times New Roman" w:cs="Times New Roman"/>
          <w:sz w:val="24"/>
          <w:szCs w:val="24"/>
        </w:rPr>
        <w:t>wewnętrznych,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F357A4" w:rsidRPr="00D44D33">
        <w:rPr>
          <w:rFonts w:ascii="Times New Roman" w:eastAsiaTheme="minorEastAsia" w:hAnsi="Times New Roman" w:cs="Times New Roman"/>
          <w:sz w:val="24"/>
          <w:szCs w:val="24"/>
        </w:rPr>
        <w:t xml:space="preserve">gencji </w:t>
      </w:r>
      <w:r w:rsidRPr="00D44D33">
        <w:rPr>
          <w:rFonts w:ascii="Times New Roman" w:eastAsiaTheme="minorEastAsia" w:hAnsi="Times New Roman" w:cs="Times New Roman"/>
          <w:sz w:val="24"/>
          <w:szCs w:val="24"/>
        </w:rPr>
        <w:t>B</w:t>
      </w:r>
      <w:r w:rsidR="00F357A4" w:rsidRPr="00D44D33">
        <w:rPr>
          <w:rFonts w:ascii="Times New Roman" w:eastAsiaTheme="minorEastAsia" w:hAnsi="Times New Roman" w:cs="Times New Roman"/>
          <w:sz w:val="24"/>
          <w:szCs w:val="24"/>
        </w:rPr>
        <w:t xml:space="preserve">ezpieczeństwa </w:t>
      </w:r>
      <w:r w:rsidRPr="00D44D33">
        <w:rPr>
          <w:rFonts w:ascii="Times New Roman" w:eastAsiaTheme="minorEastAsia" w:hAnsi="Times New Roman" w:cs="Times New Roman"/>
          <w:sz w:val="24"/>
          <w:szCs w:val="24"/>
        </w:rPr>
        <w:t>W</w:t>
      </w:r>
      <w:r w:rsidR="00F357A4" w:rsidRPr="00D44D33">
        <w:rPr>
          <w:rFonts w:ascii="Times New Roman" w:eastAsiaTheme="minorEastAsia" w:hAnsi="Times New Roman" w:cs="Times New Roman"/>
          <w:sz w:val="24"/>
          <w:szCs w:val="24"/>
        </w:rPr>
        <w:t>ewnętrznego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F357A4" w:rsidRPr="00D44D33">
        <w:rPr>
          <w:rFonts w:ascii="Times New Roman" w:eastAsiaTheme="minorEastAsia" w:hAnsi="Times New Roman" w:cs="Times New Roman"/>
          <w:sz w:val="24"/>
          <w:szCs w:val="24"/>
        </w:rPr>
        <w:t xml:space="preserve">entralnego </w:t>
      </w:r>
      <w:r w:rsidRPr="00D44D33">
        <w:rPr>
          <w:rFonts w:ascii="Times New Roman" w:eastAsiaTheme="minorEastAsia" w:hAnsi="Times New Roman" w:cs="Times New Roman"/>
          <w:sz w:val="24"/>
          <w:szCs w:val="24"/>
        </w:rPr>
        <w:t>B</w:t>
      </w:r>
      <w:r w:rsidR="00F357A4" w:rsidRPr="00D44D33">
        <w:rPr>
          <w:rFonts w:ascii="Times New Roman" w:eastAsiaTheme="minorEastAsia" w:hAnsi="Times New Roman" w:cs="Times New Roman"/>
          <w:sz w:val="24"/>
          <w:szCs w:val="24"/>
        </w:rPr>
        <w:t xml:space="preserve">iura </w:t>
      </w:r>
      <w:r w:rsidRPr="00D44D33">
        <w:rPr>
          <w:rFonts w:ascii="Times New Roman" w:eastAsiaTheme="minorEastAsia" w:hAnsi="Times New Roman" w:cs="Times New Roman"/>
          <w:sz w:val="24"/>
          <w:szCs w:val="24"/>
        </w:rPr>
        <w:t>A</w:t>
      </w:r>
      <w:r w:rsidR="00F357A4" w:rsidRPr="00D44D33">
        <w:rPr>
          <w:rFonts w:ascii="Times New Roman" w:eastAsiaTheme="minorEastAsia" w:hAnsi="Times New Roman" w:cs="Times New Roman"/>
          <w:sz w:val="24"/>
          <w:szCs w:val="24"/>
        </w:rPr>
        <w:t>ntykorupcyjnego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F357A4" w:rsidRPr="00D44D33">
        <w:rPr>
          <w:rFonts w:ascii="Times New Roman" w:eastAsiaTheme="minorEastAsia" w:hAnsi="Times New Roman" w:cs="Times New Roman"/>
          <w:sz w:val="24"/>
          <w:szCs w:val="24"/>
        </w:rPr>
        <w:t xml:space="preserve">gencji </w:t>
      </w:r>
      <w:r w:rsidRPr="00D44D33">
        <w:rPr>
          <w:rFonts w:ascii="Times New Roman" w:eastAsiaTheme="minorEastAsia" w:hAnsi="Times New Roman" w:cs="Times New Roman"/>
          <w:sz w:val="24"/>
          <w:szCs w:val="24"/>
        </w:rPr>
        <w:t>W</w:t>
      </w:r>
      <w:r w:rsidR="00F357A4" w:rsidRPr="00D44D33">
        <w:rPr>
          <w:rFonts w:ascii="Times New Roman" w:eastAsiaTheme="minorEastAsia" w:hAnsi="Times New Roman" w:cs="Times New Roman"/>
          <w:sz w:val="24"/>
          <w:szCs w:val="24"/>
        </w:rPr>
        <w:t>ywiadu</w:t>
      </w:r>
      <w:r w:rsidRPr="00D44D33">
        <w:rPr>
          <w:rFonts w:ascii="Times New Roman" w:eastAsiaTheme="minorEastAsia" w:hAnsi="Times New Roman" w:cs="Times New Roman"/>
          <w:sz w:val="24"/>
          <w:szCs w:val="24"/>
        </w:rPr>
        <w:t>.</w:t>
      </w:r>
    </w:p>
    <w:p w14:paraId="382D0A69" w14:textId="46B5C471" w:rsidR="0005778A" w:rsidRPr="00D44D33" w:rsidRDefault="6C9BB26B" w:rsidP="00D44D33">
      <w:pPr>
        <w:tabs>
          <w:tab w:val="left" w:pos="282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zakończenia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sz w:val="24"/>
          <w:szCs w:val="24"/>
        </w:rPr>
        <w:t xml:space="preserve"> </w:t>
      </w:r>
      <w:r w:rsidR="007446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AB247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w:t>
      </w:r>
      <w:r w:rsidR="00AB247E" w:rsidRPr="00D44D33">
        <w:rPr>
          <w:rFonts w:ascii="Times New Roman" w:eastAsiaTheme="minorEastAsia" w:hAnsi="Times New Roman" w:cs="Times New Roman"/>
          <w:sz w:val="24"/>
          <w:szCs w:val="24"/>
        </w:rPr>
        <w:t>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EC2DEE"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0EC2DEE"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przekierowywanie,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przypisany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p>
    <w:p w14:paraId="32F5410D" w14:textId="5942F729" w:rsidR="00D662DB" w:rsidRPr="00D44D33" w:rsidRDefault="00DE14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Definicja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zasobów</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orbitalnych</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wskazująca,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orbitalne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pozycje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orbicie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geostacjonarnej</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orbity</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satelitarne,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umieszczania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sztucznych</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satelitów</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Ziemi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zapewniania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tożsama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zawartą</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53).</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Orbita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geostacjonarna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hyperlink r:id="rId11">
        <w:r w:rsidR="0040164E" w:rsidRPr="00D44D33">
          <w:rPr>
            <w:rFonts w:ascii="Times New Roman" w:eastAsiaTheme="minorEastAsia" w:hAnsi="Times New Roman" w:cs="Times New Roman"/>
            <w:sz w:val="24"/>
            <w:szCs w:val="24"/>
          </w:rPr>
          <w:t>orbita</w:t>
        </w:r>
      </w:hyperlink>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okołoziemska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zapewniająca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krążącemu</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niej</w:t>
      </w:r>
      <w:r w:rsidR="00970B2E" w:rsidRPr="00D44D33">
        <w:rPr>
          <w:rFonts w:ascii="Times New Roman" w:eastAsiaTheme="minorEastAsia" w:hAnsi="Times New Roman" w:cs="Times New Roman"/>
          <w:sz w:val="24"/>
          <w:szCs w:val="24"/>
        </w:rPr>
        <w:t xml:space="preserve"> </w:t>
      </w:r>
      <w:hyperlink r:id="rId12">
        <w:r w:rsidR="0040164E" w:rsidRPr="00D44D33">
          <w:rPr>
            <w:rFonts w:ascii="Times New Roman" w:eastAsiaTheme="minorEastAsia" w:hAnsi="Times New Roman" w:cs="Times New Roman"/>
            <w:sz w:val="24"/>
            <w:szCs w:val="24"/>
          </w:rPr>
          <w:t>satelicie</w:t>
        </w:r>
      </w:hyperlink>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stałej</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wybranym</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hyperlink r:id="rId13">
        <w:r w:rsidR="0040164E" w:rsidRPr="00D44D33">
          <w:rPr>
            <w:rFonts w:ascii="Times New Roman" w:eastAsiaTheme="minorEastAsia" w:hAnsi="Times New Roman" w:cs="Times New Roman"/>
            <w:sz w:val="24"/>
            <w:szCs w:val="24"/>
          </w:rPr>
          <w:t>równika</w:t>
        </w:r>
      </w:hyperlink>
      <w:r w:rsidR="00970B2E" w:rsidRPr="00D44D33">
        <w:rPr>
          <w:rFonts w:ascii="Times New Roman" w:eastAsiaTheme="minorEastAsia" w:hAnsi="Times New Roman" w:cs="Times New Roman"/>
          <w:sz w:val="24"/>
          <w:szCs w:val="24"/>
        </w:rPr>
        <w:t xml:space="preserve"> </w:t>
      </w:r>
      <w:hyperlink r:id="rId14">
        <w:r w:rsidR="0040164E" w:rsidRPr="00D44D33">
          <w:rPr>
            <w:rFonts w:ascii="Times New Roman" w:eastAsiaTheme="minorEastAsia" w:hAnsi="Times New Roman" w:cs="Times New Roman"/>
            <w:sz w:val="24"/>
            <w:szCs w:val="24"/>
          </w:rPr>
          <w:t>Ziemi</w:t>
        </w:r>
      </w:hyperlink>
      <w:r w:rsidR="0040164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Orbita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geostacjonarna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orbitą</w:t>
      </w:r>
      <w:r w:rsidR="00970B2E" w:rsidRPr="00D44D33">
        <w:rPr>
          <w:rFonts w:ascii="Times New Roman" w:eastAsiaTheme="minorEastAsia" w:hAnsi="Times New Roman" w:cs="Times New Roman"/>
          <w:sz w:val="24"/>
          <w:szCs w:val="24"/>
        </w:rPr>
        <w:t xml:space="preserve"> </w:t>
      </w:r>
      <w:hyperlink r:id="rId15">
        <w:r w:rsidR="0040164E" w:rsidRPr="00D44D33">
          <w:rPr>
            <w:rFonts w:ascii="Times New Roman" w:eastAsiaTheme="minorEastAsia" w:hAnsi="Times New Roman" w:cs="Times New Roman"/>
            <w:sz w:val="24"/>
            <w:szCs w:val="24"/>
          </w:rPr>
          <w:t>kołową</w:t>
        </w:r>
      </w:hyperlink>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przebiega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786</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km</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równikiem</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(42</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160</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km</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Ziemi).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Orbita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satelitarna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droga,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porusza</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sztuczny</w:t>
      </w:r>
      <w:r w:rsidR="00970B2E" w:rsidRPr="00D44D33">
        <w:rPr>
          <w:rFonts w:ascii="Times New Roman" w:eastAsiaTheme="minorEastAsia" w:hAnsi="Times New Roman" w:cs="Times New Roman"/>
          <w:sz w:val="24"/>
          <w:szCs w:val="24"/>
        </w:rPr>
        <w:t xml:space="preserve"> </w:t>
      </w:r>
      <w:r w:rsidR="0040164E" w:rsidRPr="00D44D33">
        <w:rPr>
          <w:rFonts w:ascii="Times New Roman" w:eastAsiaTheme="minorEastAsia" w:hAnsi="Times New Roman" w:cs="Times New Roman"/>
          <w:sz w:val="24"/>
          <w:szCs w:val="24"/>
        </w:rPr>
        <w:t>satelita.</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obowiązują</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EE32AB" w:rsidRPr="00D44D33">
        <w:rPr>
          <w:rFonts w:ascii="Times New Roman" w:eastAsiaTheme="minorEastAsia" w:hAnsi="Times New Roman" w:cs="Times New Roman"/>
          <w:sz w:val="24"/>
          <w:szCs w:val="24"/>
        </w:rPr>
        <w:t>międzynarodowe</w:t>
      </w:r>
      <w:r w:rsidR="0040164E" w:rsidRPr="00D44D33">
        <w:rPr>
          <w:rFonts w:ascii="Times New Roman" w:eastAsiaTheme="minorEastAsia" w:hAnsi="Times New Roman" w:cs="Times New Roman"/>
          <w:sz w:val="24"/>
          <w:szCs w:val="24"/>
        </w:rPr>
        <w:t>.</w:t>
      </w:r>
    </w:p>
    <w:p w14:paraId="05CD6093" w14:textId="08B2095A" w:rsidR="00D662DB"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p>
    <w:p w14:paraId="32FE9A81" w14:textId="68196549" w:rsidR="00D662DB" w:rsidRPr="00D44D33" w:rsidRDefault="00D662D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F36A6"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zaleceniom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ustanawianym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uczynić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funkcjonowała</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7E16C25F" w:rsidRPr="00D44D33">
        <w:rPr>
          <w:rFonts w:ascii="Times New Roman" w:eastAsiaTheme="minorEastAsia" w:hAnsi="Times New Roman" w:cs="Times New Roman"/>
          <w:sz w:val="24"/>
          <w:szCs w:val="24"/>
        </w:rPr>
        <w:t>Pt.</w:t>
      </w:r>
    </w:p>
    <w:p w14:paraId="6C7A1C0E" w14:textId="314F840D" w:rsidR="00D662DB" w:rsidRPr="00D44D33" w:rsidRDefault="00D662DB" w:rsidP="00D44D33">
      <w:pPr>
        <w:pStyle w:val="ARTartustawynprozporzdzenia"/>
        <w:spacing w:after="120"/>
        <w:ind w:firstLine="0"/>
        <w:jc w:val="center"/>
        <w:rPr>
          <w:rFonts w:ascii="Times New Roman" w:hAnsi="Times New Roman" w:cs="Times New Roman"/>
          <w:b/>
          <w:bCs/>
          <w:szCs w:val="24"/>
        </w:rPr>
      </w:pPr>
      <w:r w:rsidRPr="00D44D33">
        <w:rPr>
          <w:rFonts w:ascii="Times New Roman" w:hAnsi="Times New Roman" w:cs="Times New Roman"/>
          <w:b/>
          <w:bCs/>
          <w:szCs w:val="24"/>
        </w:rPr>
        <w:t>Art.</w:t>
      </w:r>
      <w:r w:rsidR="00970B2E" w:rsidRPr="00D44D33">
        <w:rPr>
          <w:rFonts w:ascii="Times New Roman" w:hAnsi="Times New Roman" w:cs="Times New Roman"/>
          <w:b/>
          <w:bCs/>
          <w:szCs w:val="24"/>
        </w:rPr>
        <w:t xml:space="preserve"> </w:t>
      </w:r>
      <w:r w:rsidR="00CD144A" w:rsidRPr="00D44D33">
        <w:rPr>
          <w:rFonts w:ascii="Times New Roman" w:hAnsi="Times New Roman" w:cs="Times New Roman"/>
          <w:b/>
          <w:bCs/>
          <w:szCs w:val="24"/>
        </w:rPr>
        <w:t>4</w:t>
      </w:r>
      <w:r w:rsidR="000F496D" w:rsidRPr="00D44D33">
        <w:rPr>
          <w:rFonts w:ascii="Times New Roman" w:hAnsi="Times New Roman" w:cs="Times New Roman"/>
          <w:b/>
          <w:bCs/>
          <w:szCs w:val="24"/>
        </w:rPr>
        <w:t>.</w:t>
      </w:r>
    </w:p>
    <w:p w14:paraId="23933315" w14:textId="69AF5E9B" w:rsidR="00D662DB" w:rsidRPr="00D44D33" w:rsidRDefault="00D662DB"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Zgodnie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przepisem</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Pr="00D44D33">
        <w:rPr>
          <w:rFonts w:ascii="Times New Roman" w:hAnsi="Times New Roman" w:cs="Times New Roman"/>
          <w:szCs w:val="24"/>
        </w:rPr>
        <w:t>1</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uwzględnia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w:t>
      </w:r>
      <w:r w:rsidR="00970B2E" w:rsidRPr="00D44D33">
        <w:rPr>
          <w:rFonts w:ascii="Times New Roman" w:hAnsi="Times New Roman" w:cs="Times New Roman"/>
          <w:szCs w:val="24"/>
        </w:rPr>
        <w:t xml:space="preserve"> </w:t>
      </w:r>
      <w:r w:rsidRPr="00D44D33">
        <w:rPr>
          <w:rFonts w:ascii="Times New Roman" w:hAnsi="Times New Roman" w:cs="Times New Roman"/>
          <w:szCs w:val="24"/>
        </w:rPr>
        <w:t>stosowaniu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0E4A83A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E4A83AB" w:rsidRPr="00D44D33">
        <w:rPr>
          <w:rFonts w:ascii="Times New Roman" w:hAnsi="Times New Roman" w:cs="Times New Roman"/>
          <w:szCs w:val="24"/>
        </w:rPr>
        <w:t>największym</w:t>
      </w:r>
      <w:r w:rsidR="00970B2E" w:rsidRPr="00D44D33">
        <w:rPr>
          <w:rFonts w:ascii="Times New Roman" w:hAnsi="Times New Roman" w:cs="Times New Roman"/>
          <w:szCs w:val="24"/>
        </w:rPr>
        <w:t xml:space="preserve"> </w:t>
      </w:r>
      <w:r w:rsidR="0E4A83AB" w:rsidRPr="00D44D33">
        <w:rPr>
          <w:rFonts w:ascii="Times New Roman" w:hAnsi="Times New Roman" w:cs="Times New Roman"/>
          <w:szCs w:val="24"/>
        </w:rPr>
        <w:t>możliwie</w:t>
      </w:r>
      <w:r w:rsidR="00970B2E" w:rsidRPr="00D44D33">
        <w:rPr>
          <w:rFonts w:ascii="Times New Roman" w:hAnsi="Times New Roman" w:cs="Times New Roman"/>
          <w:szCs w:val="24"/>
        </w:rPr>
        <w:t xml:space="preserve"> </w:t>
      </w:r>
      <w:r w:rsidR="0E4A83AB" w:rsidRPr="00D44D33">
        <w:rPr>
          <w:rFonts w:ascii="Times New Roman" w:hAnsi="Times New Roman" w:cs="Times New Roman"/>
          <w:szCs w:val="24"/>
        </w:rPr>
        <w:t>stopniu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wytyczne</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zalecenia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Komisji</w:t>
      </w:r>
      <w:r w:rsidR="00970B2E" w:rsidRPr="00D44D33">
        <w:rPr>
          <w:rFonts w:ascii="Times New Roman" w:hAnsi="Times New Roman" w:cs="Times New Roman"/>
          <w:szCs w:val="24"/>
        </w:rPr>
        <w:t xml:space="preserve"> </w:t>
      </w:r>
      <w:r w:rsidRPr="00D44D33">
        <w:rPr>
          <w:rFonts w:ascii="Times New Roman" w:hAnsi="Times New Roman" w:cs="Times New Roman"/>
          <w:szCs w:val="24"/>
        </w:rPr>
        <w:t>Europejskiej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ich</w:t>
      </w:r>
      <w:r w:rsidR="00970B2E" w:rsidRPr="00D44D33">
        <w:rPr>
          <w:rFonts w:ascii="Times New Roman" w:hAnsi="Times New Roman" w:cs="Times New Roman"/>
          <w:szCs w:val="24"/>
        </w:rPr>
        <w:t xml:space="preserve"> </w:t>
      </w:r>
      <w:r w:rsidRPr="00D44D33">
        <w:rPr>
          <w:rFonts w:ascii="Times New Roman" w:hAnsi="Times New Roman" w:cs="Times New Roman"/>
          <w:szCs w:val="24"/>
        </w:rPr>
        <w:t>aktualnym</w:t>
      </w:r>
      <w:r w:rsidR="00970B2E" w:rsidRPr="00D44D33">
        <w:rPr>
          <w:rFonts w:ascii="Times New Roman" w:hAnsi="Times New Roman" w:cs="Times New Roman"/>
          <w:szCs w:val="24"/>
        </w:rPr>
        <w:t xml:space="preserve"> </w:t>
      </w:r>
      <w:r w:rsidRPr="00D44D33">
        <w:rPr>
          <w:rFonts w:ascii="Times New Roman" w:hAnsi="Times New Roman" w:cs="Times New Roman"/>
          <w:szCs w:val="24"/>
        </w:rPr>
        <w:t>brzmieniu.</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stanowi</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wdrożenie</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min.</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38</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F357A4" w:rsidRPr="00D44D33">
        <w:rPr>
          <w:rFonts w:ascii="Times New Roman" w:hAnsi="Times New Roman" w:cs="Times New Roman"/>
          <w:szCs w:val="24"/>
        </w:rPr>
        <w:t xml:space="preserve">art. </w:t>
      </w:r>
      <w:r w:rsidR="7C9B82BC" w:rsidRPr="00D44D33">
        <w:rPr>
          <w:rFonts w:ascii="Times New Roman" w:hAnsi="Times New Roman" w:cs="Times New Roman"/>
          <w:szCs w:val="24"/>
        </w:rPr>
        <w:t>64</w:t>
      </w:r>
      <w:r w:rsidR="00970B2E" w:rsidRPr="00D44D33">
        <w:rPr>
          <w:rFonts w:ascii="Times New Roman" w:hAnsi="Times New Roman" w:cs="Times New Roman"/>
          <w:szCs w:val="24"/>
        </w:rPr>
        <w:t xml:space="preserve"> </w:t>
      </w:r>
      <w:r w:rsidR="7C9B82BC" w:rsidRPr="00D44D33">
        <w:rPr>
          <w:rFonts w:ascii="Times New Roman" w:hAnsi="Times New Roman" w:cs="Times New Roman"/>
          <w:szCs w:val="24"/>
        </w:rPr>
        <w:t>EKŁE.</w:t>
      </w:r>
    </w:p>
    <w:p w14:paraId="611B78FB" w14:textId="4875A180" w:rsidR="00D662DB" w:rsidRPr="00D44D33" w:rsidRDefault="60BF4779"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lastRenderedPageBreak/>
        <w:t>W</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wydanych</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podstawie</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38</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EKŁE,</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czyli</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działań</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mających</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celu</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zapewnienie</w:t>
      </w:r>
      <w:r w:rsidR="00970B2E" w:rsidRPr="00D44D33">
        <w:rPr>
          <w:rFonts w:ascii="Times New Roman" w:hAnsi="Times New Roman" w:cs="Times New Roman"/>
          <w:szCs w:val="24"/>
        </w:rPr>
        <w:t xml:space="preserve"> </w:t>
      </w:r>
      <w:r w:rsidR="25581042" w:rsidRPr="00D44D33">
        <w:rPr>
          <w:rFonts w:ascii="Times New Roman" w:hAnsi="Times New Roman" w:cs="Times New Roman"/>
          <w:szCs w:val="24"/>
        </w:rPr>
        <w:t>zharmo</w:t>
      </w:r>
      <w:r w:rsidR="30B83C74" w:rsidRPr="00D44D33">
        <w:rPr>
          <w:rFonts w:ascii="Times New Roman" w:hAnsi="Times New Roman" w:cs="Times New Roman"/>
          <w:szCs w:val="24"/>
        </w:rPr>
        <w:t>nizowanego</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stosowania</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dyrektywy</w:t>
      </w:r>
      <w:r w:rsidR="00545038">
        <w:rPr>
          <w:rFonts w:ascii="Times New Roman" w:hAnsi="Times New Roman" w:cs="Times New Roman"/>
          <w:szCs w:val="24"/>
        </w:rPr>
        <w:t>,</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Komisja</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stwierdzi</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rozbieżności</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we</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wdrażaniu</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krajowe</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organy</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regulacyjne</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ich</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zadań</w:t>
      </w:r>
      <w:r w:rsidR="00970B2E" w:rsidRPr="00D44D33">
        <w:rPr>
          <w:rFonts w:ascii="Times New Roman" w:hAnsi="Times New Roman" w:cs="Times New Roman"/>
          <w:szCs w:val="24"/>
        </w:rPr>
        <w:t xml:space="preserve"> </w:t>
      </w:r>
      <w:r w:rsidR="30B83C74" w:rsidRPr="00D44D33">
        <w:rPr>
          <w:rFonts w:ascii="Times New Roman" w:hAnsi="Times New Roman" w:cs="Times New Roman"/>
          <w:szCs w:val="24"/>
        </w:rPr>
        <w:t>regul</w:t>
      </w:r>
      <w:r w:rsidR="7866E66C" w:rsidRPr="00D44D33">
        <w:rPr>
          <w:rFonts w:ascii="Times New Roman" w:hAnsi="Times New Roman" w:cs="Times New Roman"/>
          <w:szCs w:val="24"/>
        </w:rPr>
        <w:t>acyjnych,</w:t>
      </w:r>
      <w:r w:rsidR="00970B2E" w:rsidRPr="00D44D33">
        <w:rPr>
          <w:rFonts w:ascii="Times New Roman" w:hAnsi="Times New Roman" w:cs="Times New Roman"/>
          <w:szCs w:val="24"/>
        </w:rPr>
        <w:t xml:space="preserve"> </w:t>
      </w:r>
      <w:r w:rsidR="7866E66C" w:rsidRPr="00D44D33">
        <w:rPr>
          <w:rFonts w:ascii="Times New Roman" w:hAnsi="Times New Roman" w:cs="Times New Roman"/>
          <w:szCs w:val="24"/>
        </w:rPr>
        <w:t>istnieje</w:t>
      </w:r>
      <w:r w:rsidR="00970B2E" w:rsidRPr="00D44D33">
        <w:rPr>
          <w:rFonts w:ascii="Times New Roman" w:hAnsi="Times New Roman" w:cs="Times New Roman"/>
          <w:szCs w:val="24"/>
        </w:rPr>
        <w:t xml:space="preserve"> </w:t>
      </w:r>
      <w:r w:rsidR="7866E66C" w:rsidRPr="00D44D33">
        <w:rPr>
          <w:rFonts w:ascii="Times New Roman" w:hAnsi="Times New Roman" w:cs="Times New Roman"/>
          <w:szCs w:val="24"/>
        </w:rPr>
        <w:t>możliwość</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odstąpienia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stosowania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559BA26D"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559BA26D"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powiad</w:t>
      </w:r>
      <w:r w:rsidR="21A6A0B5" w:rsidRPr="00D44D33">
        <w:rPr>
          <w:rFonts w:ascii="Times New Roman" w:hAnsi="Times New Roman" w:cs="Times New Roman"/>
          <w:szCs w:val="24"/>
        </w:rPr>
        <w:t>omienia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fakcie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Komisji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Europejskiej.</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sytuacji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odstąpienia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stosowania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ma</w:t>
      </w:r>
      <w:r w:rsidR="00970B2E" w:rsidRPr="00D44D33">
        <w:rPr>
          <w:rFonts w:ascii="Times New Roman" w:hAnsi="Times New Roman" w:cs="Times New Roman"/>
          <w:szCs w:val="24"/>
        </w:rPr>
        <w:t xml:space="preserve"> </w:t>
      </w:r>
      <w:r w:rsidR="150B4DE8"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uzasadnić</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swoje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stanowisko.</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006239CB" w:rsidRPr="00D44D33">
        <w:rPr>
          <w:rFonts w:ascii="Times New Roman" w:hAnsi="Times New Roman" w:cs="Times New Roman"/>
          <w:szCs w:val="24"/>
        </w:rPr>
        <w:t>3</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stanowi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implementację</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10</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2</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EKŁE,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zobowiązuje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państwa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członkowskie,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przy</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podejmowaniu</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rynków</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krajowych,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uwzględniania</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jak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największym</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stopniu</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wytycznych,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opinii,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wspólnych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stanowisk,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najlepszych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praktyk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metodologii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przyjmowanych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BEREC.</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doprecyzowuje,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chodzi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uwzględnianie</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wytycznych,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opinii,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wspólnych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stanowisk,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najlepszych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praktyk</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metodologii</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ich</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aktualnym</w:t>
      </w:r>
      <w:r w:rsidR="00970B2E" w:rsidRPr="00D44D33">
        <w:rPr>
          <w:rFonts w:ascii="Times New Roman" w:hAnsi="Times New Roman" w:cs="Times New Roman"/>
          <w:szCs w:val="24"/>
        </w:rPr>
        <w:t xml:space="preserve"> </w:t>
      </w:r>
      <w:r w:rsidR="00D662DB" w:rsidRPr="00D44D33">
        <w:rPr>
          <w:rFonts w:ascii="Times New Roman" w:hAnsi="Times New Roman" w:cs="Times New Roman"/>
          <w:szCs w:val="24"/>
        </w:rPr>
        <w:t>brzmieniu.</w:t>
      </w:r>
    </w:p>
    <w:p w14:paraId="17E65D63" w14:textId="410CB533" w:rsidR="00DD7F59" w:rsidRPr="00D44D33" w:rsidRDefault="00E37FC4"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2</w:t>
      </w:r>
      <w:r w:rsidR="00970B2E" w:rsidRPr="00D44D33">
        <w:rPr>
          <w:rFonts w:ascii="Times New Roman" w:hAnsi="Times New Roman" w:cs="Times New Roman"/>
          <w:b/>
          <w:lang w:eastAsia="en-US"/>
        </w:rPr>
        <w:t xml:space="preserve"> </w:t>
      </w:r>
    </w:p>
    <w:p w14:paraId="08BD44C7" w14:textId="57E22F46" w:rsidR="00E37FC4" w:rsidRPr="00D44D33" w:rsidRDefault="00E37FC4"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Wykonywanie</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gospodarczej</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działalności</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telekomunikacyjnej</w:t>
      </w:r>
    </w:p>
    <w:p w14:paraId="44FC5F36" w14:textId="49D32A5C" w:rsidR="00DD7F59" w:rsidRPr="00D44D33" w:rsidRDefault="001F4207" w:rsidP="00D44D33">
      <w:pPr>
        <w:pStyle w:val="TYTDZPRZEDMprzedmiotregulacjitytuulubdziau"/>
        <w:spacing w:after="120"/>
        <w:rPr>
          <w:rFonts w:ascii="Times New Roman" w:eastAsiaTheme="minorEastAsia" w:hAnsi="Times New Roman"/>
          <w:szCs w:val="24"/>
        </w:rPr>
      </w:pPr>
      <w:r w:rsidRPr="00D44D33">
        <w:rPr>
          <w:rFonts w:ascii="Times New Roman" w:eastAsiaTheme="minorEastAsia" w:hAnsi="Times New Roman"/>
          <w:szCs w:val="24"/>
        </w:rPr>
        <w:t>Oddział</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1</w:t>
      </w:r>
      <w:r w:rsidR="00970B2E" w:rsidRPr="00D44D33">
        <w:rPr>
          <w:rFonts w:ascii="Times New Roman" w:eastAsiaTheme="minorEastAsia" w:hAnsi="Times New Roman"/>
          <w:szCs w:val="24"/>
        </w:rPr>
        <w:t xml:space="preserve"> </w:t>
      </w:r>
    </w:p>
    <w:p w14:paraId="60043785" w14:textId="0E61CF01" w:rsidR="001F4207" w:rsidRPr="00D44D33" w:rsidRDefault="001F4207" w:rsidP="00D44D33">
      <w:pPr>
        <w:pStyle w:val="TYTDZPRZEDMprzedmiotregulacjitytuulubdziau"/>
        <w:spacing w:after="120"/>
        <w:rPr>
          <w:rFonts w:ascii="Times New Roman" w:eastAsiaTheme="minorEastAsia" w:hAnsi="Times New Roman"/>
          <w:szCs w:val="24"/>
        </w:rPr>
      </w:pPr>
      <w:r w:rsidRPr="00D44D33">
        <w:rPr>
          <w:rFonts w:ascii="Times New Roman" w:eastAsiaTheme="minorEastAsia" w:hAnsi="Times New Roman"/>
          <w:szCs w:val="24"/>
          <w:lang w:eastAsia="en-US"/>
        </w:rPr>
        <w:t>Wpis</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do</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rejestru</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przedsiębiorców</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telekomunikacyjnych</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i</w:t>
      </w:r>
      <w:r w:rsidR="00970B2E" w:rsidRPr="00D44D33">
        <w:rPr>
          <w:rFonts w:ascii="Times New Roman" w:eastAsiaTheme="minorEastAsia" w:hAnsi="Times New Roman"/>
          <w:szCs w:val="24"/>
          <w:lang w:eastAsia="en-US"/>
        </w:rPr>
        <w:t xml:space="preserve"> </w:t>
      </w:r>
      <w:r w:rsidR="00F357A4" w:rsidRPr="00D44D33">
        <w:rPr>
          <w:rFonts w:ascii="Times New Roman" w:eastAsiaTheme="minorEastAsia" w:hAnsi="Times New Roman"/>
          <w:szCs w:val="24"/>
          <w:lang w:eastAsia="en-US"/>
        </w:rPr>
        <w:t xml:space="preserve">rejestru </w:t>
      </w:r>
      <w:r w:rsidRPr="00D44D33">
        <w:rPr>
          <w:rFonts w:ascii="Times New Roman" w:eastAsiaTheme="minorEastAsia" w:hAnsi="Times New Roman"/>
          <w:szCs w:val="24"/>
          <w:lang w:eastAsia="en-US"/>
        </w:rPr>
        <w:t>j</w:t>
      </w:r>
      <w:r w:rsidRPr="00D44D33">
        <w:rPr>
          <w:rFonts w:ascii="Times New Roman" w:eastAsiaTheme="minorEastAsia" w:hAnsi="Times New Roman"/>
          <w:szCs w:val="24"/>
        </w:rPr>
        <w:t>ednostek</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lang w:eastAsia="en-US"/>
        </w:rPr>
        <w:t>s</w:t>
      </w:r>
      <w:r w:rsidRPr="00D44D33">
        <w:rPr>
          <w:rFonts w:ascii="Times New Roman" w:eastAsiaTheme="minorEastAsia" w:hAnsi="Times New Roman"/>
          <w:szCs w:val="24"/>
        </w:rPr>
        <w:t>amorządu</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lang w:eastAsia="en-US"/>
        </w:rPr>
        <w:t>t</w:t>
      </w:r>
      <w:r w:rsidRPr="00D44D33">
        <w:rPr>
          <w:rFonts w:ascii="Times New Roman" w:eastAsiaTheme="minorEastAsia" w:hAnsi="Times New Roman"/>
          <w:szCs w:val="24"/>
        </w:rPr>
        <w:t>erytorialnego</w:t>
      </w:r>
      <w:r w:rsidR="00F357A4" w:rsidRPr="00D44D33">
        <w:rPr>
          <w:rFonts w:ascii="Times New Roman" w:eastAsiaTheme="minorEastAsia" w:hAnsi="Times New Roman"/>
          <w:b w:val="0"/>
          <w:szCs w:val="24"/>
          <w:lang w:eastAsia="en-US"/>
        </w:rPr>
        <w:t xml:space="preserve"> </w:t>
      </w:r>
      <w:r w:rsidR="00F357A4" w:rsidRPr="00D44D33">
        <w:rPr>
          <w:rFonts w:ascii="Times New Roman" w:eastAsiaTheme="minorEastAsia" w:hAnsi="Times New Roman"/>
          <w:szCs w:val="24"/>
        </w:rPr>
        <w:t>wykonujących działalność w zakresie telekomunikacji</w:t>
      </w:r>
    </w:p>
    <w:p w14:paraId="1CD2D01F" w14:textId="6739B1A0" w:rsidR="025F6527" w:rsidRPr="00D44D33" w:rsidRDefault="025F652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545038">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1</w:t>
      </w:r>
      <w:r w:rsidR="00842421"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b/>
          <w:bCs/>
          <w:sz w:val="24"/>
          <w:szCs w:val="24"/>
        </w:rPr>
        <w:t xml:space="preserve"> </w:t>
      </w:r>
      <w:r w:rsidR="74425EF6"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terytorialnego</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wykonujących</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lastRenderedPageBreak/>
        <w:t>stanowią</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74425EF6"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unijne</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wyłączyły</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ogólnego</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zezwolenia</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niewykorzystującej</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znajdowały</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10</w:t>
      </w:r>
      <w:r w:rsidR="0074461C" w:rsidRPr="00D44D33">
        <w:rPr>
          <w:rFonts w:ascii="Times New Roman" w:eastAsiaTheme="minorEastAsia" w:hAnsi="Times New Roman" w:cs="Times New Roman"/>
          <w:sz w:val="24"/>
          <w:szCs w:val="24"/>
        </w:rPr>
        <w:t>–</w:t>
      </w:r>
      <w:r w:rsidR="4F959243"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4CA08BF8"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4F959243" w:rsidRPr="00D44D33">
        <w:rPr>
          <w:rFonts w:ascii="Times New Roman" w:eastAsiaTheme="minorEastAsia" w:hAnsi="Times New Roman" w:cs="Times New Roman"/>
          <w:sz w:val="24"/>
          <w:szCs w:val="24"/>
        </w:rPr>
        <w:t>Pt.</w:t>
      </w:r>
    </w:p>
    <w:p w14:paraId="5E86F0D4" w14:textId="30790BCF"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5</w:t>
      </w:r>
    </w:p>
    <w:p w14:paraId="79D1DE5D" w14:textId="76B5D14B" w:rsidR="00B012F1" w:rsidRPr="00D44D33" w:rsidRDefault="00744F7D"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stosowany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zezwoleń</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restrykcyjny,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umożliwiać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dostarczanie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4FE30F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skonstruowany,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sprzyjać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rozwojowi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ograniczając</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proceduralne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deklaratywnego</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krótką</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podejmowanej</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umożliwiającą</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regulatorowi</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prowadzących</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b/>
          <w:bCs/>
          <w:sz w:val="24"/>
          <w:szCs w:val="24"/>
        </w:rPr>
        <w:t xml:space="preserve"> </w:t>
      </w:r>
    </w:p>
    <w:p w14:paraId="034C7E77" w14:textId="4A4D1FC2" w:rsidR="00C96D57" w:rsidRPr="00D44D33" w:rsidRDefault="025F652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Uznanie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14430AB6"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polskich</w:t>
      </w:r>
      <w:r w:rsidR="00970B2E" w:rsidRPr="00D44D33">
        <w:rPr>
          <w:rFonts w:ascii="Times New Roman" w:eastAsiaTheme="minorEastAsia" w:hAnsi="Times New Roman" w:cs="Times New Roman"/>
          <w:sz w:val="24"/>
          <w:szCs w:val="24"/>
        </w:rPr>
        <w:t xml:space="preserve"> </w:t>
      </w:r>
      <w:r w:rsidR="00D93DD5" w:rsidRPr="00D44D33">
        <w:rPr>
          <w:rFonts w:ascii="Times New Roman" w:eastAsiaTheme="minorEastAsia" w:hAnsi="Times New Roman" w:cs="Times New Roman"/>
          <w:sz w:val="24"/>
          <w:szCs w:val="24"/>
        </w:rPr>
        <w:t>realiach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74461C" w:rsidRPr="00D44D33">
        <w:rPr>
          <w:rFonts w:ascii="Times New Roman" w:eastAsiaTheme="minorEastAsia" w:hAnsi="Times New Roman" w:cs="Times New Roman"/>
          <w:bCs/>
          <w:sz w:val="24"/>
          <w:szCs w:val="24"/>
        </w:rPr>
        <w:t xml:space="preserve"> </w:t>
      </w:r>
      <w:r w:rsidR="5F7CE57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regulowanej</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43</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7446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F357A4" w:rsidRPr="00D44D33">
        <w:rPr>
          <w:rFonts w:ascii="Times New Roman" w:eastAsiaTheme="minorEastAsia" w:hAnsi="Times New Roman" w:cs="Times New Roman"/>
          <w:sz w:val="24"/>
          <w:szCs w:val="24"/>
        </w:rPr>
        <w:t xml:space="preserve">z </w:t>
      </w:r>
      <w:r w:rsidR="0052113B" w:rsidRPr="00D44D33">
        <w:rPr>
          <w:rStyle w:val="normaltextrun"/>
          <w:rFonts w:ascii="Times New Roman" w:hAnsi="Times New Roman" w:cs="Times New Roman"/>
          <w:sz w:val="24"/>
          <w:szCs w:val="24"/>
        </w:rPr>
        <w:t>20</w:t>
      </w:r>
      <w:r w:rsidR="007D2B18" w:rsidRPr="00D44D33">
        <w:rPr>
          <w:rStyle w:val="normaltextrun"/>
          <w:rFonts w:ascii="Times New Roman" w:hAnsi="Times New Roman" w:cs="Times New Roman"/>
          <w:sz w:val="24"/>
          <w:szCs w:val="24"/>
        </w:rPr>
        <w:t>21</w:t>
      </w:r>
      <w:r w:rsidR="00970B2E" w:rsidRPr="00D44D33">
        <w:rPr>
          <w:rStyle w:val="normaltextrun"/>
          <w:rFonts w:ascii="Times New Roman" w:hAnsi="Times New Roman" w:cs="Times New Roman"/>
          <w:sz w:val="24"/>
          <w:szCs w:val="24"/>
        </w:rPr>
        <w:t xml:space="preserve"> </w:t>
      </w:r>
      <w:r w:rsidR="0052113B" w:rsidRPr="00D44D33">
        <w:rPr>
          <w:rStyle w:val="normaltextrun"/>
          <w:rFonts w:ascii="Times New Roman" w:hAnsi="Times New Roman" w:cs="Times New Roman"/>
          <w:sz w:val="24"/>
          <w:szCs w:val="24"/>
        </w:rPr>
        <w:t>r.</w:t>
      </w:r>
      <w:r w:rsidR="00970B2E" w:rsidRPr="00D44D33">
        <w:rPr>
          <w:rStyle w:val="normaltextrun"/>
          <w:rFonts w:ascii="Times New Roman" w:hAnsi="Times New Roman" w:cs="Times New Roman"/>
          <w:sz w:val="24"/>
          <w:szCs w:val="24"/>
        </w:rPr>
        <w:t xml:space="preserve"> </w:t>
      </w:r>
      <w:r w:rsidR="0052113B" w:rsidRPr="00D44D33">
        <w:rPr>
          <w:rStyle w:val="normaltextrun"/>
          <w:rFonts w:ascii="Times New Roman" w:hAnsi="Times New Roman" w:cs="Times New Roman"/>
          <w:sz w:val="24"/>
          <w:szCs w:val="24"/>
        </w:rPr>
        <w:t>poz.</w:t>
      </w:r>
      <w:r w:rsidR="00970B2E" w:rsidRPr="00D44D33">
        <w:rPr>
          <w:rStyle w:val="normaltextrun"/>
          <w:rFonts w:ascii="Times New Roman" w:hAnsi="Times New Roman" w:cs="Times New Roman"/>
          <w:sz w:val="24"/>
          <w:szCs w:val="24"/>
        </w:rPr>
        <w:t xml:space="preserve"> </w:t>
      </w:r>
      <w:r w:rsidR="007D2B18" w:rsidRPr="00D44D33">
        <w:rPr>
          <w:rStyle w:val="normaltextrun"/>
          <w:rFonts w:ascii="Times New Roman" w:hAnsi="Times New Roman" w:cs="Times New Roman"/>
          <w:sz w:val="24"/>
          <w:szCs w:val="24"/>
        </w:rPr>
        <w:t>162</w:t>
      </w:r>
      <w:r w:rsidR="0074461C" w:rsidRPr="00D44D33">
        <w:rPr>
          <w:rStyle w:val="normaltextrun"/>
          <w:rFonts w:ascii="Times New Roman" w:hAnsi="Times New Roman" w:cs="Times New Roman"/>
          <w:sz w:val="24"/>
          <w:szCs w:val="24"/>
        </w:rPr>
        <w:t>,</w:t>
      </w:r>
      <w:r w:rsidR="00970B2E" w:rsidRPr="00D44D33">
        <w:rPr>
          <w:rStyle w:val="normaltextrun"/>
          <w:rFonts w:ascii="Times New Roman" w:hAnsi="Times New Roman" w:cs="Times New Roman"/>
          <w:sz w:val="24"/>
          <w:szCs w:val="24"/>
        </w:rPr>
        <w:t xml:space="preserve"> </w:t>
      </w:r>
      <w:r w:rsidR="00862484" w:rsidRPr="00D44D33">
        <w:rPr>
          <w:rFonts w:ascii="Times New Roman" w:eastAsiaTheme="minorEastAsia" w:hAnsi="Times New Roman" w:cs="Times New Roman"/>
          <w:sz w:val="24"/>
          <w:szCs w:val="24"/>
        </w:rPr>
        <w:t xml:space="preserve">z późn. zm.) </w:t>
      </w:r>
      <w:r w:rsidR="5F7CE57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wymogom</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5F7CE577"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Zobowiązanymi</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lastRenderedPageBreak/>
        <w:t>do</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311EF25D"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prowadzący</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świadczą</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niepublicznych</w:t>
      </w:r>
      <w:r w:rsidR="00970B2E" w:rsidRPr="00D44D33">
        <w:rPr>
          <w:rFonts w:ascii="Times New Roman" w:eastAsiaTheme="minorEastAsia" w:hAnsi="Times New Roman" w:cs="Times New Roman"/>
          <w:sz w:val="24"/>
          <w:szCs w:val="24"/>
        </w:rPr>
        <w:t xml:space="preserve"> </w:t>
      </w:r>
      <w:r w:rsidR="7DADD418" w:rsidRPr="00D44D33">
        <w:rPr>
          <w:rFonts w:ascii="Times New Roman" w:eastAsiaTheme="minorEastAsia" w:hAnsi="Times New Roman" w:cs="Times New Roman"/>
          <w:sz w:val="24"/>
          <w:szCs w:val="24"/>
        </w:rPr>
        <w:t>(</w:t>
      </w:r>
      <w:r w:rsidR="001F2532"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001F2532" w:rsidRPr="00D44D33">
        <w:rPr>
          <w:rFonts w:ascii="Times New Roman" w:eastAsiaTheme="minorEastAsia" w:hAnsi="Times New Roman" w:cs="Times New Roman"/>
          <w:sz w:val="24"/>
          <w:szCs w:val="24"/>
        </w:rPr>
        <w:t>tworzące</w:t>
      </w:r>
      <w:r w:rsidR="00970B2E" w:rsidRPr="00D44D33">
        <w:rPr>
          <w:rFonts w:ascii="Times New Roman" w:eastAsiaTheme="minorEastAsia" w:hAnsi="Times New Roman" w:cs="Times New Roman"/>
          <w:sz w:val="24"/>
          <w:szCs w:val="24"/>
        </w:rPr>
        <w:t xml:space="preserve"> </w:t>
      </w:r>
      <w:r w:rsidR="001F2532"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001F2532" w:rsidRPr="00D44D33">
        <w:rPr>
          <w:rFonts w:ascii="Times New Roman" w:eastAsiaTheme="minorEastAsia" w:hAnsi="Times New Roman" w:cs="Times New Roman"/>
          <w:sz w:val="24"/>
          <w:szCs w:val="24"/>
        </w:rPr>
        <w:t>szkolnictwa</w:t>
      </w:r>
      <w:r w:rsidR="00970B2E" w:rsidRPr="00D44D33">
        <w:rPr>
          <w:rFonts w:ascii="Times New Roman" w:eastAsiaTheme="minorEastAsia" w:hAnsi="Times New Roman" w:cs="Times New Roman"/>
          <w:sz w:val="24"/>
          <w:szCs w:val="24"/>
        </w:rPr>
        <w:t xml:space="preserve"> </w:t>
      </w:r>
      <w:r w:rsidR="001F2532" w:rsidRPr="00D44D33">
        <w:rPr>
          <w:rFonts w:ascii="Times New Roman" w:eastAsiaTheme="minorEastAsia" w:hAnsi="Times New Roman" w:cs="Times New Roman"/>
          <w:sz w:val="24"/>
          <w:szCs w:val="24"/>
        </w:rPr>
        <w:t>wyższego</w:t>
      </w:r>
      <w:r w:rsidR="00970B2E" w:rsidRPr="00D44D33">
        <w:rPr>
          <w:rFonts w:ascii="Times New Roman" w:eastAsiaTheme="minorEastAsia" w:hAnsi="Times New Roman" w:cs="Times New Roman"/>
          <w:sz w:val="24"/>
          <w:szCs w:val="24"/>
        </w:rPr>
        <w:t xml:space="preserve"> </w:t>
      </w:r>
      <w:r w:rsidR="001F253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F2532" w:rsidRPr="00D44D33">
        <w:rPr>
          <w:rFonts w:ascii="Times New Roman" w:eastAsiaTheme="minorEastAsia" w:hAnsi="Times New Roman" w:cs="Times New Roman"/>
          <w:sz w:val="24"/>
          <w:szCs w:val="24"/>
        </w:rPr>
        <w:t>nauki)</w:t>
      </w:r>
      <w:r w:rsidR="7DADD418" w:rsidRPr="00D44D33">
        <w:rPr>
          <w:rFonts w:ascii="Times New Roman" w:eastAsiaTheme="minorEastAsia" w:hAnsi="Times New Roman" w:cs="Times New Roman"/>
          <w:sz w:val="24"/>
          <w:szCs w:val="24"/>
        </w:rPr>
        <w:t>.</w:t>
      </w:r>
    </w:p>
    <w:p w14:paraId="289C4544" w14:textId="1EB31FDD" w:rsidR="00744F7D" w:rsidRPr="00D44D33" w:rsidRDefault="7DADD418" w:rsidP="00D44D33">
      <w:pPr>
        <w:pStyle w:val="Nagwek2"/>
        <w:shd w:val="clear" w:color="auto" w:fill="FFFFFF"/>
        <w:spacing w:before="120" w:beforeAutospacing="0" w:after="120" w:afterAutospacing="0" w:line="360" w:lineRule="auto"/>
        <w:jc w:val="both"/>
        <w:rPr>
          <w:rFonts w:eastAsiaTheme="minorEastAsia"/>
          <w:sz w:val="24"/>
          <w:szCs w:val="24"/>
        </w:rPr>
      </w:pPr>
      <w:r w:rsidRPr="00D44D33">
        <w:rPr>
          <w:rFonts w:eastAsiaTheme="minorEastAsia"/>
          <w:b w:val="0"/>
          <w:bCs w:val="0"/>
          <w:sz w:val="24"/>
          <w:szCs w:val="24"/>
          <w:lang w:eastAsia="en-US"/>
        </w:rPr>
        <w:t>Do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rejestru</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PT</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wpisywana</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jest</w:t>
      </w:r>
      <w:r w:rsidR="00970B2E" w:rsidRPr="00D44D33">
        <w:rPr>
          <w:rFonts w:eastAsiaTheme="minorEastAsia"/>
          <w:b w:val="0"/>
          <w:bCs w:val="0"/>
          <w:sz w:val="24"/>
          <w:szCs w:val="24"/>
          <w:lang w:eastAsia="en-US"/>
        </w:rPr>
        <w:t xml:space="preserve"> </w:t>
      </w:r>
      <w:r w:rsidR="311EF25D" w:rsidRPr="00D44D33">
        <w:rPr>
          <w:rFonts w:eastAsiaTheme="minorEastAsia"/>
          <w:b w:val="0"/>
          <w:bCs w:val="0"/>
          <w:sz w:val="24"/>
          <w:szCs w:val="24"/>
          <w:lang w:eastAsia="en-US"/>
        </w:rPr>
        <w:t>także</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działalność</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telekomunikacyjna</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prowadzona</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przez</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przedsiębiorcę</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telekomunikacyjnego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z</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państwa</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członkowskiego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UE</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albo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państwa,</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które</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zawarło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z</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UE</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umowę</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regulującą</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swobodę</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świadczenia</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usług,</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czasowo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świadczącego</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Polsce</w:t>
      </w:r>
      <w:r w:rsidR="00970B2E" w:rsidRPr="00D44D33">
        <w:rPr>
          <w:rFonts w:eastAsiaTheme="minorEastAsia"/>
          <w:b w:val="0"/>
          <w:bCs w:val="0"/>
          <w:sz w:val="24"/>
          <w:szCs w:val="24"/>
          <w:lang w:eastAsia="en-US"/>
        </w:rPr>
        <w:t xml:space="preserve"> </w:t>
      </w:r>
      <w:r w:rsidRPr="00D44D33">
        <w:rPr>
          <w:rFonts w:eastAsiaTheme="minorEastAsia"/>
          <w:b w:val="0"/>
          <w:bCs w:val="0"/>
          <w:sz w:val="24"/>
          <w:szCs w:val="24"/>
          <w:lang w:eastAsia="en-US"/>
        </w:rPr>
        <w:t>usługi.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Regulacja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taka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wynika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przepisów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ustawy</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dnia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6</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marca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2018</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zasadach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uczestnictwa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przedsiębiorców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zagranicznych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innych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osób</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zagranicznych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obrocie</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gospodarczym</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na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terytorium</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Rzeczypospolitej</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Polskiej</w:t>
      </w:r>
      <w:r w:rsidR="0074461C" w:rsidRPr="00D44D33">
        <w:rPr>
          <w:rFonts w:eastAsiaTheme="minorEastAsia"/>
          <w:b w:val="0"/>
          <w:bCs w:val="0"/>
          <w:sz w:val="24"/>
          <w:szCs w:val="24"/>
          <w:lang w:eastAsia="en-US"/>
        </w:rPr>
        <w:t xml:space="preserve"> (Dz. U. z 2022 r. poz. 470)</w:t>
      </w:r>
      <w:r w:rsidR="00C96D57" w:rsidRPr="00D44D33">
        <w:rPr>
          <w:rFonts w:eastAsiaTheme="minorEastAsia"/>
          <w:b w:val="0"/>
          <w:bCs w:val="0"/>
          <w:sz w:val="24"/>
          <w:szCs w:val="24"/>
          <w:lang w:eastAsia="en-US"/>
        </w:rPr>
        <w:t>,</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które</w:t>
      </w:r>
      <w:r w:rsidR="00545038">
        <w:rPr>
          <w:rFonts w:eastAsiaTheme="minorEastAsia"/>
          <w:b w:val="0"/>
          <w:bCs w:val="0"/>
          <w:sz w:val="24"/>
          <w:szCs w:val="24"/>
          <w:lang w:eastAsia="en-US"/>
        </w:rPr>
        <w:t>,</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określając</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art.</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5</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ust.</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1</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generalną</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zasadę,</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że</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usługodawca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państwa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członkowskiego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może</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czasowo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świadczyć</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usługi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na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zasadach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określonych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przepisach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Traktatu</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funkcjonowaniu</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Unii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Europejskiej</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albo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postanowieniach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umów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regulujących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swobodę</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świadczenia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usług</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bez</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konieczności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uzyskania</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wpisu</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do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rejestru</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przedsiębiorców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Krajowym</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Rejestrze</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Sądowym</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albo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Centralnej</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Ewidencji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Informacji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Działalności</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Gospodarczej,</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dopuszczają</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wprowadzenie</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odrębnych</w:t>
      </w:r>
      <w:r w:rsidR="00970B2E" w:rsidRPr="00D44D33">
        <w:rPr>
          <w:rFonts w:eastAsiaTheme="minorEastAsia"/>
          <w:b w:val="0"/>
          <w:bCs w:val="0"/>
          <w:sz w:val="24"/>
          <w:szCs w:val="24"/>
          <w:lang w:eastAsia="en-US"/>
        </w:rPr>
        <w:t xml:space="preserve"> </w:t>
      </w:r>
      <w:r w:rsidR="00C96D57" w:rsidRPr="00D44D33">
        <w:rPr>
          <w:rFonts w:eastAsiaTheme="minorEastAsia"/>
          <w:b w:val="0"/>
          <w:bCs w:val="0"/>
          <w:sz w:val="24"/>
          <w:szCs w:val="24"/>
          <w:lang w:eastAsia="en-US"/>
        </w:rPr>
        <w:t>regulacji</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w</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zakresie</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wpisu</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do</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rejestru</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działalności</w:t>
      </w:r>
      <w:r w:rsidR="00970B2E" w:rsidRPr="00D44D33">
        <w:rPr>
          <w:rFonts w:eastAsiaTheme="minorEastAsia"/>
          <w:b w:val="0"/>
          <w:bCs w:val="0"/>
          <w:sz w:val="24"/>
          <w:szCs w:val="24"/>
          <w:lang w:eastAsia="en-US"/>
        </w:rPr>
        <w:t xml:space="preserve"> </w:t>
      </w:r>
      <w:r w:rsidR="002A0A6D" w:rsidRPr="00D44D33">
        <w:rPr>
          <w:rFonts w:eastAsiaTheme="minorEastAsia"/>
          <w:b w:val="0"/>
          <w:bCs w:val="0"/>
          <w:sz w:val="24"/>
          <w:szCs w:val="24"/>
          <w:lang w:eastAsia="en-US"/>
        </w:rPr>
        <w:t>regulowanej</w:t>
      </w:r>
      <w:r w:rsidR="00C96D57" w:rsidRPr="00D44D33">
        <w:rPr>
          <w:rFonts w:eastAsiaTheme="minorEastAsia"/>
          <w:b w:val="0"/>
          <w:bCs w:val="0"/>
          <w:sz w:val="24"/>
          <w:szCs w:val="24"/>
          <w:lang w:eastAsia="en-US"/>
        </w:rPr>
        <w:t>.</w:t>
      </w:r>
      <w:r w:rsidR="00970B2E" w:rsidRPr="00D44D33">
        <w:rPr>
          <w:rFonts w:eastAsiaTheme="minorEastAsia"/>
          <w:b w:val="0"/>
          <w:bCs w:val="0"/>
          <w:sz w:val="24"/>
          <w:szCs w:val="24"/>
          <w:lang w:eastAsia="en-US"/>
        </w:rPr>
        <w:t xml:space="preserve"> </w:t>
      </w:r>
    </w:p>
    <w:p w14:paraId="0E1A17BA" w14:textId="680C3E33" w:rsidR="00B012F1" w:rsidRPr="00D44D33" w:rsidRDefault="1808250A"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terytorialnego</w:t>
      </w:r>
      <w:r w:rsidR="00752A29" w:rsidRPr="00D44D33">
        <w:rPr>
          <w:rFonts w:ascii="Times New Roman" w:eastAsiaTheme="minorEastAsia" w:hAnsi="Times New Roman" w:cs="Times New Roman"/>
          <w:sz w:val="24"/>
          <w:szCs w:val="24"/>
        </w:rPr>
        <w:t xml:space="preserve"> wykonujących działalność w zakresie 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zwanego</w:t>
      </w:r>
      <w:r w:rsidR="00752A29" w:rsidRPr="00D44D33">
        <w:rPr>
          <w:rFonts w:ascii="Times New Roman" w:eastAsiaTheme="minorEastAsia" w:hAnsi="Times New Roman" w:cs="Times New Roman"/>
          <w:sz w:val="24"/>
          <w:szCs w:val="24"/>
        </w:rPr>
        <w:t xml:space="preserve"> dalej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b/>
          <w:bCs/>
          <w:sz w:val="24"/>
          <w:szCs w:val="24"/>
        </w:rPr>
        <w:t xml:space="preserve"> </w:t>
      </w:r>
      <w:r w:rsidR="2AFDAFD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odrębny</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752A29" w:rsidRPr="00D44D33">
        <w:rPr>
          <w:rFonts w:ascii="Times New Roman" w:eastAsiaTheme="minorEastAsia" w:hAnsi="Times New Roman" w:cs="Times New Roman"/>
          <w:sz w:val="24"/>
          <w:szCs w:val="24"/>
        </w:rPr>
        <w:t xml:space="preserve">PT, i </w:t>
      </w:r>
      <w:r w:rsidR="2AFDAFD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osobno</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wyodrębnione</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odesłań</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13a</w:t>
      </w:r>
      <w:r w:rsidR="00970B2E" w:rsidRPr="00D44D33">
        <w:rPr>
          <w:rFonts w:ascii="Times New Roman" w:eastAsiaTheme="minorEastAsia" w:hAnsi="Times New Roman" w:cs="Times New Roman"/>
          <w:sz w:val="24"/>
          <w:szCs w:val="24"/>
        </w:rPr>
        <w:t xml:space="preserve"> </w:t>
      </w:r>
      <w:r w:rsidR="483F7040" w:rsidRPr="00D44D33">
        <w:rPr>
          <w:rFonts w:ascii="Times New Roman" w:eastAsiaTheme="minorEastAsia" w:hAnsi="Times New Roman" w:cs="Times New Roman"/>
          <w:sz w:val="24"/>
          <w:szCs w:val="24"/>
        </w:rPr>
        <w:t>Pt</w:t>
      </w:r>
      <w:r w:rsidR="4153747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lastRenderedPageBreak/>
        <w:t>telekomunikacyjna</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samorządowych</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4153747D"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4153747D" w:rsidRPr="00D44D33">
        <w:rPr>
          <w:rFonts w:ascii="Times New Roman" w:eastAsiaTheme="minorEastAsia" w:hAnsi="Times New Roman" w:cs="Times New Roman"/>
          <w:sz w:val="24"/>
          <w:szCs w:val="24"/>
        </w:rPr>
        <w:t>działalności)</w:t>
      </w:r>
      <w:r w:rsidR="2AFDAFD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wpisana</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JS</w:t>
      </w:r>
      <w:r w:rsidR="002811AC"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FDAFD5"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752A29" w:rsidRPr="00D44D33">
        <w:rPr>
          <w:rFonts w:ascii="Times New Roman" w:eastAsiaTheme="minorEastAsia" w:hAnsi="Times New Roman" w:cs="Times New Roman"/>
          <w:sz w:val="24"/>
          <w:szCs w:val="24"/>
        </w:rPr>
        <w:t>PT</w:t>
      </w:r>
      <w:r w:rsidR="4153747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153747D" w:rsidRPr="00D44D33">
        <w:rPr>
          <w:rFonts w:ascii="Times New Roman" w:eastAsiaTheme="minorEastAsia" w:hAnsi="Times New Roman" w:cs="Times New Roman"/>
          <w:sz w:val="24"/>
          <w:szCs w:val="24"/>
        </w:rPr>
        <w:t>względnie</w:t>
      </w:r>
      <w:r w:rsidR="00970B2E" w:rsidRPr="00D44D33">
        <w:rPr>
          <w:rFonts w:ascii="Times New Roman" w:eastAsiaTheme="minorEastAsia" w:hAnsi="Times New Roman" w:cs="Times New Roman"/>
          <w:sz w:val="24"/>
          <w:szCs w:val="24"/>
        </w:rPr>
        <w:t xml:space="preserve"> </w:t>
      </w:r>
      <w:r w:rsidR="4153747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153747D" w:rsidRPr="00D44D33">
        <w:rPr>
          <w:rFonts w:ascii="Times New Roman" w:eastAsiaTheme="minorEastAsia" w:hAnsi="Times New Roman" w:cs="Times New Roman"/>
          <w:sz w:val="24"/>
          <w:szCs w:val="24"/>
        </w:rPr>
        <w:t>obydwu</w:t>
      </w:r>
      <w:r w:rsidR="00970B2E" w:rsidRPr="00D44D33">
        <w:rPr>
          <w:rFonts w:ascii="Times New Roman" w:eastAsiaTheme="minorEastAsia" w:hAnsi="Times New Roman" w:cs="Times New Roman"/>
          <w:sz w:val="24"/>
          <w:szCs w:val="24"/>
        </w:rPr>
        <w:t xml:space="preserve"> </w:t>
      </w:r>
      <w:r w:rsidR="4153747D" w:rsidRPr="00D44D33">
        <w:rPr>
          <w:rFonts w:ascii="Times New Roman" w:eastAsiaTheme="minorEastAsia" w:hAnsi="Times New Roman" w:cs="Times New Roman"/>
          <w:sz w:val="24"/>
          <w:szCs w:val="24"/>
        </w:rPr>
        <w:t>rejestrów</w:t>
      </w:r>
      <w:r w:rsidR="2AFDAFD5" w:rsidRPr="00D44D33">
        <w:rPr>
          <w:rFonts w:ascii="Times New Roman" w:eastAsiaTheme="minorEastAsia" w:hAnsi="Times New Roman" w:cs="Times New Roman"/>
          <w:b/>
          <w:bCs/>
          <w:sz w:val="24"/>
          <w:szCs w:val="24"/>
        </w:rPr>
        <w:t>.</w:t>
      </w:r>
    </w:p>
    <w:p w14:paraId="1A0CF2C5" w14:textId="6B0D0F09" w:rsidR="00B012F1" w:rsidRPr="00D44D33" w:rsidRDefault="52640C95"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Oba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teleinformatycznym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b/>
          <w:bCs/>
          <w:sz w:val="24"/>
          <w:szCs w:val="24"/>
        </w:rPr>
        <w:t xml:space="preserve"> </w:t>
      </w:r>
      <w:r w:rsidR="007A610D" w:rsidRPr="00D44D33">
        <w:rPr>
          <w:rFonts w:ascii="Times New Roman" w:eastAsiaTheme="minorEastAsia" w:hAnsi="Times New Roman" w:cs="Times New Roman"/>
          <w:bCs/>
          <w:sz w:val="24"/>
          <w:szCs w:val="24"/>
        </w:rPr>
        <w:t>K</w:t>
      </w:r>
      <w:r w:rsidR="007A610D" w:rsidRPr="00D44D33">
        <w:rPr>
          <w:rFonts w:ascii="Times New Roman" w:eastAsiaTheme="minorEastAsia" w:hAnsi="Times New Roman" w:cs="Times New Roman"/>
          <w:sz w:val="24"/>
          <w:szCs w:val="24"/>
        </w:rPr>
        <w:t>ompetencją</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utrzymywanie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rejestrów</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podejmowanie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wszelkich</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dokonywaniem</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wpisów</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wydawaniem</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zaświadczeń.</w:t>
      </w:r>
    </w:p>
    <w:p w14:paraId="50025F68" w14:textId="7903FDF2"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6</w:t>
      </w:r>
    </w:p>
    <w:p w14:paraId="0612FE9D" w14:textId="32A7AD7E" w:rsidR="00B012F1" w:rsidRPr="00D44D33" w:rsidRDefault="025F652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rozdzielono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redakcyjne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deklarowanych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najważniejszych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p>
    <w:p w14:paraId="21BE7ABE" w14:textId="1276829E"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f</w:t>
      </w:r>
      <w:r w:rsidR="025F6527" w:rsidRPr="00D44D33">
        <w:rPr>
          <w:rFonts w:ascii="Times New Roman" w:eastAsiaTheme="minorEastAsia" w:hAnsi="Times New Roman" w:cs="Times New Roman"/>
          <w:sz w:val="24"/>
          <w:szCs w:val="24"/>
        </w:rPr>
        <w:t>irma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nazwa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teleadresowe;</w:t>
      </w:r>
    </w:p>
    <w:p w14:paraId="23779D39" w14:textId="5AED1B0D"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25F6527"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prawnej;</w:t>
      </w:r>
    </w:p>
    <w:p w14:paraId="3ED75126" w14:textId="5533AAC5"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w:t>
      </w:r>
      <w:r w:rsidR="025F6527" w:rsidRPr="00D44D33">
        <w:rPr>
          <w:rFonts w:ascii="Times New Roman" w:eastAsiaTheme="minorEastAsia" w:hAnsi="Times New Roman" w:cs="Times New Roman"/>
          <w:sz w:val="24"/>
          <w:szCs w:val="24"/>
        </w:rPr>
        <w:t>umer</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rejestrowy;</w:t>
      </w:r>
    </w:p>
    <w:p w14:paraId="6550F68B" w14:textId="66EB5E92"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w:t>
      </w:r>
      <w:r w:rsidR="025F6527" w:rsidRPr="00D44D33">
        <w:rPr>
          <w:rFonts w:ascii="Times New Roman" w:eastAsiaTheme="minorEastAsia" w:hAnsi="Times New Roman" w:cs="Times New Roman"/>
          <w:sz w:val="24"/>
          <w:szCs w:val="24"/>
        </w:rPr>
        <w:t>ane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kontaktu;</w:t>
      </w:r>
    </w:p>
    <w:p w14:paraId="6E0F273B" w14:textId="35503484"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25F6527" w:rsidRPr="00D44D33">
        <w:rPr>
          <w:rFonts w:ascii="Times New Roman" w:eastAsiaTheme="minorEastAsia" w:hAnsi="Times New Roman" w:cs="Times New Roman"/>
          <w:sz w:val="24"/>
          <w:szCs w:val="24"/>
        </w:rPr>
        <w:t>pis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powiązanych;</w:t>
      </w:r>
    </w:p>
    <w:p w14:paraId="5661027C" w14:textId="17D7AA10" w:rsidR="00B012F1" w:rsidRPr="00D44D33" w:rsidRDefault="00785706"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planowana</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d</w:t>
      </w:r>
      <w:r w:rsidR="025F6527" w:rsidRPr="00D44D33">
        <w:rPr>
          <w:rFonts w:ascii="Times New Roman" w:eastAsiaTheme="minorEastAsia" w:hAnsi="Times New Roman" w:cs="Times New Roman"/>
          <w:sz w:val="24"/>
          <w:szCs w:val="24"/>
        </w:rPr>
        <w:t>at</w:t>
      </w:r>
      <w:r w:rsidR="00361F4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telekomunikacyjnej;</w:t>
      </w:r>
    </w:p>
    <w:p w14:paraId="62A93938" w14:textId="78A9E4D2"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a</w:t>
      </w:r>
      <w:r w:rsidR="025F6527" w:rsidRPr="00D44D33">
        <w:rPr>
          <w:rFonts w:ascii="Times New Roman" w:eastAsiaTheme="minorEastAsia" w:hAnsi="Times New Roman" w:cs="Times New Roman"/>
          <w:sz w:val="24"/>
          <w:szCs w:val="24"/>
        </w:rPr>
        <w:t>dres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internetowej</w:t>
      </w:r>
      <w:r w:rsidR="00361F4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04DA0B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204DA0BE"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204DA0BE" w:rsidRPr="00D44D33">
        <w:rPr>
          <w:rFonts w:ascii="Times New Roman" w:eastAsiaTheme="minorEastAsia" w:hAnsi="Times New Roman" w:cs="Times New Roman"/>
          <w:sz w:val="24"/>
          <w:szCs w:val="24"/>
        </w:rPr>
        <w:t>stronę</w:t>
      </w:r>
      <w:r w:rsidR="00970B2E" w:rsidRPr="00D44D33">
        <w:rPr>
          <w:rFonts w:ascii="Times New Roman" w:eastAsiaTheme="minorEastAsia" w:hAnsi="Times New Roman" w:cs="Times New Roman"/>
          <w:sz w:val="24"/>
          <w:szCs w:val="24"/>
        </w:rPr>
        <w:t xml:space="preserve"> </w:t>
      </w:r>
      <w:r w:rsidR="204DA0BE" w:rsidRPr="00D44D33">
        <w:rPr>
          <w:rFonts w:ascii="Times New Roman" w:eastAsiaTheme="minorEastAsia" w:hAnsi="Times New Roman" w:cs="Times New Roman"/>
          <w:sz w:val="24"/>
          <w:szCs w:val="24"/>
        </w:rPr>
        <w:t>wnioskodawca</w:t>
      </w:r>
      <w:r w:rsidR="00970B2E" w:rsidRPr="00D44D33">
        <w:rPr>
          <w:rFonts w:ascii="Times New Roman" w:eastAsiaTheme="minorEastAsia" w:hAnsi="Times New Roman" w:cs="Times New Roman"/>
          <w:sz w:val="24"/>
          <w:szCs w:val="24"/>
        </w:rPr>
        <w:t xml:space="preserve"> </w:t>
      </w:r>
      <w:r w:rsidR="204DA0BE" w:rsidRPr="00D44D33">
        <w:rPr>
          <w:rFonts w:ascii="Times New Roman" w:eastAsiaTheme="minorEastAsia" w:hAnsi="Times New Roman" w:cs="Times New Roman"/>
          <w:sz w:val="24"/>
          <w:szCs w:val="24"/>
        </w:rPr>
        <w:t>posiada</w:t>
      </w:r>
      <w:r w:rsidR="025F6527" w:rsidRPr="00D44D33">
        <w:rPr>
          <w:rFonts w:ascii="Times New Roman" w:eastAsiaTheme="minorEastAsia" w:hAnsi="Times New Roman" w:cs="Times New Roman"/>
          <w:sz w:val="24"/>
          <w:szCs w:val="24"/>
        </w:rPr>
        <w:t>;</w:t>
      </w:r>
    </w:p>
    <w:p w14:paraId="110501F2" w14:textId="0CADEB99" w:rsidR="00B012F1" w:rsidRPr="00D44D33" w:rsidRDefault="0052113B" w:rsidP="00D44D33">
      <w:pPr>
        <w:pStyle w:val="Akapitzlist"/>
        <w:numPr>
          <w:ilvl w:val="0"/>
          <w:numId w:val="132"/>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25F6527" w:rsidRPr="00D44D33">
        <w:rPr>
          <w:rFonts w:ascii="Times New Roman" w:eastAsiaTheme="minorEastAsia" w:hAnsi="Times New Roman" w:cs="Times New Roman"/>
          <w:sz w:val="24"/>
          <w:szCs w:val="24"/>
        </w:rPr>
        <w:t>bszar</w:t>
      </w:r>
      <w:r w:rsidR="20B553E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wykonywana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telekomunikacyjna</w:t>
      </w:r>
      <w:r w:rsidR="213F3849" w:rsidRPr="00D44D33">
        <w:rPr>
          <w:rFonts w:ascii="Times New Roman" w:eastAsiaTheme="minorEastAsia" w:hAnsi="Times New Roman" w:cs="Times New Roman"/>
          <w:sz w:val="24"/>
          <w:szCs w:val="24"/>
        </w:rPr>
        <w:t>.</w:t>
      </w:r>
    </w:p>
    <w:p w14:paraId="08286A46" w14:textId="637B927A" w:rsidR="00B012F1" w:rsidRPr="00D44D33" w:rsidRDefault="00752A2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Mając na uwadze, że </w:t>
      </w:r>
      <w:r w:rsidR="007A610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żądać</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potwierdzających</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poszczególne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informacje</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w:t>
      </w:r>
      <w:r w:rsidR="025F6527" w:rsidRPr="00D44D33">
        <w:rPr>
          <w:rFonts w:ascii="Times New Roman" w:eastAsiaTheme="minorEastAsia" w:hAnsi="Times New Roman" w:cs="Times New Roman"/>
          <w:sz w:val="24"/>
          <w:szCs w:val="24"/>
        </w:rPr>
        <w:t>niosek</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361F4F"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002811AC" w:rsidRPr="00D44D33">
        <w:rPr>
          <w:rFonts w:ascii="Times New Roman" w:hAnsi="Times New Roman" w:cs="Times New Roman"/>
          <w:sz w:val="24"/>
          <w:szCs w:val="24"/>
        </w:rPr>
        <w:t>osoby</w:t>
      </w:r>
      <w:r w:rsidR="00970B2E" w:rsidRPr="00D44D33">
        <w:rPr>
          <w:rFonts w:ascii="Times New Roman" w:hAnsi="Times New Roman" w:cs="Times New Roman"/>
          <w:sz w:val="24"/>
          <w:szCs w:val="24"/>
        </w:rPr>
        <w:t xml:space="preserve"> </w:t>
      </w:r>
      <w:r w:rsidR="002811AC" w:rsidRPr="00D44D33">
        <w:rPr>
          <w:rFonts w:ascii="Times New Roman" w:hAnsi="Times New Roman" w:cs="Times New Roman"/>
          <w:sz w:val="24"/>
          <w:szCs w:val="24"/>
        </w:rPr>
        <w:t>uprawnionej</w:t>
      </w:r>
      <w:r w:rsidR="00970B2E" w:rsidRPr="00D44D33">
        <w:rPr>
          <w:rFonts w:ascii="Times New Roman" w:hAnsi="Times New Roman" w:cs="Times New Roman"/>
          <w:sz w:val="24"/>
          <w:szCs w:val="24"/>
        </w:rPr>
        <w:t xml:space="preserve"> </w:t>
      </w:r>
      <w:r w:rsidR="002811AC"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811AC" w:rsidRPr="00D44D33">
        <w:rPr>
          <w:rFonts w:ascii="Times New Roman" w:hAnsi="Times New Roman" w:cs="Times New Roman"/>
          <w:sz w:val="24"/>
          <w:szCs w:val="24"/>
        </w:rPr>
        <w:t>reprezentowania</w:t>
      </w:r>
      <w:r w:rsidR="00970B2E" w:rsidRPr="00D44D33">
        <w:rPr>
          <w:rFonts w:ascii="Times New Roman" w:eastAsiaTheme="minorEastAsia" w:hAnsi="Times New Roman" w:cs="Times New Roman"/>
          <w:sz w:val="24"/>
          <w:szCs w:val="24"/>
        </w:rPr>
        <w:t xml:space="preserve"> </w:t>
      </w:r>
      <w:r w:rsidR="002811AC"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00361F4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61F4F" w:rsidRPr="00D44D33">
        <w:rPr>
          <w:rFonts w:ascii="Times New Roman" w:eastAsiaTheme="minorEastAsia" w:hAnsi="Times New Roman" w:cs="Times New Roman"/>
          <w:sz w:val="24"/>
          <w:szCs w:val="24"/>
        </w:rPr>
        <w:t>świadomości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karnej</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fałszywego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Klauzula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zastępuje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pouczenie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warunkujące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ponoszenie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odpowiedzialności</w:t>
      </w:r>
      <w:r w:rsidR="025F652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Złożone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potwierdzenie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stanem</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faktycznym</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modyfikowana.</w:t>
      </w:r>
    </w:p>
    <w:p w14:paraId="70C0209D"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1181AC3D" w14:textId="4392C5EE"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7</w:t>
      </w:r>
    </w:p>
    <w:p w14:paraId="36B96B77" w14:textId="7ADCB20F" w:rsidR="00B012F1" w:rsidRPr="00D44D33" w:rsidRDefault="025F652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wykonująca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106E43F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06E43F6"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106E43F6"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mianowicie:</w:t>
      </w:r>
    </w:p>
    <w:p w14:paraId="025C7CC4" w14:textId="22D4D6A8" w:rsidR="00B012F1" w:rsidRPr="00D44D33" w:rsidRDefault="0052113B"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w:t>
      </w:r>
      <w:r w:rsidR="025F6527" w:rsidRPr="00D44D33">
        <w:rPr>
          <w:rFonts w:ascii="Times New Roman" w:eastAsiaTheme="minorEastAsia" w:hAnsi="Times New Roman" w:cs="Times New Roman"/>
          <w:sz w:val="24"/>
          <w:szCs w:val="24"/>
        </w:rPr>
        <w:t>azwa</w:t>
      </w:r>
      <w:r w:rsidR="00752A29" w:rsidRPr="00D44D33">
        <w:rPr>
          <w:rFonts w:ascii="Times New Roman" w:eastAsiaTheme="minorEastAsia" w:hAnsi="Times New Roman" w:cs="Times New Roman"/>
          <w:sz w:val="24"/>
          <w:szCs w:val="24"/>
        </w:rPr>
        <w:t>, siedziba i adres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wnioskodawcy;</w:t>
      </w:r>
    </w:p>
    <w:p w14:paraId="312B1816" w14:textId="79F54E61" w:rsidR="00B012F1" w:rsidRPr="00D44D33" w:rsidRDefault="0052113B"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w:t>
      </w:r>
      <w:r w:rsidR="025F6527" w:rsidRPr="00D44D33">
        <w:rPr>
          <w:rFonts w:ascii="Times New Roman" w:eastAsiaTheme="minorEastAsia" w:hAnsi="Times New Roman" w:cs="Times New Roman"/>
          <w:sz w:val="24"/>
          <w:szCs w:val="24"/>
        </w:rPr>
        <w:t>umer</w:t>
      </w:r>
      <w:r w:rsidR="00752A29" w:rsidRPr="00D44D33">
        <w:rPr>
          <w:rFonts w:ascii="Times New Roman" w:eastAsiaTheme="minorEastAsia" w:hAnsi="Times New Roman" w:cs="Times New Roman"/>
          <w:sz w:val="24"/>
          <w:szCs w:val="24"/>
        </w:rPr>
        <w:t xml:space="preserve"> identyfikacji podatkowej (NIP);</w:t>
      </w:r>
    </w:p>
    <w:p w14:paraId="5D47D644" w14:textId="4D6B7CB0" w:rsidR="00B012F1" w:rsidRPr="00D44D33" w:rsidRDefault="00752A29"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identyfikator jednostki samorządu terytorialnego w krajowym rejestrze urzędowym podziału terytorialnego kraju „TERYT”</w:t>
      </w:r>
      <w:r w:rsidR="025F6527" w:rsidRPr="00D44D33">
        <w:rPr>
          <w:rFonts w:ascii="Times New Roman" w:eastAsiaTheme="minorEastAsia" w:hAnsi="Times New Roman" w:cs="Times New Roman"/>
          <w:sz w:val="24"/>
          <w:szCs w:val="24"/>
        </w:rPr>
        <w:t>;</w:t>
      </w:r>
    </w:p>
    <w:p w14:paraId="27F3CA1E" w14:textId="5A018B0D" w:rsidR="00B012F1" w:rsidRPr="00D44D33" w:rsidRDefault="0052113B"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w:t>
      </w:r>
      <w:r w:rsidR="025F6527"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wnioskodawcę;</w:t>
      </w:r>
    </w:p>
    <w:p w14:paraId="4E9DAB74" w14:textId="20DBCCAB" w:rsidR="00B012F1" w:rsidRPr="00D44D33" w:rsidRDefault="0052113B"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f</w:t>
      </w:r>
      <w:r w:rsidR="025F6527" w:rsidRPr="00D44D33">
        <w:rPr>
          <w:rFonts w:ascii="Times New Roman" w:eastAsiaTheme="minorEastAsia" w:hAnsi="Times New Roman" w:cs="Times New Roman"/>
          <w:sz w:val="24"/>
          <w:szCs w:val="24"/>
        </w:rPr>
        <w:t>irm</w:t>
      </w:r>
      <w:r w:rsidR="00361F4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nazw</w:t>
      </w:r>
      <w:r w:rsidR="00361F4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prowadzającego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prowadzona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wyodrębnionej;</w:t>
      </w:r>
    </w:p>
    <w:p w14:paraId="11C750B8" w14:textId="2208037F" w:rsidR="00B012F1" w:rsidRPr="00D44D33" w:rsidRDefault="0052113B"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25F6527" w:rsidRPr="00D44D33">
        <w:rPr>
          <w:rFonts w:ascii="Times New Roman" w:eastAsiaTheme="minorEastAsia" w:hAnsi="Times New Roman" w:cs="Times New Roman"/>
          <w:sz w:val="24"/>
          <w:szCs w:val="24"/>
        </w:rPr>
        <w:t>pis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telekomunikacji</w:t>
      </w:r>
      <w:r w:rsidR="00752A29" w:rsidRPr="00D44D33">
        <w:rPr>
          <w:rFonts w:ascii="Times New Roman" w:eastAsiaTheme="minorEastAsia" w:hAnsi="Times New Roman" w:cs="Times New Roman"/>
          <w:sz w:val="24"/>
          <w:szCs w:val="24"/>
        </w:rPr>
        <w:t>, której dotyczy wniosek</w:t>
      </w:r>
      <w:r w:rsidR="025F6527" w:rsidRPr="00D44D33">
        <w:rPr>
          <w:rFonts w:ascii="Times New Roman" w:eastAsiaTheme="minorEastAsia" w:hAnsi="Times New Roman" w:cs="Times New Roman"/>
          <w:sz w:val="24"/>
          <w:szCs w:val="24"/>
        </w:rPr>
        <w:t>;</w:t>
      </w:r>
    </w:p>
    <w:p w14:paraId="26705293" w14:textId="62973EFA" w:rsidR="00B012F1" w:rsidRPr="00D44D33" w:rsidRDefault="00752A29"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numer i datę podjęcia uchwały organu stanowiącego jednostki samorządu terytorialnego o rozpoczęciu działalności w zakresie telekomunikacji</w:t>
      </w:r>
      <w:r w:rsidR="025F6527" w:rsidRPr="00D44D33">
        <w:rPr>
          <w:rFonts w:ascii="Times New Roman" w:eastAsiaTheme="minorEastAsia" w:hAnsi="Times New Roman" w:cs="Times New Roman"/>
          <w:sz w:val="24"/>
          <w:szCs w:val="24"/>
        </w:rPr>
        <w:t>;</w:t>
      </w:r>
    </w:p>
    <w:p w14:paraId="3E1C9FED" w14:textId="6D3C87F7" w:rsidR="00C32D9D" w:rsidRPr="00D44D33" w:rsidRDefault="00752A29"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imię, nazwisko, adres do korespondencji, adres poczty elektronicznej i numer telefonu osoby wyznaczonej do kontaktu z Prezesem UKE</w:t>
      </w:r>
      <w:r w:rsidR="00C32D9D" w:rsidRPr="00D44D33">
        <w:rPr>
          <w:rFonts w:ascii="Times New Roman" w:eastAsiaTheme="minorEastAsia" w:hAnsi="Times New Roman" w:cs="Times New Roman"/>
          <w:sz w:val="24"/>
          <w:szCs w:val="24"/>
        </w:rPr>
        <w:t>;</w:t>
      </w:r>
    </w:p>
    <w:p w14:paraId="6B302EB9" w14:textId="19FD4B30" w:rsidR="00B012F1" w:rsidRPr="00D44D33" w:rsidRDefault="0052113B"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25F6527" w:rsidRPr="00D44D33">
        <w:rPr>
          <w:rFonts w:ascii="Times New Roman" w:eastAsiaTheme="minorEastAsia" w:hAnsi="Times New Roman" w:cs="Times New Roman"/>
          <w:sz w:val="24"/>
          <w:szCs w:val="24"/>
        </w:rPr>
        <w:t>bszar</w:t>
      </w:r>
      <w:r w:rsidR="1DB1361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wykonywana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31C821B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1C821BB"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31C821BB" w:rsidRPr="00D44D33">
        <w:rPr>
          <w:rFonts w:ascii="Times New Roman" w:eastAsiaTheme="minorEastAsia" w:hAnsi="Times New Roman" w:cs="Times New Roman"/>
          <w:sz w:val="24"/>
          <w:szCs w:val="24"/>
        </w:rPr>
        <w:t>telekomunikacji</w:t>
      </w:r>
      <w:r w:rsidR="025F6527" w:rsidRPr="00D44D33">
        <w:rPr>
          <w:rFonts w:ascii="Times New Roman" w:eastAsiaTheme="minorEastAsia" w:hAnsi="Times New Roman" w:cs="Times New Roman"/>
          <w:sz w:val="24"/>
          <w:szCs w:val="24"/>
        </w:rPr>
        <w:t>;</w:t>
      </w:r>
    </w:p>
    <w:p w14:paraId="327D5111" w14:textId="503600BC" w:rsidR="00B012F1" w:rsidRPr="00D44D33" w:rsidRDefault="00752A29" w:rsidP="00D44D33">
      <w:pPr>
        <w:pStyle w:val="Akapitzlist"/>
        <w:numPr>
          <w:ilvl w:val="0"/>
          <w:numId w:val="133"/>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planowana </w:t>
      </w:r>
      <w:r w:rsidR="0052113B" w:rsidRPr="00D44D33">
        <w:rPr>
          <w:rFonts w:ascii="Times New Roman" w:eastAsiaTheme="minorEastAsia" w:hAnsi="Times New Roman" w:cs="Times New Roman"/>
          <w:sz w:val="24"/>
          <w:szCs w:val="24"/>
        </w:rPr>
        <w:t>d</w:t>
      </w:r>
      <w:r w:rsidR="025F6527" w:rsidRPr="00D44D33">
        <w:rPr>
          <w:rFonts w:ascii="Times New Roman" w:eastAsiaTheme="minorEastAsia" w:hAnsi="Times New Roman" w:cs="Times New Roman"/>
          <w:sz w:val="24"/>
          <w:szCs w:val="24"/>
        </w:rPr>
        <w:t>a</w:t>
      </w:r>
      <w:r w:rsidR="00C32D9D"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66BE386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6BE386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66BE3860" w:rsidRPr="00D44D33">
        <w:rPr>
          <w:rFonts w:ascii="Times New Roman" w:eastAsiaTheme="minorEastAsia" w:hAnsi="Times New Roman" w:cs="Times New Roman"/>
          <w:sz w:val="24"/>
          <w:szCs w:val="24"/>
        </w:rPr>
        <w:t>telekomunikacji</w:t>
      </w:r>
      <w:r w:rsidR="4294D52F" w:rsidRPr="00D44D33">
        <w:rPr>
          <w:rFonts w:ascii="Times New Roman" w:eastAsiaTheme="minorEastAsia" w:hAnsi="Times New Roman" w:cs="Times New Roman"/>
          <w:sz w:val="24"/>
          <w:szCs w:val="24"/>
        </w:rPr>
        <w:t>.</w:t>
      </w:r>
    </w:p>
    <w:p w14:paraId="0C9BB559" w14:textId="3B6DAD55" w:rsidR="00B012F1" w:rsidRPr="00D44D33" w:rsidRDefault="025F652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6DA2CB1B"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002811AC" w:rsidRPr="00D44D33">
        <w:rPr>
          <w:rFonts w:ascii="Times New Roman" w:hAnsi="Times New Roman" w:cs="Times New Roman"/>
          <w:sz w:val="24"/>
          <w:szCs w:val="24"/>
        </w:rPr>
        <w:t>osoby</w:t>
      </w:r>
      <w:r w:rsidR="00970B2E" w:rsidRPr="00D44D33">
        <w:rPr>
          <w:rFonts w:ascii="Times New Roman" w:hAnsi="Times New Roman" w:cs="Times New Roman"/>
          <w:sz w:val="24"/>
          <w:szCs w:val="24"/>
        </w:rPr>
        <w:t xml:space="preserve"> </w:t>
      </w:r>
      <w:r w:rsidR="002811AC" w:rsidRPr="00D44D33">
        <w:rPr>
          <w:rFonts w:ascii="Times New Roman" w:hAnsi="Times New Roman" w:cs="Times New Roman"/>
          <w:sz w:val="24"/>
          <w:szCs w:val="24"/>
        </w:rPr>
        <w:t>uprawnionej</w:t>
      </w:r>
      <w:r w:rsidR="00970B2E" w:rsidRPr="00D44D33">
        <w:rPr>
          <w:rFonts w:ascii="Times New Roman" w:hAnsi="Times New Roman" w:cs="Times New Roman"/>
          <w:sz w:val="24"/>
          <w:szCs w:val="24"/>
        </w:rPr>
        <w:t xml:space="preserve"> </w:t>
      </w:r>
      <w:r w:rsidR="002811AC"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811AC" w:rsidRPr="00D44D33">
        <w:rPr>
          <w:rFonts w:ascii="Times New Roman" w:hAnsi="Times New Roman" w:cs="Times New Roman"/>
          <w:sz w:val="24"/>
          <w:szCs w:val="24"/>
        </w:rPr>
        <w:t>reprezentowania</w:t>
      </w:r>
      <w:r w:rsidR="00970B2E" w:rsidRPr="00D44D33">
        <w:rPr>
          <w:rFonts w:ascii="Times New Roman" w:eastAsiaTheme="minorEastAsia" w:hAnsi="Times New Roman" w:cs="Times New Roman"/>
          <w:sz w:val="24"/>
          <w:szCs w:val="24"/>
        </w:rPr>
        <w:t xml:space="preserve"> </w:t>
      </w:r>
      <w:r w:rsidR="002811AC"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00C32D9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32D9D" w:rsidRPr="00D44D33">
        <w:rPr>
          <w:rFonts w:ascii="Times New Roman" w:eastAsiaTheme="minorEastAsia" w:hAnsi="Times New Roman" w:cs="Times New Roman"/>
          <w:sz w:val="24"/>
          <w:szCs w:val="24"/>
        </w:rPr>
        <w:t>świadomości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fałszywego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oświadczenia</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32D9D"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C32D9D"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lauzula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pouczenie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p>
    <w:p w14:paraId="4C88C556" w14:textId="1F221367"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8</w:t>
      </w:r>
    </w:p>
    <w:p w14:paraId="36076250" w14:textId="2443D454" w:rsidR="00B012F1" w:rsidRPr="00D44D33" w:rsidRDefault="00752A2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rejestr</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43</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ustawy</w:t>
      </w:r>
      <w:r w:rsidR="00FD3104" w:rsidRPr="00D44D33">
        <w:rPr>
          <w:rFonts w:ascii="Times New Roman" w:eastAsiaTheme="minorEastAsia" w:hAnsi="Times New Roman" w:cs="Times New Roman"/>
          <w:sz w:val="24"/>
          <w:szCs w:val="24"/>
        </w:rPr>
        <w:t xml:space="preserve"> z dnia 6 marca 2018 r.</w:t>
      </w:r>
      <w:r w:rsidR="00970B2E" w:rsidRPr="00D44D33">
        <w:rPr>
          <w:rFonts w:ascii="Times New Roman" w:eastAsiaTheme="minorEastAsia" w:hAnsi="Times New Roman" w:cs="Times New Roman"/>
          <w:sz w:val="24"/>
          <w:szCs w:val="24"/>
        </w:rPr>
        <w:t xml:space="preserve"> </w:t>
      </w:r>
      <w:r w:rsidR="007446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lastRenderedPageBreak/>
        <w:t>rejestracja</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Dlatego</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złożyć</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00DB4D63" w:rsidRPr="00D44D33">
        <w:rPr>
          <w:rFonts w:ascii="Times New Roman" w:eastAsiaTheme="minorEastAsia" w:hAnsi="Times New Roman" w:cs="Times New Roman"/>
          <w:sz w:val="24"/>
          <w:szCs w:val="24"/>
        </w:rPr>
        <w:t>wyprzedzeniem.</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A24F18"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A24F18"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A24F18"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roboczych</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C32D9D"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uzupełnienia.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uzupełnienia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kompletnych</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wzywa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wnioskodawcę</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uzupełnienia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wezwania</w:t>
      </w:r>
      <w:r w:rsidR="00A0148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wezwanie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przewidzianym</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ciągu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00A01484"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Bezskuteczny</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upływ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skutkuje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pozostawianiem</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rozpoznania.</w:t>
      </w:r>
      <w:r w:rsidR="00970B2E" w:rsidRPr="00D44D33">
        <w:rPr>
          <w:rFonts w:ascii="Times New Roman" w:eastAsiaTheme="minorEastAsia" w:hAnsi="Times New Roman" w:cs="Times New Roman"/>
          <w:sz w:val="24"/>
          <w:szCs w:val="24"/>
        </w:rPr>
        <w:t xml:space="preserve"> </w:t>
      </w:r>
    </w:p>
    <w:p w14:paraId="54536A62" w14:textId="46459C1A" w:rsidR="00B012F1" w:rsidRPr="00D44D33" w:rsidRDefault="00752A2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Mając na uwadze, że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deklaratoryjny,</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wnioskodawca</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rozpocząć</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wykonywanie</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8A54AC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telekomunikacji</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dokona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A610D"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roboczych</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kompletnego</w:t>
      </w:r>
      <w:r w:rsidR="00970B2E" w:rsidRPr="00D44D33">
        <w:rPr>
          <w:rFonts w:ascii="Times New Roman" w:eastAsiaTheme="minorEastAsia" w:hAnsi="Times New Roman" w:cs="Times New Roman"/>
          <w:sz w:val="24"/>
          <w:szCs w:val="24"/>
        </w:rPr>
        <w:t xml:space="preserve"> </w:t>
      </w:r>
      <w:r w:rsidR="025F6527" w:rsidRPr="00D44D33">
        <w:rPr>
          <w:rFonts w:ascii="Times New Roman" w:eastAsiaTheme="minorEastAsia" w:hAnsi="Times New Roman" w:cs="Times New Roman"/>
          <w:sz w:val="24"/>
          <w:szCs w:val="24"/>
        </w:rPr>
        <w:t>wniosku</w:t>
      </w:r>
      <w:r w:rsidR="63F3466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1F250AD8" w14:textId="45A11AA9" w:rsidR="4802621F" w:rsidRPr="00D44D33" w:rsidRDefault="4802621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7FCE6A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4E0FE93" w:rsidRPr="00D44D33">
        <w:rPr>
          <w:rFonts w:ascii="Times New Roman" w:eastAsiaTheme="minorEastAsia" w:hAnsi="Times New Roman" w:cs="Times New Roman"/>
          <w:sz w:val="24"/>
          <w:szCs w:val="24"/>
        </w:rPr>
        <w:t>wzorem</w:t>
      </w:r>
      <w:r w:rsidR="00970B2E" w:rsidRPr="00D44D33">
        <w:rPr>
          <w:rFonts w:ascii="Times New Roman" w:eastAsiaTheme="minorEastAsia" w:hAnsi="Times New Roman" w:cs="Times New Roman"/>
          <w:sz w:val="24"/>
          <w:szCs w:val="24"/>
        </w:rPr>
        <w:t xml:space="preserve"> </w:t>
      </w:r>
      <w:r w:rsidR="74E0FE9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4E0FE93" w:rsidRPr="00D44D33">
        <w:rPr>
          <w:rFonts w:ascii="Times New Roman" w:eastAsiaTheme="minorEastAsia" w:hAnsi="Times New Roman" w:cs="Times New Roman"/>
          <w:sz w:val="24"/>
          <w:szCs w:val="24"/>
        </w:rPr>
        <w:t>11</w:t>
      </w:r>
      <w:r w:rsidR="00970B2E" w:rsidRPr="00D44D33">
        <w:rPr>
          <w:rFonts w:ascii="Times New Roman" w:eastAsiaTheme="minorEastAsia" w:hAnsi="Times New Roman" w:cs="Times New Roman"/>
          <w:sz w:val="24"/>
          <w:szCs w:val="24"/>
        </w:rPr>
        <w:t xml:space="preserve"> </w:t>
      </w:r>
      <w:r w:rsidR="74E0FE93"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Centralnej</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Ewidencji</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Punkcie</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4D4EED84" w:rsidRPr="00D44D33">
        <w:rPr>
          <w:rFonts w:ascii="Times New Roman" w:eastAsiaTheme="minorEastAsia" w:hAnsi="Times New Roman" w:cs="Times New Roman"/>
          <w:sz w:val="24"/>
          <w:szCs w:val="24"/>
        </w:rPr>
        <w:t>(</w:t>
      </w:r>
      <w:r w:rsidR="0823B946"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823B946"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6142F51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142F518" w:rsidRPr="00D44D33">
        <w:rPr>
          <w:rFonts w:ascii="Times New Roman" w:eastAsiaTheme="minorEastAsia" w:hAnsi="Times New Roman" w:cs="Times New Roman"/>
          <w:sz w:val="24"/>
          <w:szCs w:val="24"/>
        </w:rPr>
        <w:t>20</w:t>
      </w:r>
      <w:r w:rsidR="0074461C" w:rsidRPr="00D44D33">
        <w:rPr>
          <w:rFonts w:ascii="Times New Roman" w:eastAsiaTheme="minorEastAsia" w:hAnsi="Times New Roman" w:cs="Times New Roman"/>
          <w:sz w:val="24"/>
          <w:szCs w:val="24"/>
        </w:rPr>
        <w:t>22 r. poz. 541</w:t>
      </w:r>
      <w:r w:rsidR="7C94F565" w:rsidRPr="00D44D33">
        <w:rPr>
          <w:rFonts w:ascii="Times New Roman" w:eastAsiaTheme="minorEastAsia" w:hAnsi="Times New Roman" w:cs="Times New Roman"/>
          <w:sz w:val="24"/>
          <w:szCs w:val="24"/>
        </w:rPr>
        <w:t>)</w:t>
      </w:r>
      <w:r w:rsidR="0823B94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0A7450B"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60A7450B"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rejestrac</w:t>
      </w:r>
      <w:r w:rsidR="119281F9"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4401AE6D" w:rsidRPr="00D44D33">
        <w:rPr>
          <w:rFonts w:ascii="Times New Roman" w:eastAsiaTheme="minorEastAsia" w:hAnsi="Times New Roman" w:cs="Times New Roman"/>
          <w:sz w:val="24"/>
          <w:szCs w:val="24"/>
        </w:rPr>
        <w:t>funkcjonujących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81E60A0"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6AB9C041"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6AB9C041" w:rsidRPr="00D44D33">
        <w:rPr>
          <w:rFonts w:ascii="Times New Roman" w:eastAsiaTheme="minorEastAsia" w:hAnsi="Times New Roman" w:cs="Times New Roman"/>
          <w:sz w:val="24"/>
          <w:szCs w:val="24"/>
        </w:rPr>
        <w:t>K</w:t>
      </w:r>
      <w:r w:rsidR="00752A29" w:rsidRPr="00D44D33">
        <w:rPr>
          <w:rFonts w:ascii="Times New Roman" w:eastAsiaTheme="minorEastAsia" w:hAnsi="Times New Roman" w:cs="Times New Roman"/>
          <w:sz w:val="24"/>
          <w:szCs w:val="24"/>
        </w:rPr>
        <w:t xml:space="preserve">rajowy </w:t>
      </w:r>
      <w:r w:rsidR="6AB9C041" w:rsidRPr="00D44D33">
        <w:rPr>
          <w:rFonts w:ascii="Times New Roman" w:eastAsiaTheme="minorEastAsia" w:hAnsi="Times New Roman" w:cs="Times New Roman"/>
          <w:sz w:val="24"/>
          <w:szCs w:val="24"/>
        </w:rPr>
        <w:t>R</w:t>
      </w:r>
      <w:r w:rsidR="00752A29" w:rsidRPr="00D44D33">
        <w:rPr>
          <w:rFonts w:ascii="Times New Roman" w:eastAsiaTheme="minorEastAsia" w:hAnsi="Times New Roman" w:cs="Times New Roman"/>
          <w:sz w:val="24"/>
          <w:szCs w:val="24"/>
        </w:rPr>
        <w:t xml:space="preserve">ejestr </w:t>
      </w:r>
      <w:r w:rsidR="6AB9C041" w:rsidRPr="00D44D33">
        <w:rPr>
          <w:rFonts w:ascii="Times New Roman" w:eastAsiaTheme="minorEastAsia" w:hAnsi="Times New Roman" w:cs="Times New Roman"/>
          <w:sz w:val="24"/>
          <w:szCs w:val="24"/>
        </w:rPr>
        <w:t>S</w:t>
      </w:r>
      <w:r w:rsidR="00752A29" w:rsidRPr="00D44D33">
        <w:rPr>
          <w:rFonts w:ascii="Times New Roman" w:eastAsiaTheme="minorEastAsia" w:hAnsi="Times New Roman" w:cs="Times New Roman"/>
          <w:sz w:val="24"/>
          <w:szCs w:val="24"/>
        </w:rPr>
        <w:t>ądowy</w:t>
      </w:r>
      <w:r w:rsidR="6AB9C041" w:rsidRPr="00D44D33">
        <w:rPr>
          <w:rFonts w:ascii="Times New Roman" w:eastAsiaTheme="minorEastAsia" w:hAnsi="Times New Roman" w:cs="Times New Roman"/>
          <w:sz w:val="24"/>
          <w:szCs w:val="24"/>
        </w:rPr>
        <w:t>,</w:t>
      </w:r>
      <w:r w:rsidR="00752A29" w:rsidRPr="00D44D33">
        <w:rPr>
          <w:rFonts w:ascii="Times New Roman" w:eastAsiaTheme="minorEastAsia" w:hAnsi="Times New Roman" w:cs="Times New Roman"/>
          <w:sz w:val="24"/>
          <w:szCs w:val="24"/>
        </w:rPr>
        <w:t xml:space="preserve"> </w:t>
      </w:r>
      <w:r w:rsidR="005A0519" w:rsidRPr="00D44D33">
        <w:rPr>
          <w:rFonts w:ascii="Times New Roman" w:eastAsiaTheme="minorEastAsia" w:hAnsi="Times New Roman" w:cs="Times New Roman"/>
          <w:sz w:val="24"/>
          <w:szCs w:val="24"/>
        </w:rPr>
        <w:t xml:space="preserve">zwany </w:t>
      </w:r>
      <w:r w:rsidR="00752A29" w:rsidRPr="00D44D33">
        <w:rPr>
          <w:rFonts w:ascii="Times New Roman" w:eastAsiaTheme="minorEastAsia" w:hAnsi="Times New Roman" w:cs="Times New Roman"/>
          <w:sz w:val="24"/>
          <w:szCs w:val="24"/>
        </w:rPr>
        <w:t>dalej „KRS”,</w:t>
      </w:r>
      <w:r w:rsidR="00970B2E" w:rsidRPr="00D44D33">
        <w:rPr>
          <w:rFonts w:ascii="Times New Roman" w:eastAsiaTheme="minorEastAsia" w:hAnsi="Times New Roman" w:cs="Times New Roman"/>
          <w:sz w:val="24"/>
          <w:szCs w:val="24"/>
        </w:rPr>
        <w:t xml:space="preserve"> </w:t>
      </w:r>
      <w:r w:rsidR="6AB9C041" w:rsidRPr="00D44D33">
        <w:rPr>
          <w:rFonts w:ascii="Times New Roman" w:eastAsiaTheme="minorEastAsia" w:hAnsi="Times New Roman" w:cs="Times New Roman"/>
          <w:sz w:val="24"/>
          <w:szCs w:val="24"/>
        </w:rPr>
        <w:t>C</w:t>
      </w:r>
      <w:r w:rsidR="00752A29" w:rsidRPr="00D44D33">
        <w:rPr>
          <w:rFonts w:ascii="Times New Roman" w:eastAsiaTheme="minorEastAsia" w:hAnsi="Times New Roman" w:cs="Times New Roman"/>
          <w:sz w:val="24"/>
          <w:szCs w:val="24"/>
        </w:rPr>
        <w:t xml:space="preserve">entralna </w:t>
      </w:r>
      <w:r w:rsidR="6AB9C041" w:rsidRPr="00D44D33">
        <w:rPr>
          <w:rFonts w:ascii="Times New Roman" w:eastAsiaTheme="minorEastAsia" w:hAnsi="Times New Roman" w:cs="Times New Roman"/>
          <w:sz w:val="24"/>
          <w:szCs w:val="24"/>
        </w:rPr>
        <w:t>E</w:t>
      </w:r>
      <w:r w:rsidR="00752A29" w:rsidRPr="00D44D33">
        <w:rPr>
          <w:rFonts w:ascii="Times New Roman" w:eastAsiaTheme="minorEastAsia" w:hAnsi="Times New Roman" w:cs="Times New Roman"/>
          <w:sz w:val="24"/>
          <w:szCs w:val="24"/>
        </w:rPr>
        <w:t xml:space="preserve">widencja </w:t>
      </w:r>
      <w:r w:rsidR="00C51590" w:rsidRPr="00D44D33">
        <w:rPr>
          <w:rFonts w:ascii="Times New Roman" w:eastAsiaTheme="minorEastAsia" w:hAnsi="Times New Roman" w:cs="Times New Roman"/>
          <w:sz w:val="24"/>
          <w:szCs w:val="24"/>
        </w:rPr>
        <w:t xml:space="preserve">i </w:t>
      </w:r>
      <w:r w:rsidR="6AB9C041" w:rsidRPr="00D44D33">
        <w:rPr>
          <w:rFonts w:ascii="Times New Roman" w:eastAsiaTheme="minorEastAsia" w:hAnsi="Times New Roman" w:cs="Times New Roman"/>
          <w:sz w:val="24"/>
          <w:szCs w:val="24"/>
        </w:rPr>
        <w:t>I</w:t>
      </w:r>
      <w:r w:rsidR="00C51590" w:rsidRPr="00D44D33">
        <w:rPr>
          <w:rFonts w:ascii="Times New Roman" w:eastAsiaTheme="minorEastAsia" w:hAnsi="Times New Roman" w:cs="Times New Roman"/>
          <w:sz w:val="24"/>
          <w:szCs w:val="24"/>
        </w:rPr>
        <w:t xml:space="preserve">nformacja o </w:t>
      </w:r>
      <w:r w:rsidR="6AB9C041" w:rsidRPr="00D44D33">
        <w:rPr>
          <w:rFonts w:ascii="Times New Roman" w:eastAsiaTheme="minorEastAsia" w:hAnsi="Times New Roman" w:cs="Times New Roman"/>
          <w:sz w:val="24"/>
          <w:szCs w:val="24"/>
        </w:rPr>
        <w:t>D</w:t>
      </w:r>
      <w:r w:rsidR="00C51590" w:rsidRPr="00D44D33">
        <w:rPr>
          <w:rFonts w:ascii="Times New Roman" w:eastAsiaTheme="minorEastAsia" w:hAnsi="Times New Roman" w:cs="Times New Roman"/>
          <w:sz w:val="24"/>
          <w:szCs w:val="24"/>
        </w:rPr>
        <w:t xml:space="preserve">ziałalności </w:t>
      </w:r>
      <w:r w:rsidR="6AB9C041" w:rsidRPr="00D44D33">
        <w:rPr>
          <w:rFonts w:ascii="Times New Roman" w:eastAsiaTheme="minorEastAsia" w:hAnsi="Times New Roman" w:cs="Times New Roman"/>
          <w:sz w:val="24"/>
          <w:szCs w:val="24"/>
        </w:rPr>
        <w:t>G</w:t>
      </w:r>
      <w:r w:rsidR="00C51590" w:rsidRPr="00D44D33">
        <w:rPr>
          <w:rFonts w:ascii="Times New Roman" w:eastAsiaTheme="minorEastAsia" w:hAnsi="Times New Roman" w:cs="Times New Roman"/>
          <w:sz w:val="24"/>
          <w:szCs w:val="24"/>
        </w:rPr>
        <w:t xml:space="preserve">ospodarczej, </w:t>
      </w:r>
      <w:r w:rsidR="005A0519" w:rsidRPr="00D44D33">
        <w:rPr>
          <w:rFonts w:ascii="Times New Roman" w:eastAsiaTheme="minorEastAsia" w:hAnsi="Times New Roman" w:cs="Times New Roman"/>
          <w:sz w:val="24"/>
          <w:szCs w:val="24"/>
        </w:rPr>
        <w:t xml:space="preserve">zwana </w:t>
      </w:r>
      <w:r w:rsidR="00C51590" w:rsidRPr="00D44D33">
        <w:rPr>
          <w:rFonts w:ascii="Times New Roman" w:eastAsiaTheme="minorEastAsia" w:hAnsi="Times New Roman" w:cs="Times New Roman"/>
          <w:sz w:val="24"/>
          <w:szCs w:val="24"/>
        </w:rPr>
        <w:t>dalej „CEIDG”</w:t>
      </w:r>
      <w:r w:rsidR="6AB9C041"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prostuje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oczywiste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błędy.</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rozbieżności</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danymi</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lastRenderedPageBreak/>
        <w:t>w</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CEIDG</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danymi</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zamieszczonymi</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CEIDG</w:t>
      </w:r>
      <w:r w:rsidR="00DA5A2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A5A2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A5A27"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DA5A2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DA5A2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DA5A27"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00DA5A27" w:rsidRPr="00D44D33">
        <w:rPr>
          <w:rFonts w:ascii="Times New Roman" w:eastAsiaTheme="minorEastAsia" w:hAnsi="Times New Roman" w:cs="Times New Roman"/>
          <w:sz w:val="24"/>
          <w:szCs w:val="24"/>
        </w:rPr>
        <w:t>wnioskodawcę</w:t>
      </w:r>
      <w:r w:rsidR="00785706" w:rsidRPr="00D44D33">
        <w:rPr>
          <w:rFonts w:ascii="Times New Roman" w:eastAsiaTheme="minorEastAsia" w:hAnsi="Times New Roman" w:cs="Times New Roman"/>
          <w:sz w:val="24"/>
          <w:szCs w:val="24"/>
        </w:rPr>
        <w:t>.</w:t>
      </w:r>
    </w:p>
    <w:p w14:paraId="6B1DC0C1" w14:textId="073B5245"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9</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10</w:t>
      </w:r>
    </w:p>
    <w:p w14:paraId="6F78A678" w14:textId="57CE49E9" w:rsidR="00785706" w:rsidRPr="00D44D33" w:rsidRDefault="0033C66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opublikowane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rejestrach</w:t>
      </w:r>
      <w:r w:rsidR="0D5367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rejestrach</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56D14AA7" w:rsidRPr="00D44D33">
        <w:rPr>
          <w:rFonts w:ascii="Times New Roman" w:eastAsiaTheme="minorEastAsia" w:hAnsi="Times New Roman" w:cs="Times New Roman"/>
          <w:sz w:val="24"/>
          <w:szCs w:val="24"/>
        </w:rPr>
        <w:t>,</w:t>
      </w:r>
      <w:r w:rsidR="00371EEA">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datę</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datę</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wpisu</w:t>
      </w:r>
      <w:r w:rsidR="7AA045D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AA045D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wykreślenia</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59865E6"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 xml:space="preserve">– </w:t>
      </w:r>
      <w:r w:rsidR="4033840D" w:rsidRPr="00D44D33">
        <w:rPr>
          <w:rFonts w:ascii="Times New Roman" w:eastAsiaTheme="minorEastAsia" w:hAnsi="Times New Roman" w:cs="Times New Roman"/>
          <w:sz w:val="24"/>
          <w:szCs w:val="24"/>
        </w:rPr>
        <w:t>datę</w:t>
      </w:r>
      <w:r w:rsidR="00970B2E" w:rsidRPr="00D44D33">
        <w:rPr>
          <w:rFonts w:ascii="Times New Roman" w:eastAsiaTheme="minorEastAsia" w:hAnsi="Times New Roman" w:cs="Times New Roman"/>
          <w:sz w:val="24"/>
          <w:szCs w:val="24"/>
        </w:rPr>
        <w:t xml:space="preserve"> </w:t>
      </w:r>
      <w:r w:rsidR="4033840D" w:rsidRPr="00D44D33">
        <w:rPr>
          <w:rFonts w:ascii="Times New Roman" w:eastAsiaTheme="minorEastAsia" w:hAnsi="Times New Roman" w:cs="Times New Roman"/>
          <w:sz w:val="24"/>
          <w:szCs w:val="24"/>
        </w:rPr>
        <w:t>wykreślenia.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Nowością</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dacie</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wykreślenia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walor</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archiwalny.</w:t>
      </w:r>
      <w:r w:rsidR="00970B2E" w:rsidRPr="00D44D33">
        <w:rPr>
          <w:rFonts w:ascii="Times New Roman" w:eastAsiaTheme="minorEastAsia" w:hAnsi="Times New Roman" w:cs="Times New Roman"/>
          <w:sz w:val="24"/>
          <w:szCs w:val="24"/>
        </w:rPr>
        <w:t xml:space="preserve"> </w:t>
      </w:r>
    </w:p>
    <w:p w14:paraId="02973B44" w14:textId="2A0AC5E1"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11</w:t>
      </w:r>
    </w:p>
    <w:p w14:paraId="7EC941F1" w14:textId="0621D799" w:rsidR="00B012F1" w:rsidRPr="00D44D33" w:rsidRDefault="0033C66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wpisach.</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Przepis u</w:t>
      </w:r>
      <w:r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znaleźć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telekomunikacyjnemu</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jednostce</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terytorialnego</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wykonującej</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C51590" w:rsidRPr="00D44D33">
        <w:rPr>
          <w:rFonts w:ascii="Times New Roman" w:eastAsiaTheme="minorEastAsia" w:hAnsi="Times New Roman" w:cs="Times New Roman"/>
          <w:sz w:val="24"/>
          <w:szCs w:val="24"/>
        </w:rPr>
        <w:t xml:space="preserve"> Pke</w:t>
      </w:r>
      <w:r w:rsidR="7B2E3D2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B2E3D25" w:rsidRPr="00D44D33">
        <w:rPr>
          <w:rFonts w:ascii="Times New Roman" w:eastAsiaTheme="minorEastAsia" w:hAnsi="Times New Roman" w:cs="Times New Roman"/>
          <w:sz w:val="24"/>
          <w:szCs w:val="24"/>
        </w:rPr>
        <w:t>datę</w:t>
      </w:r>
      <w:r w:rsidR="00970B2E" w:rsidRPr="00D44D33">
        <w:rPr>
          <w:rFonts w:ascii="Times New Roman" w:eastAsiaTheme="minorEastAsia" w:hAnsi="Times New Roman" w:cs="Times New Roman"/>
          <w:sz w:val="24"/>
          <w:szCs w:val="24"/>
        </w:rPr>
        <w:t xml:space="preserve"> </w:t>
      </w:r>
      <w:r w:rsidR="7B2E3D25"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7B2E3D25" w:rsidRPr="00D44D33">
        <w:rPr>
          <w:rFonts w:ascii="Times New Roman" w:eastAsiaTheme="minorEastAsia" w:hAnsi="Times New Roman" w:cs="Times New Roman"/>
          <w:sz w:val="24"/>
          <w:szCs w:val="24"/>
        </w:rPr>
        <w:t>zaświadczenia</w:t>
      </w:r>
      <w:r w:rsidR="00970B2E" w:rsidRPr="00D44D33">
        <w:rPr>
          <w:rFonts w:ascii="Times New Roman" w:eastAsiaTheme="minorEastAsia" w:hAnsi="Times New Roman" w:cs="Times New Roman"/>
          <w:sz w:val="24"/>
          <w:szCs w:val="24"/>
        </w:rPr>
        <w:t xml:space="preserve"> </w:t>
      </w:r>
      <w:r w:rsidR="7B2E3D2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B2E3D25" w:rsidRPr="00D44D33">
        <w:rPr>
          <w:rFonts w:ascii="Times New Roman" w:eastAsiaTheme="minorEastAsia" w:hAnsi="Times New Roman" w:cs="Times New Roman"/>
          <w:sz w:val="24"/>
          <w:szCs w:val="24"/>
        </w:rPr>
        <w:t>sygnaturę.</w:t>
      </w:r>
    </w:p>
    <w:p w14:paraId="09F3BB22" w14:textId="5900F205" w:rsidR="00B012F1" w:rsidRPr="00D44D33" w:rsidRDefault="0033C66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Zaświadczenie</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moc</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0D536760" w:rsidRPr="00D44D33">
        <w:rPr>
          <w:rFonts w:ascii="Times New Roman" w:eastAsiaTheme="minorEastAsia" w:hAnsi="Times New Roman" w:cs="Times New Roman"/>
          <w:sz w:val="24"/>
          <w:szCs w:val="24"/>
        </w:rPr>
        <w:t>urzędowego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23915D3" w:rsidRPr="00D44D33">
        <w:rPr>
          <w:rFonts w:ascii="Times New Roman" w:eastAsiaTheme="minorEastAsia" w:hAnsi="Times New Roman" w:cs="Times New Roman"/>
          <w:sz w:val="24"/>
          <w:szCs w:val="24"/>
        </w:rPr>
        <w:t>bezpłatnie</w:t>
      </w:r>
      <w:r w:rsidR="00970B2E" w:rsidRPr="00D44D33">
        <w:rPr>
          <w:rFonts w:ascii="Times New Roman" w:eastAsiaTheme="minorEastAsia" w:hAnsi="Times New Roman" w:cs="Times New Roman"/>
          <w:sz w:val="24"/>
          <w:szCs w:val="24"/>
        </w:rPr>
        <w:t xml:space="preserve"> </w:t>
      </w:r>
      <w:r w:rsidR="7571751E"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7571751E" w:rsidRPr="00D44D33">
        <w:rPr>
          <w:rFonts w:ascii="Times New Roman" w:eastAsiaTheme="minorEastAsia" w:hAnsi="Times New Roman" w:cs="Times New Roman"/>
          <w:sz w:val="24"/>
          <w:szCs w:val="24"/>
        </w:rPr>
        <w:t>użyciu</w:t>
      </w:r>
      <w:r w:rsidR="00970B2E" w:rsidRPr="00D44D33">
        <w:rPr>
          <w:rFonts w:ascii="Times New Roman" w:eastAsiaTheme="minorEastAsia" w:hAnsi="Times New Roman" w:cs="Times New Roman"/>
          <w:sz w:val="24"/>
          <w:szCs w:val="24"/>
        </w:rPr>
        <w:t xml:space="preserve"> </w:t>
      </w:r>
      <w:r w:rsidR="7571751E" w:rsidRPr="00D44D33">
        <w:rPr>
          <w:rFonts w:ascii="Times New Roman" w:eastAsiaTheme="minorEastAsia" w:hAnsi="Times New Roman" w:cs="Times New Roman"/>
          <w:sz w:val="24"/>
          <w:szCs w:val="24"/>
        </w:rPr>
        <w:t>PUE</w:t>
      </w:r>
      <w:r w:rsidR="00970B2E" w:rsidRPr="00D44D33">
        <w:rPr>
          <w:rFonts w:ascii="Times New Roman" w:eastAsiaTheme="minorEastAsia" w:hAnsi="Times New Roman" w:cs="Times New Roman"/>
          <w:sz w:val="24"/>
          <w:szCs w:val="24"/>
        </w:rPr>
        <w:t xml:space="preserve"> </w:t>
      </w:r>
      <w:r w:rsidR="7571751E" w:rsidRPr="00D44D33">
        <w:rPr>
          <w:rFonts w:ascii="Times New Roman" w:eastAsiaTheme="minorEastAsia" w:hAnsi="Times New Roman" w:cs="Times New Roman"/>
          <w:sz w:val="24"/>
          <w:szCs w:val="24"/>
        </w:rPr>
        <w:t>UKE</w:t>
      </w:r>
      <w:r w:rsidRPr="00D44D33">
        <w:rPr>
          <w:rFonts w:ascii="Times New Roman" w:eastAsiaTheme="minorEastAsia" w:hAnsi="Times New Roman" w:cs="Times New Roman"/>
          <w:sz w:val="24"/>
          <w:szCs w:val="24"/>
        </w:rPr>
        <w:t>.</w:t>
      </w:r>
    </w:p>
    <w:p w14:paraId="665EC637" w14:textId="1E9334BA" w:rsidR="5C2609F5" w:rsidRPr="00D44D33" w:rsidRDefault="5C2609F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Dokumenty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sporządzone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powołane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hyperlink r:id="rId16" w:history="1">
        <w:r w:rsidRPr="00D44D33">
          <w:rPr>
            <w:rStyle w:val="Hipercze"/>
            <w:rFonts w:ascii="Times New Roman" w:eastAsia="Calibri" w:hAnsi="Times New Roman" w:cs="Times New Roman"/>
            <w:color w:val="auto"/>
            <w:sz w:val="24"/>
            <w:szCs w:val="24"/>
            <w:u w:val="none"/>
          </w:rPr>
          <w:t>art.</w:t>
        </w:r>
        <w:r w:rsidR="00970B2E" w:rsidRPr="00D44D33">
          <w:rPr>
            <w:rStyle w:val="Hipercze"/>
            <w:rFonts w:ascii="Times New Roman" w:eastAsia="Calibri" w:hAnsi="Times New Roman" w:cs="Times New Roman"/>
            <w:color w:val="auto"/>
            <w:sz w:val="24"/>
            <w:szCs w:val="24"/>
            <w:u w:val="none"/>
          </w:rPr>
          <w:t xml:space="preserve"> </w:t>
        </w:r>
        <w:r w:rsidRPr="00D44D33">
          <w:rPr>
            <w:rStyle w:val="Hipercze"/>
            <w:rFonts w:ascii="Times New Roman" w:eastAsia="Calibri" w:hAnsi="Times New Roman" w:cs="Times New Roman"/>
            <w:color w:val="auto"/>
            <w:sz w:val="24"/>
            <w:szCs w:val="24"/>
            <w:u w:val="none"/>
          </w:rPr>
          <w:t>244</w:t>
        </w:r>
        <w:r w:rsidR="00970B2E" w:rsidRPr="00D44D33">
          <w:rPr>
            <w:rStyle w:val="Hipercze"/>
            <w:rFonts w:ascii="Times New Roman" w:eastAsia="Calibri" w:hAnsi="Times New Roman" w:cs="Times New Roman"/>
            <w:color w:val="auto"/>
            <w:sz w:val="24"/>
            <w:szCs w:val="24"/>
            <w:u w:val="none"/>
          </w:rPr>
          <w:t xml:space="preserve"> </w:t>
        </w:r>
        <w:r w:rsidRPr="00D44D33">
          <w:rPr>
            <w:rStyle w:val="Hipercze"/>
            <w:rFonts w:ascii="Times New Roman" w:eastAsia="Calibri" w:hAnsi="Times New Roman" w:cs="Times New Roman"/>
            <w:color w:val="auto"/>
            <w:sz w:val="24"/>
            <w:szCs w:val="24"/>
            <w:u w:val="none"/>
          </w:rPr>
          <w:t>§</w:t>
        </w:r>
        <w:r w:rsidR="00970B2E" w:rsidRPr="00D44D33">
          <w:rPr>
            <w:rStyle w:val="Hipercze"/>
            <w:rFonts w:ascii="Times New Roman" w:eastAsia="Calibri" w:hAnsi="Times New Roman" w:cs="Times New Roman"/>
            <w:color w:val="auto"/>
            <w:sz w:val="24"/>
            <w:szCs w:val="24"/>
            <w:u w:val="none"/>
          </w:rPr>
          <w:t xml:space="preserve"> </w:t>
        </w:r>
        <w:r w:rsidRPr="00D44D33">
          <w:rPr>
            <w:rStyle w:val="Hipercze"/>
            <w:rFonts w:ascii="Times New Roman" w:eastAsia="Calibri" w:hAnsi="Times New Roman" w:cs="Times New Roman"/>
            <w:color w:val="auto"/>
            <w:sz w:val="24"/>
            <w:szCs w:val="24"/>
            <w:u w:val="none"/>
          </w:rPr>
          <w:t>1</w:t>
        </w:r>
      </w:hyperlink>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17</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listopada</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1964</w:t>
      </w:r>
      <w:r w:rsidR="004A5C60" w:rsidRPr="00D44D33">
        <w:rPr>
          <w:rFonts w:ascii="Times New Roman" w:eastAsiaTheme="minorEastAsia" w:hAnsi="Times New Roman" w:cs="Times New Roman"/>
          <w:sz w:val="24"/>
          <w:szCs w:val="24"/>
        </w:rPr>
        <w:t xml:space="preserve"> r. </w:t>
      </w:r>
      <w:r w:rsidR="00A01CB2" w:rsidRPr="00D44D33">
        <w:rPr>
          <w:rFonts w:ascii="Times New Roman" w:eastAsiaTheme="minorEastAsia" w:hAnsi="Times New Roman" w:cs="Times New Roman"/>
          <w:sz w:val="24"/>
          <w:szCs w:val="24"/>
        </w:rPr>
        <w:t>–</w:t>
      </w:r>
      <w:r w:rsidR="00371EEA">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Kodeks</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cywilnego</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4461C" w:rsidRPr="00D44D33">
        <w:rPr>
          <w:rFonts w:ascii="Times New Roman" w:eastAsiaTheme="minorEastAsia" w:hAnsi="Times New Roman" w:cs="Times New Roman"/>
          <w:sz w:val="24"/>
          <w:szCs w:val="24"/>
        </w:rPr>
        <w:t xml:space="preserve">2021 r. poz. </w:t>
      </w:r>
      <w:r w:rsidR="0074461C" w:rsidRPr="00D44D33">
        <w:rPr>
          <w:rFonts w:ascii="Times New Roman" w:hAnsi="Times New Roman" w:cs="Times New Roman"/>
          <w:sz w:val="24"/>
          <w:szCs w:val="24"/>
        </w:rPr>
        <w:t xml:space="preserve">1805, </w:t>
      </w:r>
      <w:r w:rsidR="0094510A" w:rsidRPr="00D44D33">
        <w:rPr>
          <w:rFonts w:ascii="Times New Roman" w:hAnsi="Times New Roman" w:cs="Times New Roman"/>
          <w:sz w:val="24"/>
          <w:szCs w:val="24"/>
        </w:rPr>
        <w:t>z późn. zm.)</w:t>
      </w:r>
      <w:r w:rsidR="0052113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zwanej</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52113B" w:rsidRPr="00D44D33">
        <w:rPr>
          <w:rFonts w:ascii="Times New Roman" w:eastAsiaTheme="minorEastAsia" w:hAnsi="Times New Roman" w:cs="Times New Roman"/>
          <w:sz w:val="24"/>
          <w:szCs w:val="24"/>
        </w:rPr>
        <w:t>„</w:t>
      </w:r>
      <w:r w:rsidR="00F6284A" w:rsidRPr="00D44D33">
        <w:rPr>
          <w:rFonts w:ascii="Times New Roman" w:eastAsiaTheme="minorEastAsia" w:hAnsi="Times New Roman" w:cs="Times New Roman"/>
          <w:sz w:val="24"/>
          <w:szCs w:val="24"/>
        </w:rPr>
        <w:t>kpc</w:t>
      </w:r>
      <w:r w:rsidR="0052113B" w:rsidRPr="00D44D33">
        <w:rPr>
          <w:rFonts w:ascii="Times New Roman" w:eastAsiaTheme="minorEastAsia" w:hAnsi="Times New Roman" w:cs="Times New Roman"/>
          <w:sz w:val="24"/>
          <w:szCs w:val="24"/>
        </w:rPr>
        <w:t>”</w:t>
      </w:r>
      <w:r w:rsidR="0074461C"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domniemania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autentyczności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domniemania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rzeczywistym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domniemania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wzruszalne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kpc</w:t>
      </w:r>
      <w:r w:rsidRPr="00D44D33">
        <w:rPr>
          <w:rFonts w:ascii="Times New Roman" w:eastAsiaTheme="minorEastAsia" w:hAnsi="Times New Roman" w:cs="Times New Roman"/>
          <w:sz w:val="24"/>
          <w:szCs w:val="24"/>
        </w:rPr>
        <w:t>.</w:t>
      </w:r>
    </w:p>
    <w:p w14:paraId="5CE71507" w14:textId="12E70211" w:rsidR="00D4386C" w:rsidRPr="00D44D33" w:rsidRDefault="00C5159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Powyższe m</w:t>
      </w:r>
      <w:r w:rsidR="00D4386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ułatwienie</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wywiązywania</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formalnych</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istniejących,</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4386C" w:rsidRPr="00D44D33">
        <w:rPr>
          <w:rFonts w:ascii="Times New Roman" w:eastAsiaTheme="minorEastAsia" w:hAnsi="Times New Roman" w:cs="Times New Roman"/>
          <w:sz w:val="24"/>
          <w:szCs w:val="24"/>
        </w:rPr>
        <w:t>przetargami.</w:t>
      </w:r>
    </w:p>
    <w:p w14:paraId="281EA0B6" w14:textId="07B21DE6" w:rsidR="00EE5DA5" w:rsidRPr="00D44D33" w:rsidRDefault="00EE5DA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pobieranie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weryfikację</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prawdziwości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50</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4b</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4c</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października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w:t>
      </w:r>
      <w:r w:rsidR="003E2E73" w:rsidRPr="00D44D33">
        <w:rPr>
          <w:rFonts w:ascii="Times New Roman" w:eastAsiaTheme="minorEastAsia" w:hAnsi="Times New Roman" w:cs="Times New Roman"/>
          <w:sz w:val="24"/>
          <w:szCs w:val="24"/>
        </w:rPr>
        <w:t>stemie</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ubezpieczeń</w:t>
      </w:r>
      <w:r w:rsidR="00970B2E" w:rsidRPr="00D44D33">
        <w:rPr>
          <w:rFonts w:ascii="Times New Roman" w:eastAsiaTheme="minorEastAsia" w:hAnsi="Times New Roman" w:cs="Times New Roman"/>
          <w:sz w:val="24"/>
          <w:szCs w:val="24"/>
        </w:rPr>
        <w:t xml:space="preserve"> </w:t>
      </w:r>
      <w:r w:rsidR="003E2E73" w:rsidRPr="00D44D33">
        <w:rPr>
          <w:rFonts w:ascii="Times New Roman" w:eastAsiaTheme="minorEastAsia" w:hAnsi="Times New Roman" w:cs="Times New Roman"/>
          <w:sz w:val="24"/>
          <w:szCs w:val="24"/>
        </w:rPr>
        <w:t>społecznych</w:t>
      </w:r>
      <w:r w:rsidR="0074461C" w:rsidRPr="00D44D33">
        <w:rPr>
          <w:rFonts w:ascii="Times New Roman" w:hAnsi="Times New Roman" w:cs="Times New Roman"/>
          <w:sz w:val="24"/>
          <w:szCs w:val="24"/>
        </w:rPr>
        <w:t xml:space="preserve"> (Dz. U. z 202</w:t>
      </w:r>
      <w:r w:rsidR="00BC6A1D" w:rsidRPr="00D44D33">
        <w:rPr>
          <w:rFonts w:ascii="Times New Roman" w:hAnsi="Times New Roman" w:cs="Times New Roman"/>
          <w:sz w:val="24"/>
          <w:szCs w:val="24"/>
        </w:rPr>
        <w:t>2</w:t>
      </w:r>
      <w:r w:rsidR="0074461C" w:rsidRPr="00D44D33">
        <w:rPr>
          <w:rFonts w:ascii="Times New Roman" w:hAnsi="Times New Roman" w:cs="Times New Roman"/>
          <w:sz w:val="24"/>
          <w:szCs w:val="24"/>
        </w:rPr>
        <w:t xml:space="preserve"> r. poz. </w:t>
      </w:r>
      <w:r w:rsidR="00BC6A1D" w:rsidRPr="00D44D33">
        <w:rPr>
          <w:rFonts w:ascii="Times New Roman" w:hAnsi="Times New Roman" w:cs="Times New Roman"/>
          <w:sz w:val="24"/>
          <w:szCs w:val="24"/>
        </w:rPr>
        <w:t>1009</w:t>
      </w:r>
      <w:r w:rsidR="0074461C" w:rsidRPr="00D44D33">
        <w:rPr>
          <w:rFonts w:ascii="Times New Roman" w:hAnsi="Times New Roman" w:cs="Times New Roman"/>
          <w:sz w:val="24"/>
          <w:szCs w:val="24"/>
        </w:rPr>
        <w:t xml:space="preserve">, </w:t>
      </w:r>
      <w:r w:rsidR="0094510A" w:rsidRPr="00D44D33">
        <w:rPr>
          <w:rFonts w:ascii="Times New Roman" w:hAnsi="Times New Roman" w:cs="Times New Roman"/>
          <w:sz w:val="24"/>
          <w:szCs w:val="24"/>
        </w:rPr>
        <w:t>z późn. zm.).</w:t>
      </w:r>
    </w:p>
    <w:p w14:paraId="3A082090" w14:textId="4F0FBF3B"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12</w:t>
      </w:r>
    </w:p>
    <w:p w14:paraId="64D601DD" w14:textId="771A3005" w:rsidR="00B012F1" w:rsidRPr="00D44D33" w:rsidRDefault="00C5159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aktualizacji</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JST</w:t>
      </w:r>
      <w:r w:rsidR="1808250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wskazywanych</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wnioskodawca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lastRenderedPageBreak/>
        <w:t>podlegają</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świadomości</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karnej</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fałszywych</w:t>
      </w:r>
      <w:r w:rsidR="00970B2E" w:rsidRPr="00D44D33">
        <w:rPr>
          <w:rFonts w:ascii="Times New Roman" w:eastAsiaTheme="minorEastAsia" w:hAnsi="Times New Roman" w:cs="Times New Roman"/>
          <w:sz w:val="24"/>
          <w:szCs w:val="24"/>
        </w:rPr>
        <w:t xml:space="preserve"> </w:t>
      </w:r>
      <w:r w:rsidR="77E70431" w:rsidRPr="00D44D33">
        <w:rPr>
          <w:rFonts w:ascii="Times New Roman" w:eastAsiaTheme="minorEastAsia" w:hAnsi="Times New Roman" w:cs="Times New Roman"/>
          <w:sz w:val="24"/>
          <w:szCs w:val="24"/>
        </w:rPr>
        <w:t>zeznań</w:t>
      </w:r>
      <w:r w:rsidR="1808250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dokonaniu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zaświadczenie,</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11</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7F0C4941" w:rsidRPr="00D44D33">
        <w:rPr>
          <w:rFonts w:ascii="Times New Roman" w:eastAsiaTheme="minorEastAsia" w:hAnsi="Times New Roman" w:cs="Times New Roman"/>
          <w:sz w:val="24"/>
          <w:szCs w:val="24"/>
        </w:rPr>
        <w:t>Pke</w:t>
      </w:r>
      <w:r w:rsidR="1808250A" w:rsidRPr="00D44D33">
        <w:rPr>
          <w:rFonts w:ascii="Times New Roman" w:eastAsiaTheme="minorEastAsia" w:hAnsi="Times New Roman" w:cs="Times New Roman"/>
          <w:sz w:val="24"/>
          <w:szCs w:val="24"/>
        </w:rPr>
        <w:t>.</w:t>
      </w:r>
    </w:p>
    <w:p w14:paraId="0112550E" w14:textId="5A4E218E" w:rsidR="00785706" w:rsidRPr="00D44D33" w:rsidRDefault="0078570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kompletnych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 xml:space="preserve">przepis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p>
    <w:p w14:paraId="37559E6D" w14:textId="78325586" w:rsidR="00842421" w:rsidRPr="00D44D33" w:rsidRDefault="4AD31E2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opatrzony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kwalifikowanym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zaufanym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osobistym.</w:t>
      </w:r>
    </w:p>
    <w:p w14:paraId="6AAB991B" w14:textId="5C73A5B7" w:rsidR="00C03F50" w:rsidRPr="00D44D33" w:rsidRDefault="00C03F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zwolniony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w:t>
      </w:r>
      <w:r w:rsidR="00C51590" w:rsidRPr="00D44D33">
        <w:rPr>
          <w:rFonts w:ascii="Times New Roman" w:eastAsiaTheme="minorEastAsia" w:hAnsi="Times New Roman" w:cs="Times New Roman"/>
          <w:sz w:val="24"/>
          <w:szCs w:val="24"/>
        </w:rPr>
        <w:t>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firmy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Centralnej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Ewidencji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zaświadczenie</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 xml:space="preserve">w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w:t>
      </w:r>
    </w:p>
    <w:p w14:paraId="541DA07C" w14:textId="685ACE6B" w:rsidR="00B012F1" w:rsidRPr="00D44D33" w:rsidRDefault="1808250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13</w:t>
      </w:r>
    </w:p>
    <w:p w14:paraId="0FA2A2AC" w14:textId="0778DEF8" w:rsidR="00BD55A3" w:rsidRPr="00D44D33" w:rsidRDefault="00C5159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1</w:t>
      </w:r>
      <w:r w:rsidR="354D255C"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wykreślenia</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1808250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P</w:t>
      </w:r>
      <w:r w:rsidR="00785706" w:rsidRPr="00D44D33">
        <w:rPr>
          <w:rFonts w:ascii="Times New Roman" w:eastAsiaTheme="minorEastAsia" w:hAnsi="Times New Roman" w:cs="Times New Roman"/>
          <w:sz w:val="24"/>
          <w:szCs w:val="24"/>
        </w:rPr>
        <w:t>oza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wykreśleniem</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skutek</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złożonego</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785706"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sytuacji</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przestał</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istnieć,</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administracyjną.</w:t>
      </w:r>
      <w:r w:rsidR="00970B2E" w:rsidRPr="00D44D33">
        <w:rPr>
          <w:rFonts w:ascii="Times New Roman" w:eastAsiaTheme="minorEastAsia" w:hAnsi="Times New Roman" w:cs="Times New Roman"/>
          <w:sz w:val="24"/>
          <w:szCs w:val="24"/>
        </w:rPr>
        <w:t xml:space="preserve"> </w:t>
      </w:r>
    </w:p>
    <w:p w14:paraId="6D4749FE" w14:textId="1EE1F8D8" w:rsidR="00B012F1" w:rsidRPr="00D44D33" w:rsidRDefault="1808250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354D255C" w:rsidRPr="00D44D33">
        <w:rPr>
          <w:rFonts w:ascii="Times New Roman" w:eastAsiaTheme="minorEastAsia" w:hAnsi="Times New Roman" w:cs="Times New Roman"/>
          <w:b/>
          <w:bCs/>
          <w:sz w:val="24"/>
          <w:szCs w:val="24"/>
        </w:rPr>
        <w:t>4</w:t>
      </w:r>
    </w:p>
    <w:p w14:paraId="62EE873D" w14:textId="7392C1D2" w:rsidR="00B012F1" w:rsidRPr="00D44D33" w:rsidRDefault="1808250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Wykreślenie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497033E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95757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575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5757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957577" w:rsidRPr="00D44D33">
        <w:rPr>
          <w:rFonts w:ascii="Times New Roman" w:eastAsiaTheme="minorEastAsia" w:hAnsi="Times New Roman" w:cs="Times New Roman"/>
          <w:sz w:val="24"/>
          <w:szCs w:val="24"/>
        </w:rPr>
        <w:t>likwidacji</w:t>
      </w:r>
      <w:r w:rsidR="00970B2E" w:rsidRPr="00D44D33">
        <w:rPr>
          <w:rFonts w:ascii="Times New Roman" w:eastAsiaTheme="minorEastAsia" w:hAnsi="Times New Roman" w:cs="Times New Roman"/>
          <w:sz w:val="24"/>
          <w:szCs w:val="24"/>
        </w:rPr>
        <w:t xml:space="preserve"> </w:t>
      </w:r>
      <w:r w:rsidR="00957577" w:rsidRPr="00D44D33">
        <w:rPr>
          <w:rFonts w:ascii="Times New Roman" w:eastAsiaTheme="minorEastAsia" w:hAnsi="Times New Roman" w:cs="Times New Roman"/>
          <w:sz w:val="24"/>
          <w:szCs w:val="24"/>
        </w:rPr>
        <w:t>podmiotu</w:t>
      </w:r>
      <w:r w:rsidRPr="00D44D33">
        <w:rPr>
          <w:rFonts w:ascii="Times New Roman" w:eastAsiaTheme="minorEastAsia" w:hAnsi="Times New Roman" w:cs="Times New Roman"/>
          <w:sz w:val="24"/>
          <w:szCs w:val="24"/>
        </w:rPr>
        <w:t>.</w:t>
      </w:r>
    </w:p>
    <w:p w14:paraId="73C713A3" w14:textId="60228083" w:rsidR="00520FA5" w:rsidRPr="00D44D33" w:rsidRDefault="354D255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15</w:t>
      </w:r>
    </w:p>
    <w:p w14:paraId="3749444F" w14:textId="59CF1078" w:rsidR="00520FA5" w:rsidRPr="00D44D33" w:rsidRDefault="00C5159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art. </w:t>
      </w:r>
      <w:r w:rsidR="354D255C"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wpisane</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wykreślenie</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zaprzestania</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354D255C"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p>
    <w:p w14:paraId="10CE5A5A" w14:textId="0C7EA859" w:rsidR="00520FA5" w:rsidRPr="00D44D33" w:rsidRDefault="00520FA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zaprzestania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p>
    <w:p w14:paraId="576CE564" w14:textId="3E912D0D" w:rsidR="00957577" w:rsidRPr="00D44D33" w:rsidRDefault="0095757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archiwalny</w:t>
      </w:r>
      <w:r w:rsidR="00C51590" w:rsidRPr="00D44D33">
        <w:rPr>
          <w:rFonts w:ascii="Times New Roman" w:eastAsiaTheme="minorEastAsia" w:hAnsi="Times New Roman" w:cs="Times New Roman"/>
          <w:sz w:val="24"/>
          <w:szCs w:val="24"/>
        </w:rPr>
        <w:t>.</w:t>
      </w:r>
    </w:p>
    <w:p w14:paraId="07A91E19" w14:textId="028F48E7"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16</w:t>
      </w:r>
    </w:p>
    <w:p w14:paraId="7DF466B7" w14:textId="159F9C66" w:rsidR="00AE4E8D" w:rsidRPr="00D44D33" w:rsidRDefault="025F652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okresu</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wydana</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BD55A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31383" w:rsidRPr="00D44D33">
        <w:rPr>
          <w:rFonts w:ascii="Times New Roman" w:eastAsiaTheme="minorEastAsia" w:hAnsi="Times New Roman" w:cs="Times New Roman"/>
          <w:sz w:val="24"/>
          <w:szCs w:val="24"/>
        </w:rPr>
        <w:t>428</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 xml:space="preserve">przepis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C51590" w:rsidRPr="00D44D33">
        <w:rPr>
          <w:rFonts w:ascii="Times New Roman" w:eastAsiaTheme="minorEastAsia" w:hAnsi="Times New Roman" w:cs="Times New Roman"/>
          <w:sz w:val="24"/>
          <w:szCs w:val="24"/>
        </w:rPr>
        <w:t xml:space="preserve"> 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C51590" w:rsidRPr="00D44D33">
        <w:rPr>
          <w:rFonts w:ascii="Times New Roman" w:eastAsiaTheme="minorEastAsia" w:hAnsi="Times New Roman" w:cs="Times New Roman"/>
          <w:sz w:val="24"/>
          <w:szCs w:val="24"/>
        </w:rPr>
        <w:t>Przepis u</w:t>
      </w:r>
      <w:r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303A330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CB58BA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rozpoczął</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wykonywanie</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brakiem</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lastRenderedPageBreak/>
        <w:t>otrzymania</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42421"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sytuacji</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BD55A3" w:rsidRPr="00D44D33">
        <w:rPr>
          <w:rFonts w:ascii="Times New Roman" w:eastAsiaTheme="minorEastAsia" w:hAnsi="Times New Roman" w:cs="Times New Roman"/>
          <w:sz w:val="24"/>
          <w:szCs w:val="24"/>
        </w:rPr>
        <w:t>wykreślony</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skutek</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informacyjnych,</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ust</w:t>
      </w:r>
      <w:r w:rsidR="00EB1E3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1</w:t>
      </w:r>
      <w:r w:rsidR="0001143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kolejne</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1A681B" w:rsidRPr="00D44D33">
        <w:rPr>
          <w:rFonts w:ascii="Times New Roman" w:eastAsiaTheme="minorEastAsia" w:hAnsi="Times New Roman" w:cs="Times New Roman"/>
          <w:sz w:val="24"/>
          <w:szCs w:val="24"/>
        </w:rPr>
        <w:t>lata</w:t>
      </w:r>
      <w:r w:rsidR="00842421" w:rsidRPr="00D44D33">
        <w:rPr>
          <w:rFonts w:ascii="Times New Roman" w:eastAsiaTheme="minorEastAsia" w:hAnsi="Times New Roman" w:cs="Times New Roman"/>
          <w:sz w:val="24"/>
          <w:szCs w:val="24"/>
        </w:rPr>
        <w:t>.</w:t>
      </w:r>
    </w:p>
    <w:p w14:paraId="24157F2E" w14:textId="38C3DB93" w:rsidR="00B012F1" w:rsidRPr="00D44D33" w:rsidRDefault="025F6527"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1</w:t>
      </w:r>
      <w:r w:rsidR="00842421" w:rsidRPr="00D44D33">
        <w:rPr>
          <w:rFonts w:ascii="Times New Roman" w:eastAsia="Times New Roman" w:hAnsi="Times New Roman" w:cs="Times New Roman"/>
          <w:b/>
          <w:bCs/>
          <w:sz w:val="24"/>
          <w:szCs w:val="24"/>
        </w:rPr>
        <w:t>7</w:t>
      </w:r>
    </w:p>
    <w:p w14:paraId="67BCD58F" w14:textId="170C1A3A" w:rsidR="005301D0" w:rsidRPr="00D44D33" w:rsidDel="00872F8A" w:rsidRDefault="00C5159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 art.</w:t>
      </w:r>
      <w:r w:rsidR="00970B2E" w:rsidRPr="00D44D33">
        <w:rPr>
          <w:rFonts w:ascii="Times New Roman" w:eastAsia="Times New Roman" w:hAnsi="Times New Roman" w:cs="Times New Roman"/>
          <w:sz w:val="24"/>
          <w:szCs w:val="24"/>
        </w:rPr>
        <w:t xml:space="preserve"> </w:t>
      </w:r>
      <w:r w:rsidR="025F6527" w:rsidRPr="00D44D33">
        <w:rPr>
          <w:rFonts w:ascii="Times New Roman" w:eastAsia="Times New Roman" w:hAnsi="Times New Roman" w:cs="Times New Roman"/>
          <w:sz w:val="24"/>
          <w:szCs w:val="24"/>
        </w:rPr>
        <w:t>1</w:t>
      </w:r>
      <w:r w:rsidR="00842421" w:rsidRPr="00D44D33">
        <w:rPr>
          <w:rFonts w:ascii="Times New Roman" w:eastAsia="Times New Roman" w:hAnsi="Times New Roman" w:cs="Times New Roman"/>
          <w:sz w:val="24"/>
          <w:szCs w:val="24"/>
        </w:rPr>
        <w:t>7</w:t>
      </w:r>
      <w:r w:rsidR="00970B2E" w:rsidRPr="00D44D33">
        <w:rPr>
          <w:rFonts w:ascii="Times New Roman" w:eastAsia="Times New Roman" w:hAnsi="Times New Roman" w:cs="Times New Roman"/>
          <w:sz w:val="24"/>
          <w:szCs w:val="24"/>
        </w:rPr>
        <w:t xml:space="preserve"> </w:t>
      </w:r>
      <w:r w:rsidR="025F6527" w:rsidRPr="00D44D33">
        <w:rPr>
          <w:rFonts w:ascii="Times New Roman" w:eastAsia="Times New Roman" w:hAnsi="Times New Roman" w:cs="Times New Roman"/>
          <w:sz w:val="24"/>
          <w:szCs w:val="24"/>
        </w:rPr>
        <w:t>stanowi</w:t>
      </w:r>
      <w:r w:rsidR="005301D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wniosek</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wpis,</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zmianę</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wpisu</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wykreślenie</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005301D0" w:rsidRPr="00D44D33">
        <w:rPr>
          <w:rFonts w:ascii="Times New Roman" w:eastAsia="Times New Roman" w:hAnsi="Times New Roman" w:cs="Times New Roman"/>
          <w:sz w:val="24"/>
          <w:szCs w:val="24"/>
        </w:rPr>
        <w:t>JST</w:t>
      </w:r>
      <w:r w:rsidR="00970B2E" w:rsidRPr="00D44D33">
        <w:rPr>
          <w:rFonts w:ascii="Times New Roman" w:eastAsia="Times New Roman" w:hAnsi="Times New Roman" w:cs="Times New Roman"/>
          <w:sz w:val="24"/>
          <w:szCs w:val="24"/>
        </w:rPr>
        <w:t xml:space="preserve"> </w:t>
      </w:r>
      <w:r w:rsidR="00957577" w:rsidRPr="00D44D33">
        <w:rPr>
          <w:rFonts w:ascii="Times New Roman" w:eastAsia="Times New Roman" w:hAnsi="Times New Roman" w:cs="Times New Roman"/>
          <w:sz w:val="24"/>
          <w:szCs w:val="24"/>
        </w:rPr>
        <w:t>składa</w:t>
      </w:r>
      <w:r w:rsidR="00970B2E" w:rsidRPr="00D44D33">
        <w:rPr>
          <w:rFonts w:ascii="Times New Roman" w:eastAsia="Times New Roman" w:hAnsi="Times New Roman" w:cs="Times New Roman"/>
          <w:sz w:val="24"/>
          <w:szCs w:val="24"/>
        </w:rPr>
        <w:t xml:space="preserve"> </w:t>
      </w:r>
      <w:r w:rsidR="00957577"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00957577" w:rsidRPr="00D44D33">
        <w:rPr>
          <w:rFonts w:ascii="Times New Roman" w:hAnsi="Times New Roman" w:cs="Times New Roman"/>
          <w:sz w:val="24"/>
          <w:szCs w:val="24"/>
        </w:rPr>
        <w:t>przy</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użyciu</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formularza</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elektronicznego</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zamieszczonego</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PUE</w:t>
      </w:r>
      <w:r w:rsidR="00970B2E" w:rsidRPr="00D44D33">
        <w:rPr>
          <w:rFonts w:ascii="Times New Roman" w:hAnsi="Times New Roman" w:cs="Times New Roman"/>
          <w:sz w:val="24"/>
          <w:szCs w:val="24"/>
        </w:rPr>
        <w:t xml:space="preserve"> </w:t>
      </w:r>
      <w:r w:rsidR="00957577" w:rsidRPr="00D44D33">
        <w:rPr>
          <w:rFonts w:ascii="Times New Roman" w:hAnsi="Times New Roman" w:cs="Times New Roman"/>
          <w:sz w:val="24"/>
          <w:szCs w:val="24"/>
        </w:rPr>
        <w:t>UKE</w:t>
      </w:r>
      <w:r w:rsidR="65FA454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formie</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dokumentu</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elektronicznego</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opatrzonego</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kwalifikowanym</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elektronicznym,</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osobistym</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65FA4548" w:rsidRPr="00D44D33">
        <w:rPr>
          <w:rFonts w:ascii="Times New Roman" w:eastAsia="Times New Roman" w:hAnsi="Times New Roman" w:cs="Times New Roman"/>
          <w:sz w:val="24"/>
          <w:szCs w:val="24"/>
        </w:rPr>
        <w:t>zaufanym.</w:t>
      </w:r>
      <w:r w:rsidR="00970B2E" w:rsidRPr="00D44D33">
        <w:rPr>
          <w:rFonts w:ascii="Times New Roman" w:eastAsia="Times New Roman" w:hAnsi="Times New Roman" w:cs="Times New Roman"/>
          <w:sz w:val="24"/>
          <w:szCs w:val="24"/>
        </w:rPr>
        <w:t xml:space="preserve"> </w:t>
      </w:r>
    </w:p>
    <w:p w14:paraId="5259C496" w14:textId="3B47591B" w:rsidR="005301D0" w:rsidRPr="00D44D33" w:rsidRDefault="005301D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poinformuje,</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stronie</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podmiotowej</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BIP</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adresie</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elektronicznym,</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udostępniony</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formularz.</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określi</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4FBE5C60" w:rsidRPr="00D44D33">
        <w:rPr>
          <w:rFonts w:ascii="Times New Roman" w:eastAsia="Times" w:hAnsi="Times New Roman" w:cs="Times New Roman"/>
          <w:sz w:val="24"/>
          <w:szCs w:val="24"/>
        </w:rPr>
        <w:t>wzór</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wniosku</w:t>
      </w:r>
      <w:r w:rsidR="00970B2E" w:rsidRPr="00D44D33">
        <w:rPr>
          <w:rFonts w:ascii="Times New Roman" w:eastAsia="Times" w:hAnsi="Times New Roman" w:cs="Times New Roman"/>
          <w:sz w:val="24"/>
          <w:szCs w:val="24"/>
        </w:rPr>
        <w:t xml:space="preserve"> </w:t>
      </w:r>
      <w:r w:rsidR="205D5850"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wpis,</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zmianę</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wpisu</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wykreślenie</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205D5850" w:rsidRPr="00D44D33">
        <w:rPr>
          <w:rFonts w:ascii="Times New Roman" w:eastAsia="Times New Roman" w:hAnsi="Times New Roman" w:cs="Times New Roman"/>
          <w:sz w:val="24"/>
          <w:szCs w:val="24"/>
        </w:rPr>
        <w:t>JST</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formie</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dokumentu</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elektronicznego</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rozumieniu</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ustawy</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dnia</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17</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lutego</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2005</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r.</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o</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informatyzacji</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działalności</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podmiotów</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realizujących</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zadania</w:t>
      </w:r>
      <w:r w:rsidR="00970B2E" w:rsidRPr="00D44D33">
        <w:rPr>
          <w:rFonts w:ascii="Times New Roman" w:eastAsia="Times" w:hAnsi="Times New Roman" w:cs="Times New Roman"/>
          <w:sz w:val="24"/>
          <w:szCs w:val="24"/>
        </w:rPr>
        <w:t xml:space="preserve"> </w:t>
      </w:r>
      <w:r w:rsidR="4FBE5C60" w:rsidRPr="00D44D33">
        <w:rPr>
          <w:rFonts w:ascii="Times New Roman" w:eastAsia="Times" w:hAnsi="Times New Roman" w:cs="Times New Roman"/>
          <w:sz w:val="24"/>
          <w:szCs w:val="24"/>
        </w:rPr>
        <w:t>publiczne</w:t>
      </w:r>
      <w:r w:rsidR="0074461C" w:rsidRPr="00D44D33">
        <w:rPr>
          <w:rFonts w:ascii="Times New Roman" w:eastAsia="Times" w:hAnsi="Times New Roman" w:cs="Times New Roman"/>
          <w:sz w:val="24"/>
          <w:szCs w:val="24"/>
        </w:rPr>
        <w:t xml:space="preserve"> (Dz. U. z 20</w:t>
      </w:r>
      <w:r w:rsidR="00C51590" w:rsidRPr="00D44D33">
        <w:rPr>
          <w:rFonts w:ascii="Times New Roman" w:eastAsia="Times" w:hAnsi="Times New Roman" w:cs="Times New Roman"/>
          <w:sz w:val="24"/>
          <w:szCs w:val="24"/>
        </w:rPr>
        <w:t>2</w:t>
      </w:r>
      <w:r w:rsidR="0074461C" w:rsidRPr="00D44D33">
        <w:rPr>
          <w:rFonts w:ascii="Times New Roman" w:eastAsia="Times" w:hAnsi="Times New Roman" w:cs="Times New Roman"/>
          <w:sz w:val="24"/>
          <w:szCs w:val="24"/>
        </w:rPr>
        <w:t xml:space="preserve">1 r. poz. </w:t>
      </w:r>
      <w:r w:rsidR="00C51590" w:rsidRPr="00D44D33">
        <w:rPr>
          <w:rFonts w:ascii="Times New Roman" w:eastAsia="Times" w:hAnsi="Times New Roman" w:cs="Times New Roman"/>
          <w:sz w:val="24"/>
          <w:szCs w:val="24"/>
        </w:rPr>
        <w:t>20</w:t>
      </w:r>
      <w:r w:rsidR="00237422" w:rsidRPr="00D44D33">
        <w:rPr>
          <w:rFonts w:ascii="Times New Roman" w:eastAsia="Times" w:hAnsi="Times New Roman" w:cs="Times New Roman"/>
          <w:sz w:val="24"/>
          <w:szCs w:val="24"/>
        </w:rPr>
        <w:t>70</w:t>
      </w:r>
      <w:r w:rsidR="00C51590" w:rsidRPr="00D44D33">
        <w:rPr>
          <w:rFonts w:ascii="Times New Roman" w:eastAsia="Times" w:hAnsi="Times New Roman" w:cs="Times New Roman"/>
          <w:sz w:val="24"/>
          <w:szCs w:val="24"/>
        </w:rPr>
        <w:t xml:space="preserve"> oraz z 2022 r. poz. 1087</w:t>
      </w:r>
      <w:r w:rsidR="0074461C" w:rsidRPr="00D44D33">
        <w:rPr>
          <w:rFonts w:ascii="Times New Roman" w:eastAsia="Times" w:hAnsi="Times New Roman" w:cs="Times New Roman"/>
          <w:sz w:val="24"/>
          <w:szCs w:val="24"/>
        </w:rPr>
        <w:t>)</w:t>
      </w:r>
      <w:r w:rsidR="4FBE5C60" w:rsidRPr="00D44D33">
        <w:rPr>
          <w:rFonts w:ascii="Times New Roman" w:eastAsia="Times"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58D78F13" w14:textId="7D8EB30F" w:rsidR="00B012F1" w:rsidRPr="00D44D33" w:rsidRDefault="025F652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842421" w:rsidRPr="00D44D33">
        <w:rPr>
          <w:rFonts w:ascii="Times New Roman" w:eastAsiaTheme="minorEastAsia" w:hAnsi="Times New Roman" w:cs="Times New Roman"/>
          <w:b/>
          <w:bCs/>
          <w:sz w:val="24"/>
          <w:szCs w:val="24"/>
        </w:rPr>
        <w:t>8</w:t>
      </w:r>
    </w:p>
    <w:p w14:paraId="6098AAE9" w14:textId="41B3BC68" w:rsidR="00B012F1" w:rsidRPr="00D44D33" w:rsidRDefault="025F6527"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Zupełnie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 xml:space="preserve">przepis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842421" w:rsidRPr="00D44D33">
        <w:rPr>
          <w:rFonts w:ascii="Times New Roman" w:eastAsiaTheme="minorEastAsia" w:hAnsi="Times New Roman" w:cs="Times New Roman"/>
          <w:sz w:val="24"/>
          <w:szCs w:val="24"/>
        </w:rPr>
        <w:t>8</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00BD7E94"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BD7E94"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34B53E52"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D7E94"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BD7E9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b/>
          <w:bCs/>
          <w:sz w:val="24"/>
          <w:szCs w:val="24"/>
        </w:rPr>
        <w:t xml:space="preserve"> </w:t>
      </w:r>
    </w:p>
    <w:p w14:paraId="6D41E1B9" w14:textId="774850FB" w:rsidR="00DD7F59" w:rsidRPr="00D44D33" w:rsidRDefault="001F4207"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rPr>
        <w:t>Oddział</w:t>
      </w:r>
      <w:r w:rsidR="00970B2E" w:rsidRPr="00D44D33">
        <w:rPr>
          <w:rFonts w:ascii="Times New Roman" w:hAnsi="Times New Roman" w:cs="Times New Roman"/>
          <w:b/>
        </w:rPr>
        <w:t xml:space="preserve"> </w:t>
      </w:r>
      <w:r w:rsidRPr="00D44D33">
        <w:rPr>
          <w:rFonts w:ascii="Times New Roman" w:hAnsi="Times New Roman" w:cs="Times New Roman"/>
          <w:b/>
        </w:rPr>
        <w:t>2</w:t>
      </w:r>
      <w:r w:rsidR="00970B2E" w:rsidRPr="00D44D33">
        <w:rPr>
          <w:rFonts w:ascii="Times New Roman" w:hAnsi="Times New Roman" w:cs="Times New Roman"/>
          <w:b/>
          <w:lang w:eastAsia="en-US"/>
        </w:rPr>
        <w:t xml:space="preserve"> </w:t>
      </w:r>
    </w:p>
    <w:p w14:paraId="5BE192C5" w14:textId="491BE2F8" w:rsidR="001F4207" w:rsidRPr="00D44D33" w:rsidRDefault="001F4207"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Obowiązki</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informacyjne</w:t>
      </w:r>
      <w:r w:rsidR="00970B2E" w:rsidRPr="00D44D33">
        <w:rPr>
          <w:rFonts w:ascii="Times New Roman" w:hAnsi="Times New Roman" w:cs="Times New Roman"/>
          <w:b/>
        </w:rPr>
        <w:t xml:space="preserve"> </w:t>
      </w:r>
      <w:r w:rsidRPr="00D44D33">
        <w:rPr>
          <w:rFonts w:ascii="Times New Roman" w:hAnsi="Times New Roman" w:cs="Times New Roman"/>
          <w:b/>
        </w:rPr>
        <w:t>i</w:t>
      </w:r>
      <w:r w:rsidR="00970B2E" w:rsidRPr="00D44D33">
        <w:rPr>
          <w:rFonts w:ascii="Times New Roman" w:hAnsi="Times New Roman" w:cs="Times New Roman"/>
          <w:b/>
        </w:rPr>
        <w:t xml:space="preserve"> </w:t>
      </w:r>
      <w:r w:rsidRPr="00D44D33">
        <w:rPr>
          <w:rFonts w:ascii="Times New Roman" w:hAnsi="Times New Roman" w:cs="Times New Roman"/>
          <w:b/>
        </w:rPr>
        <w:t>sprawozdawcz</w:t>
      </w:r>
      <w:r w:rsidR="003C1840" w:rsidRPr="00D44D33">
        <w:rPr>
          <w:rFonts w:ascii="Times New Roman" w:hAnsi="Times New Roman" w:cs="Times New Roman"/>
          <w:b/>
        </w:rPr>
        <w:t>e</w:t>
      </w:r>
    </w:p>
    <w:p w14:paraId="77C87F82" w14:textId="4DDF29FF" w:rsidR="00906517" w:rsidRPr="00D44D33" w:rsidRDefault="0090651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175C4538" w:rsidRPr="00D44D33">
        <w:rPr>
          <w:rFonts w:ascii="Times New Roman" w:eastAsiaTheme="minorEastAsia" w:hAnsi="Times New Roman" w:cs="Times New Roman"/>
          <w:b/>
          <w:bCs/>
          <w:sz w:val="24"/>
          <w:szCs w:val="24"/>
        </w:rPr>
        <w:t>19</w:t>
      </w:r>
    </w:p>
    <w:p w14:paraId="61D0864D" w14:textId="53F3C7AC" w:rsidR="00906517" w:rsidRPr="00D44D33" w:rsidRDefault="0090651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gromadzenia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F93B38A" w:rsidRPr="00D44D33">
        <w:rPr>
          <w:rFonts w:ascii="Times New Roman" w:eastAsiaTheme="minorEastAsia" w:hAnsi="Times New Roman" w:cs="Times New Roman"/>
          <w:sz w:val="24"/>
          <w:szCs w:val="24"/>
        </w:rPr>
        <w:t>19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0C8E823F"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C8E823F"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skierowane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w:t>
      </w:r>
      <w:r w:rsidR="00E44CDF" w:rsidRPr="00D44D33">
        <w:rPr>
          <w:rFonts w:ascii="Times New Roman" w:eastAsiaTheme="minorEastAsia" w:hAnsi="Times New Roman" w:cs="Times New Roman"/>
          <w:sz w:val="24"/>
          <w:szCs w:val="24"/>
        </w:rPr>
        <w:t>ę</w:t>
      </w:r>
      <w:r w:rsidRPr="00D44D33">
        <w:rPr>
          <w:rFonts w:ascii="Times New Roman" w:eastAsiaTheme="minorEastAsia" w:hAnsi="Times New Roman" w:cs="Times New Roman"/>
          <w:sz w:val="24"/>
          <w:szCs w:val="24"/>
        </w:rPr>
        <w:t>pnienia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54503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E44CDF" w:rsidRPr="00D44D33">
        <w:rPr>
          <w:rFonts w:ascii="Times New Roman" w:eastAsiaTheme="minorEastAsia" w:hAnsi="Times New Roman" w:cs="Times New Roman"/>
          <w:sz w:val="24"/>
          <w:szCs w:val="24"/>
        </w:rPr>
        <w:t xml:space="preserve"> Pke</w:t>
      </w:r>
      <w:r w:rsidR="00970B2E" w:rsidRPr="00D44D33">
        <w:rPr>
          <w:rFonts w:ascii="Times New Roman" w:eastAsiaTheme="minorEastAsia" w:hAnsi="Times New Roman" w:cs="Times New Roman"/>
          <w:sz w:val="24"/>
          <w:szCs w:val="24"/>
        </w:rPr>
        <w:t xml:space="preserve"> </w:t>
      </w:r>
      <w:r w:rsidR="00852A3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52A3F"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852A3F" w:rsidRPr="00D44D33">
        <w:rPr>
          <w:rFonts w:ascii="Times New Roman" w:eastAsiaTheme="minorEastAsia" w:hAnsi="Times New Roman" w:cs="Times New Roman"/>
          <w:sz w:val="24"/>
          <w:szCs w:val="24"/>
        </w:rPr>
        <w:t>przepisach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brzmienie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wskazujących,</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chodzi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finansowe,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zgodność</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UE</w:t>
      </w:r>
      <w:r w:rsidR="00E44CD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przyjętymi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przyszło</w:t>
      </w:r>
      <w:r w:rsidR="0093399D" w:rsidRPr="00D44D33">
        <w:rPr>
          <w:rFonts w:ascii="Times New Roman" w:eastAsiaTheme="minorEastAsia" w:hAnsi="Times New Roman" w:cs="Times New Roman"/>
          <w:sz w:val="24"/>
          <w:szCs w:val="24"/>
        </w:rPr>
        <w:lastRenderedPageBreak/>
        <w:t>ści,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opiniami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decyzjami,</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góry</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zamkniętego</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93399D" w:rsidRPr="00D44D33">
        <w:rPr>
          <w:rFonts w:ascii="Times New Roman" w:eastAsiaTheme="minorEastAsia" w:hAnsi="Times New Roman" w:cs="Times New Roman"/>
          <w:sz w:val="24"/>
          <w:szCs w:val="24"/>
        </w:rPr>
        <w:t>informacji.</w:t>
      </w:r>
      <w:r w:rsidR="008E6420" w:rsidRPr="00D44D33">
        <w:rPr>
          <w:rFonts w:ascii="Times New Roman" w:eastAsiaTheme="minorEastAsia" w:hAnsi="Times New Roman" w:cs="Times New Roman"/>
          <w:sz w:val="24"/>
          <w:szCs w:val="24"/>
        </w:rPr>
        <w:t xml:space="preserve"> W zależności od zakresu żądania informacje mogą obejmować także konieczność przekazania Prezesowi UKE wskazanych przez niego dokumentów.</w:t>
      </w:r>
    </w:p>
    <w:p w14:paraId="17BD1D5A" w14:textId="3AC87377" w:rsidR="00906517" w:rsidRPr="00D44D33" w:rsidRDefault="0090651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 xml:space="preserve">pozyskane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niewystarczające</w:t>
      </w:r>
      <w:r w:rsidR="00865394">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 xml:space="preserve">je </w:t>
      </w:r>
      <w:r w:rsidRPr="00D44D33">
        <w:rPr>
          <w:rFonts w:ascii="Times New Roman" w:eastAsiaTheme="minorEastAsia" w:hAnsi="Times New Roman" w:cs="Times New Roman"/>
          <w:sz w:val="24"/>
          <w:szCs w:val="24"/>
        </w:rPr>
        <w:t>pozyskiwać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110166" w:rsidRPr="00D44D33">
        <w:rPr>
          <w:rFonts w:ascii="Times New Roman" w:eastAsiaTheme="minorEastAsia" w:hAnsi="Times New Roman" w:cs="Times New Roman"/>
          <w:sz w:val="24"/>
          <w:szCs w:val="24"/>
        </w:rPr>
        <w:t>miotów</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działających</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sektorze</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sektorach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sektorem</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110166" w:rsidRPr="00D44D33">
        <w:rPr>
          <w:rFonts w:ascii="Times New Roman" w:eastAsiaTheme="minorEastAsia" w:hAnsi="Times New Roman" w:cs="Times New Roman"/>
          <w:sz w:val="24"/>
          <w:szCs w:val="24"/>
        </w:rPr>
        <w:t>elektronicznej</w:t>
      </w:r>
      <w:r w:rsidR="00E44CD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p</w:t>
      </w:r>
      <w:r w:rsidRPr="00D44D33">
        <w:rPr>
          <w:rFonts w:ascii="Times New Roman" w:eastAsiaTheme="minorEastAsia" w:hAnsi="Times New Roman" w:cs="Times New Roman"/>
          <w:sz w:val="24"/>
          <w:szCs w:val="24"/>
        </w:rPr>
        <w:t>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regulacyjnego.</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nowością</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FB4C4CF" w:rsidRPr="00D44D33">
        <w:rPr>
          <w:rFonts w:ascii="Times New Roman" w:eastAsiaTheme="minorEastAsia" w:hAnsi="Times New Roman" w:cs="Times New Roman"/>
          <w:sz w:val="24"/>
          <w:szCs w:val="24"/>
        </w:rPr>
        <w:t>Pt.</w:t>
      </w:r>
    </w:p>
    <w:p w14:paraId="3FF9CC59" w14:textId="00912FB6" w:rsidR="42367A63" w:rsidRPr="00D44D33" w:rsidRDefault="0090651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opracować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formularz,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ujednoliceniu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pozyskiwanych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2066F7"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bazuje</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modyfikacjami</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wynikającymi</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wdrożenia</w:t>
      </w:r>
      <w:r w:rsidR="00970B2E" w:rsidRPr="00D44D33">
        <w:rPr>
          <w:rFonts w:ascii="Times New Roman" w:eastAsiaTheme="minorEastAsia" w:hAnsi="Times New Roman" w:cs="Times New Roman"/>
          <w:sz w:val="24"/>
          <w:szCs w:val="24"/>
        </w:rPr>
        <w:t xml:space="preserve"> </w:t>
      </w:r>
      <w:r w:rsidR="42367A63" w:rsidRPr="00D44D33">
        <w:rPr>
          <w:rFonts w:ascii="Times New Roman" w:eastAsiaTheme="minorEastAsia" w:hAnsi="Times New Roman" w:cs="Times New Roman"/>
          <w:sz w:val="24"/>
          <w:szCs w:val="24"/>
        </w:rPr>
        <w:t>EKŁE.</w:t>
      </w:r>
    </w:p>
    <w:p w14:paraId="6D2153E3" w14:textId="16E38F51" w:rsidR="00906517" w:rsidRPr="00D44D33" w:rsidRDefault="0090651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519653ED" w:rsidRPr="00D44D33">
        <w:rPr>
          <w:rFonts w:ascii="Times New Roman" w:eastAsiaTheme="minorEastAsia" w:hAnsi="Times New Roman" w:cs="Times New Roman"/>
          <w:b/>
          <w:bCs/>
          <w:sz w:val="24"/>
          <w:szCs w:val="24"/>
        </w:rPr>
        <w:t>20</w:t>
      </w:r>
    </w:p>
    <w:p w14:paraId="06978733" w14:textId="6D943B99" w:rsidR="00E412E5" w:rsidRPr="00D44D33" w:rsidRDefault="00FF792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 xml:space="preserve">są </w:t>
      </w:r>
      <w:r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wezwania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uregulowana</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ustaw</w:t>
      </w:r>
      <w:r w:rsidR="1FC196AB"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8E3C5B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sprzedaży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103E965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powyższego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informacyjnego,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telekomunikacyjni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praktyce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tylko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głosowej)</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zobowiązani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przekazywać</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00373578" w:rsidRPr="00D44D33">
        <w:rPr>
          <w:rFonts w:ascii="Times New Roman" w:eastAsia="Times New Roman" w:hAnsi="Times New Roman" w:cs="Times New Roman"/>
          <w:sz w:val="24"/>
          <w:szCs w:val="24"/>
        </w:rPr>
        <w:t xml:space="preserve">informację </w:t>
      </w:r>
      <w:r w:rsidR="00373578" w:rsidRPr="00D44D33">
        <w:rPr>
          <w:rFonts w:ascii="Times New Roman" w:eastAsia="Times New Roman" w:hAnsi="Times New Roman" w:cs="Times New Roman"/>
          <w:sz w:val="24"/>
          <w:szCs w:val="24"/>
        </w:rPr>
        <w:lastRenderedPageBreak/>
        <w:t xml:space="preserve">o </w:t>
      </w:r>
      <w:r w:rsidR="103E9656"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pozostałych</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koncie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doładowań,</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poprzednim</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kalendarzowym</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wygasło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uprawnienie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konsumenta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zwrotu,</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325</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E412E5" w:rsidRPr="00D44D33">
        <w:rPr>
          <w:rFonts w:ascii="Times New Roman" w:eastAsia="Times New Roman" w:hAnsi="Times New Roman" w:cs="Times New Roman"/>
          <w:sz w:val="24"/>
          <w:szCs w:val="24"/>
        </w:rPr>
        <w:t>8</w:t>
      </w:r>
      <w:r w:rsidR="00E44CDF" w:rsidRPr="00D44D33">
        <w:rPr>
          <w:rFonts w:ascii="Times New Roman" w:eastAsia="Times New Roman" w:hAnsi="Times New Roman" w:cs="Times New Roman"/>
          <w:sz w:val="24"/>
          <w:szCs w:val="24"/>
        </w:rPr>
        <w:t xml:space="preserve"> Pke</w:t>
      </w:r>
      <w:r w:rsidR="103E965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Powyższe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środki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stanowić</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przychód</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Funduszu</w:t>
      </w:r>
      <w:r w:rsidR="00970B2E" w:rsidRPr="00D44D33">
        <w:rPr>
          <w:rFonts w:ascii="Times New Roman" w:eastAsia="Times New Roman" w:hAnsi="Times New Roman" w:cs="Times New Roman"/>
          <w:sz w:val="24"/>
          <w:szCs w:val="24"/>
        </w:rPr>
        <w:t xml:space="preserve"> </w:t>
      </w:r>
      <w:r w:rsidR="0012218B" w:rsidRPr="00D44D33">
        <w:rPr>
          <w:rFonts w:ascii="Times New Roman" w:eastAsia="Times New Roman" w:hAnsi="Times New Roman" w:cs="Times New Roman"/>
          <w:sz w:val="24"/>
          <w:szCs w:val="24"/>
        </w:rPr>
        <w:t>Szerokopasmowego</w:t>
      </w:r>
      <w:r w:rsidR="103E965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więc</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informacja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niezbędna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Prezesowi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w:t>
      </w:r>
      <w:r w:rsidR="00E44CDF" w:rsidRPr="00D44D33">
        <w:rPr>
          <w:rFonts w:ascii="Times New Roman" w:eastAsia="Times New Roman" w:hAnsi="Times New Roman" w:cs="Times New Roman"/>
          <w:sz w:val="24"/>
          <w:szCs w:val="24"/>
        </w:rPr>
        <w:t xml:space="preserve">rzędu </w:t>
      </w:r>
      <w:r w:rsidR="103E9656" w:rsidRPr="00D44D33">
        <w:rPr>
          <w:rFonts w:ascii="Times New Roman" w:eastAsia="Times New Roman" w:hAnsi="Times New Roman" w:cs="Times New Roman"/>
          <w:sz w:val="24"/>
          <w:szCs w:val="24"/>
        </w:rPr>
        <w:t>K</w:t>
      </w:r>
      <w:r w:rsidR="00E44CDF" w:rsidRPr="00D44D33">
        <w:rPr>
          <w:rFonts w:ascii="Times New Roman" w:eastAsia="Times New Roman" w:hAnsi="Times New Roman" w:cs="Times New Roman"/>
          <w:sz w:val="24"/>
          <w:szCs w:val="24"/>
        </w:rPr>
        <w:t xml:space="preserve">omunikacji </w:t>
      </w:r>
      <w:r w:rsidR="103E9656" w:rsidRPr="00D44D33">
        <w:rPr>
          <w:rFonts w:ascii="Times New Roman" w:eastAsia="Times New Roman" w:hAnsi="Times New Roman" w:cs="Times New Roman"/>
          <w:sz w:val="24"/>
          <w:szCs w:val="24"/>
        </w:rPr>
        <w:t>E</w:t>
      </w:r>
      <w:r w:rsidR="00E44CDF" w:rsidRPr="00D44D33">
        <w:rPr>
          <w:rFonts w:ascii="Times New Roman" w:eastAsia="Times New Roman" w:hAnsi="Times New Roman" w:cs="Times New Roman"/>
          <w:sz w:val="24"/>
          <w:szCs w:val="24"/>
        </w:rPr>
        <w:t xml:space="preserve">lektronicznej, </w:t>
      </w:r>
      <w:r w:rsidR="005A0519" w:rsidRPr="00D44D33">
        <w:rPr>
          <w:rFonts w:ascii="Times New Roman" w:eastAsia="Times New Roman" w:hAnsi="Times New Roman" w:cs="Times New Roman"/>
          <w:sz w:val="24"/>
          <w:szCs w:val="24"/>
        </w:rPr>
        <w:t xml:space="preserve">zwanemu </w:t>
      </w:r>
      <w:r w:rsidR="00E44CDF" w:rsidRPr="00D44D33">
        <w:rPr>
          <w:rFonts w:ascii="Times New Roman" w:eastAsia="Times New Roman" w:hAnsi="Times New Roman" w:cs="Times New Roman"/>
          <w:sz w:val="24"/>
          <w:szCs w:val="24"/>
        </w:rPr>
        <w:t>dalej „</w:t>
      </w:r>
      <w:r w:rsidR="005A0519" w:rsidRPr="00D44D33">
        <w:rPr>
          <w:rFonts w:ascii="Times New Roman" w:eastAsia="Times New Roman" w:hAnsi="Times New Roman" w:cs="Times New Roman"/>
          <w:sz w:val="24"/>
          <w:szCs w:val="24"/>
        </w:rPr>
        <w:t xml:space="preserve">Prezesem </w:t>
      </w:r>
      <w:r w:rsidR="00E44CDF"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m.in.</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weryfikacji</w:t>
      </w:r>
      <w:r w:rsidR="00970B2E" w:rsidRPr="00D44D33">
        <w:rPr>
          <w:rFonts w:ascii="Times New Roman" w:eastAsia="Times New Roman" w:hAnsi="Times New Roman" w:cs="Times New Roman"/>
          <w:sz w:val="24"/>
          <w:szCs w:val="24"/>
        </w:rPr>
        <w:t xml:space="preserve"> </w:t>
      </w:r>
      <w:r w:rsidR="7F71EBD2" w:rsidRPr="00D44D33">
        <w:rPr>
          <w:rFonts w:ascii="Times New Roman" w:eastAsia="Times New Roman" w:hAnsi="Times New Roman" w:cs="Times New Roman"/>
          <w:sz w:val="24"/>
          <w:szCs w:val="24"/>
        </w:rPr>
        <w:t>prawidłowości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przekazanych</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dostawców</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głosowej</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rachunek</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325</w:t>
      </w:r>
      <w:r w:rsidR="00970B2E" w:rsidRPr="00D44D33">
        <w:rPr>
          <w:rFonts w:ascii="Times New Roman" w:eastAsia="Times New Roman" w:hAnsi="Times New Roman" w:cs="Times New Roman"/>
          <w:sz w:val="24"/>
          <w:szCs w:val="24"/>
        </w:rPr>
        <w:t xml:space="preserve"> </w:t>
      </w:r>
      <w:r w:rsidR="103E9656"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E412E5" w:rsidRPr="00D44D33">
        <w:rPr>
          <w:rFonts w:ascii="Times New Roman" w:eastAsia="Times New Roman" w:hAnsi="Times New Roman" w:cs="Times New Roman"/>
          <w:sz w:val="24"/>
          <w:szCs w:val="24"/>
        </w:rPr>
        <w:t xml:space="preserve">8 </w:t>
      </w:r>
      <w:r w:rsidR="103E9656" w:rsidRPr="00D44D33">
        <w:rPr>
          <w:rFonts w:ascii="Times New Roman" w:eastAsia="Times New Roman" w:hAnsi="Times New Roman" w:cs="Times New Roman"/>
          <w:sz w:val="24"/>
          <w:szCs w:val="24"/>
        </w:rPr>
        <w:t>Pke.</w:t>
      </w:r>
      <w:r w:rsidR="00970B2E" w:rsidRPr="00D44D33">
        <w:rPr>
          <w:rFonts w:ascii="Times New Roman" w:eastAsiaTheme="minorEastAsia" w:hAnsi="Times New Roman" w:cs="Times New Roman"/>
          <w:sz w:val="24"/>
          <w:szCs w:val="24"/>
        </w:rPr>
        <w:t xml:space="preserve"> </w:t>
      </w:r>
    </w:p>
    <w:p w14:paraId="295E723C" w14:textId="34BF0C57" w:rsidR="00FF7922" w:rsidRPr="00D44D33" w:rsidRDefault="00FF792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0160D24" w:rsidRPr="00D44D33">
        <w:rPr>
          <w:rFonts w:ascii="Times New Roman" w:eastAsiaTheme="minorEastAsia" w:hAnsi="Times New Roman" w:cs="Times New Roman"/>
          <w:sz w:val="24"/>
          <w:szCs w:val="24"/>
        </w:rPr>
        <w:t>oraz ww. informacja</w:t>
      </w:r>
      <w:r w:rsidR="00160D24" w:rsidRPr="00D44D33">
        <w:rPr>
          <w:rFonts w:ascii="Times New Roman" w:eastAsia="Times New Roman" w:hAnsi="Times New Roman" w:cs="Times New Roman"/>
          <w:sz w:val="24"/>
          <w:szCs w:val="24"/>
        </w:rPr>
        <w:t xml:space="preserve"> o wysokości pozostałych na koncie środków z doładowań</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sprawozdania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p>
    <w:p w14:paraId="27513D38" w14:textId="20726D00" w:rsidR="00ED3240" w:rsidRPr="00D44D33" w:rsidRDefault="00ED324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Sprawozdanie</w:t>
      </w:r>
      <w:r w:rsidR="00970B2E" w:rsidRPr="00D44D33">
        <w:rPr>
          <w:rFonts w:ascii="Times New Roman" w:eastAsia="Times New Roman" w:hAnsi="Times New Roman" w:cs="Times New Roman"/>
          <w:sz w:val="24"/>
          <w:szCs w:val="24"/>
        </w:rPr>
        <w:t xml:space="preserve"> </w:t>
      </w:r>
      <w:r w:rsidR="00160D24" w:rsidRPr="00D44D33">
        <w:rPr>
          <w:rFonts w:ascii="Times New Roman" w:eastAsiaTheme="minorEastAsia" w:hAnsi="Times New Roman" w:cs="Times New Roman"/>
          <w:sz w:val="24"/>
          <w:szCs w:val="24"/>
        </w:rPr>
        <w:t>oraz ww. informacja</w:t>
      </w:r>
      <w:r w:rsidR="00160D24" w:rsidRPr="00D44D33">
        <w:rPr>
          <w:rFonts w:ascii="Times New Roman" w:eastAsia="Times New Roman" w:hAnsi="Times New Roman" w:cs="Times New Roman"/>
          <w:sz w:val="24"/>
          <w:szCs w:val="24"/>
        </w:rPr>
        <w:t xml:space="preserve"> o wysokości pozostałych na koncie środków z doładowań</w:t>
      </w:r>
      <w:r w:rsidR="00371EEA">
        <w:rPr>
          <w:rFonts w:ascii="Times New Roman" w:eastAsiaTheme="minorEastAsia" w:hAnsi="Times New Roman" w:cs="Times New Roman"/>
          <w:sz w:val="24"/>
          <w:szCs w:val="24"/>
        </w:rPr>
        <w:t xml:space="preserve"> </w:t>
      </w:r>
      <w:r w:rsidRPr="00D44D33">
        <w:rPr>
          <w:rFonts w:ascii="Times New Roman" w:eastAsia="Times New Roman" w:hAnsi="Times New Roman" w:cs="Times New Roman"/>
          <w:sz w:val="24"/>
          <w:szCs w:val="24"/>
        </w:rPr>
        <w:t>przekazywane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będ</w:t>
      </w:r>
      <w:r w:rsidR="00E44CDF" w:rsidRPr="00D44D33">
        <w:rPr>
          <w:rFonts w:ascii="Times New Roman" w:eastAsia="Times New Roman" w:hAnsi="Times New Roman" w:cs="Times New Roman"/>
          <w:sz w:val="24"/>
          <w:szCs w:val="24"/>
        </w:rPr>
        <w:t>ą</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elektroniczną</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skrzynkę</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podawczą</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00E44CDF" w:rsidRPr="00D44D33">
        <w:rPr>
          <w:rFonts w:ascii="Times New Roman" w:eastAsia="Times New Roman" w:hAnsi="Times New Roman" w:cs="Times New Roman"/>
          <w:sz w:val="24"/>
          <w:szCs w:val="24"/>
        </w:rPr>
        <w:t xml:space="preserve">w postaci </w:t>
      </w:r>
      <w:r w:rsidR="10A88FAA" w:rsidRPr="00D44D33">
        <w:rPr>
          <w:rFonts w:ascii="Times New Roman" w:eastAsia="Times New Roman" w:hAnsi="Times New Roman" w:cs="Times New Roman"/>
          <w:sz w:val="24"/>
          <w:szCs w:val="24"/>
        </w:rPr>
        <w:t>formularzy</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elektronicznych</w:t>
      </w:r>
      <w:r w:rsidR="00E44CDF" w:rsidRPr="00D44D33">
        <w:rPr>
          <w:rFonts w:ascii="Times New Roman" w:eastAsia="Times New Roman" w:hAnsi="Times New Roman" w:cs="Times New Roman"/>
          <w:sz w:val="24"/>
          <w:szCs w:val="24"/>
        </w:rPr>
        <w:t xml:space="preserve"> i </w:t>
      </w:r>
      <w:r w:rsidR="10A88FAA" w:rsidRPr="00D44D33">
        <w:rPr>
          <w:rFonts w:ascii="Times New Roman" w:eastAsia="Times New Roman" w:hAnsi="Times New Roman" w:cs="Times New Roman"/>
          <w:sz w:val="24"/>
          <w:szCs w:val="24"/>
        </w:rPr>
        <w:t>opatrzon</w:t>
      </w:r>
      <w:r w:rsidR="00E44CDF" w:rsidRPr="00D44D33">
        <w:rPr>
          <w:rFonts w:ascii="Times New Roman" w:eastAsia="Times New Roman" w:hAnsi="Times New Roman" w:cs="Times New Roman"/>
          <w:sz w:val="24"/>
          <w:szCs w:val="24"/>
        </w:rPr>
        <w:t>ych</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kwalifikowanym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elektronicznym,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osobistym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zaufanym.</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poinformuje,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stronie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podmiotowej</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BIP</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adresach</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elektronicznych,</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którymi</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udostępnione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10A88FAA" w:rsidRPr="00D44D33">
        <w:rPr>
          <w:rFonts w:ascii="Times New Roman" w:eastAsia="Times New Roman" w:hAnsi="Times New Roman" w:cs="Times New Roman"/>
          <w:sz w:val="24"/>
          <w:szCs w:val="24"/>
        </w:rPr>
        <w:t>formularze.</w:t>
      </w:r>
    </w:p>
    <w:p w14:paraId="4C2E4488" w14:textId="6DB87ADA" w:rsidR="00160D24" w:rsidRPr="00D44D33" w:rsidDel="00872F8A" w:rsidRDefault="00160D2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Informacja</w:t>
      </w:r>
      <w:r w:rsidRPr="00D44D33">
        <w:rPr>
          <w:rFonts w:ascii="Times New Roman" w:eastAsia="Times New Roman" w:hAnsi="Times New Roman" w:cs="Times New Roman"/>
          <w:sz w:val="24"/>
          <w:szCs w:val="24"/>
        </w:rPr>
        <w:t xml:space="preserve"> o wysokości pozostałych na koncie środków z doładowań</w:t>
      </w:r>
      <w:r w:rsidRPr="00D44D33">
        <w:rPr>
          <w:rFonts w:ascii="Times New Roman" w:eastAsiaTheme="minorEastAsia" w:hAnsi="Times New Roman" w:cs="Times New Roman"/>
          <w:sz w:val="24"/>
          <w:szCs w:val="24"/>
        </w:rPr>
        <w:t xml:space="preserve"> będzie przekazywana przy użyciu odrębnego formularza, dzięki czemu będzie mogła być podstawą egzekucji, zgodnie z ustawą </w:t>
      </w:r>
      <w:r w:rsidRPr="00D44D33">
        <w:rPr>
          <w:rFonts w:ascii="Times New Roman" w:eastAsia="Times" w:hAnsi="Times New Roman" w:cs="Times New Roman"/>
          <w:sz w:val="24"/>
          <w:szCs w:val="24"/>
        </w:rPr>
        <w:t>z dnia 17 czerwca 1966 r. o postępowaniu egzekucyjnym w administracji (Dz. U. z 2022 r. poz. 479</w:t>
      </w:r>
      <w:r w:rsidR="00BC6A1D" w:rsidRPr="00D44D33">
        <w:rPr>
          <w:rFonts w:ascii="Times New Roman" w:eastAsia="Times" w:hAnsi="Times New Roman" w:cs="Times New Roman"/>
          <w:sz w:val="24"/>
          <w:szCs w:val="24"/>
        </w:rPr>
        <w:t>, z późn.</w:t>
      </w:r>
      <w:r w:rsidR="00482725">
        <w:rPr>
          <w:rFonts w:ascii="Times New Roman" w:eastAsia="Times" w:hAnsi="Times New Roman" w:cs="Times New Roman"/>
          <w:sz w:val="24"/>
          <w:szCs w:val="24"/>
        </w:rPr>
        <w:t xml:space="preserve"> </w:t>
      </w:r>
      <w:r w:rsidR="00BC6A1D" w:rsidRPr="00D44D33">
        <w:rPr>
          <w:rFonts w:ascii="Times New Roman" w:eastAsia="Times" w:hAnsi="Times New Roman" w:cs="Times New Roman"/>
          <w:sz w:val="24"/>
          <w:szCs w:val="24"/>
        </w:rPr>
        <w:t>zm.</w:t>
      </w:r>
      <w:r w:rsidRPr="00D44D33">
        <w:rPr>
          <w:rFonts w:ascii="Times New Roman" w:eastAsia="Times" w:hAnsi="Times New Roman" w:cs="Times New Roman"/>
          <w:sz w:val="24"/>
          <w:szCs w:val="24"/>
        </w:rPr>
        <w:t>).</w:t>
      </w:r>
    </w:p>
    <w:p w14:paraId="72A64384" w14:textId="13D86253" w:rsidR="00ED3240" w:rsidRPr="00D44D33" w:rsidDel="00872F8A" w:rsidRDefault="10A88FAA" w:rsidP="00D44D33">
      <w:pPr>
        <w:spacing w:before="120" w:after="120" w:line="360" w:lineRule="auto"/>
        <w:jc w:val="both"/>
        <w:rPr>
          <w:rFonts w:ascii="Times New Roman" w:eastAsia="Times" w:hAnsi="Times New Roman" w:cs="Times New Roman"/>
          <w:sz w:val="24"/>
          <w:szCs w:val="24"/>
        </w:rPr>
      </w:pPr>
      <w:r w:rsidRPr="00D44D33">
        <w:rPr>
          <w:rFonts w:ascii="Times New Roman" w:eastAsia="Times" w:hAnsi="Times New Roman" w:cs="Times New Roman"/>
          <w:sz w:val="24"/>
          <w:szCs w:val="24"/>
        </w:rPr>
        <w:t>Prezes</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UKE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określi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również</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wzór</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dokumentu,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użyciu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którego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przekazywane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będą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dane</w:t>
      </w:r>
      <w:r w:rsidR="00160D24" w:rsidRPr="00D44D33">
        <w:rPr>
          <w:rFonts w:ascii="Times New Roman" w:eastAsiaTheme="minorEastAsia" w:hAnsi="Times New Roman" w:cs="Times New Roman"/>
          <w:sz w:val="24"/>
          <w:szCs w:val="24"/>
        </w:rPr>
        <w:t xml:space="preserve"> oraz informacja</w:t>
      </w:r>
      <w:r w:rsidR="00160D24" w:rsidRPr="00D44D33">
        <w:rPr>
          <w:rFonts w:ascii="Times New Roman" w:eastAsia="Times New Roman" w:hAnsi="Times New Roman" w:cs="Times New Roman"/>
          <w:sz w:val="24"/>
          <w:szCs w:val="24"/>
        </w:rPr>
        <w:t xml:space="preserve"> o wysokości pozostałych na koncie środków z doładowań</w:t>
      </w:r>
      <w:r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formie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dokumentu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elektronicznego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rozumieniu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ustawy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17</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lutego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2005</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informatyzacji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działalności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podmiotów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realizujących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zadania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publiczne.</w:t>
      </w:r>
    </w:p>
    <w:p w14:paraId="6F79054D" w14:textId="1EFB1164" w:rsidR="00FF7922" w:rsidRPr="00D44D33" w:rsidRDefault="00C912D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w:hAnsi="Times New Roman" w:cs="Times New Roman"/>
          <w:sz w:val="24"/>
          <w:szCs w:val="24"/>
        </w:rPr>
        <w:t>Minister</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właściwy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spraw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informatyzacji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określi,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drodze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rozporządzenia</w:t>
      </w:r>
      <w:r w:rsidR="00482725">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szczegółowy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zakres</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danych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podlegających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obowiązkowi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sprawozdawczemu</w:t>
      </w:r>
      <w:r w:rsidR="00160D24" w:rsidRPr="00D44D33">
        <w:rPr>
          <w:rFonts w:ascii="Times New Roman" w:eastAsiaTheme="minorEastAsia" w:hAnsi="Times New Roman" w:cs="Times New Roman"/>
          <w:sz w:val="24"/>
          <w:szCs w:val="24"/>
        </w:rPr>
        <w:t xml:space="preserve"> oraz informacji</w:t>
      </w:r>
      <w:r w:rsidR="00160D24" w:rsidRPr="00D44D33">
        <w:rPr>
          <w:rFonts w:ascii="Times New Roman" w:eastAsia="Times New Roman" w:hAnsi="Times New Roman" w:cs="Times New Roman"/>
          <w:sz w:val="24"/>
          <w:szCs w:val="24"/>
        </w:rPr>
        <w:t xml:space="preserve"> o wysokości pozostałych na koncie środków z doładowań</w:t>
      </w:r>
      <w:r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wraz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objaśnieniami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co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sposobu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przedstawiania,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kierując</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się</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koniecznością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zapewnienia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Prezesowi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UKE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informacji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niezbędnych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właściwego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realizowania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jego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obowiązków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oraz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potrzebą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w:t>
      </w:r>
      <w:r w:rsidR="00E44CDF" w:rsidRPr="00D44D33">
        <w:rPr>
          <w:rFonts w:ascii="Times New Roman" w:eastAsia="Times" w:hAnsi="Times New Roman" w:cs="Times New Roman"/>
          <w:sz w:val="24"/>
          <w:szCs w:val="24"/>
        </w:rPr>
        <w:t>proszczenia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ujednolicenia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procesu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przekazywania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danych.</w:t>
      </w:r>
      <w:r w:rsidR="00970B2E" w:rsidRPr="00D44D33">
        <w:rPr>
          <w:rFonts w:ascii="Times New Roman" w:hAnsi="Times New Roman" w:cs="Times New Roman"/>
          <w:sz w:val="24"/>
          <w:szCs w:val="24"/>
        </w:rPr>
        <w:t xml:space="preserve"> </w:t>
      </w:r>
      <w:r w:rsidR="00FF7922" w:rsidRPr="00D44D33">
        <w:rPr>
          <w:rFonts w:ascii="Times New Roman" w:eastAsiaTheme="minorEastAsia" w:hAnsi="Times New Roman" w:cs="Times New Roman"/>
          <w:sz w:val="24"/>
          <w:szCs w:val="24"/>
        </w:rPr>
        <w:t>Nieprzedłożenie</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wielkości</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sprzedaży</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udzielenie</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nieprawdziwych</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niepełnych</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sankcjonowane</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karą</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pieniężną</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nakładaną</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FF792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p>
    <w:p w14:paraId="10CD5FF9" w14:textId="5885A6F4" w:rsidR="00FF7922" w:rsidRPr="00D44D33" w:rsidRDefault="00FF7922"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21</w:t>
      </w:r>
    </w:p>
    <w:p w14:paraId="31E796D2" w14:textId="7077DC00" w:rsidR="00906517" w:rsidRPr="00D44D33" w:rsidRDefault="0090651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020639E4" w:rsidRPr="00D44D33">
        <w:rPr>
          <w:rFonts w:ascii="Times New Roman" w:eastAsiaTheme="minorEastAsia" w:hAnsi="Times New Roman" w:cs="Times New Roman"/>
          <w:sz w:val="24"/>
          <w:szCs w:val="24"/>
        </w:rPr>
        <w:t>s</w:t>
      </w:r>
      <w:r w:rsidRPr="00D44D33">
        <w:rPr>
          <w:rFonts w:ascii="Times New Roman" w:eastAsiaTheme="minorEastAsia" w:hAnsi="Times New Roman" w:cs="Times New Roman"/>
          <w:sz w:val="24"/>
          <w:szCs w:val="24"/>
        </w:rPr>
        <w:t>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współdziałaniu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AD549B1"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wskazuje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zobligowany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udostępnieniu</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p>
    <w:p w14:paraId="1C91B515" w14:textId="1F137D70" w:rsidR="40D75C79" w:rsidRPr="00D44D33" w:rsidRDefault="40D75C7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modyfikacją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wśród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71D532EF"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71D532EF"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71D532EF" w:rsidRPr="00D44D33">
        <w:rPr>
          <w:rFonts w:ascii="Times New Roman" w:eastAsiaTheme="minorEastAsia" w:hAnsi="Times New Roman" w:cs="Times New Roman"/>
          <w:sz w:val="24"/>
          <w:szCs w:val="24"/>
        </w:rPr>
        <w:t>informacje).</w:t>
      </w:r>
    </w:p>
    <w:p w14:paraId="1CDCA259" w14:textId="49BFE8C2" w:rsidR="000F496D" w:rsidRPr="00D44D33" w:rsidRDefault="0090651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F7922" w:rsidRPr="00D44D33">
        <w:rPr>
          <w:rFonts w:ascii="Times New Roman" w:eastAsiaTheme="minorEastAsia" w:hAnsi="Times New Roman" w:cs="Times New Roman"/>
          <w:b/>
          <w:bCs/>
          <w:sz w:val="24"/>
          <w:szCs w:val="24"/>
        </w:rPr>
        <w:t>22</w:t>
      </w:r>
    </w:p>
    <w:p w14:paraId="574D0141" w14:textId="7F94D8BF" w:rsidR="00906517" w:rsidRPr="00D44D33" w:rsidRDefault="0090651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kontynuacją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sektorze</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sektorach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sektorem</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F20F72" w:rsidRPr="00D44D33">
        <w:rPr>
          <w:rFonts w:ascii="Times New Roman" w:eastAsiaTheme="minorEastAsia" w:hAnsi="Times New Roman" w:cs="Times New Roman"/>
          <w:sz w:val="24"/>
          <w:szCs w:val="24"/>
        </w:rPr>
        <w:t>elektronicznej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001F3A17" w:rsidRPr="00D44D33">
        <w:rPr>
          <w:rFonts w:ascii="Times New Roman" w:eastAsiaTheme="minorEastAsia" w:hAnsi="Times New Roman" w:cs="Times New Roman"/>
          <w:sz w:val="24"/>
          <w:szCs w:val="24"/>
        </w:rPr>
        <w:t xml:space="preserve">Podmioty te, zgodnie z art. 19 </w:t>
      </w:r>
      <w:r w:rsidR="00E44CDF" w:rsidRPr="00D44D33">
        <w:rPr>
          <w:rFonts w:ascii="Times New Roman" w:eastAsiaTheme="minorEastAsia" w:hAnsi="Times New Roman" w:cs="Times New Roman"/>
          <w:sz w:val="24"/>
          <w:szCs w:val="24"/>
        </w:rPr>
        <w:t>Pke</w:t>
      </w:r>
      <w:r w:rsidR="00482725">
        <w:rPr>
          <w:rFonts w:ascii="Times New Roman" w:eastAsiaTheme="minorEastAsia" w:hAnsi="Times New Roman" w:cs="Times New Roman"/>
          <w:sz w:val="24"/>
          <w:szCs w:val="24"/>
        </w:rPr>
        <w:t>,</w:t>
      </w:r>
      <w:r w:rsidR="00E44CDF" w:rsidRPr="00D44D33">
        <w:rPr>
          <w:rFonts w:ascii="Times New Roman" w:eastAsiaTheme="minorEastAsia" w:hAnsi="Times New Roman" w:cs="Times New Roman"/>
          <w:sz w:val="24"/>
          <w:szCs w:val="24"/>
        </w:rPr>
        <w:t xml:space="preserve"> są </w:t>
      </w:r>
      <w:r w:rsidR="001F3A17" w:rsidRPr="00D44D33">
        <w:rPr>
          <w:rFonts w:ascii="Times New Roman" w:eastAsiaTheme="minorEastAsia" w:hAnsi="Times New Roman" w:cs="Times New Roman"/>
          <w:sz w:val="24"/>
          <w:szCs w:val="24"/>
        </w:rPr>
        <w:t xml:space="preserve">obowiązane do przekazywania na żądanie Prezesa UKE informacji, które mogą także wiązać się z koniecznością przekazania określonych dokumentów. </w:t>
      </w:r>
      <w:r w:rsidR="000A5770" w:rsidRPr="00D44D33">
        <w:rPr>
          <w:rFonts w:ascii="Times New Roman" w:eastAsiaTheme="minorEastAsia" w:hAnsi="Times New Roman" w:cs="Times New Roman"/>
          <w:sz w:val="24"/>
          <w:szCs w:val="24"/>
        </w:rPr>
        <w:t>Utrzymane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obowiązującym</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33</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P</w:t>
      </w:r>
      <w:r w:rsidR="00E44CDF" w:rsidRPr="00D44D33">
        <w:rPr>
          <w:rFonts w:ascii="Times New Roman" w:eastAsiaTheme="minorEastAsia" w:hAnsi="Times New Roman" w:cs="Times New Roman"/>
          <w:sz w:val="24"/>
          <w:szCs w:val="24"/>
        </w:rPr>
        <w:t>t</w:t>
      </w:r>
      <w:r w:rsidR="000A57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objęcie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tajemnicą</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rozliczeń</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Zastrzeżenia</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nieskuteczne</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000A5770"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zawierające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Zastrzegając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niezwierającą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niezawierającej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nieskuteczne.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880C622"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880C622"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5880C622"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5880C622" w:rsidRPr="00D44D33">
        <w:rPr>
          <w:rFonts w:ascii="Times New Roman" w:eastAsiaTheme="minorEastAsia" w:hAnsi="Times New Roman" w:cs="Times New Roman"/>
          <w:sz w:val="24"/>
          <w:szCs w:val="24"/>
        </w:rPr>
        <w:t>przedsiębiorstwa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Dokumenty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przekazuje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zagranicznym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Komisji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Europejskiej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BEREC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przestrzegania.</w:t>
      </w:r>
    </w:p>
    <w:p w14:paraId="71ECCC6E" w14:textId="256A78E4" w:rsidR="00696205" w:rsidRPr="00D44D33" w:rsidRDefault="0A6309E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Odpowiednikiem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prosty</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przeniesiona,</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doprecyzowania</w:t>
      </w:r>
      <w:r w:rsidR="00970B2E" w:rsidRPr="00D44D33">
        <w:rPr>
          <w:rFonts w:ascii="Times New Roman" w:eastAsiaTheme="minorEastAsia" w:hAnsi="Times New Roman" w:cs="Times New Roman"/>
          <w:sz w:val="24"/>
          <w:szCs w:val="24"/>
        </w:rPr>
        <w:t xml:space="preserve"> </w:t>
      </w:r>
      <w:r w:rsidR="01790BD7"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6520D7A8" w:rsidRPr="00D44D33">
        <w:rPr>
          <w:rFonts w:ascii="Times New Roman" w:eastAsiaTheme="minorEastAsia" w:hAnsi="Times New Roman" w:cs="Times New Roman"/>
          <w:sz w:val="24"/>
          <w:szCs w:val="24"/>
        </w:rPr>
        <w:t>zastrzegania</w:t>
      </w:r>
      <w:r w:rsidR="00970B2E" w:rsidRPr="00D44D33">
        <w:rPr>
          <w:rFonts w:ascii="Times New Roman" w:eastAsiaTheme="minorEastAsia" w:hAnsi="Times New Roman" w:cs="Times New Roman"/>
          <w:sz w:val="24"/>
          <w:szCs w:val="24"/>
        </w:rPr>
        <w:t xml:space="preserve"> </w:t>
      </w:r>
      <w:r w:rsidR="6520D7A8" w:rsidRPr="00D44D33">
        <w:rPr>
          <w:rFonts w:ascii="Times New Roman" w:eastAsiaTheme="minorEastAsia" w:hAnsi="Times New Roman" w:cs="Times New Roman"/>
          <w:sz w:val="24"/>
          <w:szCs w:val="24"/>
        </w:rPr>
        <w:t>informacji.</w:t>
      </w:r>
    </w:p>
    <w:p w14:paraId="4B7FD692" w14:textId="11678C26" w:rsidR="00DD7F59" w:rsidRPr="00D44D33" w:rsidRDefault="00DD6F27"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R</w:t>
      </w:r>
      <w:r w:rsidR="00754575" w:rsidRPr="00D44D33">
        <w:rPr>
          <w:rFonts w:ascii="Times New Roman" w:hAnsi="Times New Roman" w:cs="Times New Roman"/>
          <w:b/>
        </w:rPr>
        <w:t>ozdział</w:t>
      </w:r>
      <w:r w:rsidR="00970B2E" w:rsidRPr="00D44D33">
        <w:rPr>
          <w:rFonts w:ascii="Times New Roman" w:hAnsi="Times New Roman" w:cs="Times New Roman"/>
          <w:b/>
        </w:rPr>
        <w:t xml:space="preserve"> </w:t>
      </w:r>
      <w:r w:rsidRPr="00D44D33">
        <w:rPr>
          <w:rFonts w:ascii="Times New Roman" w:hAnsi="Times New Roman" w:cs="Times New Roman"/>
          <w:b/>
        </w:rPr>
        <w:t>3</w:t>
      </w:r>
    </w:p>
    <w:p w14:paraId="246B8655" w14:textId="02576A45" w:rsidR="00DD6F27" w:rsidRPr="00D44D33" w:rsidRDefault="00DD6F27"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Opłaty</w:t>
      </w:r>
    </w:p>
    <w:p w14:paraId="4C0D33C9" w14:textId="009ACF6B" w:rsidR="00DD6F27" w:rsidRPr="00D44D33" w:rsidRDefault="00DD6F27" w:rsidP="00D44D33">
      <w:pPr>
        <w:pStyle w:val="h1chapter"/>
        <w:spacing w:before="120" w:after="120" w:line="360" w:lineRule="auto"/>
        <w:rPr>
          <w:rFonts w:ascii="Times New Roman" w:hAnsi="Times New Roman" w:cs="Times New Roman"/>
          <w:color w:val="auto"/>
          <w:sz w:val="24"/>
          <w:szCs w:val="24"/>
        </w:rPr>
      </w:pPr>
      <w:r w:rsidRPr="00D44D33">
        <w:rPr>
          <w:rFonts w:ascii="Times New Roman" w:hAnsi="Times New Roman" w:cs="Times New Roman"/>
          <w:color w:val="auto"/>
          <w:sz w:val="24"/>
          <w:szCs w:val="24"/>
        </w:rPr>
        <w:t>Art.</w:t>
      </w:r>
      <w:r w:rsidR="00970B2E" w:rsidRPr="00D44D33">
        <w:rPr>
          <w:rFonts w:ascii="Times New Roman" w:hAnsi="Times New Roman" w:cs="Times New Roman"/>
          <w:color w:val="auto"/>
          <w:sz w:val="24"/>
          <w:szCs w:val="24"/>
        </w:rPr>
        <w:t xml:space="preserve"> </w:t>
      </w:r>
      <w:r w:rsidR="1D4E2793" w:rsidRPr="00D44D33">
        <w:rPr>
          <w:rFonts w:ascii="Times New Roman" w:hAnsi="Times New Roman" w:cs="Times New Roman"/>
          <w:color w:val="auto"/>
          <w:sz w:val="24"/>
          <w:szCs w:val="24"/>
        </w:rPr>
        <w:t>23</w:t>
      </w:r>
    </w:p>
    <w:p w14:paraId="35A05C08" w14:textId="729FBE81" w:rsidR="00BD1543" w:rsidRPr="00D44D33" w:rsidRDefault="00F20D89" w:rsidP="00D44D33">
      <w:pPr>
        <w:pStyle w:val="ARTartustawynprozporzdzenia"/>
        <w:keepNext/>
        <w:spacing w:after="120"/>
        <w:ind w:firstLine="0"/>
        <w:rPr>
          <w:rFonts w:ascii="Times New Roman" w:hAnsi="Times New Roman" w:cs="Times New Roman"/>
          <w:szCs w:val="24"/>
        </w:rPr>
      </w:pPr>
      <w:r w:rsidRPr="00D44D33">
        <w:rPr>
          <w:rFonts w:ascii="Times New Roman" w:hAnsi="Times New Roman" w:cs="Times New Roman"/>
          <w:szCs w:val="24"/>
        </w:rPr>
        <w:t>Projektowany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przewiduje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uiszczanie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rocznej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podmioty</w:t>
      </w:r>
      <w:r w:rsidR="00970B2E" w:rsidRPr="00D44D33">
        <w:rPr>
          <w:rFonts w:ascii="Times New Roman" w:hAnsi="Times New Roman" w:cs="Times New Roman"/>
          <w:szCs w:val="24"/>
        </w:rPr>
        <w:t xml:space="preserve"> </w:t>
      </w:r>
      <w:r w:rsidRPr="00D44D33">
        <w:rPr>
          <w:rFonts w:ascii="Times New Roman" w:hAnsi="Times New Roman" w:cs="Times New Roman"/>
          <w:szCs w:val="24"/>
        </w:rPr>
        <w:t>korzystające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zezwolenia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ogólnego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pokrycie</w:t>
      </w:r>
      <w:r w:rsidR="00970B2E" w:rsidRPr="00D44D33">
        <w:rPr>
          <w:rFonts w:ascii="Times New Roman" w:hAnsi="Times New Roman" w:cs="Times New Roman"/>
          <w:szCs w:val="24"/>
        </w:rPr>
        <w:t xml:space="preserve"> </w:t>
      </w:r>
      <w:r w:rsidR="009310CE" w:rsidRPr="00D44D33">
        <w:rPr>
          <w:rFonts w:ascii="Times New Roman" w:hAnsi="Times New Roman" w:cs="Times New Roman"/>
          <w:szCs w:val="24"/>
        </w:rPr>
        <w:t>wydatków</w:t>
      </w:r>
      <w:r w:rsidR="00970B2E" w:rsidRPr="00D44D33">
        <w:rPr>
          <w:rFonts w:ascii="Times New Roman" w:hAnsi="Times New Roman" w:cs="Times New Roman"/>
          <w:szCs w:val="24"/>
        </w:rPr>
        <w:t xml:space="preserve"> </w:t>
      </w:r>
      <w:r w:rsidR="009310CE" w:rsidRPr="00D44D33">
        <w:rPr>
          <w:rFonts w:ascii="Times New Roman" w:hAnsi="Times New Roman" w:cs="Times New Roman"/>
          <w:szCs w:val="24"/>
        </w:rPr>
        <w:t>związanych</w:t>
      </w:r>
      <w:r w:rsidR="00970B2E" w:rsidRPr="00D44D33">
        <w:rPr>
          <w:rFonts w:ascii="Times New Roman" w:hAnsi="Times New Roman" w:cs="Times New Roman"/>
          <w:szCs w:val="24"/>
        </w:rPr>
        <w:t xml:space="preserve"> </w:t>
      </w:r>
      <w:r w:rsidR="009310CE"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funkcjonowani</w:t>
      </w:r>
      <w:r w:rsidR="009310CE" w:rsidRPr="00D44D33">
        <w:rPr>
          <w:rFonts w:ascii="Times New Roman" w:hAnsi="Times New Roman" w:cs="Times New Roman"/>
          <w:szCs w:val="24"/>
        </w:rPr>
        <w:t>em</w:t>
      </w:r>
      <w:r w:rsidR="00970B2E" w:rsidRPr="00D44D33">
        <w:rPr>
          <w:rFonts w:ascii="Times New Roman" w:hAnsi="Times New Roman" w:cs="Times New Roman"/>
          <w:szCs w:val="24"/>
        </w:rPr>
        <w:t xml:space="preserve"> </w:t>
      </w:r>
      <w:r w:rsidRPr="00D44D33">
        <w:rPr>
          <w:rFonts w:ascii="Times New Roman" w:hAnsi="Times New Roman" w:cs="Times New Roman"/>
          <w:szCs w:val="24"/>
        </w:rPr>
        <w:t>organów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regulacyjnych,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tj.</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ministra</w:t>
      </w:r>
      <w:r w:rsidR="00970B2E" w:rsidRPr="00D44D33">
        <w:rPr>
          <w:rFonts w:ascii="Times New Roman" w:hAnsi="Times New Roman" w:cs="Times New Roman"/>
          <w:szCs w:val="24"/>
        </w:rPr>
        <w:t xml:space="preserve"> </w:t>
      </w:r>
      <w:r w:rsidRPr="00D44D33">
        <w:rPr>
          <w:rFonts w:ascii="Times New Roman" w:hAnsi="Times New Roman" w:cs="Times New Roman"/>
          <w:szCs w:val="24"/>
        </w:rPr>
        <w:t>właściwego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d</w:t>
      </w:r>
      <w:r w:rsidR="00E44CDF" w:rsidRPr="00D44D33">
        <w:rPr>
          <w:rFonts w:ascii="Times New Roman" w:hAnsi="Times New Roman" w:cs="Times New Roman"/>
          <w:szCs w:val="24"/>
        </w:rPr>
        <w:t xml:space="preserve">o </w:t>
      </w:r>
      <w:r w:rsidRPr="00D44D33">
        <w:rPr>
          <w:rFonts w:ascii="Times New Roman" w:hAnsi="Times New Roman" w:cs="Times New Roman"/>
          <w:szCs w:val="24"/>
        </w:rPr>
        <w:t>s</w:t>
      </w:r>
      <w:r w:rsidR="00E44CDF" w:rsidRPr="00D44D33">
        <w:rPr>
          <w:rFonts w:ascii="Times New Roman" w:hAnsi="Times New Roman" w:cs="Times New Roman"/>
          <w:szCs w:val="24"/>
        </w:rPr>
        <w:t>praw</w:t>
      </w:r>
      <w:r w:rsidR="00970B2E" w:rsidRPr="00D44D33">
        <w:rPr>
          <w:rFonts w:ascii="Times New Roman" w:hAnsi="Times New Roman" w:cs="Times New Roman"/>
          <w:szCs w:val="24"/>
        </w:rPr>
        <w:t xml:space="preserve"> </w:t>
      </w:r>
      <w:r w:rsidRPr="00D44D33">
        <w:rPr>
          <w:rFonts w:ascii="Times New Roman" w:hAnsi="Times New Roman" w:cs="Times New Roman"/>
          <w:szCs w:val="24"/>
        </w:rPr>
        <w:t>informatyzacji</w:t>
      </w:r>
      <w:r w:rsidR="4C3F2719"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wyłączeniem</w:t>
      </w:r>
      <w:r w:rsidR="00970B2E" w:rsidRPr="00D44D33">
        <w:rPr>
          <w:rFonts w:ascii="Times New Roman" w:hAnsi="Times New Roman" w:cs="Times New Roman"/>
          <w:szCs w:val="24"/>
        </w:rPr>
        <w:t xml:space="preserve"> </w:t>
      </w:r>
      <w:r w:rsidR="009310CE" w:rsidRPr="00D44D33">
        <w:rPr>
          <w:rFonts w:ascii="Times New Roman" w:hAnsi="Times New Roman" w:cs="Times New Roman"/>
          <w:szCs w:val="24"/>
        </w:rPr>
        <w:t>wydatków</w:t>
      </w:r>
      <w:r w:rsidR="00970B2E" w:rsidRPr="00D44D33">
        <w:rPr>
          <w:rFonts w:ascii="Times New Roman" w:hAnsi="Times New Roman" w:cs="Times New Roman"/>
          <w:szCs w:val="24"/>
        </w:rPr>
        <w:t xml:space="preserve"> </w:t>
      </w:r>
      <w:r w:rsidR="317EF28B" w:rsidRPr="00D44D33">
        <w:rPr>
          <w:rFonts w:ascii="Times New Roman" w:hAnsi="Times New Roman" w:cs="Times New Roman"/>
          <w:szCs w:val="24"/>
        </w:rPr>
        <w:t>zwi</w:t>
      </w:r>
      <w:r w:rsidR="272D78B1" w:rsidRPr="00D44D33">
        <w:rPr>
          <w:rFonts w:ascii="Times New Roman" w:hAnsi="Times New Roman" w:cs="Times New Roman"/>
          <w:szCs w:val="24"/>
        </w:rPr>
        <w:t>ą</w:t>
      </w:r>
      <w:r w:rsidR="317EF28B" w:rsidRPr="00D44D33">
        <w:rPr>
          <w:rFonts w:ascii="Times New Roman" w:hAnsi="Times New Roman" w:cs="Times New Roman"/>
          <w:szCs w:val="24"/>
        </w:rPr>
        <w:t>zanych</w:t>
      </w:r>
      <w:r w:rsidR="00970B2E" w:rsidRPr="00D44D33">
        <w:rPr>
          <w:rFonts w:ascii="Times New Roman" w:hAnsi="Times New Roman" w:cs="Times New Roman"/>
          <w:szCs w:val="24"/>
        </w:rPr>
        <w:t xml:space="preserve"> </w:t>
      </w:r>
      <w:r w:rsidR="317EF28B"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prowadzen</w:t>
      </w:r>
      <w:r w:rsidR="08705202" w:rsidRPr="00D44D33">
        <w:rPr>
          <w:rFonts w:ascii="Times New Roman" w:hAnsi="Times New Roman" w:cs="Times New Roman"/>
          <w:szCs w:val="24"/>
        </w:rPr>
        <w:t>iem</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gospodarki</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zasobami</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numeracji</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4C3F2719" w:rsidRPr="00D44D33">
        <w:rPr>
          <w:rFonts w:ascii="Times New Roman" w:hAnsi="Times New Roman" w:cs="Times New Roman"/>
          <w:szCs w:val="24"/>
        </w:rPr>
        <w:t>częstotliwośc</w:t>
      </w:r>
      <w:r w:rsidR="00DD0DA5"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Należy</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tu</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podkreślić,</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roczna</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opłata</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telekomunikacyjna</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uiszczana</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tylko</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przedsiębiorców</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telekomunikacyjnych,</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dlatego</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dotyczy</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tylko</w:t>
      </w:r>
      <w:r w:rsidR="00970B2E" w:rsidRPr="00D44D33">
        <w:rPr>
          <w:rFonts w:ascii="Times New Roman" w:hAnsi="Times New Roman" w:cs="Times New Roman"/>
          <w:szCs w:val="24"/>
        </w:rPr>
        <w:t xml:space="preserve"> </w:t>
      </w:r>
      <w:r w:rsidR="002230EE" w:rsidRPr="00D44D33">
        <w:rPr>
          <w:rFonts w:ascii="Times New Roman" w:hAnsi="Times New Roman" w:cs="Times New Roman"/>
          <w:szCs w:val="24"/>
        </w:rPr>
        <w:t>wydatków</w:t>
      </w:r>
      <w:r w:rsidR="00970B2E" w:rsidRPr="00D44D33">
        <w:rPr>
          <w:rFonts w:ascii="Times New Roman" w:hAnsi="Times New Roman" w:cs="Times New Roman"/>
          <w:szCs w:val="24"/>
        </w:rPr>
        <w:t xml:space="preserve"> </w:t>
      </w:r>
      <w:r w:rsidR="002230EE"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realizacji</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zadań</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telekomunikacji,</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m.in.</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rozstrzygania</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sporów</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między</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przedsiębiorcami</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telekomunikacyjnymi</w:t>
      </w:r>
      <w:r w:rsidR="00B44005"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badania,</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weryfikacji</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kontroli</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rynków</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właściwych</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produktów</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usług</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telekomunikacyjnych</w:t>
      </w:r>
      <w:r w:rsidR="00970B2E" w:rsidRPr="00D44D33">
        <w:rPr>
          <w:rFonts w:ascii="Times New Roman" w:hAnsi="Times New Roman" w:cs="Times New Roman"/>
          <w:szCs w:val="24"/>
        </w:rPr>
        <w:t xml:space="preserve"> </w:t>
      </w:r>
      <w:r w:rsidR="008A6631"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wydawani</w:t>
      </w:r>
      <w:r w:rsidR="008A6631"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administracyjnych</w:t>
      </w:r>
      <w:r w:rsidR="00970B2E" w:rsidRPr="00D44D33">
        <w:rPr>
          <w:rFonts w:ascii="Times New Roman" w:hAnsi="Times New Roman" w:cs="Times New Roman"/>
          <w:szCs w:val="24"/>
        </w:rPr>
        <w:t xml:space="preserve"> </w:t>
      </w:r>
      <w:r w:rsidR="000E4B39"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000E4B39" w:rsidRPr="00D44D33">
        <w:rPr>
          <w:rFonts w:ascii="Times New Roman" w:hAnsi="Times New Roman" w:cs="Times New Roman"/>
          <w:szCs w:val="24"/>
        </w:rPr>
        <w:t>realizacji</w:t>
      </w:r>
      <w:r w:rsidR="00970B2E" w:rsidRPr="00D44D33">
        <w:rPr>
          <w:rFonts w:ascii="Times New Roman" w:hAnsi="Times New Roman" w:cs="Times New Roman"/>
          <w:szCs w:val="24"/>
        </w:rPr>
        <w:t xml:space="preserve"> </w:t>
      </w:r>
      <w:r w:rsidR="000E4B39" w:rsidRPr="00D44D33">
        <w:rPr>
          <w:rFonts w:ascii="Times New Roman" w:hAnsi="Times New Roman" w:cs="Times New Roman"/>
          <w:szCs w:val="24"/>
        </w:rPr>
        <w:t>zadań</w:t>
      </w:r>
      <w:r w:rsidR="00970B2E" w:rsidRPr="00D44D33">
        <w:rPr>
          <w:rFonts w:ascii="Times New Roman" w:hAnsi="Times New Roman" w:cs="Times New Roman"/>
          <w:szCs w:val="24"/>
        </w:rPr>
        <w:t xml:space="preserve"> </w:t>
      </w:r>
      <w:r w:rsidR="000E4B39"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000E4B39" w:rsidRPr="00D44D33">
        <w:rPr>
          <w:rFonts w:ascii="Times New Roman" w:hAnsi="Times New Roman" w:cs="Times New Roman"/>
          <w:szCs w:val="24"/>
        </w:rPr>
        <w:t>telekomunikacji</w:t>
      </w:r>
      <w:r w:rsidR="00DD0DA5"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wyłączeniem</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które</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odrębne</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przepisy</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przewidują</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pobieranie</w:t>
      </w:r>
      <w:r w:rsidR="00970B2E" w:rsidRPr="00D44D33">
        <w:rPr>
          <w:rFonts w:ascii="Times New Roman" w:hAnsi="Times New Roman" w:cs="Times New Roman"/>
          <w:szCs w:val="24"/>
        </w:rPr>
        <w:t xml:space="preserve"> </w:t>
      </w:r>
      <w:r w:rsidR="00DD0DA5" w:rsidRPr="00D44D33">
        <w:rPr>
          <w:rFonts w:ascii="Times New Roman" w:hAnsi="Times New Roman" w:cs="Times New Roman"/>
          <w:szCs w:val="24"/>
        </w:rPr>
        <w:t>opłat</w:t>
      </w:r>
      <w:r w:rsidR="008A6631"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to</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szczególnie</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istotne</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ze</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lastRenderedPageBreak/>
        <w:t>względu</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rozszerzenie</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zakresu</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Pke</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stosunku</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Pt</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możliwoś</w:t>
      </w:r>
      <w:r w:rsidR="008A2D66" w:rsidRPr="00D44D33">
        <w:rPr>
          <w:rFonts w:ascii="Times New Roman" w:hAnsi="Times New Roman" w:cs="Times New Roman"/>
          <w:szCs w:val="24"/>
        </w:rPr>
        <w:t>ć</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wydawania</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8A2D66"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008A2D66"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008A2D66"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8A2D6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8A2D66" w:rsidRPr="00D44D33">
        <w:rPr>
          <w:rFonts w:ascii="Times New Roman" w:hAnsi="Times New Roman" w:cs="Times New Roman"/>
          <w:szCs w:val="24"/>
        </w:rPr>
        <w:t>stosunku</w:t>
      </w:r>
      <w:r w:rsidR="00970B2E" w:rsidRPr="00D44D33">
        <w:rPr>
          <w:rFonts w:ascii="Times New Roman" w:hAnsi="Times New Roman" w:cs="Times New Roman"/>
          <w:szCs w:val="24"/>
        </w:rPr>
        <w:t xml:space="preserve"> </w:t>
      </w:r>
      <w:r w:rsidR="008A2D66"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inn</w:t>
      </w:r>
      <w:r w:rsidR="008A2D66" w:rsidRPr="00D44D33">
        <w:rPr>
          <w:rFonts w:ascii="Times New Roman" w:hAnsi="Times New Roman" w:cs="Times New Roman"/>
          <w:szCs w:val="24"/>
        </w:rPr>
        <w:t>ych</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podmiotów</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niż</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przedsiębiorcy</w:t>
      </w:r>
      <w:r w:rsidR="00970B2E" w:rsidRPr="00D44D33">
        <w:rPr>
          <w:rFonts w:ascii="Times New Roman" w:hAnsi="Times New Roman" w:cs="Times New Roman"/>
          <w:szCs w:val="24"/>
        </w:rPr>
        <w:t xml:space="preserve"> </w:t>
      </w:r>
      <w:r w:rsidR="0068716A" w:rsidRPr="00D44D33">
        <w:rPr>
          <w:rFonts w:ascii="Times New Roman" w:hAnsi="Times New Roman" w:cs="Times New Roman"/>
          <w:szCs w:val="24"/>
        </w:rPr>
        <w:t>telekomunikacyjni</w:t>
      </w:r>
      <w:r w:rsidR="00BD1543" w:rsidRPr="00D44D33">
        <w:rPr>
          <w:rFonts w:ascii="Times New Roman" w:hAnsi="Times New Roman" w:cs="Times New Roman"/>
          <w:szCs w:val="24"/>
        </w:rPr>
        <w:t>.</w:t>
      </w:r>
    </w:p>
    <w:p w14:paraId="09152AB6" w14:textId="40EEBF3B" w:rsidR="00075563" w:rsidRPr="00D44D33" w:rsidRDefault="00F20D89" w:rsidP="00D44D33">
      <w:pPr>
        <w:pStyle w:val="ARTartustawynprozporzdzenia"/>
        <w:keepNext/>
        <w:spacing w:after="120"/>
        <w:ind w:firstLine="0"/>
        <w:rPr>
          <w:rFonts w:ascii="Times New Roman" w:hAnsi="Times New Roman" w:cs="Times New Roman"/>
          <w:szCs w:val="24"/>
        </w:rPr>
      </w:pPr>
      <w:r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tych</w:t>
      </w:r>
      <w:r w:rsidR="00970B2E" w:rsidRPr="00D44D33">
        <w:rPr>
          <w:rFonts w:ascii="Times New Roman" w:hAnsi="Times New Roman" w:cs="Times New Roman"/>
          <w:szCs w:val="24"/>
        </w:rPr>
        <w:t xml:space="preserve"> </w:t>
      </w:r>
      <w:r w:rsidR="002230EE" w:rsidRPr="00D44D33">
        <w:rPr>
          <w:rFonts w:ascii="Times New Roman" w:hAnsi="Times New Roman" w:cs="Times New Roman"/>
          <w:szCs w:val="24"/>
        </w:rPr>
        <w:t>wydatków</w:t>
      </w:r>
      <w:r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jak</w:t>
      </w:r>
      <w:r w:rsidR="00970B2E" w:rsidRPr="00D44D33">
        <w:rPr>
          <w:rFonts w:ascii="Times New Roman" w:hAnsi="Times New Roman" w:cs="Times New Roman"/>
          <w:szCs w:val="24"/>
        </w:rPr>
        <w:t xml:space="preserve"> </w:t>
      </w:r>
      <w:r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Pr="00D44D33">
        <w:rPr>
          <w:rFonts w:ascii="Times New Roman" w:hAnsi="Times New Roman" w:cs="Times New Roman"/>
          <w:szCs w:val="24"/>
        </w:rPr>
        <w:t>wpływów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podlegała</w:t>
      </w:r>
      <w:r w:rsidR="00970B2E" w:rsidRPr="00D44D33">
        <w:rPr>
          <w:rFonts w:ascii="Times New Roman" w:hAnsi="Times New Roman" w:cs="Times New Roman"/>
          <w:szCs w:val="24"/>
        </w:rPr>
        <w:t xml:space="preserve"> </w:t>
      </w:r>
      <w:r w:rsidR="4EF25F67" w:rsidRPr="00D44D33">
        <w:rPr>
          <w:rFonts w:ascii="Times New Roman" w:hAnsi="Times New Roman" w:cs="Times New Roman"/>
          <w:szCs w:val="24"/>
        </w:rPr>
        <w:t>udostępnieniu</w:t>
      </w:r>
      <w:r w:rsidR="00970B2E" w:rsidRPr="00D44D33">
        <w:rPr>
          <w:rFonts w:ascii="Times New Roman" w:hAnsi="Times New Roman" w:cs="Times New Roman"/>
          <w:szCs w:val="24"/>
        </w:rPr>
        <w:t xml:space="preserve"> </w:t>
      </w:r>
      <w:r w:rsidR="00D77D4A"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D77D4A" w:rsidRPr="00D44D33">
        <w:rPr>
          <w:rFonts w:ascii="Times New Roman" w:hAnsi="Times New Roman" w:cs="Times New Roman"/>
          <w:szCs w:val="24"/>
        </w:rPr>
        <w:t>stronie</w:t>
      </w:r>
      <w:r w:rsidR="00970B2E" w:rsidRPr="00D44D33">
        <w:rPr>
          <w:rFonts w:ascii="Times New Roman" w:hAnsi="Times New Roman" w:cs="Times New Roman"/>
          <w:szCs w:val="24"/>
        </w:rPr>
        <w:t xml:space="preserve"> </w:t>
      </w:r>
      <w:r w:rsidR="00D77D4A" w:rsidRPr="00D44D33">
        <w:rPr>
          <w:rFonts w:ascii="Times New Roman" w:hAnsi="Times New Roman" w:cs="Times New Roman"/>
          <w:szCs w:val="24"/>
        </w:rPr>
        <w:t>podmiotowej</w:t>
      </w:r>
      <w:r w:rsidR="00970B2E" w:rsidRPr="00D44D33">
        <w:rPr>
          <w:rFonts w:ascii="Times New Roman" w:hAnsi="Times New Roman" w:cs="Times New Roman"/>
          <w:szCs w:val="24"/>
        </w:rPr>
        <w:t xml:space="preserve"> </w:t>
      </w:r>
      <w:r w:rsidR="00D77D4A" w:rsidRPr="00D44D33">
        <w:rPr>
          <w:rFonts w:ascii="Times New Roman" w:hAnsi="Times New Roman" w:cs="Times New Roman"/>
          <w:szCs w:val="24"/>
        </w:rPr>
        <w:t>BIP</w:t>
      </w:r>
      <w:r w:rsidR="00970B2E" w:rsidRPr="00D44D33">
        <w:rPr>
          <w:rFonts w:ascii="Times New Roman" w:hAnsi="Times New Roman" w:cs="Times New Roman"/>
          <w:szCs w:val="24"/>
        </w:rPr>
        <w:t xml:space="preserve"> </w:t>
      </w:r>
      <w:r w:rsidR="00D77D4A" w:rsidRPr="00D44D33">
        <w:rPr>
          <w:rFonts w:ascii="Times New Roman" w:hAnsi="Times New Roman" w:cs="Times New Roman"/>
          <w:szCs w:val="24"/>
        </w:rPr>
        <w:t>UKE</w:t>
      </w:r>
      <w:r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projektowanym</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zastosowano</w:t>
      </w:r>
      <w:r w:rsidR="00970B2E" w:rsidRPr="00D44D33">
        <w:rPr>
          <w:rFonts w:ascii="Times New Roman" w:hAnsi="Times New Roman" w:cs="Times New Roman"/>
          <w:szCs w:val="24"/>
        </w:rPr>
        <w:t xml:space="preserve"> </w:t>
      </w:r>
      <w:r w:rsidRPr="00D44D33">
        <w:rPr>
          <w:rFonts w:ascii="Times New Roman" w:hAnsi="Times New Roman" w:cs="Times New Roman"/>
          <w:szCs w:val="24"/>
        </w:rPr>
        <w:t>mechanizm</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przewidziany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16</w:t>
      </w:r>
      <w:r w:rsidR="00970B2E" w:rsidRPr="00D44D33">
        <w:rPr>
          <w:rFonts w:ascii="Times New Roman" w:hAnsi="Times New Roman" w:cs="Times New Roman"/>
          <w:szCs w:val="24"/>
        </w:rPr>
        <w:t xml:space="preserve"> </w:t>
      </w:r>
      <w:r w:rsidRPr="00D44D33">
        <w:rPr>
          <w:rFonts w:ascii="Times New Roman" w:hAnsi="Times New Roman" w:cs="Times New Roman"/>
          <w:szCs w:val="24"/>
        </w:rPr>
        <w:t>EKŁE,</w:t>
      </w:r>
      <w:r w:rsidR="00970B2E" w:rsidRPr="00D44D33">
        <w:rPr>
          <w:rFonts w:ascii="Times New Roman" w:hAnsi="Times New Roman" w:cs="Times New Roman"/>
          <w:szCs w:val="24"/>
        </w:rPr>
        <w:t xml:space="preserve"> </w:t>
      </w:r>
      <w:r w:rsidRPr="00D44D33">
        <w:rPr>
          <w:rFonts w:ascii="Times New Roman" w:hAnsi="Times New Roman" w:cs="Times New Roman"/>
          <w:szCs w:val="24"/>
        </w:rPr>
        <w:t>zgodnie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którym</w:t>
      </w:r>
      <w:r w:rsidR="00970B2E" w:rsidRPr="00D44D33">
        <w:rPr>
          <w:rFonts w:ascii="Times New Roman" w:hAnsi="Times New Roman" w:cs="Times New Roman"/>
          <w:szCs w:val="24"/>
        </w:rPr>
        <w:t xml:space="preserve"> </w:t>
      </w:r>
      <w:r w:rsidRPr="00D44D33">
        <w:rPr>
          <w:rFonts w:ascii="Times New Roman" w:hAnsi="Times New Roman" w:cs="Times New Roman"/>
          <w:szCs w:val="24"/>
        </w:rPr>
        <w:t>państwa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członkowskie</w:t>
      </w:r>
      <w:r w:rsidR="00970B2E" w:rsidRPr="00D44D33">
        <w:rPr>
          <w:rFonts w:ascii="Times New Roman" w:hAnsi="Times New Roman" w:cs="Times New Roman"/>
          <w:szCs w:val="24"/>
        </w:rPr>
        <w:t xml:space="preserve"> </w:t>
      </w:r>
      <w:r w:rsidRPr="00D44D33">
        <w:rPr>
          <w:rFonts w:ascii="Times New Roman" w:hAnsi="Times New Roman" w:cs="Times New Roman"/>
          <w:szCs w:val="24"/>
        </w:rPr>
        <w:t>mogą</w:t>
      </w:r>
      <w:r w:rsidR="00970B2E" w:rsidRPr="00D44D33">
        <w:rPr>
          <w:rFonts w:ascii="Times New Roman" w:hAnsi="Times New Roman" w:cs="Times New Roman"/>
          <w:szCs w:val="24"/>
        </w:rPr>
        <w:t xml:space="preserve"> </w:t>
      </w:r>
      <w:r w:rsidRPr="00D44D33">
        <w:rPr>
          <w:rFonts w:ascii="Times New Roman" w:hAnsi="Times New Roman" w:cs="Times New Roman"/>
          <w:szCs w:val="24"/>
        </w:rPr>
        <w:t>zdecydować</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niepobieraniu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w:t>
      </w:r>
      <w:r w:rsidR="00970B2E" w:rsidRPr="00D44D33">
        <w:rPr>
          <w:rFonts w:ascii="Times New Roman" w:hAnsi="Times New Roman" w:cs="Times New Roman"/>
          <w:szCs w:val="24"/>
        </w:rPr>
        <w:t xml:space="preserve"> </w:t>
      </w:r>
      <w:r w:rsidRPr="00D44D33">
        <w:rPr>
          <w:rFonts w:ascii="Times New Roman" w:hAnsi="Times New Roman" w:cs="Times New Roman"/>
          <w:szCs w:val="24"/>
        </w:rPr>
        <w:t>administracyjnych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przedsiębiorstw,</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obroty</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przekraczają</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określonego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pozwala</w:t>
      </w:r>
      <w:r w:rsidR="00970B2E" w:rsidRPr="00D44D33">
        <w:rPr>
          <w:rFonts w:ascii="Times New Roman" w:hAnsi="Times New Roman" w:cs="Times New Roman"/>
          <w:szCs w:val="24"/>
        </w:rPr>
        <w:t xml:space="preserve"> </w:t>
      </w:r>
      <w:r w:rsidRPr="00D44D33">
        <w:rPr>
          <w:rFonts w:ascii="Times New Roman" w:hAnsi="Times New Roman" w:cs="Times New Roman"/>
          <w:szCs w:val="24"/>
        </w:rPr>
        <w:t>uzyskać</w:t>
      </w:r>
      <w:r w:rsidR="00970B2E" w:rsidRPr="00D44D33">
        <w:rPr>
          <w:rFonts w:ascii="Times New Roman" w:hAnsi="Times New Roman" w:cs="Times New Roman"/>
          <w:szCs w:val="24"/>
        </w:rPr>
        <w:t xml:space="preserve"> </w:t>
      </w:r>
      <w:r w:rsidRPr="00D44D33">
        <w:rPr>
          <w:rFonts w:ascii="Times New Roman" w:hAnsi="Times New Roman" w:cs="Times New Roman"/>
          <w:szCs w:val="24"/>
        </w:rPr>
        <w:t>minimalnego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udziału</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rynku</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ma</w:t>
      </w:r>
      <w:r w:rsidR="00970B2E" w:rsidRPr="00D44D33">
        <w:rPr>
          <w:rFonts w:ascii="Times New Roman" w:hAnsi="Times New Roman" w:cs="Times New Roman"/>
          <w:szCs w:val="24"/>
        </w:rPr>
        <w:t xml:space="preserve"> </w:t>
      </w:r>
      <w:r w:rsidRPr="00D44D33">
        <w:rPr>
          <w:rFonts w:ascii="Times New Roman" w:hAnsi="Times New Roman" w:cs="Times New Roman"/>
          <w:szCs w:val="24"/>
        </w:rPr>
        <w:t>bardzo</w:t>
      </w:r>
      <w:r w:rsidR="00970B2E" w:rsidRPr="00D44D33">
        <w:rPr>
          <w:rFonts w:ascii="Times New Roman" w:hAnsi="Times New Roman" w:cs="Times New Roman"/>
          <w:szCs w:val="24"/>
        </w:rPr>
        <w:t xml:space="preserve"> </w:t>
      </w:r>
      <w:r w:rsidRPr="00D44D33">
        <w:rPr>
          <w:rFonts w:ascii="Times New Roman" w:hAnsi="Times New Roman" w:cs="Times New Roman"/>
          <w:szCs w:val="24"/>
        </w:rPr>
        <w:t>ograniczony</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zasięg</w:t>
      </w:r>
      <w:r w:rsidR="00970B2E" w:rsidRPr="00D44D33">
        <w:rPr>
          <w:rFonts w:ascii="Times New Roman" w:hAnsi="Times New Roman" w:cs="Times New Roman"/>
          <w:szCs w:val="24"/>
        </w:rPr>
        <w:t xml:space="preserve"> </w:t>
      </w:r>
      <w:r w:rsidRPr="00D44D33">
        <w:rPr>
          <w:rFonts w:ascii="Times New Roman" w:hAnsi="Times New Roman" w:cs="Times New Roman"/>
          <w:szCs w:val="24"/>
        </w:rPr>
        <w:t>terytorialny.</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związku</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Pr="00D44D33">
        <w:rPr>
          <w:rFonts w:ascii="Times New Roman" w:hAnsi="Times New Roman" w:cs="Times New Roman"/>
          <w:szCs w:val="24"/>
        </w:rPr>
        <w:t>zostały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przewidziane</w:t>
      </w:r>
      <w:r w:rsidR="00970B2E" w:rsidRPr="00D44D33">
        <w:rPr>
          <w:rFonts w:ascii="Times New Roman" w:hAnsi="Times New Roman" w:cs="Times New Roman"/>
          <w:szCs w:val="24"/>
        </w:rPr>
        <w:t xml:space="preserve"> </w:t>
      </w:r>
      <w:r w:rsidRPr="00D44D33">
        <w:rPr>
          <w:rFonts w:ascii="Times New Roman" w:hAnsi="Times New Roman" w:cs="Times New Roman"/>
          <w:szCs w:val="24"/>
        </w:rPr>
        <w:t>uregulowania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uzależniające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Pr="00D44D33">
        <w:rPr>
          <w:rFonts w:ascii="Times New Roman" w:hAnsi="Times New Roman" w:cs="Times New Roman"/>
          <w:szCs w:val="24"/>
        </w:rPr>
        <w:t>uiszczania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tej</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wysokości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przychodów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Pr="00D44D33">
        <w:rPr>
          <w:rFonts w:ascii="Times New Roman" w:hAnsi="Times New Roman" w:cs="Times New Roman"/>
          <w:szCs w:val="24"/>
        </w:rPr>
        <w:t>obrotowym</w:t>
      </w:r>
      <w:r w:rsidR="00970B2E" w:rsidRPr="00D44D33">
        <w:rPr>
          <w:rFonts w:ascii="Times New Roman" w:hAnsi="Times New Roman" w:cs="Times New Roman"/>
          <w:szCs w:val="24"/>
        </w:rPr>
        <w:t xml:space="preserve"> </w:t>
      </w:r>
      <w:r w:rsidRPr="00D44D33">
        <w:rPr>
          <w:rFonts w:ascii="Times New Roman" w:hAnsi="Times New Roman" w:cs="Times New Roman"/>
          <w:szCs w:val="24"/>
        </w:rPr>
        <w:t>poprzedzającym</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dwa</w:t>
      </w:r>
      <w:r w:rsidR="00970B2E" w:rsidRPr="00D44D33">
        <w:rPr>
          <w:rFonts w:ascii="Times New Roman" w:hAnsi="Times New Roman" w:cs="Times New Roman"/>
          <w:szCs w:val="24"/>
        </w:rPr>
        <w:t xml:space="preserve"> </w:t>
      </w:r>
      <w:r w:rsidRPr="00D44D33">
        <w:rPr>
          <w:rFonts w:ascii="Times New Roman" w:hAnsi="Times New Roman" w:cs="Times New Roman"/>
          <w:szCs w:val="24"/>
        </w:rPr>
        <w:t>lata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opłata</w:t>
      </w:r>
      <w:r w:rsidR="00970B2E" w:rsidRPr="00D44D33">
        <w:rPr>
          <w:rFonts w:ascii="Times New Roman" w:hAnsi="Times New Roman" w:cs="Times New Roman"/>
          <w:szCs w:val="24"/>
        </w:rPr>
        <w:t xml:space="preserve"> </w:t>
      </w:r>
      <w:r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Pr="00D44D33">
        <w:rPr>
          <w:rFonts w:ascii="Times New Roman" w:hAnsi="Times New Roman" w:cs="Times New Roman"/>
          <w:szCs w:val="24"/>
        </w:rPr>
        <w:t>należna</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okresu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prowadzenia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objętej</w:t>
      </w:r>
      <w:r w:rsidR="00970B2E" w:rsidRPr="00D44D33">
        <w:rPr>
          <w:rFonts w:ascii="Times New Roman" w:hAnsi="Times New Roman" w:cs="Times New Roman"/>
          <w:szCs w:val="24"/>
        </w:rPr>
        <w:t xml:space="preserve"> </w:t>
      </w:r>
      <w:r w:rsidRPr="00D44D33">
        <w:rPr>
          <w:rFonts w:ascii="Times New Roman" w:hAnsi="Times New Roman" w:cs="Times New Roman"/>
          <w:szCs w:val="24"/>
        </w:rPr>
        <w:t>zgłoszeniem.</w:t>
      </w:r>
      <w:r w:rsidR="00970B2E" w:rsidRPr="00D44D33">
        <w:rPr>
          <w:rFonts w:ascii="Times New Roman" w:hAnsi="Times New Roman" w:cs="Times New Roman"/>
          <w:szCs w:val="24"/>
        </w:rPr>
        <w:t xml:space="preserve"> </w:t>
      </w:r>
      <w:r w:rsidR="003D110A"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obowiązku</w:t>
      </w:r>
      <w:r w:rsidR="00970B2E" w:rsidRPr="00D44D33">
        <w:rPr>
          <w:rFonts w:ascii="Times New Roman" w:hAnsi="Times New Roman" w:cs="Times New Roman"/>
          <w:szCs w:val="24"/>
        </w:rPr>
        <w:t xml:space="preserve"> </w:t>
      </w:r>
      <w:r w:rsidRPr="00D44D33">
        <w:rPr>
          <w:rFonts w:ascii="Times New Roman" w:hAnsi="Times New Roman" w:cs="Times New Roman"/>
          <w:szCs w:val="24"/>
        </w:rPr>
        <w:t>uiszczania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2DD4A472"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zwolnieni</w:t>
      </w:r>
      <w:r w:rsidR="00970B2E" w:rsidRPr="00D44D33">
        <w:rPr>
          <w:rFonts w:ascii="Times New Roman" w:hAnsi="Times New Roman" w:cs="Times New Roman"/>
          <w:szCs w:val="24"/>
        </w:rPr>
        <w:t xml:space="preserve"> </w:t>
      </w:r>
      <w:r w:rsidRPr="00D44D33">
        <w:rPr>
          <w:rFonts w:ascii="Times New Roman" w:hAnsi="Times New Roman" w:cs="Times New Roman"/>
          <w:szCs w:val="24"/>
        </w:rPr>
        <w:t>zostali</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przedsiębiorcy,</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pierwszych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dwóch</w:t>
      </w:r>
      <w:r w:rsidR="00970B2E" w:rsidRPr="00D44D33">
        <w:rPr>
          <w:rFonts w:ascii="Times New Roman" w:hAnsi="Times New Roman" w:cs="Times New Roman"/>
          <w:szCs w:val="24"/>
        </w:rPr>
        <w:t xml:space="preserve"> </w:t>
      </w:r>
      <w:r w:rsidRPr="00D44D33">
        <w:rPr>
          <w:rFonts w:ascii="Times New Roman" w:hAnsi="Times New Roman" w:cs="Times New Roman"/>
          <w:szCs w:val="24"/>
        </w:rPr>
        <w:t>latach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prowadzonej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5AEDCFD1"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7E411567" w:rsidRPr="00D44D33">
        <w:rPr>
          <w:rFonts w:ascii="Times New Roman" w:hAnsi="Times New Roman" w:cs="Times New Roman"/>
          <w:szCs w:val="24"/>
        </w:rPr>
        <w:t>przedsiębiorcy</w:t>
      </w:r>
      <w:r w:rsidR="5AEDCFD1"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5AEDCFD1"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przychody</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tytułu</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prowadzenia</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osiągnięte</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obrotowym</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poprzedzającym</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2</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lata</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rok,</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ta</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opłata</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631004AC" w:rsidRPr="00D44D33">
        <w:rPr>
          <w:rFonts w:ascii="Times New Roman" w:hAnsi="Times New Roman" w:cs="Times New Roman"/>
          <w:szCs w:val="24"/>
        </w:rPr>
        <w:t>należna,</w:t>
      </w:r>
      <w:r w:rsidR="00970B2E" w:rsidRPr="00D44D33">
        <w:rPr>
          <w:rFonts w:ascii="Times New Roman" w:hAnsi="Times New Roman" w:cs="Times New Roman"/>
          <w:szCs w:val="24"/>
        </w:rPr>
        <w:t xml:space="preserve"> </w:t>
      </w:r>
      <w:r w:rsidR="5EBCB978" w:rsidRPr="00D44D33">
        <w:rPr>
          <w:rFonts w:ascii="Times New Roman" w:hAnsi="Times New Roman" w:cs="Times New Roman"/>
          <w:szCs w:val="24"/>
        </w:rPr>
        <w:t>wyn</w:t>
      </w:r>
      <w:r w:rsidR="4AC68B78" w:rsidRPr="00D44D33">
        <w:rPr>
          <w:rFonts w:ascii="Times New Roman" w:hAnsi="Times New Roman" w:cs="Times New Roman"/>
          <w:szCs w:val="24"/>
        </w:rPr>
        <w:t>iosły</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mniej</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niż</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obliczana</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sposób</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wskazany</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075563" w:rsidRPr="00D44D33">
        <w:rPr>
          <w:rFonts w:ascii="Times New Roman" w:hAnsi="Times New Roman" w:cs="Times New Roman"/>
          <w:szCs w:val="24"/>
        </w:rPr>
        <w:t>ustawie.</w:t>
      </w:r>
      <w:r w:rsidR="00970B2E" w:rsidRPr="00D44D33">
        <w:rPr>
          <w:rFonts w:ascii="Times New Roman" w:hAnsi="Times New Roman" w:cs="Times New Roman"/>
          <w:szCs w:val="24"/>
        </w:rPr>
        <w:t xml:space="preserve"> </w:t>
      </w:r>
    </w:p>
    <w:p w14:paraId="0C144184" w14:textId="6E86BE89" w:rsidR="00075563" w:rsidRPr="00D44D33" w:rsidRDefault="00075563" w:rsidP="00D44D33">
      <w:pPr>
        <w:pStyle w:val="ARTartustawynprozporzdzenia"/>
        <w:keepNext/>
        <w:spacing w:after="120"/>
        <w:ind w:firstLine="0"/>
        <w:rPr>
          <w:rFonts w:ascii="Times New Roman" w:hAnsi="Times New Roman" w:cs="Times New Roman"/>
          <w:szCs w:val="24"/>
        </w:rPr>
      </w:pPr>
      <w:r w:rsidRPr="00D44D33">
        <w:rPr>
          <w:rFonts w:ascii="Times New Roman" w:hAnsi="Times New Roman" w:cs="Times New Roman"/>
          <w:szCs w:val="24"/>
        </w:rPr>
        <w:t>Projektodawca</w:t>
      </w:r>
      <w:r w:rsidR="00970B2E" w:rsidRPr="00D44D33">
        <w:rPr>
          <w:rFonts w:ascii="Times New Roman" w:hAnsi="Times New Roman" w:cs="Times New Roman"/>
          <w:szCs w:val="24"/>
        </w:rPr>
        <w:t xml:space="preserve"> </w:t>
      </w:r>
      <w:r w:rsidRPr="00D44D33">
        <w:rPr>
          <w:rFonts w:ascii="Times New Roman" w:hAnsi="Times New Roman" w:cs="Times New Roman"/>
          <w:szCs w:val="24"/>
        </w:rPr>
        <w:t>wprowadził</w:t>
      </w:r>
      <w:r w:rsidR="00970B2E" w:rsidRPr="00D44D33">
        <w:rPr>
          <w:rFonts w:ascii="Times New Roman" w:hAnsi="Times New Roman" w:cs="Times New Roman"/>
          <w:szCs w:val="24"/>
        </w:rPr>
        <w:t xml:space="preserve"> </w:t>
      </w:r>
      <w:r w:rsidRPr="00D44D33">
        <w:rPr>
          <w:rFonts w:ascii="Times New Roman" w:hAnsi="Times New Roman" w:cs="Times New Roman"/>
          <w:szCs w:val="24"/>
        </w:rPr>
        <w:t>nowy</w:t>
      </w:r>
      <w:r w:rsidR="00970B2E" w:rsidRPr="00D44D33">
        <w:rPr>
          <w:rFonts w:ascii="Times New Roman" w:hAnsi="Times New Roman" w:cs="Times New Roman"/>
          <w:szCs w:val="24"/>
        </w:rPr>
        <w:t xml:space="preserve"> </w:t>
      </w:r>
      <w:r w:rsidRPr="00D44D33">
        <w:rPr>
          <w:rFonts w:ascii="Times New Roman" w:hAnsi="Times New Roman" w:cs="Times New Roman"/>
          <w:szCs w:val="24"/>
        </w:rPr>
        <w:t>sposób</w:t>
      </w:r>
      <w:r w:rsidR="00970B2E" w:rsidRPr="00D44D33">
        <w:rPr>
          <w:rFonts w:ascii="Times New Roman" w:hAnsi="Times New Roman" w:cs="Times New Roman"/>
          <w:szCs w:val="24"/>
        </w:rPr>
        <w:t xml:space="preserve"> </w:t>
      </w:r>
      <w:r w:rsidRPr="00D44D33">
        <w:rPr>
          <w:rFonts w:ascii="Times New Roman" w:hAnsi="Times New Roman" w:cs="Times New Roman"/>
          <w:szCs w:val="24"/>
        </w:rPr>
        <w:t>liczenia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przychodów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tytułu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prowadzenia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Pr="00D44D33">
        <w:rPr>
          <w:rFonts w:ascii="Times New Roman" w:hAnsi="Times New Roman" w:cs="Times New Roman"/>
          <w:szCs w:val="24"/>
        </w:rPr>
        <w:t>wyznacznikiem</w:t>
      </w:r>
      <w:r w:rsidR="00970B2E" w:rsidRPr="00D44D33">
        <w:rPr>
          <w:rFonts w:ascii="Times New Roman" w:hAnsi="Times New Roman" w:cs="Times New Roman"/>
          <w:szCs w:val="24"/>
        </w:rPr>
        <w:t xml:space="preserve"> </w:t>
      </w:r>
      <w:r w:rsidRPr="00D44D33">
        <w:rPr>
          <w:rFonts w:ascii="Times New Roman" w:hAnsi="Times New Roman" w:cs="Times New Roman"/>
          <w:szCs w:val="24"/>
        </w:rPr>
        <w:t>tego,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Pr="00D44D33">
        <w:rPr>
          <w:rFonts w:ascii="Times New Roman" w:hAnsi="Times New Roman" w:cs="Times New Roman"/>
          <w:szCs w:val="24"/>
        </w:rPr>
        <w:t>dany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przedsiębiorca</w:t>
      </w:r>
      <w:r w:rsidR="00970B2E" w:rsidRPr="00D44D33">
        <w:rPr>
          <w:rFonts w:ascii="Times New Roman" w:hAnsi="Times New Roman" w:cs="Times New Roman"/>
          <w:szCs w:val="24"/>
        </w:rPr>
        <w:t xml:space="preserve"> </w:t>
      </w:r>
      <w:r w:rsidRPr="00D44D33">
        <w:rPr>
          <w:rFonts w:ascii="Times New Roman" w:hAnsi="Times New Roman" w:cs="Times New Roman"/>
          <w:szCs w:val="24"/>
        </w:rPr>
        <w:lastRenderedPageBreak/>
        <w:t>telekomunikacyjny</w:t>
      </w:r>
      <w:r w:rsidR="00970B2E" w:rsidRPr="00D44D33">
        <w:rPr>
          <w:rFonts w:ascii="Times New Roman" w:hAnsi="Times New Roman" w:cs="Times New Roman"/>
          <w:szCs w:val="24"/>
        </w:rPr>
        <w:t xml:space="preserve"> </w:t>
      </w:r>
      <w:r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Pr="00D44D33">
        <w:rPr>
          <w:rFonts w:ascii="Times New Roman" w:hAnsi="Times New Roman" w:cs="Times New Roman"/>
          <w:szCs w:val="24"/>
        </w:rPr>
        <w:t>zobligowany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uiszczania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jednocześnie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zwiększając</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tego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stosunku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tej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wynikającej</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Pt.</w:t>
      </w:r>
    </w:p>
    <w:p w14:paraId="0799884A" w14:textId="3EC6CD4F" w:rsidR="00075563" w:rsidRPr="00D44D33" w:rsidRDefault="00075563" w:rsidP="00D44D33">
      <w:pPr>
        <w:pStyle w:val="ARTartustawynprozporzdzenia"/>
        <w:keepNext/>
        <w:spacing w:after="120"/>
        <w:ind w:firstLine="0"/>
        <w:rPr>
          <w:rFonts w:ascii="Times New Roman" w:hAnsi="Times New Roman" w:cs="Times New Roman"/>
          <w:szCs w:val="24"/>
        </w:rPr>
      </w:pPr>
      <w:r w:rsidRPr="00D44D33">
        <w:rPr>
          <w:rFonts w:ascii="Times New Roman" w:hAnsi="Times New Roman" w:cs="Times New Roman"/>
          <w:szCs w:val="24"/>
        </w:rPr>
        <w:t>Zamiast</w:t>
      </w:r>
      <w:r w:rsidR="00970B2E" w:rsidRPr="00D44D33">
        <w:rPr>
          <w:rFonts w:ascii="Times New Roman" w:hAnsi="Times New Roman" w:cs="Times New Roman"/>
          <w:szCs w:val="24"/>
        </w:rPr>
        <w:t xml:space="preserve"> </w:t>
      </w:r>
      <w:r w:rsidRPr="00D44D33">
        <w:rPr>
          <w:rFonts w:ascii="Times New Roman" w:hAnsi="Times New Roman" w:cs="Times New Roman"/>
          <w:szCs w:val="24"/>
        </w:rPr>
        <w:t>stałej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wysokości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zapisanego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co</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obliczał</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informował</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stronie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podmiotowej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BIP</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wysokości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zależny</w:t>
      </w:r>
      <w:r w:rsidR="00970B2E" w:rsidRPr="00D44D33">
        <w:rPr>
          <w:rFonts w:ascii="Times New Roman" w:hAnsi="Times New Roman" w:cs="Times New Roman"/>
          <w:szCs w:val="24"/>
        </w:rPr>
        <w:t xml:space="preserve"> </w:t>
      </w:r>
      <w:r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przeciętnego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wynagrodzenia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gospodarce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narodowej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poprzednim</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Pr="00D44D33">
        <w:rPr>
          <w:rFonts w:ascii="Times New Roman" w:hAnsi="Times New Roman" w:cs="Times New Roman"/>
          <w:szCs w:val="24"/>
        </w:rPr>
        <w:t>kalendarzowym,</w:t>
      </w:r>
      <w:r w:rsidR="00970B2E" w:rsidRPr="00D44D33">
        <w:rPr>
          <w:rFonts w:ascii="Times New Roman" w:hAnsi="Times New Roman" w:cs="Times New Roman"/>
          <w:szCs w:val="24"/>
        </w:rPr>
        <w:t xml:space="preserve"> </w:t>
      </w:r>
      <w:r w:rsidRPr="00D44D33">
        <w:rPr>
          <w:rFonts w:ascii="Times New Roman" w:hAnsi="Times New Roman" w:cs="Times New Roman"/>
          <w:szCs w:val="24"/>
        </w:rPr>
        <w:t>ogłaszanego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Pr="00D44D33">
        <w:rPr>
          <w:rFonts w:ascii="Times New Roman" w:hAnsi="Times New Roman" w:cs="Times New Roman"/>
          <w:szCs w:val="24"/>
        </w:rPr>
        <w:t>Głównego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Urzędu</w:t>
      </w:r>
      <w:r w:rsidR="00970B2E" w:rsidRPr="00D44D33">
        <w:rPr>
          <w:rFonts w:ascii="Times New Roman" w:hAnsi="Times New Roman" w:cs="Times New Roman"/>
          <w:szCs w:val="24"/>
        </w:rPr>
        <w:t xml:space="preserve"> </w:t>
      </w:r>
      <w:r w:rsidRPr="00D44D33">
        <w:rPr>
          <w:rFonts w:ascii="Times New Roman" w:hAnsi="Times New Roman" w:cs="Times New Roman"/>
          <w:szCs w:val="24"/>
        </w:rPr>
        <w:t>Statystycznego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podstawie</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20</w:t>
      </w:r>
      <w:r w:rsidR="00970B2E" w:rsidRPr="00D44D33">
        <w:rPr>
          <w:rFonts w:ascii="Times New Roman" w:hAnsi="Times New Roman" w:cs="Times New Roman"/>
          <w:szCs w:val="24"/>
        </w:rPr>
        <w:t xml:space="preserve"> </w:t>
      </w:r>
      <w:r w:rsidRPr="00D44D33">
        <w:rPr>
          <w:rFonts w:ascii="Times New Roman" w:hAnsi="Times New Roman" w:cs="Times New Roman"/>
          <w:szCs w:val="24"/>
        </w:rPr>
        <w:t>pkt</w:t>
      </w:r>
      <w:r w:rsidR="00970B2E" w:rsidRPr="00D44D33">
        <w:rPr>
          <w:rFonts w:ascii="Times New Roman" w:hAnsi="Times New Roman" w:cs="Times New Roman"/>
          <w:szCs w:val="24"/>
        </w:rPr>
        <w:t xml:space="preserve"> </w:t>
      </w:r>
      <w:r w:rsidRPr="00D44D33">
        <w:rPr>
          <w:rFonts w:ascii="Times New Roman" w:hAnsi="Times New Roman" w:cs="Times New Roman"/>
          <w:szCs w:val="24"/>
        </w:rPr>
        <w:t>1</w:t>
      </w:r>
      <w:r w:rsidR="00970B2E" w:rsidRPr="00D44D33">
        <w:rPr>
          <w:rFonts w:ascii="Times New Roman" w:hAnsi="Times New Roman" w:cs="Times New Roman"/>
          <w:szCs w:val="24"/>
        </w:rPr>
        <w:t xml:space="preserve"> </w:t>
      </w:r>
      <w:r w:rsidRPr="00D44D33">
        <w:rPr>
          <w:rFonts w:ascii="Times New Roman" w:hAnsi="Times New Roman" w:cs="Times New Roman"/>
          <w:szCs w:val="24"/>
        </w:rPr>
        <w:t>lit.</w:t>
      </w:r>
      <w:r w:rsidR="00970B2E" w:rsidRPr="00D44D33">
        <w:rPr>
          <w:rFonts w:ascii="Times New Roman" w:hAnsi="Times New Roman" w:cs="Times New Roman"/>
          <w:szCs w:val="24"/>
        </w:rPr>
        <w:t xml:space="preserve"> </w:t>
      </w:r>
      <w:r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dnia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17</w:t>
      </w:r>
      <w:r w:rsidR="00970B2E" w:rsidRPr="00D44D33">
        <w:rPr>
          <w:rFonts w:ascii="Times New Roman" w:hAnsi="Times New Roman" w:cs="Times New Roman"/>
          <w:szCs w:val="24"/>
        </w:rPr>
        <w:t xml:space="preserve"> </w:t>
      </w:r>
      <w:r w:rsidRPr="00D44D33">
        <w:rPr>
          <w:rFonts w:ascii="Times New Roman" w:hAnsi="Times New Roman" w:cs="Times New Roman"/>
          <w:szCs w:val="24"/>
        </w:rPr>
        <w:t>grudnia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1998</w:t>
      </w:r>
      <w:r w:rsidR="00970B2E" w:rsidRPr="00D44D33">
        <w:rPr>
          <w:rFonts w:ascii="Times New Roman" w:hAnsi="Times New Roman" w:cs="Times New Roman"/>
          <w:szCs w:val="24"/>
        </w:rPr>
        <w:t xml:space="preserve"> </w:t>
      </w:r>
      <w:r w:rsidRPr="00D44D33">
        <w:rPr>
          <w:rFonts w:ascii="Times New Roman" w:hAnsi="Times New Roman" w:cs="Times New Roman"/>
          <w:szCs w:val="24"/>
        </w:rPr>
        <w:t>r.</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emeryturach</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rentach</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Funduszu</w:t>
      </w:r>
      <w:r w:rsidR="00970B2E" w:rsidRPr="00D44D33">
        <w:rPr>
          <w:rFonts w:ascii="Times New Roman" w:hAnsi="Times New Roman" w:cs="Times New Roman"/>
          <w:szCs w:val="24"/>
        </w:rPr>
        <w:t xml:space="preserve"> </w:t>
      </w:r>
      <w:r w:rsidRPr="00D44D33">
        <w:rPr>
          <w:rFonts w:ascii="Times New Roman" w:hAnsi="Times New Roman" w:cs="Times New Roman"/>
          <w:szCs w:val="24"/>
        </w:rPr>
        <w:t>Ubezpieczeń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Społecznych</w:t>
      </w:r>
      <w:r w:rsidR="0036212F" w:rsidRPr="00D44D33">
        <w:rPr>
          <w:rFonts w:ascii="Times New Roman" w:hAnsi="Times New Roman" w:cs="Times New Roman"/>
          <w:szCs w:val="24"/>
        </w:rPr>
        <w:t xml:space="preserve"> (Dz. U. z 2022 r. poz. 504</w:t>
      </w:r>
      <w:r w:rsidR="00BC6A1D" w:rsidRPr="00D44D33">
        <w:rPr>
          <w:rFonts w:ascii="Times New Roman" w:hAnsi="Times New Roman" w:cs="Times New Roman"/>
          <w:szCs w:val="24"/>
        </w:rPr>
        <w:t xml:space="preserve"> i 1504</w:t>
      </w:r>
      <w:r w:rsidR="0036212F" w:rsidRPr="00D44D33">
        <w:rPr>
          <w:rFonts w:ascii="Times New Roman" w:hAnsi="Times New Roman" w:cs="Times New Roman"/>
          <w:szCs w:val="24"/>
        </w:rPr>
        <w:t>)</w:t>
      </w:r>
      <w:r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Biorąc</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w:t>
      </w:r>
      <w:r w:rsidR="00970B2E" w:rsidRPr="00D44D33">
        <w:rPr>
          <w:rFonts w:ascii="Times New Roman" w:hAnsi="Times New Roman" w:cs="Times New Roman"/>
          <w:szCs w:val="24"/>
        </w:rPr>
        <w:t xml:space="preserve"> </w:t>
      </w:r>
      <w:r w:rsidRPr="00D44D33">
        <w:rPr>
          <w:rFonts w:ascii="Times New Roman" w:hAnsi="Times New Roman" w:cs="Times New Roman"/>
          <w:szCs w:val="24"/>
        </w:rPr>
        <w:t>uwagę,</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przeciętne</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wynagrodzenie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gospodarce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narodowej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2020</w:t>
      </w:r>
      <w:r w:rsidR="00970B2E" w:rsidRPr="00D44D33">
        <w:rPr>
          <w:rFonts w:ascii="Times New Roman" w:hAnsi="Times New Roman" w:cs="Times New Roman"/>
          <w:szCs w:val="24"/>
        </w:rPr>
        <w:t xml:space="preserve"> </w:t>
      </w:r>
      <w:r w:rsidRPr="00D44D33">
        <w:rPr>
          <w:rFonts w:ascii="Times New Roman" w:hAnsi="Times New Roman" w:cs="Times New Roman"/>
          <w:szCs w:val="24"/>
        </w:rPr>
        <w:t>r.</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wyniosło</w:t>
      </w:r>
      <w:r w:rsidR="00970B2E" w:rsidRPr="00D44D33">
        <w:rPr>
          <w:rFonts w:ascii="Times New Roman" w:hAnsi="Times New Roman" w:cs="Times New Roman"/>
          <w:szCs w:val="24"/>
        </w:rPr>
        <w:t xml:space="preserve"> </w:t>
      </w:r>
      <w:r w:rsidRPr="00D44D33">
        <w:rPr>
          <w:rFonts w:ascii="Times New Roman" w:hAnsi="Times New Roman" w:cs="Times New Roman"/>
          <w:szCs w:val="24"/>
        </w:rPr>
        <w:t>5</w:t>
      </w:r>
      <w:r w:rsidR="00970B2E" w:rsidRPr="00D44D33">
        <w:rPr>
          <w:rFonts w:ascii="Times New Roman" w:hAnsi="Times New Roman" w:cs="Times New Roman"/>
          <w:szCs w:val="24"/>
        </w:rPr>
        <w:t xml:space="preserve"> </w:t>
      </w:r>
      <w:r w:rsidRPr="00D44D33">
        <w:rPr>
          <w:rFonts w:ascii="Times New Roman" w:hAnsi="Times New Roman" w:cs="Times New Roman"/>
          <w:szCs w:val="24"/>
        </w:rPr>
        <w:t>167,47</w:t>
      </w:r>
      <w:r w:rsidR="00970B2E" w:rsidRPr="00D44D33">
        <w:rPr>
          <w:rFonts w:ascii="Times New Roman" w:hAnsi="Times New Roman" w:cs="Times New Roman"/>
          <w:szCs w:val="24"/>
        </w:rPr>
        <w:t xml:space="preserve"> </w:t>
      </w:r>
      <w:r w:rsidRPr="00D44D33">
        <w:rPr>
          <w:rFonts w:ascii="Times New Roman" w:hAnsi="Times New Roman" w:cs="Times New Roman"/>
          <w:szCs w:val="24"/>
        </w:rPr>
        <w:t>zł,</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przychodów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w:t>
      </w:r>
      <w:r w:rsidR="00970B2E" w:rsidRPr="00D44D33">
        <w:rPr>
          <w:rFonts w:ascii="Times New Roman" w:hAnsi="Times New Roman" w:cs="Times New Roman"/>
          <w:szCs w:val="24"/>
        </w:rPr>
        <w:t xml:space="preserve"> </w:t>
      </w:r>
      <w:r w:rsidRPr="00D44D33">
        <w:rPr>
          <w:rFonts w:ascii="Times New Roman" w:hAnsi="Times New Roman" w:cs="Times New Roman"/>
          <w:szCs w:val="24"/>
        </w:rPr>
        <w:t>2020</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wyniosłaby</w:t>
      </w:r>
      <w:r w:rsidR="00970B2E" w:rsidRPr="00D44D33">
        <w:rPr>
          <w:rFonts w:ascii="Times New Roman" w:hAnsi="Times New Roman" w:cs="Times New Roman"/>
          <w:szCs w:val="24"/>
        </w:rPr>
        <w:t xml:space="preserve"> </w:t>
      </w:r>
      <w:r w:rsidR="00B65959" w:rsidRPr="00D44D33">
        <w:rPr>
          <w:rFonts w:ascii="Times New Roman" w:hAnsi="Times New Roman" w:cs="Times New Roman"/>
          <w:szCs w:val="24"/>
        </w:rPr>
        <w:t>41</w:t>
      </w:r>
      <w:r w:rsidR="00970B2E" w:rsidRPr="00D44D33">
        <w:rPr>
          <w:rFonts w:ascii="Times New Roman" w:hAnsi="Times New Roman" w:cs="Times New Roman"/>
          <w:szCs w:val="24"/>
        </w:rPr>
        <w:t xml:space="preserve"> </w:t>
      </w:r>
      <w:r w:rsidR="00B65959" w:rsidRPr="00D44D33">
        <w:rPr>
          <w:rFonts w:ascii="Times New Roman" w:hAnsi="Times New Roman" w:cs="Times New Roman"/>
          <w:szCs w:val="24"/>
        </w:rPr>
        <w:t>339</w:t>
      </w:r>
      <w:r w:rsidR="00970B2E" w:rsidRPr="00D44D33">
        <w:rPr>
          <w:rFonts w:ascii="Times New Roman" w:hAnsi="Times New Roman" w:cs="Times New Roman"/>
          <w:szCs w:val="24"/>
        </w:rPr>
        <w:t xml:space="preserve"> </w:t>
      </w:r>
      <w:r w:rsidR="00B65959" w:rsidRPr="00D44D33">
        <w:rPr>
          <w:rFonts w:ascii="Times New Roman" w:hAnsi="Times New Roman" w:cs="Times New Roman"/>
          <w:szCs w:val="24"/>
        </w:rPr>
        <w:t>760</w:t>
      </w:r>
      <w:r w:rsidR="00970B2E" w:rsidRPr="00D44D33">
        <w:rPr>
          <w:rFonts w:ascii="Times New Roman" w:hAnsi="Times New Roman" w:cs="Times New Roman"/>
          <w:szCs w:val="24"/>
        </w:rPr>
        <w:t xml:space="preserve"> </w:t>
      </w:r>
      <w:r w:rsidRPr="00D44D33">
        <w:rPr>
          <w:rFonts w:ascii="Times New Roman" w:hAnsi="Times New Roman" w:cs="Times New Roman"/>
          <w:szCs w:val="24"/>
        </w:rPr>
        <w:t>zł,</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czyli</w:t>
      </w:r>
      <w:r w:rsidR="00970B2E" w:rsidRPr="00D44D33">
        <w:rPr>
          <w:rFonts w:ascii="Times New Roman" w:hAnsi="Times New Roman" w:cs="Times New Roman"/>
          <w:szCs w:val="24"/>
        </w:rPr>
        <w:t xml:space="preserve"> </w:t>
      </w:r>
      <w:r w:rsidRPr="00D44D33">
        <w:rPr>
          <w:rFonts w:ascii="Times New Roman" w:hAnsi="Times New Roman" w:cs="Times New Roman"/>
          <w:szCs w:val="24"/>
        </w:rPr>
        <w:t>tylko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przedsiębiorcy</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przychód</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Pr="00D44D33">
        <w:rPr>
          <w:rFonts w:ascii="Times New Roman" w:hAnsi="Times New Roman" w:cs="Times New Roman"/>
          <w:szCs w:val="24"/>
        </w:rPr>
        <w:t>2020</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przekroczyłby</w:t>
      </w:r>
      <w:r w:rsidR="00970B2E" w:rsidRPr="00D44D33">
        <w:rPr>
          <w:rFonts w:ascii="Times New Roman" w:hAnsi="Times New Roman" w:cs="Times New Roman"/>
          <w:szCs w:val="24"/>
        </w:rPr>
        <w:t xml:space="preserve"> </w:t>
      </w:r>
      <w:r w:rsidR="00B65959" w:rsidRPr="00D44D33">
        <w:rPr>
          <w:rFonts w:ascii="Times New Roman" w:hAnsi="Times New Roman" w:cs="Times New Roman"/>
          <w:szCs w:val="24"/>
        </w:rPr>
        <w:t>41</w:t>
      </w:r>
      <w:r w:rsidR="00970B2E" w:rsidRPr="00D44D33">
        <w:rPr>
          <w:rFonts w:ascii="Times New Roman" w:hAnsi="Times New Roman" w:cs="Times New Roman"/>
          <w:szCs w:val="24"/>
        </w:rPr>
        <w:t xml:space="preserve"> </w:t>
      </w:r>
      <w:r w:rsidR="00B65959" w:rsidRPr="00D44D33">
        <w:rPr>
          <w:rFonts w:ascii="Times New Roman" w:hAnsi="Times New Roman" w:cs="Times New Roman"/>
          <w:szCs w:val="24"/>
        </w:rPr>
        <w:t>339</w:t>
      </w:r>
      <w:r w:rsidR="00970B2E" w:rsidRPr="00D44D33">
        <w:rPr>
          <w:rFonts w:ascii="Times New Roman" w:hAnsi="Times New Roman" w:cs="Times New Roman"/>
          <w:szCs w:val="24"/>
        </w:rPr>
        <w:t xml:space="preserve"> </w:t>
      </w:r>
      <w:r w:rsidR="00B65959" w:rsidRPr="00D44D33">
        <w:rPr>
          <w:rFonts w:ascii="Times New Roman" w:hAnsi="Times New Roman" w:cs="Times New Roman"/>
          <w:szCs w:val="24"/>
        </w:rPr>
        <w:t>760</w:t>
      </w:r>
      <w:r w:rsidR="00970B2E" w:rsidRPr="00D44D33">
        <w:rPr>
          <w:rFonts w:ascii="Times New Roman" w:hAnsi="Times New Roman" w:cs="Times New Roman"/>
          <w:szCs w:val="24"/>
        </w:rPr>
        <w:t xml:space="preserve"> </w:t>
      </w:r>
      <w:r w:rsidRPr="00D44D33">
        <w:rPr>
          <w:rFonts w:ascii="Times New Roman" w:hAnsi="Times New Roman" w:cs="Times New Roman"/>
          <w:szCs w:val="24"/>
        </w:rPr>
        <w:t>zł</w:t>
      </w:r>
      <w:r w:rsidR="00970B2E" w:rsidRPr="00D44D33">
        <w:rPr>
          <w:rFonts w:ascii="Times New Roman" w:hAnsi="Times New Roman" w:cs="Times New Roman"/>
          <w:szCs w:val="24"/>
        </w:rPr>
        <w:t xml:space="preserve"> </w:t>
      </w:r>
      <w:r w:rsidRPr="00D44D33">
        <w:rPr>
          <w:rFonts w:ascii="Times New Roman" w:hAnsi="Times New Roman" w:cs="Times New Roman"/>
          <w:szCs w:val="24"/>
        </w:rPr>
        <w:t>byliby</w:t>
      </w:r>
      <w:r w:rsidR="00970B2E" w:rsidRPr="00D44D33">
        <w:rPr>
          <w:rFonts w:ascii="Times New Roman" w:hAnsi="Times New Roman" w:cs="Times New Roman"/>
          <w:szCs w:val="24"/>
        </w:rPr>
        <w:t xml:space="preserve"> </w:t>
      </w:r>
      <w:r w:rsidRPr="00D44D33">
        <w:rPr>
          <w:rFonts w:ascii="Times New Roman" w:hAnsi="Times New Roman" w:cs="Times New Roman"/>
          <w:szCs w:val="24"/>
        </w:rPr>
        <w:t>zobowiązani</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udziału</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pokryciu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w:t>
      </w:r>
      <w:r w:rsidR="00970B2E" w:rsidRPr="00D44D33">
        <w:rPr>
          <w:rFonts w:ascii="Times New Roman" w:hAnsi="Times New Roman" w:cs="Times New Roman"/>
          <w:szCs w:val="24"/>
        </w:rPr>
        <w:t xml:space="preserve"> </w:t>
      </w:r>
      <w:r w:rsidRPr="00D44D33">
        <w:rPr>
          <w:rFonts w:ascii="Times New Roman" w:hAnsi="Times New Roman" w:cs="Times New Roman"/>
          <w:szCs w:val="24"/>
        </w:rPr>
        <w:t>2020.</w:t>
      </w:r>
      <w:r w:rsidR="00970B2E" w:rsidRPr="00D44D33">
        <w:rPr>
          <w:rFonts w:ascii="Times New Roman" w:hAnsi="Times New Roman" w:cs="Times New Roman"/>
          <w:szCs w:val="24"/>
        </w:rPr>
        <w:t xml:space="preserve"> </w:t>
      </w:r>
    </w:p>
    <w:p w14:paraId="5B19DE0D" w14:textId="20402EAD" w:rsidR="1020F925" w:rsidRPr="00D44D33" w:rsidRDefault="717B4C6B" w:rsidP="00D44D33">
      <w:pPr>
        <w:pStyle w:val="ARTartustawynprozporzdzenia"/>
        <w:keepNext/>
        <w:spacing w:after="120"/>
        <w:ind w:firstLine="0"/>
        <w:rPr>
          <w:rFonts w:ascii="Times New Roman" w:eastAsia="Calibri" w:hAnsi="Times New Roman" w:cs="Times New Roman"/>
          <w:szCs w:val="24"/>
        </w:rPr>
      </w:pPr>
      <w:r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może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ulec</w:t>
      </w:r>
      <w:r w:rsidR="00970B2E" w:rsidRPr="00D44D33">
        <w:rPr>
          <w:rFonts w:ascii="Times New Roman" w:hAnsi="Times New Roman" w:cs="Times New Roman"/>
          <w:szCs w:val="24"/>
        </w:rPr>
        <w:t xml:space="preserve"> </w:t>
      </w:r>
      <w:r w:rsidRPr="00D44D33">
        <w:rPr>
          <w:rFonts w:ascii="Times New Roman" w:hAnsi="Times New Roman" w:cs="Times New Roman"/>
          <w:szCs w:val="24"/>
        </w:rPr>
        <w:t>obniżeniu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związku</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zawarciem</w:t>
      </w:r>
      <w:r w:rsidR="00970B2E" w:rsidRPr="00D44D33">
        <w:rPr>
          <w:rFonts w:ascii="Times New Roman" w:hAnsi="Times New Roman" w:cs="Times New Roman"/>
          <w:szCs w:val="24"/>
        </w:rPr>
        <w:t xml:space="preserve"> </w:t>
      </w:r>
      <w:r w:rsidRPr="00D44D33">
        <w:rPr>
          <w:rFonts w:ascii="Times New Roman" w:hAnsi="Times New Roman" w:cs="Times New Roman"/>
          <w:szCs w:val="24"/>
        </w:rPr>
        <w:t>umowy</w:t>
      </w:r>
      <w:r w:rsidR="00970B2E" w:rsidRPr="00D44D33">
        <w:rPr>
          <w:rFonts w:ascii="Times New Roman" w:hAnsi="Times New Roman" w:cs="Times New Roman"/>
          <w:szCs w:val="24"/>
        </w:rPr>
        <w:t xml:space="preserve"> </w:t>
      </w:r>
      <w:r w:rsidRPr="00D44D33">
        <w:rPr>
          <w:rFonts w:ascii="Times New Roman" w:hAnsi="Times New Roman" w:cs="Times New Roman"/>
          <w:szCs w:val="24"/>
        </w:rPr>
        <w:t>inwestycyjnej</w:t>
      </w:r>
      <w:r w:rsidR="1020F925"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E44CDF" w:rsidRPr="00D44D33">
        <w:rPr>
          <w:rFonts w:ascii="Times New Roman" w:hAnsi="Times New Roman" w:cs="Times New Roman"/>
          <w:szCs w:val="24"/>
        </w:rPr>
        <w:t xml:space="preserve">o której mowa w art. 252 ust. 1 Pka, </w:t>
      </w:r>
      <w:r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Pr="00D44D33">
        <w:rPr>
          <w:rFonts w:ascii="Times New Roman" w:hAnsi="Times New Roman" w:cs="Times New Roman"/>
          <w:szCs w:val="24"/>
        </w:rPr>
        <w:t>je</w:t>
      </w:r>
      <w:r w:rsidR="42B6E031" w:rsidRPr="00D44D33">
        <w:rPr>
          <w:rFonts w:ascii="Times New Roman" w:hAnsi="Times New Roman" w:cs="Times New Roman"/>
          <w:szCs w:val="24"/>
        </w:rPr>
        <w:t>j</w:t>
      </w:r>
      <w:r w:rsidR="00970B2E" w:rsidRPr="00D44D33">
        <w:rPr>
          <w:rFonts w:ascii="Times New Roman" w:hAnsi="Times New Roman" w:cs="Times New Roman"/>
          <w:szCs w:val="24"/>
        </w:rPr>
        <w:t xml:space="preserve"> </w:t>
      </w:r>
      <w:r w:rsidR="42B6E031" w:rsidRPr="00D44D33">
        <w:rPr>
          <w:rFonts w:ascii="Times New Roman" w:hAnsi="Times New Roman" w:cs="Times New Roman"/>
          <w:szCs w:val="24"/>
        </w:rPr>
        <w:t>wysokość</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może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przekroczyć</w:t>
      </w:r>
      <w:r w:rsidR="00970B2E" w:rsidRPr="00D44D33">
        <w:rPr>
          <w:rFonts w:ascii="Times New Roman" w:hAnsi="Times New Roman" w:cs="Times New Roman"/>
          <w:szCs w:val="24"/>
        </w:rPr>
        <w:t xml:space="preserve"> </w:t>
      </w:r>
      <w:r w:rsidRPr="00D44D33">
        <w:rPr>
          <w:rFonts w:ascii="Times New Roman" w:hAnsi="Times New Roman" w:cs="Times New Roman"/>
          <w:szCs w:val="24"/>
        </w:rPr>
        <w:t>0,</w:t>
      </w:r>
      <w:r w:rsidR="44486931" w:rsidRPr="00D44D33">
        <w:rPr>
          <w:rFonts w:ascii="Times New Roman" w:hAnsi="Times New Roman" w:cs="Times New Roman"/>
          <w:szCs w:val="24"/>
        </w:rPr>
        <w:t>2</w:t>
      </w:r>
      <w:r w:rsidR="019EA608" w:rsidRPr="00D44D33">
        <w:rPr>
          <w:rFonts w:ascii="Times New Roman" w:hAnsi="Times New Roman" w:cs="Times New Roman"/>
          <w:szCs w:val="24"/>
        </w:rPr>
        <w:t>5</w:t>
      </w:r>
      <w:r w:rsidR="00970B2E" w:rsidRPr="00D44D33">
        <w:rPr>
          <w:rFonts w:ascii="Times New Roman" w:hAnsi="Times New Roman" w:cs="Times New Roman"/>
          <w:szCs w:val="24"/>
        </w:rPr>
        <w:t xml:space="preserve"> </w:t>
      </w:r>
      <w:r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rocznych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przychodów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przedsiębiorcy</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uiszczenia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tytułu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prowadzenia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uzyskanych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Pr="00D44D33">
        <w:rPr>
          <w:rFonts w:ascii="Times New Roman" w:hAnsi="Times New Roman" w:cs="Times New Roman"/>
          <w:szCs w:val="24"/>
        </w:rPr>
        <w:t>obrotowym</w:t>
      </w:r>
      <w:r w:rsidR="00970B2E" w:rsidRPr="00D44D33">
        <w:rPr>
          <w:rFonts w:ascii="Times New Roman" w:hAnsi="Times New Roman" w:cs="Times New Roman"/>
          <w:szCs w:val="24"/>
        </w:rPr>
        <w:t xml:space="preserve"> </w:t>
      </w:r>
      <w:r w:rsidRPr="00D44D33">
        <w:rPr>
          <w:rFonts w:ascii="Times New Roman" w:hAnsi="Times New Roman" w:cs="Times New Roman"/>
          <w:szCs w:val="24"/>
        </w:rPr>
        <w:t>poprzedzającym</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2</w:t>
      </w:r>
      <w:r w:rsidR="00970B2E" w:rsidRPr="00D44D33">
        <w:rPr>
          <w:rFonts w:ascii="Times New Roman" w:hAnsi="Times New Roman" w:cs="Times New Roman"/>
          <w:szCs w:val="24"/>
        </w:rPr>
        <w:t xml:space="preserve"> </w:t>
      </w:r>
      <w:r w:rsidRPr="00D44D33">
        <w:rPr>
          <w:rFonts w:ascii="Times New Roman" w:hAnsi="Times New Roman" w:cs="Times New Roman"/>
          <w:szCs w:val="24"/>
        </w:rPr>
        <w:t>lata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rok,</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Pr="00D44D33">
        <w:rPr>
          <w:rFonts w:ascii="Times New Roman" w:hAnsi="Times New Roman" w:cs="Times New Roman"/>
          <w:szCs w:val="24"/>
        </w:rPr>
        <w:t>ta</w:t>
      </w:r>
      <w:r w:rsidR="00970B2E" w:rsidRPr="00D44D33">
        <w:rPr>
          <w:rFonts w:ascii="Times New Roman" w:hAnsi="Times New Roman" w:cs="Times New Roman"/>
          <w:szCs w:val="24"/>
        </w:rPr>
        <w:t xml:space="preserve"> </w:t>
      </w:r>
      <w:r w:rsidRPr="00D44D33">
        <w:rPr>
          <w:rFonts w:ascii="Times New Roman" w:hAnsi="Times New Roman" w:cs="Times New Roman"/>
          <w:szCs w:val="24"/>
        </w:rPr>
        <w:t>opłata</w:t>
      </w:r>
      <w:r w:rsidR="00970B2E" w:rsidRPr="00D44D33">
        <w:rPr>
          <w:rFonts w:ascii="Times New Roman" w:hAnsi="Times New Roman" w:cs="Times New Roman"/>
          <w:szCs w:val="24"/>
        </w:rPr>
        <w:t xml:space="preserve"> </w:t>
      </w:r>
      <w:r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Pr="00D44D33">
        <w:rPr>
          <w:rFonts w:ascii="Times New Roman" w:hAnsi="Times New Roman" w:cs="Times New Roman"/>
          <w:szCs w:val="24"/>
        </w:rPr>
        <w:t>należna.</w:t>
      </w:r>
      <w:r w:rsidR="00970B2E" w:rsidRPr="00D44D33">
        <w:rPr>
          <w:rFonts w:ascii="Times New Roman" w:hAnsi="Times New Roman" w:cs="Times New Roman"/>
          <w:szCs w:val="24"/>
        </w:rPr>
        <w:t xml:space="preserve"> </w:t>
      </w:r>
      <w:r w:rsidR="44486931" w:rsidRPr="00D44D33">
        <w:rPr>
          <w:rFonts w:ascii="Times New Roman" w:eastAsia="Calibri" w:hAnsi="Times New Roman" w:cs="Times New Roman"/>
          <w:szCs w:val="24"/>
        </w:rPr>
        <w:t>Powyższy</w:t>
      </w:r>
      <w:r w:rsidR="00970B2E" w:rsidRPr="00D44D33">
        <w:rPr>
          <w:rFonts w:ascii="Times New Roman" w:eastAsia="Calibri" w:hAnsi="Times New Roman" w:cs="Times New Roman"/>
          <w:szCs w:val="24"/>
        </w:rPr>
        <w:t xml:space="preserve"> </w:t>
      </w:r>
      <w:r w:rsidR="44486931" w:rsidRPr="00D44D33">
        <w:rPr>
          <w:rFonts w:ascii="Times New Roman" w:eastAsia="Calibri" w:hAnsi="Times New Roman" w:cs="Times New Roman"/>
          <w:szCs w:val="24"/>
        </w:rPr>
        <w:t>limit</w:t>
      </w:r>
      <w:r w:rsidR="00970B2E" w:rsidRPr="00D44D33">
        <w:rPr>
          <w:rFonts w:ascii="Times New Roman" w:eastAsia="Calibri" w:hAnsi="Times New Roman" w:cs="Times New Roman"/>
          <w:szCs w:val="24"/>
        </w:rPr>
        <w:t xml:space="preserve"> </w:t>
      </w:r>
      <w:r w:rsidR="44486931" w:rsidRPr="00D44D33">
        <w:rPr>
          <w:rFonts w:ascii="Times New Roman" w:eastAsia="Calibri" w:hAnsi="Times New Roman" w:cs="Times New Roman"/>
          <w:szCs w:val="24"/>
        </w:rPr>
        <w:t>zwiększono</w:t>
      </w:r>
      <w:r w:rsidR="00970B2E" w:rsidRPr="00D44D33">
        <w:rPr>
          <w:rFonts w:ascii="Times New Roman" w:eastAsia="Calibri" w:hAnsi="Times New Roman" w:cs="Times New Roman"/>
          <w:szCs w:val="24"/>
        </w:rPr>
        <w:t xml:space="preserve"> </w:t>
      </w:r>
      <w:r w:rsidR="44486931"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obowiązującego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gruncie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Pke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0,05%</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0,</w:t>
      </w:r>
      <w:r w:rsidR="019EA608" w:rsidRPr="00D44D33">
        <w:rPr>
          <w:rFonts w:ascii="Times New Roman" w:hAnsi="Times New Roman" w:cs="Times New Roman"/>
          <w:szCs w:val="24"/>
        </w:rPr>
        <w:t>25</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ze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względu</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to,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powyższy</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wskaźnik</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był</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niezmieniany</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roku</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2004,</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wartość</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wskaźnika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ostatnich</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lat</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przekraczała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lastRenderedPageBreak/>
        <w:t>znacznie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limit</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ustawowy,</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co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znaczyło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wpływy</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opłaty</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są</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dużo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niższe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niż</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wydatki</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ministra</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właściwego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spraw</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informatyzacji</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44486931" w:rsidRPr="00D44D33">
        <w:rPr>
          <w:rFonts w:ascii="Times New Roman" w:hAnsi="Times New Roman" w:cs="Times New Roman"/>
          <w:szCs w:val="24"/>
        </w:rPr>
        <w:t>telekomunikacji</w:t>
      </w:r>
      <w:r w:rsidR="1020F925"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1020F925" w:rsidRPr="00D44D33">
        <w:rPr>
          <w:rFonts w:ascii="Times New Roman" w:hAnsi="Times New Roman" w:cs="Times New Roman"/>
          <w:szCs w:val="24"/>
        </w:rPr>
        <w:t>wskazane</w:t>
      </w:r>
      <w:r w:rsidR="00970B2E" w:rsidRPr="00D44D33">
        <w:rPr>
          <w:rFonts w:ascii="Times New Roman" w:hAnsi="Times New Roman" w:cs="Times New Roman"/>
          <w:szCs w:val="24"/>
        </w:rPr>
        <w:t xml:space="preserve"> </w:t>
      </w:r>
      <w:r w:rsidR="1020F925"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1020F925"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1020F925" w:rsidRPr="00D44D33">
        <w:rPr>
          <w:rFonts w:ascii="Times New Roman" w:hAnsi="Times New Roman" w:cs="Times New Roman"/>
          <w:szCs w:val="24"/>
        </w:rPr>
        <w:t>23</w:t>
      </w:r>
      <w:r w:rsidR="00970B2E" w:rsidRPr="00D44D33">
        <w:rPr>
          <w:rFonts w:ascii="Times New Roman" w:hAnsi="Times New Roman" w:cs="Times New Roman"/>
          <w:szCs w:val="24"/>
        </w:rPr>
        <w:t xml:space="preserve"> </w:t>
      </w:r>
      <w:r w:rsidR="1020F925"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1020F925" w:rsidRPr="00D44D33">
        <w:rPr>
          <w:rFonts w:ascii="Times New Roman" w:hAnsi="Times New Roman" w:cs="Times New Roman"/>
          <w:szCs w:val="24"/>
        </w:rPr>
        <w:t>1</w:t>
      </w:r>
      <w:r w:rsidR="00637865" w:rsidRPr="00D44D33">
        <w:rPr>
          <w:rFonts w:ascii="Times New Roman" w:hAnsi="Times New Roman" w:cs="Times New Roman"/>
          <w:szCs w:val="24"/>
        </w:rPr>
        <w:t>.</w:t>
      </w:r>
      <w:r w:rsidR="00970B2E" w:rsidRPr="00D44D33">
        <w:rPr>
          <w:rFonts w:ascii="Times New Roman" w:hAnsi="Times New Roman" w:cs="Times New Roman"/>
          <w:szCs w:val="24"/>
        </w:rPr>
        <w:t xml:space="preserve"> </w:t>
      </w:r>
    </w:p>
    <w:p w14:paraId="0A68855F" w14:textId="71559F19" w:rsidR="00F0555A" w:rsidRPr="00D44D33" w:rsidRDefault="0D60053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Szczegółowy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wskaźnika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4499E259"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E44CDF" w:rsidRPr="00D44D33">
        <w:rPr>
          <w:rFonts w:ascii="Times New Roman" w:eastAsiaTheme="minorEastAsia" w:hAnsi="Times New Roman" w:cs="Times New Roman"/>
          <w:sz w:val="24"/>
          <w:szCs w:val="24"/>
        </w:rPr>
        <w:t xml:space="preserve">o </w:t>
      </w:r>
      <w:r w:rsidRPr="00D44D33">
        <w:rPr>
          <w:rFonts w:ascii="Times New Roman" w:eastAsiaTheme="minorEastAsia" w:hAnsi="Times New Roman" w:cs="Times New Roman"/>
          <w:sz w:val="24"/>
          <w:szCs w:val="24"/>
        </w:rPr>
        <w:t>s</w:t>
      </w:r>
      <w:r w:rsidR="00E44CDF"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coroczna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wskaźnika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komunikatu</w:t>
      </w:r>
      <w:r w:rsidR="00970B2E" w:rsidRPr="00D44D33">
        <w:rPr>
          <w:rFonts w:ascii="Times New Roman" w:eastAsiaTheme="minorEastAsia" w:hAnsi="Times New Roman" w:cs="Times New Roman"/>
          <w:sz w:val="24"/>
          <w:szCs w:val="24"/>
        </w:rPr>
        <w:t xml:space="preserve"> </w:t>
      </w:r>
      <w:r w:rsidR="0063786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37865"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637865"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637865" w:rsidRPr="00D44D33">
        <w:rPr>
          <w:rFonts w:ascii="Times New Roman" w:eastAsiaTheme="minorEastAsia" w:hAnsi="Times New Roman" w:cs="Times New Roman"/>
          <w:sz w:val="24"/>
          <w:szCs w:val="24"/>
        </w:rPr>
        <w:t>d</w:t>
      </w:r>
      <w:r w:rsidR="00E44CDF" w:rsidRPr="00D44D33">
        <w:rPr>
          <w:rFonts w:ascii="Times New Roman" w:eastAsiaTheme="minorEastAsia" w:hAnsi="Times New Roman" w:cs="Times New Roman"/>
          <w:sz w:val="24"/>
          <w:szCs w:val="24"/>
        </w:rPr>
        <w:t xml:space="preserve">o </w:t>
      </w:r>
      <w:r w:rsidR="00637865" w:rsidRPr="00D44D33">
        <w:rPr>
          <w:rFonts w:ascii="Times New Roman" w:eastAsiaTheme="minorEastAsia" w:hAnsi="Times New Roman" w:cs="Times New Roman"/>
          <w:sz w:val="24"/>
          <w:szCs w:val="24"/>
        </w:rPr>
        <w:t>s</w:t>
      </w:r>
      <w:r w:rsidR="00E44CDF"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6F757D5D" w:rsidRPr="00D44D33">
        <w:rPr>
          <w:rFonts w:ascii="Times New Roman" w:eastAsiaTheme="minorEastAsia" w:hAnsi="Times New Roman" w:cs="Times New Roman"/>
          <w:sz w:val="24"/>
          <w:szCs w:val="24"/>
        </w:rPr>
        <w:t>komunikatu.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t>
      </w:r>
      <w:r w:rsidR="177A0763" w:rsidRPr="00D44D33">
        <w:rPr>
          <w:rFonts w:ascii="Times New Roman" w:eastAsiaTheme="minorEastAsia" w:hAnsi="Times New Roman" w:cs="Times New Roman"/>
          <w:sz w:val="24"/>
          <w:szCs w:val="24"/>
        </w:rPr>
        <w:t>tanowią</w:t>
      </w:r>
      <w:r w:rsidR="00970B2E" w:rsidRPr="00D44D33">
        <w:rPr>
          <w:rFonts w:ascii="Times New Roman" w:eastAsiaTheme="minorEastAsia" w:hAnsi="Times New Roman" w:cs="Times New Roman"/>
          <w:sz w:val="24"/>
          <w:szCs w:val="24"/>
        </w:rPr>
        <w:t xml:space="preserve"> </w:t>
      </w:r>
      <w:r w:rsidR="177A0763"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177A076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77A0763"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177A076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709FFCB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2E7D96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2E7D960"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22E7D960" w:rsidRPr="00D44D33">
        <w:rPr>
          <w:rFonts w:ascii="Times New Roman" w:eastAsiaTheme="minorEastAsia" w:hAnsi="Times New Roman" w:cs="Times New Roman"/>
          <w:sz w:val="24"/>
          <w:szCs w:val="24"/>
        </w:rPr>
        <w:t>pory</w:t>
      </w:r>
      <w:r w:rsidR="00970B2E" w:rsidRPr="00D44D33">
        <w:rPr>
          <w:rFonts w:ascii="Times New Roman" w:eastAsiaTheme="minorEastAsia" w:hAnsi="Times New Roman" w:cs="Times New Roman"/>
          <w:sz w:val="24"/>
          <w:szCs w:val="24"/>
        </w:rPr>
        <w:t xml:space="preserve"> </w:t>
      </w:r>
      <w:r w:rsidR="22E7D960"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22E7D960"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22E7D96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09FFCB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09FFCB3" w:rsidRPr="00D44D33">
        <w:rPr>
          <w:rFonts w:ascii="Times New Roman" w:eastAsiaTheme="minorEastAsia" w:hAnsi="Times New Roman" w:cs="Times New Roman"/>
          <w:sz w:val="24"/>
          <w:szCs w:val="24"/>
        </w:rPr>
        <w:t>183</w:t>
      </w:r>
      <w:r w:rsidR="00970B2E" w:rsidRPr="00D44D33">
        <w:rPr>
          <w:rFonts w:ascii="Times New Roman" w:eastAsiaTheme="minorEastAsia" w:hAnsi="Times New Roman" w:cs="Times New Roman"/>
          <w:sz w:val="24"/>
          <w:szCs w:val="24"/>
        </w:rPr>
        <w:t xml:space="preserve"> </w:t>
      </w:r>
      <w:r w:rsidR="709FFCB3" w:rsidRPr="00D44D33">
        <w:rPr>
          <w:rFonts w:ascii="Times New Roman" w:eastAsiaTheme="minorEastAsia" w:hAnsi="Times New Roman" w:cs="Times New Roman"/>
          <w:sz w:val="24"/>
          <w:szCs w:val="24"/>
        </w:rPr>
        <w:t>Pt</w:t>
      </w:r>
      <w:r w:rsidR="177A076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6D14F86" w14:textId="02DC8132" w:rsidR="00783A01" w:rsidRPr="00D44D33" w:rsidRDefault="00A440D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Dodatkowo</w:t>
      </w:r>
      <w:r w:rsidR="00783A0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poprawności</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legislacyjnej,</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przeniesiono</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44CDF" w:rsidRPr="00D44D33">
        <w:rPr>
          <w:rFonts w:ascii="Times New Roman" w:eastAsiaTheme="minorEastAsia" w:hAnsi="Times New Roman" w:cs="Times New Roman"/>
          <w:sz w:val="24"/>
          <w:szCs w:val="24"/>
        </w:rPr>
        <w:t>Pke</w:t>
      </w:r>
      <w:r w:rsidR="00A01CB2"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004C46ED"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dotycząc</w:t>
      </w:r>
      <w:r w:rsidR="002B601C"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uiszczania</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(raty</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kwartalne,</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półroczne</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zapłata</w:t>
      </w:r>
      <w:r w:rsidR="00970B2E" w:rsidRPr="00D44D33">
        <w:rPr>
          <w:rFonts w:ascii="Times New Roman" w:eastAsiaTheme="minorEastAsia" w:hAnsi="Times New Roman" w:cs="Times New Roman"/>
          <w:sz w:val="24"/>
          <w:szCs w:val="24"/>
        </w:rPr>
        <w:t xml:space="preserve"> </w:t>
      </w:r>
      <w:r w:rsidR="00783A01" w:rsidRPr="00D44D33">
        <w:rPr>
          <w:rFonts w:ascii="Times New Roman" w:eastAsiaTheme="minorEastAsia" w:hAnsi="Times New Roman" w:cs="Times New Roman"/>
          <w:sz w:val="24"/>
          <w:szCs w:val="24"/>
        </w:rPr>
        <w:t>jednorazowa).</w:t>
      </w:r>
    </w:p>
    <w:p w14:paraId="06E4A27F" w14:textId="6B037386" w:rsidR="00F0555A" w:rsidRPr="00D44D33" w:rsidRDefault="000F496D" w:rsidP="00D44D33">
      <w:pPr>
        <w:pStyle w:val="h1chapter"/>
        <w:spacing w:before="120" w:after="120" w:line="360" w:lineRule="auto"/>
        <w:rPr>
          <w:rFonts w:ascii="Times New Roman" w:hAnsi="Times New Roman" w:cs="Times New Roman"/>
          <w:color w:val="auto"/>
          <w:sz w:val="24"/>
          <w:szCs w:val="24"/>
        </w:rPr>
      </w:pPr>
      <w:r w:rsidRPr="00D44D33">
        <w:rPr>
          <w:rFonts w:ascii="Times New Roman" w:hAnsi="Times New Roman" w:cs="Times New Roman"/>
          <w:color w:val="auto"/>
          <w:sz w:val="24"/>
          <w:szCs w:val="24"/>
        </w:rPr>
        <w:t>Art.</w:t>
      </w:r>
      <w:r w:rsidR="00970B2E" w:rsidRPr="00D44D33">
        <w:rPr>
          <w:rFonts w:ascii="Times New Roman" w:hAnsi="Times New Roman" w:cs="Times New Roman"/>
          <w:color w:val="auto"/>
          <w:sz w:val="24"/>
          <w:szCs w:val="24"/>
        </w:rPr>
        <w:t xml:space="preserve"> </w:t>
      </w:r>
      <w:r w:rsidR="6581F331" w:rsidRPr="00D44D33">
        <w:rPr>
          <w:rFonts w:ascii="Times New Roman" w:hAnsi="Times New Roman" w:cs="Times New Roman"/>
          <w:color w:val="auto"/>
          <w:sz w:val="24"/>
          <w:szCs w:val="24"/>
        </w:rPr>
        <w:t>24</w:t>
      </w:r>
    </w:p>
    <w:p w14:paraId="0C3A9B4F" w14:textId="13BBD4B4" w:rsidR="00B43AF6" w:rsidRPr="00D44D33" w:rsidRDefault="00B43AF6" w:rsidP="00D44D33">
      <w:pPr>
        <w:pStyle w:val="ARTartustawynprozporzdzenia"/>
        <w:ind w:firstLine="0"/>
        <w:rPr>
          <w:rFonts w:ascii="Times New Roman" w:hAnsi="Times New Roman" w:cs="Times New Roman"/>
          <w:b/>
          <w:bCs/>
          <w:szCs w:val="24"/>
        </w:rPr>
      </w:pPr>
      <w:r w:rsidRPr="00D44D33">
        <w:rPr>
          <w:rFonts w:ascii="Times New Roman" w:hAnsi="Times New Roman" w:cs="Times New Roman"/>
          <w:szCs w:val="24"/>
          <w:lang w:eastAsia="en-US"/>
        </w:rPr>
        <w:t>Kwestie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związane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opłatami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za</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częstotliwości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były</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przedmiotem</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regulacji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art.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185</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Proponowany</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przepis</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jest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zasadniczo</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tożsamy</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z</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funkcjonującymi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dotychczas</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regulacjami</w:t>
      </w:r>
      <w:r w:rsidR="00970B2E" w:rsidRPr="00D44D33">
        <w:rPr>
          <w:rFonts w:ascii="Times New Roman" w:hAnsi="Times New Roman" w:cs="Times New Roman"/>
          <w:szCs w:val="24"/>
          <w:lang w:eastAsia="en-US"/>
        </w:rPr>
        <w:t xml:space="preserve"> </w:t>
      </w:r>
      <w:r w:rsidR="000D50E3" w:rsidRPr="00D44D33">
        <w:rPr>
          <w:rFonts w:ascii="Times New Roman" w:hAnsi="Times New Roman" w:cs="Times New Roman"/>
          <w:szCs w:val="24"/>
          <w:lang w:eastAsia="en-US"/>
        </w:rPr>
        <w:t>w</w:t>
      </w:r>
      <w:r w:rsidR="00970B2E" w:rsidRPr="00D44D33">
        <w:rPr>
          <w:rFonts w:ascii="Times New Roman" w:hAnsi="Times New Roman" w:cs="Times New Roman"/>
          <w:szCs w:val="24"/>
          <w:lang w:eastAsia="en-US"/>
        </w:rPr>
        <w:t xml:space="preserve"> </w:t>
      </w:r>
      <w:r w:rsidR="000D50E3" w:rsidRPr="00D44D33">
        <w:rPr>
          <w:rFonts w:ascii="Times New Roman" w:hAnsi="Times New Roman" w:cs="Times New Roman"/>
          <w:szCs w:val="24"/>
          <w:lang w:eastAsia="en-US"/>
        </w:rPr>
        <w:t>tym</w:t>
      </w:r>
      <w:r w:rsidR="00970B2E" w:rsidRPr="00D44D33">
        <w:rPr>
          <w:rFonts w:ascii="Times New Roman" w:hAnsi="Times New Roman" w:cs="Times New Roman"/>
          <w:szCs w:val="24"/>
          <w:lang w:eastAsia="en-US"/>
        </w:rPr>
        <w:t xml:space="preserve"> </w:t>
      </w:r>
      <w:r w:rsidR="000D50E3" w:rsidRPr="00D44D33">
        <w:rPr>
          <w:rFonts w:ascii="Times New Roman" w:hAnsi="Times New Roman" w:cs="Times New Roman"/>
          <w:szCs w:val="24"/>
          <w:lang w:eastAsia="en-US"/>
        </w:rPr>
        <w:t>zakresie</w:t>
      </w:r>
      <w:r w:rsidR="006648EA"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06648EA" w:rsidRPr="00D44D33">
        <w:rPr>
          <w:rFonts w:ascii="Times New Roman" w:eastAsia="Times New Roman" w:hAnsi="Times New Roman" w:cs="Times New Roman"/>
          <w:szCs w:val="24"/>
          <w:lang w:eastAsia="en-US"/>
        </w:rPr>
        <w:t>podniesiono</w:t>
      </w:r>
      <w:r w:rsidR="00970B2E" w:rsidRPr="00D44D33">
        <w:rPr>
          <w:rFonts w:ascii="Times New Roman" w:eastAsia="Times New Roman" w:hAnsi="Times New Roman" w:cs="Times New Roman"/>
          <w:szCs w:val="24"/>
          <w:lang w:eastAsia="en-US"/>
        </w:rPr>
        <w:t xml:space="preserve"> </w:t>
      </w:r>
      <w:r w:rsidR="009077DC" w:rsidRPr="00D44D33">
        <w:rPr>
          <w:rFonts w:ascii="Times New Roman" w:eastAsia="Times New Roman" w:hAnsi="Times New Roman" w:cs="Times New Roman"/>
          <w:szCs w:val="24"/>
          <w:lang w:eastAsia="en-US"/>
        </w:rPr>
        <w:t xml:space="preserve">jednak </w:t>
      </w:r>
      <w:r w:rsidR="006648EA" w:rsidRPr="00D44D33">
        <w:rPr>
          <w:rFonts w:ascii="Times New Roman" w:eastAsia="Times New Roman" w:hAnsi="Times New Roman" w:cs="Times New Roman"/>
          <w:szCs w:val="24"/>
          <w:lang w:eastAsia="en-US"/>
        </w:rPr>
        <w:t>górne</w:t>
      </w:r>
      <w:r w:rsidR="00970B2E" w:rsidRPr="00D44D33">
        <w:rPr>
          <w:rFonts w:ascii="Times New Roman" w:eastAsia="Times New Roman" w:hAnsi="Times New Roman" w:cs="Times New Roman"/>
          <w:szCs w:val="24"/>
          <w:lang w:eastAsia="en-US"/>
        </w:rPr>
        <w:t xml:space="preserve"> </w:t>
      </w:r>
      <w:r w:rsidR="006648EA" w:rsidRPr="00D44D33">
        <w:rPr>
          <w:rFonts w:ascii="Times New Roman" w:eastAsia="Times New Roman" w:hAnsi="Times New Roman" w:cs="Times New Roman"/>
          <w:szCs w:val="24"/>
          <w:lang w:eastAsia="en-US"/>
        </w:rPr>
        <w:t>limity</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rocznych</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opłat</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za</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prawo</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do</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dysponowania</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częstotliwością</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poszczególnych</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służbach</w:t>
      </w:r>
      <w:r w:rsidR="00970B2E" w:rsidRPr="00D44D33">
        <w:rPr>
          <w:rFonts w:ascii="Times New Roman" w:eastAsia="Times New Roman" w:hAnsi="Times New Roman" w:cs="Times New Roman"/>
          <w:szCs w:val="24"/>
        </w:rPr>
        <w:t xml:space="preserve"> </w:t>
      </w:r>
      <w:r w:rsidR="3027BFC8" w:rsidRPr="00D44D33">
        <w:rPr>
          <w:rFonts w:ascii="Times New Roman" w:eastAsia="Times New Roman" w:hAnsi="Times New Roman" w:cs="Times New Roman"/>
          <w:szCs w:val="24"/>
        </w:rPr>
        <w:t>radiokomunikacyjnych</w:t>
      </w:r>
      <w:r w:rsidR="008A22BF"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3FBBC73F" w:rsidRPr="00D44D33">
        <w:rPr>
          <w:rFonts w:ascii="Times New Roman" w:hAnsi="Times New Roman" w:cs="Times New Roman"/>
          <w:szCs w:val="24"/>
          <w:lang w:eastAsia="en-US"/>
        </w:rPr>
        <w:t>Przepisy</w:t>
      </w:r>
      <w:r w:rsidR="00970B2E" w:rsidRPr="00D44D33">
        <w:rPr>
          <w:rFonts w:ascii="Times New Roman" w:hAnsi="Times New Roman" w:cs="Times New Roman"/>
          <w:szCs w:val="24"/>
          <w:lang w:eastAsia="en-US"/>
        </w:rPr>
        <w:t xml:space="preserve"> </w:t>
      </w:r>
      <w:r w:rsidR="3FBBC73F" w:rsidRPr="00D44D33">
        <w:rPr>
          <w:rFonts w:ascii="Times New Roman" w:hAnsi="Times New Roman" w:cs="Times New Roman"/>
          <w:szCs w:val="24"/>
          <w:lang w:eastAsia="en-US"/>
        </w:rPr>
        <w:t>stanowią</w:t>
      </w:r>
      <w:r w:rsidR="00970B2E" w:rsidRPr="00D44D33">
        <w:rPr>
          <w:rFonts w:ascii="Times New Roman" w:hAnsi="Times New Roman" w:cs="Times New Roman"/>
          <w:szCs w:val="24"/>
          <w:lang w:eastAsia="en-US"/>
        </w:rPr>
        <w:t xml:space="preserve"> </w:t>
      </w:r>
      <w:r w:rsidR="3FBBC73F" w:rsidRPr="00D44D33">
        <w:rPr>
          <w:rFonts w:ascii="Times New Roman" w:hAnsi="Times New Roman" w:cs="Times New Roman"/>
          <w:szCs w:val="24"/>
          <w:lang w:eastAsia="en-US"/>
        </w:rPr>
        <w:t>jednocześnie</w:t>
      </w:r>
      <w:r w:rsidR="00970B2E" w:rsidRPr="00D44D33">
        <w:rPr>
          <w:rFonts w:ascii="Times New Roman" w:hAnsi="Times New Roman" w:cs="Times New Roman"/>
          <w:szCs w:val="24"/>
          <w:lang w:eastAsia="en-US"/>
        </w:rPr>
        <w:t xml:space="preserve"> </w:t>
      </w:r>
      <w:r w:rsidR="3FBBC73F" w:rsidRPr="00D44D33">
        <w:rPr>
          <w:rFonts w:ascii="Times New Roman" w:hAnsi="Times New Roman" w:cs="Times New Roman"/>
          <w:szCs w:val="24"/>
          <w:lang w:eastAsia="en-US"/>
        </w:rPr>
        <w:t>wdrożenie</w:t>
      </w:r>
      <w:r w:rsidR="00970B2E" w:rsidRPr="00D44D33">
        <w:rPr>
          <w:rFonts w:ascii="Times New Roman" w:hAnsi="Times New Roman" w:cs="Times New Roman"/>
          <w:szCs w:val="24"/>
          <w:lang w:eastAsia="en-US"/>
        </w:rPr>
        <w:t xml:space="preserve"> </w:t>
      </w:r>
      <w:r w:rsidR="3FBBC73F" w:rsidRPr="00D44D33">
        <w:rPr>
          <w:rFonts w:ascii="Times New Roman" w:hAnsi="Times New Roman" w:cs="Times New Roman"/>
          <w:szCs w:val="24"/>
          <w:lang w:eastAsia="en-US"/>
        </w:rPr>
        <w:t>art.</w:t>
      </w:r>
      <w:r w:rsidR="00970B2E" w:rsidRPr="00D44D33">
        <w:rPr>
          <w:rFonts w:ascii="Times New Roman" w:hAnsi="Times New Roman" w:cs="Times New Roman"/>
          <w:szCs w:val="24"/>
          <w:lang w:eastAsia="en-US"/>
        </w:rPr>
        <w:t xml:space="preserve"> </w:t>
      </w:r>
      <w:r w:rsidR="3FBBC73F" w:rsidRPr="00D44D33">
        <w:rPr>
          <w:rFonts w:ascii="Times New Roman" w:hAnsi="Times New Roman" w:cs="Times New Roman"/>
          <w:szCs w:val="24"/>
          <w:lang w:eastAsia="en-US"/>
        </w:rPr>
        <w:t>42</w:t>
      </w:r>
      <w:r w:rsidR="00970B2E" w:rsidRPr="00D44D33">
        <w:rPr>
          <w:rFonts w:ascii="Times New Roman" w:hAnsi="Times New Roman" w:cs="Times New Roman"/>
          <w:szCs w:val="24"/>
          <w:lang w:eastAsia="en-US"/>
        </w:rPr>
        <w:t xml:space="preserve"> </w:t>
      </w:r>
      <w:r w:rsidR="3FBBC73F" w:rsidRPr="00D44D33">
        <w:rPr>
          <w:rFonts w:ascii="Times New Roman" w:hAnsi="Times New Roman" w:cs="Times New Roman"/>
          <w:szCs w:val="24"/>
          <w:lang w:eastAsia="en-US"/>
        </w:rPr>
        <w:t>EKŁE.</w:t>
      </w:r>
    </w:p>
    <w:p w14:paraId="3F64EFE1" w14:textId="0023BAB4" w:rsidR="000D50E3" w:rsidRPr="00D44D33" w:rsidRDefault="78C09CDC"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lang w:eastAsia="en-US"/>
        </w:rPr>
        <w:lastRenderedPageBreak/>
        <w:t>Utrzymana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zostaje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generalna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zasada,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zgodnie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którą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podmiot,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który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uzyskał</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prawo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uiszcza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roczną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opłatę</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prawo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częstotliwością</w:t>
      </w:r>
      <w:r w:rsidR="5BF51A57"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5BF51A57" w:rsidRPr="00D44D33">
        <w:rPr>
          <w:rFonts w:ascii="Times New Roman" w:hAnsi="Times New Roman" w:cs="Times New Roman"/>
          <w:b w:val="0"/>
          <w:bCs w:val="0"/>
          <w:color w:val="auto"/>
          <w:sz w:val="24"/>
          <w:szCs w:val="24"/>
          <w:lang w:eastAsia="en-US"/>
        </w:rPr>
        <w:t>a</w:t>
      </w:r>
      <w:r w:rsidR="00970B2E" w:rsidRPr="00D44D33">
        <w:rPr>
          <w:rFonts w:ascii="Times New Roman" w:hAnsi="Times New Roman" w:cs="Times New Roman"/>
          <w:b w:val="0"/>
          <w:bCs w:val="0"/>
          <w:color w:val="auto"/>
          <w:sz w:val="24"/>
          <w:szCs w:val="24"/>
          <w:lang w:eastAsia="en-US"/>
        </w:rPr>
        <w:t xml:space="preserve"> </w:t>
      </w:r>
      <w:r w:rsidR="5BF51A57" w:rsidRPr="00D44D33">
        <w:rPr>
          <w:rFonts w:ascii="Times New Roman" w:hAnsi="Times New Roman" w:cs="Times New Roman"/>
          <w:b w:val="0"/>
          <w:bCs w:val="0"/>
          <w:color w:val="auto"/>
          <w:sz w:val="24"/>
          <w:szCs w:val="24"/>
          <w:lang w:eastAsia="en-US"/>
        </w:rPr>
        <w:t>nie</w:t>
      </w:r>
      <w:r w:rsidR="00970B2E" w:rsidRPr="00D44D33">
        <w:rPr>
          <w:rFonts w:ascii="Times New Roman" w:hAnsi="Times New Roman" w:cs="Times New Roman"/>
          <w:b w:val="0"/>
          <w:bCs w:val="0"/>
          <w:color w:val="auto"/>
          <w:sz w:val="24"/>
          <w:szCs w:val="24"/>
          <w:lang w:eastAsia="en-US"/>
        </w:rPr>
        <w:t xml:space="preserve"> </w:t>
      </w:r>
      <w:r w:rsidR="5BF51A57" w:rsidRPr="00D44D33">
        <w:rPr>
          <w:rFonts w:ascii="Times New Roman" w:hAnsi="Times New Roman" w:cs="Times New Roman"/>
          <w:b w:val="0"/>
          <w:bCs w:val="0"/>
          <w:color w:val="auto"/>
          <w:sz w:val="24"/>
          <w:szCs w:val="24"/>
          <w:lang w:eastAsia="en-US"/>
        </w:rPr>
        <w:t>jej</w:t>
      </w:r>
      <w:r w:rsidR="00970B2E" w:rsidRPr="00D44D33">
        <w:rPr>
          <w:rFonts w:ascii="Times New Roman" w:hAnsi="Times New Roman" w:cs="Times New Roman"/>
          <w:b w:val="0"/>
          <w:bCs w:val="0"/>
          <w:color w:val="auto"/>
          <w:sz w:val="24"/>
          <w:szCs w:val="24"/>
          <w:lang w:eastAsia="en-US"/>
        </w:rPr>
        <w:t xml:space="preserve"> </w:t>
      </w:r>
      <w:r w:rsidR="5BF51A57" w:rsidRPr="00D44D33">
        <w:rPr>
          <w:rFonts w:ascii="Times New Roman" w:hAnsi="Times New Roman" w:cs="Times New Roman"/>
          <w:b w:val="0"/>
          <w:bCs w:val="0"/>
          <w:color w:val="auto"/>
          <w:sz w:val="24"/>
          <w:szCs w:val="24"/>
          <w:lang w:eastAsia="en-US"/>
        </w:rPr>
        <w:t>faktyczne</w:t>
      </w:r>
      <w:r w:rsidR="00970B2E" w:rsidRPr="00D44D33">
        <w:rPr>
          <w:rFonts w:ascii="Times New Roman" w:hAnsi="Times New Roman" w:cs="Times New Roman"/>
          <w:b w:val="0"/>
          <w:bCs w:val="0"/>
          <w:color w:val="auto"/>
          <w:sz w:val="24"/>
          <w:szCs w:val="24"/>
          <w:lang w:eastAsia="en-US"/>
        </w:rPr>
        <w:t xml:space="preserve"> </w:t>
      </w:r>
      <w:r w:rsidR="5BF51A57" w:rsidRPr="00D44D33">
        <w:rPr>
          <w:rFonts w:ascii="Times New Roman" w:hAnsi="Times New Roman" w:cs="Times New Roman"/>
          <w:b w:val="0"/>
          <w:bCs w:val="0"/>
          <w:color w:val="auto"/>
          <w:sz w:val="24"/>
          <w:szCs w:val="24"/>
          <w:lang w:eastAsia="en-US"/>
        </w:rPr>
        <w:t>wykorzystywanie</w:t>
      </w:r>
      <w:r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Wysokość</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zostanie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określona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drodze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rozporządzenia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Rady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Ministrów,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przy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czym</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ustawie</w:t>
      </w:r>
      <w:r w:rsidR="00970B2E" w:rsidRPr="00D44D33">
        <w:rPr>
          <w:rFonts w:ascii="Times New Roman" w:hAnsi="Times New Roman" w:cs="Times New Roman"/>
          <w:b w:val="0"/>
          <w:bCs w:val="0"/>
          <w:color w:val="auto"/>
          <w:sz w:val="24"/>
          <w:szCs w:val="24"/>
          <w:lang w:eastAsia="en-US"/>
        </w:rPr>
        <w:t xml:space="preserve"> </w:t>
      </w:r>
      <w:r w:rsidR="43404BD5" w:rsidRPr="00D44D33">
        <w:rPr>
          <w:rFonts w:ascii="Times New Roman" w:hAnsi="Times New Roman" w:cs="Times New Roman"/>
          <w:b w:val="0"/>
          <w:bCs w:val="0"/>
          <w:color w:val="auto"/>
          <w:sz w:val="24"/>
          <w:szCs w:val="24"/>
          <w:lang w:eastAsia="en-US"/>
        </w:rPr>
        <w:t>Pke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wskazane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są</w:t>
      </w:r>
      <w:r w:rsidR="00970B2E" w:rsidRPr="00D44D33">
        <w:rPr>
          <w:rFonts w:ascii="Times New Roman" w:hAnsi="Times New Roman" w:cs="Times New Roman"/>
          <w:b w:val="0"/>
          <w:bCs w:val="0"/>
          <w:color w:val="auto"/>
          <w:sz w:val="24"/>
          <w:szCs w:val="24"/>
          <w:lang w:eastAsia="en-US"/>
        </w:rPr>
        <w:t xml:space="preserve"> </w:t>
      </w:r>
      <w:r w:rsidR="688E41CA" w:rsidRPr="00D44D33">
        <w:rPr>
          <w:rFonts w:ascii="Times New Roman" w:hAnsi="Times New Roman" w:cs="Times New Roman"/>
          <w:b w:val="0"/>
          <w:bCs w:val="0"/>
          <w:color w:val="auto"/>
          <w:sz w:val="24"/>
          <w:szCs w:val="24"/>
          <w:lang w:eastAsia="en-US"/>
        </w:rPr>
        <w:t>górne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limity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poszczególnych</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służbach</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radiokomunikacyjnych.</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Limity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zostały</w:t>
      </w:r>
      <w:r w:rsidR="00970B2E" w:rsidRPr="00D44D33">
        <w:rPr>
          <w:rFonts w:ascii="Times New Roman" w:hAnsi="Times New Roman" w:cs="Times New Roman"/>
          <w:b w:val="0"/>
          <w:bCs w:val="0"/>
          <w:color w:val="auto"/>
          <w:sz w:val="24"/>
          <w:szCs w:val="24"/>
          <w:lang w:eastAsia="en-US"/>
        </w:rPr>
        <w:t xml:space="preserve"> </w:t>
      </w:r>
      <w:r w:rsidR="567DBF63" w:rsidRPr="00D44D33">
        <w:rPr>
          <w:rFonts w:ascii="Times New Roman" w:hAnsi="Times New Roman" w:cs="Times New Roman"/>
          <w:b w:val="0"/>
          <w:bCs w:val="0"/>
          <w:color w:val="auto"/>
          <w:sz w:val="24"/>
          <w:szCs w:val="24"/>
          <w:lang w:eastAsia="en-US"/>
        </w:rPr>
        <w:t>podniesione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00AC4116" w:rsidRPr="00D44D33">
        <w:rPr>
          <w:rFonts w:ascii="Times New Roman" w:hAnsi="Times New Roman" w:cs="Times New Roman"/>
          <w:b w:val="0"/>
          <w:bCs w:val="0"/>
          <w:color w:val="auto"/>
          <w:sz w:val="24"/>
          <w:szCs w:val="24"/>
          <w:lang w:eastAsia="en-US"/>
        </w:rPr>
        <w:t>porównaniu</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limit</w:t>
      </w:r>
      <w:r w:rsidR="688E41CA" w:rsidRPr="00D44D33">
        <w:rPr>
          <w:rFonts w:ascii="Times New Roman" w:hAnsi="Times New Roman" w:cs="Times New Roman"/>
          <w:b w:val="0"/>
          <w:bCs w:val="0"/>
          <w:color w:val="auto"/>
          <w:sz w:val="24"/>
          <w:szCs w:val="24"/>
          <w:lang w:eastAsia="en-US"/>
        </w:rPr>
        <w:t>ów</w:t>
      </w:r>
      <w:r w:rsidR="00970B2E" w:rsidRPr="00D44D33">
        <w:rPr>
          <w:rFonts w:ascii="Times New Roman" w:hAnsi="Times New Roman" w:cs="Times New Roman"/>
          <w:b w:val="0"/>
          <w:bCs w:val="0"/>
          <w:color w:val="auto"/>
          <w:sz w:val="24"/>
          <w:szCs w:val="24"/>
          <w:lang w:eastAsia="en-US"/>
        </w:rPr>
        <w:t xml:space="preserve"> </w:t>
      </w:r>
      <w:r w:rsidR="688E41CA" w:rsidRPr="00D44D33">
        <w:rPr>
          <w:rFonts w:ascii="Times New Roman" w:hAnsi="Times New Roman" w:cs="Times New Roman"/>
          <w:b w:val="0"/>
          <w:bCs w:val="0"/>
          <w:color w:val="auto"/>
          <w:sz w:val="24"/>
          <w:szCs w:val="24"/>
          <w:lang w:eastAsia="en-US"/>
        </w:rPr>
        <w:t>obowiązujących</w:t>
      </w:r>
      <w:r w:rsidR="00970B2E" w:rsidRPr="00D44D33">
        <w:rPr>
          <w:rFonts w:ascii="Times New Roman" w:hAnsi="Times New Roman" w:cs="Times New Roman"/>
          <w:b w:val="0"/>
          <w:bCs w:val="0"/>
          <w:color w:val="auto"/>
          <w:sz w:val="24"/>
          <w:szCs w:val="24"/>
          <w:lang w:eastAsia="en-US"/>
        </w:rPr>
        <w:t xml:space="preserve"> </w:t>
      </w:r>
      <w:r w:rsidR="688E41CA"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688E41CA" w:rsidRPr="00D44D33">
        <w:rPr>
          <w:rFonts w:ascii="Times New Roman" w:hAnsi="Times New Roman" w:cs="Times New Roman"/>
          <w:b w:val="0"/>
          <w:bCs w:val="0"/>
          <w:color w:val="auto"/>
          <w:sz w:val="24"/>
          <w:szCs w:val="24"/>
          <w:lang w:eastAsia="en-US"/>
        </w:rPr>
        <w:t>ustawie</w:t>
      </w:r>
      <w:r w:rsidR="00970B2E" w:rsidRPr="00D44D33">
        <w:rPr>
          <w:rFonts w:ascii="Times New Roman" w:hAnsi="Times New Roman" w:cs="Times New Roman"/>
          <w:b w:val="0"/>
          <w:bCs w:val="0"/>
          <w:color w:val="auto"/>
          <w:sz w:val="24"/>
          <w:szCs w:val="24"/>
          <w:lang w:eastAsia="en-US"/>
        </w:rPr>
        <w:t xml:space="preserve"> </w:t>
      </w:r>
      <w:r w:rsidR="688E41CA" w:rsidRPr="00D44D33">
        <w:rPr>
          <w:rFonts w:ascii="Times New Roman" w:hAnsi="Times New Roman" w:cs="Times New Roman"/>
          <w:b w:val="0"/>
          <w:bCs w:val="0"/>
          <w:color w:val="auto"/>
          <w:sz w:val="24"/>
          <w:szCs w:val="24"/>
          <w:lang w:eastAsia="en-US"/>
        </w:rPr>
        <w:t>Pt</w:t>
      </w:r>
      <w:r w:rsidR="006648EA"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008A22BF" w:rsidRPr="00D44D33">
        <w:rPr>
          <w:rFonts w:ascii="Times New Roman" w:hAnsi="Times New Roman" w:cs="Times New Roman"/>
          <w:b w:val="0"/>
          <w:bCs w:val="0"/>
          <w:color w:val="auto"/>
          <w:sz w:val="24"/>
          <w:szCs w:val="24"/>
          <w:lang w:eastAsia="en-US"/>
        </w:rPr>
        <w:t>Część</w:t>
      </w:r>
      <w:r w:rsidR="00970B2E" w:rsidRPr="00D44D33">
        <w:rPr>
          <w:rFonts w:ascii="Times New Roman" w:hAnsi="Times New Roman" w:cs="Times New Roman"/>
          <w:b w:val="0"/>
          <w:bCs w:val="0"/>
          <w:color w:val="auto"/>
          <w:sz w:val="24"/>
          <w:szCs w:val="24"/>
          <w:lang w:eastAsia="en-US"/>
        </w:rPr>
        <w:t xml:space="preserve"> </w:t>
      </w:r>
      <w:r w:rsidR="00AC4116" w:rsidRPr="00D44D33">
        <w:rPr>
          <w:rFonts w:ascii="Times New Roman" w:hAnsi="Times New Roman" w:cs="Times New Roman"/>
          <w:b w:val="0"/>
          <w:bCs w:val="0"/>
          <w:color w:val="auto"/>
          <w:sz w:val="24"/>
          <w:szCs w:val="24"/>
          <w:lang w:eastAsia="en-US"/>
        </w:rPr>
        <w:t>maksymalnych</w:t>
      </w:r>
      <w:r w:rsidR="00970B2E" w:rsidRPr="00D44D33">
        <w:rPr>
          <w:rFonts w:ascii="Times New Roman" w:hAnsi="Times New Roman" w:cs="Times New Roman"/>
          <w:b w:val="0"/>
          <w:bCs w:val="0"/>
          <w:color w:val="auto"/>
          <w:sz w:val="24"/>
          <w:szCs w:val="24"/>
          <w:lang w:eastAsia="en-US"/>
        </w:rPr>
        <w:t xml:space="preserve"> </w:t>
      </w:r>
      <w:r w:rsidR="008A22BF" w:rsidRPr="00D44D33">
        <w:rPr>
          <w:rFonts w:ascii="Times New Roman" w:hAnsi="Times New Roman" w:cs="Times New Roman"/>
          <w:b w:val="0"/>
          <w:bCs w:val="0"/>
          <w:color w:val="auto"/>
          <w:sz w:val="24"/>
          <w:szCs w:val="24"/>
          <w:lang w:eastAsia="en-US"/>
        </w:rPr>
        <w:t>opłat</w:t>
      </w:r>
      <w:r w:rsidR="00970B2E" w:rsidRPr="00D44D33">
        <w:rPr>
          <w:rFonts w:ascii="Times New Roman" w:hAnsi="Times New Roman" w:cs="Times New Roman"/>
          <w:b w:val="0"/>
          <w:bCs w:val="0"/>
          <w:color w:val="auto"/>
          <w:sz w:val="24"/>
          <w:szCs w:val="24"/>
          <w:lang w:eastAsia="en-US"/>
        </w:rPr>
        <w:t xml:space="preserve"> </w:t>
      </w:r>
      <w:r w:rsidR="00AC4116" w:rsidRPr="00D44D33">
        <w:rPr>
          <w:rFonts w:ascii="Times New Roman" w:hAnsi="Times New Roman" w:cs="Times New Roman"/>
          <w:b w:val="0"/>
          <w:bCs w:val="0"/>
          <w:color w:val="auto"/>
          <w:sz w:val="24"/>
          <w:szCs w:val="24"/>
          <w:lang w:eastAsia="en-US"/>
        </w:rPr>
        <w:t>wskazano</w:t>
      </w:r>
      <w:r w:rsidR="00970B2E" w:rsidRPr="00D44D33">
        <w:rPr>
          <w:rFonts w:ascii="Times New Roman" w:hAnsi="Times New Roman" w:cs="Times New Roman"/>
          <w:b w:val="0"/>
          <w:bCs w:val="0"/>
          <w:color w:val="auto"/>
          <w:sz w:val="24"/>
          <w:szCs w:val="24"/>
          <w:lang w:eastAsia="en-US"/>
        </w:rPr>
        <w:t xml:space="preserve"> </w:t>
      </w:r>
      <w:r w:rsidR="004341A3" w:rsidRPr="00D44D33">
        <w:rPr>
          <w:rFonts w:ascii="Times New Roman" w:hAnsi="Times New Roman" w:cs="Times New Roman"/>
          <w:b w:val="0"/>
          <w:bCs w:val="0"/>
          <w:color w:val="auto"/>
          <w:sz w:val="24"/>
          <w:szCs w:val="24"/>
          <w:lang w:eastAsia="en-US"/>
        </w:rPr>
        <w:t>kwotowo,</w:t>
      </w:r>
      <w:r w:rsidR="00970B2E" w:rsidRPr="00D44D33">
        <w:rPr>
          <w:rFonts w:ascii="Times New Roman" w:hAnsi="Times New Roman" w:cs="Times New Roman"/>
          <w:b w:val="0"/>
          <w:bCs w:val="0"/>
          <w:color w:val="auto"/>
          <w:sz w:val="24"/>
          <w:szCs w:val="24"/>
          <w:lang w:eastAsia="en-US"/>
        </w:rPr>
        <w:t xml:space="preserve"> </w:t>
      </w:r>
      <w:r w:rsidR="00AC4116" w:rsidRPr="00D44D33">
        <w:rPr>
          <w:rFonts w:ascii="Times New Roman" w:hAnsi="Times New Roman" w:cs="Times New Roman"/>
          <w:b w:val="0"/>
          <w:bCs w:val="0"/>
          <w:color w:val="auto"/>
          <w:sz w:val="24"/>
          <w:szCs w:val="24"/>
          <w:lang w:eastAsia="en-US"/>
        </w:rPr>
        <w:t>pozostałe</w:t>
      </w:r>
      <w:r w:rsidR="00970B2E" w:rsidRPr="00D44D33">
        <w:rPr>
          <w:rFonts w:ascii="Times New Roman" w:hAnsi="Times New Roman" w:cs="Times New Roman"/>
          <w:b w:val="0"/>
          <w:bCs w:val="0"/>
          <w:color w:val="auto"/>
          <w:sz w:val="24"/>
          <w:szCs w:val="24"/>
          <w:lang w:eastAsia="en-US"/>
        </w:rPr>
        <w:t xml:space="preserve"> </w:t>
      </w:r>
      <w:r w:rsidR="004341A3" w:rsidRPr="00D44D33">
        <w:rPr>
          <w:rFonts w:ascii="Times New Roman" w:hAnsi="Times New Roman" w:cs="Times New Roman"/>
          <w:b w:val="0"/>
          <w:bCs w:val="0"/>
          <w:color w:val="auto"/>
          <w:sz w:val="24"/>
          <w:szCs w:val="24"/>
          <w:lang w:eastAsia="en-US"/>
        </w:rPr>
        <w:t>przez</w:t>
      </w:r>
      <w:r w:rsidR="00970B2E" w:rsidRPr="00D44D33">
        <w:rPr>
          <w:rFonts w:ascii="Times New Roman" w:hAnsi="Times New Roman" w:cs="Times New Roman"/>
          <w:b w:val="0"/>
          <w:bCs w:val="0"/>
          <w:color w:val="auto"/>
          <w:sz w:val="24"/>
          <w:szCs w:val="24"/>
          <w:lang w:eastAsia="en-US"/>
        </w:rPr>
        <w:t xml:space="preserve"> </w:t>
      </w:r>
      <w:r w:rsidR="004341A3" w:rsidRPr="00D44D33">
        <w:rPr>
          <w:rFonts w:ascii="Times New Roman" w:hAnsi="Times New Roman" w:cs="Times New Roman"/>
          <w:b w:val="0"/>
          <w:bCs w:val="0"/>
          <w:color w:val="auto"/>
          <w:sz w:val="24"/>
          <w:szCs w:val="24"/>
          <w:lang w:eastAsia="en-US"/>
        </w:rPr>
        <w:t>określenie</w:t>
      </w:r>
      <w:r w:rsidR="00970B2E" w:rsidRPr="00D44D33">
        <w:rPr>
          <w:rFonts w:ascii="Times New Roman" w:hAnsi="Times New Roman" w:cs="Times New Roman"/>
          <w:b w:val="0"/>
          <w:bCs w:val="0"/>
          <w:color w:val="auto"/>
          <w:sz w:val="24"/>
          <w:szCs w:val="24"/>
          <w:lang w:eastAsia="en-US"/>
        </w:rPr>
        <w:t xml:space="preserve"> </w:t>
      </w:r>
      <w:r w:rsidR="004341A3" w:rsidRPr="00D44D33">
        <w:rPr>
          <w:rFonts w:ascii="Times New Roman" w:hAnsi="Times New Roman" w:cs="Times New Roman"/>
          <w:b w:val="0"/>
          <w:bCs w:val="0"/>
          <w:color w:val="auto"/>
          <w:sz w:val="24"/>
          <w:szCs w:val="24"/>
          <w:lang w:eastAsia="en-US"/>
        </w:rPr>
        <w:t>wielokrotności</w:t>
      </w:r>
      <w:r w:rsidR="00970B2E" w:rsidRPr="00D44D33">
        <w:rPr>
          <w:rFonts w:ascii="Times New Roman" w:hAnsi="Times New Roman" w:cs="Times New Roman"/>
          <w:b w:val="0"/>
          <w:bCs w:val="0"/>
          <w:color w:val="auto"/>
          <w:sz w:val="24"/>
          <w:szCs w:val="24"/>
          <w:lang w:eastAsia="en-US"/>
        </w:rPr>
        <w:t xml:space="preserve"> </w:t>
      </w:r>
      <w:r w:rsidR="004341A3" w:rsidRPr="00D44D33">
        <w:rPr>
          <w:rFonts w:ascii="Times New Roman" w:hAnsi="Times New Roman" w:cs="Times New Roman"/>
          <w:b w:val="0"/>
          <w:color w:val="auto"/>
          <w:sz w:val="24"/>
          <w:szCs w:val="24"/>
        </w:rPr>
        <w:t>przeciętnego</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wynagrodzenia</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w</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gospodarce</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narodowej,</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wskazanego</w:t>
      </w:r>
      <w:r w:rsidR="00970B2E" w:rsidRPr="00D44D33">
        <w:rPr>
          <w:rFonts w:ascii="Times New Roman" w:hAnsi="Times New Roman" w:cs="Times New Roman"/>
          <w:b w:val="0"/>
          <w:color w:val="auto"/>
          <w:sz w:val="24"/>
          <w:szCs w:val="24"/>
        </w:rPr>
        <w:t xml:space="preserve"> </w:t>
      </w:r>
      <w:r w:rsidR="001148BE" w:rsidRPr="00D44D33">
        <w:rPr>
          <w:rFonts w:ascii="Times New Roman" w:hAnsi="Times New Roman" w:cs="Times New Roman"/>
          <w:b w:val="0"/>
          <w:color w:val="auto"/>
          <w:sz w:val="24"/>
          <w:szCs w:val="24"/>
        </w:rPr>
        <w:t>w</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komunikacie</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Prezesa</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Głównego</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Urzędu</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Statystycznego,</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o</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którym</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mowa</w:t>
      </w:r>
      <w:r w:rsidR="00970B2E" w:rsidRPr="00D44D33">
        <w:rPr>
          <w:rStyle w:val="Pogrubienie"/>
          <w:rFonts w:ascii="Times New Roman" w:hAnsi="Times New Roman" w:cs="Times New Roman"/>
          <w:color w:val="auto"/>
          <w:sz w:val="24"/>
          <w:szCs w:val="24"/>
        </w:rPr>
        <w:t xml:space="preserve"> </w:t>
      </w:r>
      <w:r w:rsidR="004341A3" w:rsidRPr="00D44D33">
        <w:rPr>
          <w:rStyle w:val="Pogrubienie"/>
          <w:rFonts w:ascii="Times New Roman" w:hAnsi="Times New Roman" w:cs="Times New Roman"/>
          <w:color w:val="auto"/>
          <w:sz w:val="24"/>
          <w:szCs w:val="24"/>
        </w:rPr>
        <w:t>w</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art.</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20</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pkt</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1</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lit.</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a</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ustawy</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z</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dnia</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17</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grudnia</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1998</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r.</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o</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emeryturach</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i</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rentach</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z</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Funduszu</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Ubezpieczeń</w:t>
      </w:r>
      <w:r w:rsidR="00970B2E" w:rsidRPr="00D44D33">
        <w:rPr>
          <w:rFonts w:ascii="Times New Roman" w:hAnsi="Times New Roman" w:cs="Times New Roman"/>
          <w:b w:val="0"/>
          <w:color w:val="auto"/>
          <w:sz w:val="24"/>
          <w:szCs w:val="24"/>
        </w:rPr>
        <w:t xml:space="preserve"> </w:t>
      </w:r>
      <w:r w:rsidR="004341A3" w:rsidRPr="00D44D33">
        <w:rPr>
          <w:rFonts w:ascii="Times New Roman" w:hAnsi="Times New Roman" w:cs="Times New Roman"/>
          <w:b w:val="0"/>
          <w:color w:val="auto"/>
          <w:sz w:val="24"/>
          <w:szCs w:val="24"/>
        </w:rPr>
        <w:t>Społecznych</w:t>
      </w:r>
      <w:r w:rsidR="001148BE" w:rsidRPr="00D44D33">
        <w:rPr>
          <w:rFonts w:ascii="Times New Roman" w:eastAsia="Times New Roman" w:hAnsi="Times New Roman" w:cs="Times New Roman"/>
          <w:b w:val="0"/>
          <w:bCs w:val="0"/>
          <w:color w:val="auto"/>
          <w:sz w:val="24"/>
          <w:szCs w:val="24"/>
        </w:rPr>
        <w:t>,</w:t>
      </w:r>
      <w:r w:rsidR="00970B2E" w:rsidRPr="00D44D33">
        <w:rPr>
          <w:rFonts w:ascii="Times New Roman" w:eastAsia="Times New Roman" w:hAnsi="Times New Roman" w:cs="Times New Roman"/>
          <w:b w:val="0"/>
          <w:bCs w:val="0"/>
          <w:color w:val="auto"/>
          <w:sz w:val="24"/>
          <w:szCs w:val="24"/>
        </w:rPr>
        <w:t xml:space="preserve"> </w:t>
      </w:r>
      <w:r w:rsidR="001148BE" w:rsidRPr="00D44D33">
        <w:rPr>
          <w:rFonts w:ascii="Times New Roman" w:hAnsi="Times New Roman" w:cs="Times New Roman"/>
          <w:b w:val="0"/>
          <w:color w:val="auto"/>
          <w:sz w:val="24"/>
          <w:szCs w:val="24"/>
        </w:rPr>
        <w:t>ogłoszonym</w:t>
      </w:r>
      <w:r w:rsidR="00970B2E" w:rsidRPr="00D44D33">
        <w:rPr>
          <w:rFonts w:ascii="Times New Roman" w:hAnsi="Times New Roman" w:cs="Times New Roman"/>
          <w:b w:val="0"/>
          <w:color w:val="auto"/>
          <w:sz w:val="24"/>
          <w:szCs w:val="24"/>
        </w:rPr>
        <w:t xml:space="preserve"> </w:t>
      </w:r>
      <w:r w:rsidR="001148BE" w:rsidRPr="00D44D33">
        <w:rPr>
          <w:rFonts w:ascii="Times New Roman" w:hAnsi="Times New Roman" w:cs="Times New Roman"/>
          <w:b w:val="0"/>
          <w:color w:val="auto"/>
          <w:sz w:val="24"/>
          <w:szCs w:val="24"/>
        </w:rPr>
        <w:t>w</w:t>
      </w:r>
      <w:r w:rsidR="00970B2E" w:rsidRPr="00D44D33">
        <w:rPr>
          <w:rFonts w:ascii="Times New Roman" w:hAnsi="Times New Roman" w:cs="Times New Roman"/>
          <w:b w:val="0"/>
          <w:color w:val="auto"/>
          <w:sz w:val="24"/>
          <w:szCs w:val="24"/>
        </w:rPr>
        <w:t xml:space="preserve"> </w:t>
      </w:r>
      <w:r w:rsidR="001148BE" w:rsidRPr="00D44D33">
        <w:rPr>
          <w:rFonts w:ascii="Times New Roman" w:hAnsi="Times New Roman" w:cs="Times New Roman"/>
          <w:b w:val="0"/>
          <w:color w:val="auto"/>
          <w:sz w:val="24"/>
          <w:szCs w:val="24"/>
        </w:rPr>
        <w:t>poprzednim</w:t>
      </w:r>
      <w:r w:rsidR="00970B2E" w:rsidRPr="00D44D33">
        <w:rPr>
          <w:rFonts w:ascii="Times New Roman" w:hAnsi="Times New Roman" w:cs="Times New Roman"/>
          <w:b w:val="0"/>
          <w:color w:val="auto"/>
          <w:sz w:val="24"/>
          <w:szCs w:val="24"/>
        </w:rPr>
        <w:t xml:space="preserve"> </w:t>
      </w:r>
      <w:r w:rsidR="001148BE" w:rsidRPr="00D44D33">
        <w:rPr>
          <w:rFonts w:ascii="Times New Roman" w:hAnsi="Times New Roman" w:cs="Times New Roman"/>
          <w:b w:val="0"/>
          <w:color w:val="auto"/>
          <w:sz w:val="24"/>
          <w:szCs w:val="24"/>
        </w:rPr>
        <w:t>roku</w:t>
      </w:r>
      <w:r w:rsidR="00970B2E" w:rsidRPr="00D44D33">
        <w:rPr>
          <w:rFonts w:ascii="Times New Roman" w:hAnsi="Times New Roman" w:cs="Times New Roman"/>
          <w:b w:val="0"/>
          <w:color w:val="auto"/>
          <w:sz w:val="24"/>
          <w:szCs w:val="24"/>
        </w:rPr>
        <w:t xml:space="preserve"> </w:t>
      </w:r>
      <w:r w:rsidR="001148BE" w:rsidRPr="00D44D33">
        <w:rPr>
          <w:rFonts w:ascii="Times New Roman" w:hAnsi="Times New Roman" w:cs="Times New Roman"/>
          <w:b w:val="0"/>
          <w:color w:val="auto"/>
          <w:sz w:val="24"/>
          <w:szCs w:val="24"/>
        </w:rPr>
        <w:t>kalendarzowym</w:t>
      </w:r>
      <w:r w:rsidR="00CE7DAF" w:rsidRPr="00D44D33">
        <w:rPr>
          <w:rFonts w:ascii="Times New Roman" w:hAnsi="Times New Roman" w:cs="Times New Roman"/>
          <w:b w:val="0"/>
          <w:color w:val="auto"/>
          <w:sz w:val="24"/>
          <w:szCs w:val="24"/>
        </w:rPr>
        <w:t>.</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Wskazanie</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kwotowe</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pozostawiono</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przy</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niższych</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opłatach,</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na</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których</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zmiany</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w</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odniesieniu</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do</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przeciętnego</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wynagrodzenia</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miałyby</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znikomy</w:t>
      </w:r>
      <w:r w:rsidR="00970B2E" w:rsidRPr="00D44D33">
        <w:rPr>
          <w:rFonts w:ascii="Times New Roman" w:hAnsi="Times New Roman" w:cs="Times New Roman"/>
          <w:b w:val="0"/>
          <w:color w:val="auto"/>
          <w:sz w:val="24"/>
          <w:szCs w:val="24"/>
        </w:rPr>
        <w:t xml:space="preserve"> </w:t>
      </w:r>
      <w:r w:rsidR="00CE7DAF" w:rsidRPr="00D44D33">
        <w:rPr>
          <w:rFonts w:ascii="Times New Roman" w:hAnsi="Times New Roman" w:cs="Times New Roman"/>
          <w:b w:val="0"/>
          <w:color w:val="auto"/>
          <w:sz w:val="24"/>
          <w:szCs w:val="24"/>
        </w:rPr>
        <w:t>wpływ.</w:t>
      </w:r>
      <w:r w:rsidR="00970B2E" w:rsidRPr="00D44D33">
        <w:rPr>
          <w:rFonts w:ascii="Times New Roman" w:hAnsi="Times New Roman" w:cs="Times New Roman"/>
          <w:b w:val="0"/>
          <w:color w:val="auto"/>
          <w:sz w:val="24"/>
          <w:szCs w:val="24"/>
        </w:rPr>
        <w:t xml:space="preserve"> </w:t>
      </w:r>
      <w:r w:rsidR="00D76609" w:rsidRPr="00D44D33">
        <w:rPr>
          <w:rFonts w:ascii="Times New Roman" w:hAnsi="Times New Roman" w:cs="Times New Roman"/>
          <w:b w:val="0"/>
          <w:bCs w:val="0"/>
          <w:color w:val="auto"/>
          <w:sz w:val="24"/>
          <w:szCs w:val="24"/>
          <w:lang w:eastAsia="en-US"/>
        </w:rPr>
        <w:t>Projektodawca,</w:t>
      </w:r>
      <w:r w:rsidR="00970B2E" w:rsidRPr="00D44D33">
        <w:rPr>
          <w:rFonts w:ascii="Times New Roman" w:hAnsi="Times New Roman" w:cs="Times New Roman"/>
          <w:b w:val="0"/>
          <w:bCs w:val="0"/>
          <w:color w:val="auto"/>
          <w:sz w:val="24"/>
          <w:szCs w:val="24"/>
          <w:lang w:eastAsia="en-US"/>
        </w:rPr>
        <w:t xml:space="preserve"> </w:t>
      </w:r>
      <w:r w:rsidR="00D76609" w:rsidRPr="00D44D33">
        <w:rPr>
          <w:rFonts w:ascii="Times New Roman" w:hAnsi="Times New Roman" w:cs="Times New Roman"/>
          <w:b w:val="0"/>
          <w:bCs w:val="0"/>
          <w:color w:val="auto"/>
          <w:sz w:val="24"/>
          <w:szCs w:val="24"/>
          <w:lang w:eastAsia="en-US"/>
        </w:rPr>
        <w:t>decydując</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się</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00D76609" w:rsidRPr="00D44D33">
        <w:rPr>
          <w:rFonts w:ascii="Times New Roman" w:hAnsi="Times New Roman" w:cs="Times New Roman"/>
          <w:b w:val="0"/>
          <w:bCs w:val="0"/>
          <w:color w:val="auto"/>
          <w:sz w:val="24"/>
          <w:szCs w:val="24"/>
          <w:lang w:eastAsia="en-US"/>
        </w:rPr>
        <w:t>powyższe</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zmiany</w:t>
      </w:r>
      <w:r w:rsidR="00D76609"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wzi</w:t>
      </w:r>
      <w:r w:rsidR="00D76609" w:rsidRPr="00D44D33">
        <w:rPr>
          <w:rFonts w:ascii="Times New Roman" w:hAnsi="Times New Roman" w:cs="Times New Roman"/>
          <w:b w:val="0"/>
          <w:bCs w:val="0"/>
          <w:color w:val="auto"/>
          <w:sz w:val="24"/>
          <w:szCs w:val="24"/>
          <w:lang w:eastAsia="en-US"/>
        </w:rPr>
        <w:t>ął</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pod</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uwagę,</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że</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ostatni</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raz</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powyższe</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limity</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były</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zmieniane</w:t>
      </w:r>
      <w:r w:rsidR="00970B2E" w:rsidRPr="00D44D33">
        <w:rPr>
          <w:rFonts w:ascii="Times New Roman" w:hAnsi="Times New Roman" w:cs="Times New Roman"/>
          <w:b w:val="0"/>
          <w:bCs w:val="0"/>
          <w:color w:val="auto"/>
          <w:sz w:val="24"/>
          <w:szCs w:val="24"/>
          <w:lang w:eastAsia="en-US"/>
        </w:rPr>
        <w:t xml:space="preserve"> </w:t>
      </w:r>
      <w:r w:rsidR="006648EA"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00E44CDF" w:rsidRPr="00D44D33">
        <w:rPr>
          <w:rFonts w:ascii="Times New Roman" w:hAnsi="Times New Roman" w:cs="Times New Roman"/>
          <w:b w:val="0"/>
          <w:bCs w:val="0"/>
          <w:color w:val="auto"/>
          <w:sz w:val="24"/>
          <w:szCs w:val="24"/>
        </w:rPr>
        <w:t>u</w:t>
      </w:r>
      <w:r w:rsidR="006648EA" w:rsidRPr="00D44D33">
        <w:rPr>
          <w:rFonts w:ascii="Times New Roman" w:hAnsi="Times New Roman" w:cs="Times New Roman"/>
          <w:b w:val="0"/>
          <w:bCs w:val="0"/>
          <w:color w:val="auto"/>
          <w:sz w:val="24"/>
          <w:szCs w:val="24"/>
        </w:rPr>
        <w:t>stawie</w:t>
      </w:r>
      <w:r w:rsidR="00970B2E" w:rsidRPr="00D44D33">
        <w:rPr>
          <w:rFonts w:ascii="Times New Roman" w:hAnsi="Times New Roman" w:cs="Times New Roman"/>
          <w:b w:val="0"/>
          <w:bCs w:val="0"/>
          <w:color w:val="auto"/>
          <w:sz w:val="24"/>
          <w:szCs w:val="24"/>
        </w:rPr>
        <w:t xml:space="preserve"> </w:t>
      </w:r>
      <w:r w:rsidR="00E44CDF" w:rsidRPr="00D44D33">
        <w:rPr>
          <w:rFonts w:ascii="Times New Roman" w:hAnsi="Times New Roman" w:cs="Times New Roman"/>
          <w:b w:val="0"/>
          <w:bCs w:val="0"/>
          <w:color w:val="auto"/>
          <w:sz w:val="24"/>
          <w:szCs w:val="24"/>
        </w:rPr>
        <w:t xml:space="preserve">z dnia 16 listopada 2012 r. </w:t>
      </w:r>
      <w:r w:rsidR="006648EA" w:rsidRPr="00D44D33">
        <w:rPr>
          <w:rFonts w:ascii="Times New Roman" w:hAnsi="Times New Roman" w:cs="Times New Roman"/>
          <w:b w:val="0"/>
          <w:bCs w:val="0"/>
          <w:color w:val="auto"/>
          <w:sz w:val="24"/>
          <w:szCs w:val="24"/>
        </w:rPr>
        <w:t>o</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zmianie</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0071302C" w:rsidRPr="00D44D33">
        <w:rPr>
          <w:rFonts w:ascii="Times New Roman" w:hAnsi="Times New Roman" w:cs="Times New Roman"/>
          <w:sz w:val="24"/>
          <w:szCs w:val="24"/>
        </w:rPr>
        <w:t>–</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Prawo</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telekomunikacyjne</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oraz</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niektórych</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innych</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ustaw</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(Dz.</w:t>
      </w:r>
      <w:r w:rsidR="0071302C"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U.</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poz.</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1445</w:t>
      </w:r>
      <w:r w:rsidR="00BC6A1D" w:rsidRPr="00D44D33">
        <w:rPr>
          <w:rFonts w:ascii="Times New Roman" w:hAnsi="Times New Roman" w:cs="Times New Roman"/>
          <w:b w:val="0"/>
          <w:bCs w:val="0"/>
          <w:color w:val="auto"/>
          <w:sz w:val="24"/>
          <w:szCs w:val="24"/>
        </w:rPr>
        <w:t>, z późn. zm.</w:t>
      </w:r>
      <w:r w:rsidR="006648EA"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a</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przeciętne</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wynagrodzenie</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gospodarce</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narodowej</w:t>
      </w:r>
      <w:r w:rsidR="00970B2E" w:rsidRPr="00D44D33">
        <w:rPr>
          <w:rFonts w:ascii="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wzrosło</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od</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roku</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2013</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do</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roku</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2020</w:t>
      </w:r>
      <w:r w:rsidR="00970B2E" w:rsidRPr="00D44D33">
        <w:rPr>
          <w:rFonts w:ascii="Times New Roman" w:eastAsia="Times New Roman" w:hAnsi="Times New Roman" w:cs="Times New Roman"/>
          <w:b w:val="0"/>
          <w:bCs w:val="0"/>
          <w:color w:val="auto"/>
          <w:sz w:val="24"/>
          <w:szCs w:val="24"/>
        </w:rPr>
        <w:t xml:space="preserve"> </w:t>
      </w:r>
      <w:r w:rsidR="00AB76BC" w:rsidRPr="00D44D33">
        <w:rPr>
          <w:rFonts w:ascii="Times New Roman" w:eastAsia="Times New Roman" w:hAnsi="Times New Roman" w:cs="Times New Roman"/>
          <w:b w:val="0"/>
          <w:bCs w:val="0"/>
          <w:color w:val="auto"/>
          <w:sz w:val="24"/>
          <w:szCs w:val="24"/>
        </w:rPr>
        <w:t>prawie</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o</w:t>
      </w:r>
      <w:r w:rsidR="00970B2E" w:rsidRPr="00D44D33">
        <w:rPr>
          <w:rFonts w:ascii="Times New Roman" w:eastAsia="Times New Roman" w:hAnsi="Times New Roman" w:cs="Times New Roman"/>
          <w:b w:val="0"/>
          <w:bCs w:val="0"/>
          <w:color w:val="auto"/>
          <w:sz w:val="24"/>
          <w:szCs w:val="24"/>
        </w:rPr>
        <w:t xml:space="preserve"> </w:t>
      </w:r>
      <w:r w:rsidR="00D95311" w:rsidRPr="00D44D33">
        <w:rPr>
          <w:rFonts w:ascii="Times New Roman" w:eastAsia="Times New Roman" w:hAnsi="Times New Roman" w:cs="Times New Roman"/>
          <w:b w:val="0"/>
          <w:bCs w:val="0"/>
          <w:color w:val="auto"/>
          <w:sz w:val="24"/>
          <w:szCs w:val="24"/>
        </w:rPr>
        <w:t>42%</w:t>
      </w:r>
      <w:r w:rsidR="00970B2E" w:rsidRPr="00D44D33">
        <w:rPr>
          <w:rFonts w:ascii="Times New Roman" w:eastAsia="Times New Roman" w:hAnsi="Times New Roman" w:cs="Times New Roman"/>
          <w:b w:val="0"/>
          <w:bCs w:val="0"/>
          <w:color w:val="auto"/>
          <w:sz w:val="24"/>
          <w:szCs w:val="24"/>
        </w:rPr>
        <w:t xml:space="preserve"> </w:t>
      </w:r>
      <w:r w:rsidR="006648EA" w:rsidRPr="00D44D33">
        <w:rPr>
          <w:rFonts w:ascii="Times New Roman" w:eastAsia="Times New Roman" w:hAnsi="Times New Roman" w:cs="Times New Roman"/>
          <w:b w:val="0"/>
          <w:bCs w:val="0"/>
          <w:color w:val="auto"/>
          <w:sz w:val="24"/>
          <w:szCs w:val="24"/>
        </w:rPr>
        <w:t>(</w:t>
      </w:r>
      <w:r w:rsidR="006648EA" w:rsidRPr="00D44D33">
        <w:rPr>
          <w:rFonts w:ascii="Times New Roman" w:hAnsi="Times New Roman" w:cs="Times New Roman"/>
          <w:b w:val="0"/>
          <w:bCs w:val="0"/>
          <w:color w:val="auto"/>
          <w:sz w:val="24"/>
          <w:szCs w:val="24"/>
        </w:rPr>
        <w:t>3</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650,06</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zł</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2013</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r.,</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5</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167,47</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zł</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2020</w:t>
      </w:r>
      <w:r w:rsidR="00970B2E" w:rsidRPr="00D44D33">
        <w:rPr>
          <w:rFonts w:ascii="Times New Roman" w:hAnsi="Times New Roman" w:cs="Times New Roman"/>
          <w:b w:val="0"/>
          <w:bCs w:val="0"/>
          <w:color w:val="auto"/>
          <w:sz w:val="24"/>
          <w:szCs w:val="24"/>
        </w:rPr>
        <w:t xml:space="preserve"> </w:t>
      </w:r>
      <w:r w:rsidR="006648EA" w:rsidRPr="00D44D33">
        <w:rPr>
          <w:rFonts w:ascii="Times New Roman" w:hAnsi="Times New Roman" w:cs="Times New Roman"/>
          <w:b w:val="0"/>
          <w:bCs w:val="0"/>
          <w:color w:val="auto"/>
          <w:sz w:val="24"/>
          <w:szCs w:val="24"/>
        </w:rPr>
        <w:t>r.)</w:t>
      </w:r>
      <w:r w:rsidR="0092013C"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a</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inflacja</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roczna</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pomiędzy</w:t>
      </w:r>
      <w:r w:rsidR="00970B2E" w:rsidRPr="00D44D33">
        <w:rPr>
          <w:rFonts w:ascii="Times New Roman" w:hAnsi="Times New Roman" w:cs="Times New Roman"/>
          <w:b w:val="0"/>
          <w:bCs w:val="0"/>
          <w:color w:val="auto"/>
          <w:sz w:val="24"/>
          <w:szCs w:val="24"/>
        </w:rPr>
        <w:t xml:space="preserve"> </w:t>
      </w:r>
      <w:r w:rsidR="05063548" w:rsidRPr="00D44D33">
        <w:rPr>
          <w:rFonts w:ascii="Times New Roman" w:hAnsi="Times New Roman" w:cs="Times New Roman"/>
          <w:b w:val="0"/>
          <w:bCs w:val="0"/>
          <w:color w:val="auto"/>
          <w:sz w:val="24"/>
          <w:szCs w:val="24"/>
        </w:rPr>
        <w:t>rokiem</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201</w:t>
      </w:r>
      <w:r w:rsidR="26BCD706" w:rsidRPr="00D44D33">
        <w:rPr>
          <w:rFonts w:ascii="Times New Roman" w:hAnsi="Times New Roman" w:cs="Times New Roman"/>
          <w:b w:val="0"/>
          <w:bCs w:val="0"/>
          <w:color w:val="auto"/>
          <w:sz w:val="24"/>
          <w:szCs w:val="24"/>
        </w:rPr>
        <w:t>3</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a</w:t>
      </w:r>
      <w:r w:rsidR="00970B2E" w:rsidRPr="00D44D33">
        <w:rPr>
          <w:rFonts w:ascii="Times New Roman" w:hAnsi="Times New Roman" w:cs="Times New Roman"/>
          <w:b w:val="0"/>
          <w:bCs w:val="0"/>
          <w:color w:val="auto"/>
          <w:sz w:val="24"/>
          <w:szCs w:val="24"/>
        </w:rPr>
        <w:t xml:space="preserve"> </w:t>
      </w:r>
      <w:r w:rsidR="53B18E64" w:rsidRPr="00D44D33">
        <w:rPr>
          <w:rFonts w:ascii="Times New Roman" w:hAnsi="Times New Roman" w:cs="Times New Roman"/>
          <w:b w:val="0"/>
          <w:bCs w:val="0"/>
          <w:color w:val="auto"/>
          <w:sz w:val="24"/>
          <w:szCs w:val="24"/>
        </w:rPr>
        <w:t>rokiem</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202</w:t>
      </w:r>
      <w:r w:rsidR="6447EDFC" w:rsidRPr="00D44D33">
        <w:rPr>
          <w:rFonts w:ascii="Times New Roman" w:hAnsi="Times New Roman" w:cs="Times New Roman"/>
          <w:b w:val="0"/>
          <w:bCs w:val="0"/>
          <w:color w:val="auto"/>
          <w:sz w:val="24"/>
          <w:szCs w:val="24"/>
        </w:rPr>
        <w:t>0</w:t>
      </w:r>
      <w:r w:rsidR="00970B2E" w:rsidRPr="00D44D33">
        <w:rPr>
          <w:rFonts w:ascii="Times New Roman" w:hAnsi="Times New Roman" w:cs="Times New Roman"/>
          <w:b w:val="0"/>
          <w:bCs w:val="0"/>
          <w:color w:val="auto"/>
          <w:sz w:val="24"/>
          <w:szCs w:val="24"/>
        </w:rPr>
        <w:t xml:space="preserve"> </w:t>
      </w:r>
      <w:r w:rsidR="003F437C" w:rsidRPr="00D44D33">
        <w:rPr>
          <w:rFonts w:ascii="Times New Roman" w:hAnsi="Times New Roman" w:cs="Times New Roman"/>
          <w:b w:val="0"/>
          <w:bCs w:val="0"/>
          <w:color w:val="auto"/>
          <w:sz w:val="24"/>
          <w:szCs w:val="24"/>
        </w:rPr>
        <w:t>wyniosła</w:t>
      </w:r>
      <w:r w:rsidR="00970B2E" w:rsidRPr="00D44D33">
        <w:rPr>
          <w:rFonts w:ascii="Times New Roman" w:hAnsi="Times New Roman" w:cs="Times New Roman"/>
          <w:b w:val="0"/>
          <w:bCs w:val="0"/>
          <w:color w:val="auto"/>
          <w:sz w:val="24"/>
          <w:szCs w:val="24"/>
        </w:rPr>
        <w:t xml:space="preserve"> </w:t>
      </w:r>
      <w:r w:rsidR="0B82E537" w:rsidRPr="00D44D33">
        <w:rPr>
          <w:rFonts w:ascii="Times New Roman" w:hAnsi="Times New Roman" w:cs="Times New Roman"/>
          <w:b w:val="0"/>
          <w:bCs w:val="0"/>
          <w:color w:val="auto"/>
          <w:sz w:val="24"/>
          <w:szCs w:val="24"/>
        </w:rPr>
        <w:t>prawie</w:t>
      </w:r>
      <w:r w:rsidR="00970B2E" w:rsidRPr="00D44D33">
        <w:rPr>
          <w:rFonts w:ascii="Times New Roman" w:hAnsi="Times New Roman" w:cs="Times New Roman"/>
          <w:b w:val="0"/>
          <w:bCs w:val="0"/>
          <w:color w:val="auto"/>
          <w:sz w:val="24"/>
          <w:szCs w:val="24"/>
        </w:rPr>
        <w:t xml:space="preserve"> </w:t>
      </w:r>
      <w:r w:rsidR="0B82E537" w:rsidRPr="00D44D33">
        <w:rPr>
          <w:rFonts w:ascii="Times New Roman" w:hAnsi="Times New Roman" w:cs="Times New Roman"/>
          <w:b w:val="0"/>
          <w:bCs w:val="0"/>
          <w:color w:val="auto"/>
          <w:sz w:val="24"/>
          <w:szCs w:val="24"/>
        </w:rPr>
        <w:t>9%</w:t>
      </w:r>
      <w:r w:rsidR="00970B2E" w:rsidRPr="00D44D33">
        <w:rPr>
          <w:rFonts w:ascii="Times New Roman" w:hAnsi="Times New Roman" w:cs="Times New Roman"/>
          <w:b w:val="0"/>
          <w:bCs w:val="0"/>
          <w:color w:val="auto"/>
          <w:sz w:val="24"/>
          <w:szCs w:val="24"/>
        </w:rPr>
        <w:t xml:space="preserve"> </w:t>
      </w:r>
      <w:r w:rsidR="5EE21CA0" w:rsidRPr="00D44D33">
        <w:rPr>
          <w:rFonts w:ascii="Times New Roman" w:hAnsi="Times New Roman" w:cs="Times New Roman"/>
          <w:b w:val="0"/>
          <w:bCs w:val="0"/>
          <w:color w:val="auto"/>
          <w:sz w:val="24"/>
          <w:szCs w:val="24"/>
        </w:rPr>
        <w:t>(</w:t>
      </w:r>
      <w:r w:rsidR="5EE21CA0" w:rsidRPr="00482725">
        <w:rPr>
          <w:rFonts w:ascii="Times New Roman" w:hAnsi="Times New Roman" w:cs="Times New Roman"/>
          <w:b w:val="0"/>
          <w:bCs w:val="0"/>
          <w:sz w:val="24"/>
          <w:szCs w:val="24"/>
        </w:rPr>
        <w:t>https://stat.gov.pl/obszary-tematyczne/ceny-handel/wskazniki-cen/wskazniki-cen-towarow-i-uslug-konsumpcyjnych-pot-inflacja-/roczne-wskazniki-cen-towarow-i-uslug-konsumpcyjnych/</w:t>
      </w:r>
      <w:r w:rsidR="5EE21CA0" w:rsidRPr="00D44D33">
        <w:rPr>
          <w:rFonts w:ascii="Times New Roman" w:hAnsi="Times New Roman" w:cs="Times New Roman"/>
          <w:b w:val="0"/>
          <w:bCs w:val="0"/>
          <w:color w:val="auto"/>
          <w:sz w:val="24"/>
          <w:szCs w:val="24"/>
        </w:rPr>
        <w:t>,</w:t>
      </w:r>
      <w:r w:rsidR="000C5BA1" w:rsidRPr="00D44D33">
        <w:rPr>
          <w:rFonts w:ascii="Times New Roman" w:hAnsi="Times New Roman" w:cs="Times New Roman"/>
          <w:b w:val="0"/>
          <w:bCs w:val="0"/>
          <w:color w:val="auto"/>
          <w:sz w:val="24"/>
          <w:szCs w:val="24"/>
        </w:rPr>
        <w:t xml:space="preserve"> </w:t>
      </w:r>
      <w:r w:rsidR="0062500A" w:rsidRPr="00482725">
        <w:rPr>
          <w:rFonts w:ascii="Times New Roman" w:hAnsi="Times New Roman" w:cs="Times New Roman"/>
          <w:b w:val="0"/>
          <w:bCs w:val="0"/>
          <w:sz w:val="24"/>
          <w:szCs w:val="24"/>
        </w:rPr>
        <w:t>https://www.podatki.gov.pl/kalkulatory-podatkowe/kalkulator-inflacji</w:t>
      </w:r>
      <w:r w:rsidR="5EE21CA0" w:rsidRPr="00D44D33">
        <w:rPr>
          <w:rFonts w:ascii="Times New Roman" w:hAnsi="Times New Roman" w:cs="Times New Roman"/>
          <w:b w:val="0"/>
          <w:bCs w:val="0"/>
          <w:color w:val="auto"/>
          <w:sz w:val="24"/>
          <w:szCs w:val="24"/>
        </w:rPr>
        <w:t>)</w:t>
      </w:r>
      <w:r w:rsidR="0062500A" w:rsidRPr="00D44D33">
        <w:rPr>
          <w:rFonts w:ascii="Times New Roman" w:hAnsi="Times New Roman" w:cs="Times New Roman"/>
          <w:b w:val="0"/>
          <w:bCs w:val="0"/>
          <w:color w:val="auto"/>
          <w:sz w:val="24"/>
          <w:szCs w:val="24"/>
        </w:rPr>
        <w:t>.</w:t>
      </w:r>
    </w:p>
    <w:p w14:paraId="1E535DD6" w14:textId="13525CA2" w:rsidR="00B43AF6" w:rsidRPr="00D44D33" w:rsidRDefault="00B43AF6" w:rsidP="00D44D33">
      <w:pPr>
        <w:pStyle w:val="h1chapter"/>
        <w:spacing w:before="120" w:after="120" w:line="360" w:lineRule="auto"/>
        <w:jc w:val="both"/>
        <w:rPr>
          <w:rFonts w:ascii="Times New Roman" w:hAnsi="Times New Roman" w:cs="Times New Roman"/>
          <w:b w:val="0"/>
          <w:bCs w:val="0"/>
          <w:color w:val="auto"/>
          <w:sz w:val="24"/>
          <w:szCs w:val="24"/>
          <w:lang w:eastAsia="en-US"/>
        </w:rPr>
      </w:pPr>
      <w:r w:rsidRPr="00D44D33">
        <w:rPr>
          <w:rFonts w:ascii="Times New Roman" w:hAnsi="Times New Roman" w:cs="Times New Roman"/>
          <w:b w:val="0"/>
          <w:bCs w:val="0"/>
          <w:color w:val="auto"/>
          <w:sz w:val="24"/>
          <w:szCs w:val="24"/>
          <w:lang w:eastAsia="en-US"/>
        </w:rPr>
        <w:lastRenderedPageBreak/>
        <w:t>Zachowano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także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przewidziane</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już</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ustawie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Pt</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przepisy</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określające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sytuacje,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których</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limit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ulega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obniżeniu</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50%</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oraz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sytuacje</w:t>
      </w:r>
      <w:r w:rsidR="41DF31D5"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kiedy</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ze</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względu</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sposób</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wykorzystywania</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widma,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pobiera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się</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000D50E3" w:rsidRPr="00D44D33">
        <w:rPr>
          <w:rFonts w:ascii="Times New Roman" w:hAnsi="Times New Roman" w:cs="Times New Roman"/>
          <w:b w:val="0"/>
          <w:bCs w:val="0"/>
          <w:color w:val="auto"/>
          <w:sz w:val="24"/>
          <w:szCs w:val="24"/>
          <w:lang w:eastAsia="en-US"/>
        </w:rPr>
        <w:t>ogóle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prawo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częstotliwością.</w:t>
      </w:r>
    </w:p>
    <w:p w14:paraId="7F439F13" w14:textId="096D12C6" w:rsidR="000D50E3" w:rsidRPr="00D44D33" w:rsidRDefault="000D50E3" w:rsidP="00D44D33">
      <w:pPr>
        <w:pStyle w:val="h1chapter"/>
        <w:spacing w:before="120" w:after="120" w:line="360" w:lineRule="auto"/>
        <w:jc w:val="both"/>
        <w:rPr>
          <w:rFonts w:ascii="Times New Roman" w:hAnsi="Times New Roman" w:cs="Times New Roman"/>
          <w:b w:val="0"/>
          <w:bCs w:val="0"/>
          <w:color w:val="auto"/>
          <w:sz w:val="24"/>
          <w:szCs w:val="24"/>
          <w:lang w:eastAsia="en-US"/>
        </w:rPr>
      </w:pP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drodze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rozporządzenia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Rady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Ministrów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zostanie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także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uregulowana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wysokość,</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termin</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sposób</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uiszczania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przypadku</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przez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użytkowników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rządowych.</w:t>
      </w:r>
    </w:p>
    <w:p w14:paraId="603A8EEA" w14:textId="2A0437A8" w:rsidR="000D50E3" w:rsidRPr="00D44D33" w:rsidRDefault="000D50E3" w:rsidP="00D44D33">
      <w:pPr>
        <w:pStyle w:val="h1chapter"/>
        <w:spacing w:before="120" w:after="120" w:line="360" w:lineRule="auto"/>
        <w:jc w:val="both"/>
        <w:rPr>
          <w:rFonts w:ascii="Times New Roman" w:hAnsi="Times New Roman" w:cs="Times New Roman"/>
          <w:b w:val="0"/>
          <w:bCs w:val="0"/>
          <w:color w:val="auto"/>
          <w:sz w:val="24"/>
          <w:szCs w:val="24"/>
          <w:lang w:eastAsia="en-US"/>
        </w:rPr>
      </w:pP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wniesienia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obowiązane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także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podmioty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nieposiadające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które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uzyskały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prawo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wykorzystywania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pozwoleniu.</w:t>
      </w:r>
    </w:p>
    <w:p w14:paraId="4189A051" w14:textId="369A8BA2" w:rsidR="00E142C4" w:rsidRPr="00D44D33" w:rsidRDefault="3929309C" w:rsidP="00D44D33">
      <w:pPr>
        <w:pStyle w:val="h1chapter"/>
        <w:spacing w:before="120" w:after="120" w:line="360" w:lineRule="auto"/>
        <w:jc w:val="both"/>
        <w:rPr>
          <w:rFonts w:ascii="Times New Roman" w:hAnsi="Times New Roman" w:cs="Times New Roman"/>
          <w:b w:val="0"/>
          <w:bCs w:val="0"/>
          <w:color w:val="auto"/>
          <w:sz w:val="24"/>
          <w:szCs w:val="24"/>
          <w:lang w:eastAsia="en-US"/>
        </w:rPr>
      </w:pPr>
      <w:r w:rsidRPr="00D44D33">
        <w:rPr>
          <w:rFonts w:ascii="Times New Roman" w:hAnsi="Times New Roman" w:cs="Times New Roman"/>
          <w:b w:val="0"/>
          <w:bCs w:val="0"/>
          <w:color w:val="auto"/>
          <w:sz w:val="24"/>
          <w:szCs w:val="24"/>
          <w:lang w:eastAsia="en-US"/>
        </w:rPr>
        <w:t>Należy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zauważyć,</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że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oprócz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obowiązku</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uiszczania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rocznej,</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która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związana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jest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przysługującym</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podmiotowi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prawem</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lub</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wykorzystywania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00425C07" w:rsidRPr="00D44D33">
        <w:rPr>
          <w:rFonts w:ascii="Times New Roman" w:hAnsi="Times New Roman" w:cs="Times New Roman"/>
          <w:b w:val="0"/>
          <w:bCs w:val="0"/>
          <w:color w:val="auto"/>
          <w:sz w:val="24"/>
          <w:szCs w:val="24"/>
          <w:lang w:eastAsia="en-US"/>
        </w:rPr>
        <w:t>Pke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przewiduje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utrzymanie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opłaty</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dodatkowej.</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Zgodnie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ust.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6</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podmiot,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rzecz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którego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dokonano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drodze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pos</w:t>
      </w:r>
      <w:r w:rsidR="4AB5FE60" w:rsidRPr="00D44D33">
        <w:rPr>
          <w:rFonts w:ascii="Times New Roman" w:hAnsi="Times New Roman" w:cs="Times New Roman"/>
          <w:b w:val="0"/>
          <w:bCs w:val="0"/>
          <w:color w:val="auto"/>
          <w:sz w:val="24"/>
          <w:szCs w:val="24"/>
          <w:lang w:eastAsia="en-US"/>
        </w:rPr>
        <w:t>t</w:t>
      </w:r>
      <w:r w:rsidR="529B7EA6" w:rsidRPr="00D44D33">
        <w:rPr>
          <w:rFonts w:ascii="Times New Roman" w:hAnsi="Times New Roman" w:cs="Times New Roman"/>
          <w:b w:val="0"/>
          <w:bCs w:val="0"/>
          <w:color w:val="auto"/>
          <w:sz w:val="24"/>
          <w:szCs w:val="24"/>
          <w:lang w:eastAsia="en-US"/>
        </w:rPr>
        <w:t>ępowania</w:t>
      </w:r>
      <w:r w:rsidR="00970B2E" w:rsidRPr="00D44D33">
        <w:rPr>
          <w:rFonts w:ascii="Times New Roman" w:hAnsi="Times New Roman" w:cs="Times New Roman"/>
          <w:b w:val="0"/>
          <w:bCs w:val="0"/>
          <w:color w:val="auto"/>
          <w:sz w:val="24"/>
          <w:szCs w:val="24"/>
          <w:lang w:eastAsia="en-US"/>
        </w:rPr>
        <w:t xml:space="preserve"> </w:t>
      </w:r>
      <w:r w:rsidR="529B7EA6" w:rsidRPr="00D44D33">
        <w:rPr>
          <w:rFonts w:ascii="Times New Roman" w:hAnsi="Times New Roman" w:cs="Times New Roman"/>
          <w:b w:val="0"/>
          <w:bCs w:val="0"/>
          <w:color w:val="auto"/>
          <w:sz w:val="24"/>
          <w:szCs w:val="24"/>
          <w:lang w:eastAsia="en-US"/>
        </w:rPr>
        <w:t>rezerwacyjnego</w:t>
      </w:r>
      <w:r w:rsidR="00970B2E" w:rsidRPr="00D44D33">
        <w:rPr>
          <w:rFonts w:ascii="Times New Roman" w:hAnsi="Times New Roman" w:cs="Times New Roman"/>
          <w:b w:val="0"/>
          <w:bCs w:val="0"/>
          <w:color w:val="auto"/>
          <w:sz w:val="24"/>
          <w:szCs w:val="24"/>
          <w:lang w:eastAsia="en-US"/>
        </w:rPr>
        <w:t xml:space="preserve"> </w:t>
      </w:r>
      <w:r w:rsidR="529B7EA6" w:rsidRPr="00D44D33">
        <w:rPr>
          <w:rFonts w:ascii="Times New Roman" w:hAnsi="Times New Roman" w:cs="Times New Roman"/>
          <w:b w:val="0"/>
          <w:bCs w:val="0"/>
          <w:color w:val="auto"/>
          <w:sz w:val="24"/>
          <w:szCs w:val="24"/>
          <w:lang w:eastAsia="en-US"/>
        </w:rPr>
        <w:t>po</w:t>
      </w:r>
      <w:r w:rsidR="00970B2E" w:rsidRPr="00D44D33">
        <w:rPr>
          <w:rFonts w:ascii="Times New Roman" w:hAnsi="Times New Roman" w:cs="Times New Roman"/>
          <w:b w:val="0"/>
          <w:bCs w:val="0"/>
          <w:color w:val="auto"/>
          <w:sz w:val="24"/>
          <w:szCs w:val="24"/>
          <w:lang w:eastAsia="en-US"/>
        </w:rPr>
        <w:t xml:space="preserve"> </w:t>
      </w:r>
      <w:r w:rsidR="529B7EA6" w:rsidRPr="00D44D33">
        <w:rPr>
          <w:rFonts w:ascii="Times New Roman" w:hAnsi="Times New Roman" w:cs="Times New Roman"/>
          <w:b w:val="0"/>
          <w:bCs w:val="0"/>
          <w:color w:val="auto"/>
          <w:sz w:val="24"/>
          <w:szCs w:val="24"/>
          <w:lang w:eastAsia="en-US"/>
        </w:rPr>
        <w:t>postę</w:t>
      </w:r>
      <w:r w:rsidR="4AB5FE60" w:rsidRPr="00D44D33">
        <w:rPr>
          <w:rFonts w:ascii="Times New Roman" w:hAnsi="Times New Roman" w:cs="Times New Roman"/>
          <w:b w:val="0"/>
          <w:bCs w:val="0"/>
          <w:color w:val="auto"/>
          <w:sz w:val="24"/>
          <w:szCs w:val="24"/>
          <w:lang w:eastAsia="en-US"/>
        </w:rPr>
        <w:t>powaniu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selekcyjnym</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uiszcza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dodatkową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opłatę</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dokonanie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terminie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14</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dni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od</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doręczenia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decyzji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sprawie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4AB5FE60"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kwocie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zadeklarowanej</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postępowaniu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selekcyjnym</w:t>
      </w:r>
      <w:r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niższej</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niż</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opłata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roczna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prawo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dysponowania</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częstotliwością,</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ustalonej</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zgodnie</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z</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warunkami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podanymi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Tak</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samo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podmiot</w:t>
      </w:r>
      <w:r w:rsidR="1E9979D6" w:rsidRPr="00D44D33">
        <w:rPr>
          <w:rFonts w:ascii="Times New Roman" w:hAnsi="Times New Roman" w:cs="Times New Roman"/>
          <w:b w:val="0"/>
          <w:bCs w:val="0"/>
          <w:color w:val="auto"/>
          <w:sz w:val="24"/>
          <w:szCs w:val="24"/>
          <w:lang w:eastAsia="en-US"/>
        </w:rPr>
        <w: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rzecz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którego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dokonano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kolejny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okres</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jest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obowiązany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lastRenderedPageBreak/>
        <w:t>uiścić,</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terminie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14</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dni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od</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doręczenia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decyzji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sprawie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jednorazową</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opłatę</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dokonanie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kolejny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okres.</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takim</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przypadku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opłata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będzie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stanowić</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iloczyn</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wartości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szerokości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1</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MHz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dla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takiego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samego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obszaru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wykorzystania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uzyskanej</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wyniku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przeprowadzonego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ostatniego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postępowania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selekcyjnego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danego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zakresu,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ilości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widma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objętego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rezerwacją</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kolejny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okres</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oraz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średniorocznych</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wskaźników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cen</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towarów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usług</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konsumpcyjnych</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ogółem</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ogłaszanych</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przez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Prezesa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Głównego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Urzędu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Statystycznego.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Opłatę</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określa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się</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proporcjonalnie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okresu,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jaki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dokonywana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jest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Natomiast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przypadku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złożenia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wniosku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dokonanie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kolejny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okres</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zakresu,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dla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którego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było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wcześniej</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przep</w:t>
      </w:r>
      <w:r w:rsidR="529B7EA6" w:rsidRPr="00D44D33">
        <w:rPr>
          <w:rFonts w:ascii="Times New Roman" w:hAnsi="Times New Roman" w:cs="Times New Roman"/>
          <w:b w:val="0"/>
          <w:bCs w:val="0"/>
          <w:color w:val="auto"/>
          <w:sz w:val="24"/>
          <w:szCs w:val="24"/>
          <w:lang w:eastAsia="en-US"/>
        </w:rPr>
        <w:t>rowadzone</w:t>
      </w:r>
      <w:r w:rsidR="00970B2E" w:rsidRPr="00D44D33">
        <w:rPr>
          <w:rFonts w:ascii="Times New Roman" w:hAnsi="Times New Roman" w:cs="Times New Roman"/>
          <w:b w:val="0"/>
          <w:bCs w:val="0"/>
          <w:color w:val="auto"/>
          <w:sz w:val="24"/>
          <w:szCs w:val="24"/>
          <w:lang w:eastAsia="en-US"/>
        </w:rPr>
        <w:t xml:space="preserve"> </w:t>
      </w:r>
      <w:r w:rsidR="529B7EA6" w:rsidRPr="00D44D33">
        <w:rPr>
          <w:rFonts w:ascii="Times New Roman" w:hAnsi="Times New Roman" w:cs="Times New Roman"/>
          <w:b w:val="0"/>
          <w:bCs w:val="0"/>
          <w:color w:val="auto"/>
          <w:sz w:val="24"/>
          <w:szCs w:val="24"/>
          <w:lang w:eastAsia="en-US"/>
        </w:rPr>
        <w:t>i</w:t>
      </w:r>
      <w:r w:rsidR="00970B2E" w:rsidRPr="00D44D33">
        <w:rPr>
          <w:rFonts w:ascii="Times New Roman" w:hAnsi="Times New Roman" w:cs="Times New Roman"/>
          <w:b w:val="0"/>
          <w:bCs w:val="0"/>
          <w:color w:val="auto"/>
          <w:sz w:val="24"/>
          <w:szCs w:val="24"/>
          <w:lang w:eastAsia="en-US"/>
        </w:rPr>
        <w:t xml:space="preserve"> </w:t>
      </w:r>
      <w:r w:rsidR="529B7EA6" w:rsidRPr="00D44D33">
        <w:rPr>
          <w:rFonts w:ascii="Times New Roman" w:hAnsi="Times New Roman" w:cs="Times New Roman"/>
          <w:b w:val="0"/>
          <w:bCs w:val="0"/>
          <w:color w:val="auto"/>
          <w:sz w:val="24"/>
          <w:szCs w:val="24"/>
          <w:lang w:eastAsia="en-US"/>
        </w:rPr>
        <w:t>rozstrzygnięte</w:t>
      </w:r>
      <w:r w:rsidR="00970B2E" w:rsidRPr="00D44D33">
        <w:rPr>
          <w:rFonts w:ascii="Times New Roman" w:hAnsi="Times New Roman" w:cs="Times New Roman"/>
          <w:b w:val="0"/>
          <w:bCs w:val="0"/>
          <w:color w:val="auto"/>
          <w:sz w:val="24"/>
          <w:szCs w:val="24"/>
          <w:lang w:eastAsia="en-US"/>
        </w:rPr>
        <w:t xml:space="preserve"> </w:t>
      </w:r>
      <w:r w:rsidR="529B7EA6" w:rsidRPr="00D44D33">
        <w:rPr>
          <w:rFonts w:ascii="Times New Roman" w:hAnsi="Times New Roman" w:cs="Times New Roman"/>
          <w:b w:val="0"/>
          <w:bCs w:val="0"/>
          <w:color w:val="auto"/>
          <w:sz w:val="24"/>
          <w:szCs w:val="24"/>
          <w:lang w:eastAsia="en-US"/>
        </w:rPr>
        <w:t>postę</w:t>
      </w:r>
      <w:r w:rsidR="4AB5FE60" w:rsidRPr="00D44D33">
        <w:rPr>
          <w:rFonts w:ascii="Times New Roman" w:hAnsi="Times New Roman" w:cs="Times New Roman"/>
          <w:b w:val="0"/>
          <w:bCs w:val="0"/>
          <w:color w:val="auto"/>
          <w:sz w:val="24"/>
          <w:szCs w:val="24"/>
          <w:lang w:eastAsia="en-US"/>
        </w:rPr>
        <w:t>powanie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selekcyjne,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kwotę</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opłaty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ustala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Prezes</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UKE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podstawie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opinii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powołanego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przez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siebie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biegłego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lub</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biegłych.</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Koszt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opinii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biegłego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lub</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biegłych</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ponosi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podmiot,</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który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złożył</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wniosek</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odnowienie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rezerwacji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częstotliwości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na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kolejny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okres,</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terminie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14</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dni</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od</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dnia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zawiadomienia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wnioskodawcy</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przez</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Prezesa</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UKE</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sporządzeniu</w:t>
      </w:r>
      <w:r w:rsidR="00970B2E" w:rsidRPr="00D44D33">
        <w:rPr>
          <w:rFonts w:ascii="Times New Roman" w:hAnsi="Times New Roman" w:cs="Times New Roman"/>
          <w:b w:val="0"/>
          <w:bCs w:val="0"/>
          <w:color w:val="auto"/>
          <w:sz w:val="24"/>
          <w:szCs w:val="24"/>
          <w:lang w:eastAsia="en-US"/>
        </w:rPr>
        <w:t xml:space="preserve"> </w:t>
      </w:r>
      <w:r w:rsidR="4AB5FE60" w:rsidRPr="00D44D33">
        <w:rPr>
          <w:rFonts w:ascii="Times New Roman" w:hAnsi="Times New Roman" w:cs="Times New Roman"/>
          <w:b w:val="0"/>
          <w:bCs w:val="0"/>
          <w:color w:val="auto"/>
          <w:sz w:val="24"/>
          <w:szCs w:val="24"/>
          <w:lang w:eastAsia="en-US"/>
        </w:rPr>
        <w:t>opinii.</w:t>
      </w:r>
    </w:p>
    <w:p w14:paraId="06C48DA5" w14:textId="7B525C46" w:rsidR="4E639384" w:rsidRPr="00D44D33" w:rsidRDefault="4E639384" w:rsidP="00D44D33">
      <w:pPr>
        <w:spacing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Przewiduje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objętego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zastąpi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obowiązującą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skarbową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wynosiła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65%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przeciętnego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wynagrodzenia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narodowej,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ostatnim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Urzędu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Statystycznego,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1998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emeryturach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rentach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Funduszu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Ubezpieczeń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Społecznych</w:t>
      </w:r>
      <w:r w:rsidR="00F72DAB"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oznacza,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wyższa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skarbowej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wynoszącej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1939</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Istotn</w:t>
      </w:r>
      <w:r w:rsidR="365C205B" w:rsidRPr="00D44D33">
        <w:rPr>
          <w:rFonts w:ascii="Times New Roman" w:eastAsia="Times New Roman" w:hAnsi="Times New Roman" w:cs="Times New Roman"/>
          <w:sz w:val="24"/>
          <w:szCs w:val="24"/>
        </w:rPr>
        <w:t>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oplata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zasadniczo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stanowiła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przychód</w:t>
      </w:r>
      <w:r w:rsidR="00970B2E" w:rsidRPr="00D44D33">
        <w:rPr>
          <w:rFonts w:ascii="Times New Roman" w:eastAsia="Times New Roman" w:hAnsi="Times New Roman" w:cs="Times New Roman"/>
          <w:sz w:val="24"/>
          <w:szCs w:val="24"/>
        </w:rPr>
        <w:t xml:space="preserve"> </w:t>
      </w:r>
      <w:r w:rsidR="003D5F8E" w:rsidRPr="00D44D33">
        <w:rPr>
          <w:rFonts w:ascii="Times New Roman" w:eastAsia="Times New Roman" w:hAnsi="Times New Roman" w:cs="Times New Roman"/>
          <w:sz w:val="24"/>
          <w:szCs w:val="24"/>
        </w:rPr>
        <w:t>Funduszu</w:t>
      </w:r>
      <w:r w:rsidR="00970B2E" w:rsidRPr="00D44D33">
        <w:rPr>
          <w:rFonts w:ascii="Times New Roman" w:eastAsia="Times New Roman" w:hAnsi="Times New Roman" w:cs="Times New Roman"/>
          <w:sz w:val="24"/>
          <w:szCs w:val="24"/>
        </w:rPr>
        <w:t xml:space="preserve"> </w:t>
      </w:r>
      <w:r w:rsidR="003D5F8E" w:rsidRPr="00D44D33">
        <w:rPr>
          <w:rFonts w:ascii="Times New Roman" w:eastAsia="Times New Roman" w:hAnsi="Times New Roman" w:cs="Times New Roman"/>
          <w:sz w:val="24"/>
          <w:szCs w:val="24"/>
        </w:rPr>
        <w:t>Szerokopasmowego</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bazowych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stanowiła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przychód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gminy,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znajduje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stacja.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Dotychczas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skarbowe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pobieranie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Dzielnicy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Warszawy.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Zaproponowana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umożliwi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zatem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finansowanie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części</w:t>
      </w:r>
      <w:r w:rsidR="00970B2E" w:rsidRPr="00D44D33">
        <w:rPr>
          <w:rFonts w:ascii="Times New Roman" w:eastAsia="Times New Roman" w:hAnsi="Times New Roman" w:cs="Times New Roman"/>
          <w:sz w:val="24"/>
          <w:szCs w:val="24"/>
        </w:rPr>
        <w:t xml:space="preserve"> </w:t>
      </w:r>
      <w:r w:rsidR="009548E7" w:rsidRPr="00D44D33">
        <w:rPr>
          <w:rFonts w:ascii="Times New Roman" w:eastAsia="Times New Roman" w:hAnsi="Times New Roman" w:cs="Times New Roman"/>
          <w:sz w:val="24"/>
          <w:szCs w:val="24"/>
        </w:rPr>
        <w:t>działań</w:t>
      </w:r>
      <w:r w:rsidR="00970B2E" w:rsidRPr="00D44D33">
        <w:rPr>
          <w:rFonts w:ascii="Times New Roman" w:eastAsia="Times New Roman" w:hAnsi="Times New Roman" w:cs="Times New Roman"/>
          <w:sz w:val="24"/>
          <w:szCs w:val="24"/>
        </w:rPr>
        <w:t xml:space="preserve"> </w:t>
      </w:r>
      <w:r w:rsidR="009548E7" w:rsidRPr="00D44D33">
        <w:rPr>
          <w:rFonts w:ascii="Times New Roman" w:eastAsia="Times New Roman" w:hAnsi="Times New Roman" w:cs="Times New Roman"/>
          <w:sz w:val="24"/>
          <w:szCs w:val="24"/>
        </w:rPr>
        <w:t>realizowanych</w:t>
      </w:r>
      <w:r w:rsidR="00970B2E" w:rsidRPr="00D44D33">
        <w:rPr>
          <w:rFonts w:ascii="Times New Roman" w:eastAsia="Times New Roman" w:hAnsi="Times New Roman" w:cs="Times New Roman"/>
          <w:sz w:val="24"/>
          <w:szCs w:val="24"/>
        </w:rPr>
        <w:t xml:space="preserve"> </w:t>
      </w:r>
      <w:r w:rsidR="009548E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9548E7"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009548E7" w:rsidRPr="00D44D33">
        <w:rPr>
          <w:rFonts w:ascii="Times New Roman" w:eastAsia="Times New Roman" w:hAnsi="Times New Roman" w:cs="Times New Roman"/>
          <w:sz w:val="24"/>
          <w:szCs w:val="24"/>
        </w:rPr>
        <w:t>Funduszu</w:t>
      </w:r>
      <w:r w:rsidR="00970B2E" w:rsidRPr="00D44D33">
        <w:rPr>
          <w:rFonts w:ascii="Times New Roman" w:eastAsia="Times New Roman" w:hAnsi="Times New Roman" w:cs="Times New Roman"/>
          <w:sz w:val="24"/>
          <w:szCs w:val="24"/>
        </w:rPr>
        <w:t xml:space="preserve"> </w:t>
      </w:r>
      <w:r w:rsidR="009548E7" w:rsidRPr="00D44D33">
        <w:rPr>
          <w:rFonts w:ascii="Times New Roman" w:eastAsia="Times New Roman" w:hAnsi="Times New Roman" w:cs="Times New Roman"/>
          <w:sz w:val="24"/>
          <w:szCs w:val="24"/>
        </w:rPr>
        <w:t>Szerokopasmowego,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wspieranie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gmin,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terenach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znajdują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bazowe.</w:t>
      </w:r>
    </w:p>
    <w:p w14:paraId="0F2BCD2D" w14:textId="33539425" w:rsidR="0062500A" w:rsidRPr="00D44D33" w:rsidRDefault="0062500A" w:rsidP="00D44D33">
      <w:pPr>
        <w:spacing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przejrzystości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jasności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nałożono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001148BE" w:rsidRPr="00D44D33">
        <w:rPr>
          <w:rFonts w:ascii="Times New Roman" w:eastAsia="Times New Roman" w:hAnsi="Times New Roman" w:cs="Times New Roman"/>
          <w:sz w:val="24"/>
          <w:szCs w:val="24"/>
        </w:rPr>
        <w:t>ogłaszania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w:t>
      </w:r>
      <w:r w:rsidR="001148BE" w:rsidRPr="00D44D33">
        <w:rPr>
          <w:rFonts w:ascii="Times New Roman" w:eastAsia="Times New Roman" w:hAnsi="Times New Roman" w:cs="Times New Roman"/>
          <w:sz w:val="24"/>
          <w:szCs w:val="24"/>
        </w:rPr>
        <w:t>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stronie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BIP</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corocznie,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terminie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marca,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wysokości</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opłaty</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prawo</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używania</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urządzenia</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radiowego</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objętego</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F72DAB" w:rsidRPr="00D44D33">
        <w:rPr>
          <w:rFonts w:ascii="Times New Roman" w:hAnsi="Times New Roman" w:cs="Times New Roman"/>
          <w:sz w:val="24"/>
          <w:szCs w:val="24"/>
        </w:rPr>
        <w:t>pozwoleniem.</w:t>
      </w:r>
    </w:p>
    <w:p w14:paraId="57D82030" w14:textId="286718DF" w:rsidR="00E142C4" w:rsidRPr="00D44D33" w:rsidRDefault="000F496D" w:rsidP="00D44D33">
      <w:pPr>
        <w:pStyle w:val="Tekstkomentarza"/>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41F40700" w:rsidRPr="00D44D33">
        <w:rPr>
          <w:rFonts w:ascii="Times New Roman" w:eastAsiaTheme="minorEastAsia" w:hAnsi="Times New Roman" w:cs="Times New Roman"/>
          <w:b/>
          <w:bCs/>
          <w:sz w:val="24"/>
          <w:szCs w:val="24"/>
        </w:rPr>
        <w:t>25</w:t>
      </w:r>
    </w:p>
    <w:p w14:paraId="1957A655" w14:textId="43419BCF" w:rsidR="0037430F" w:rsidRPr="00D44D33" w:rsidRDefault="006B04D5"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maksymalnej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246B4D6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2471F9B3"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2471F9B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471F9B3"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uiszczania</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42A3884C"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1C80102B"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1C80102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C80102B"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42A3884C" w:rsidRPr="00D44D33">
        <w:rPr>
          <w:rFonts w:ascii="Times New Roman" w:eastAsiaTheme="minorEastAsia" w:hAnsi="Times New Roman" w:cs="Times New Roman"/>
          <w:sz w:val="24"/>
          <w:szCs w:val="24"/>
        </w:rPr>
        <w:t>uiszczania</w:t>
      </w:r>
      <w:r w:rsidR="00970B2E" w:rsidRPr="00D44D33">
        <w:rPr>
          <w:rFonts w:ascii="Times New Roman" w:eastAsiaTheme="minorEastAsia" w:hAnsi="Times New Roman" w:cs="Times New Roman"/>
          <w:sz w:val="24"/>
          <w:szCs w:val="24"/>
        </w:rPr>
        <w:t xml:space="preserve"> </w:t>
      </w:r>
      <w:r w:rsidR="42A3884C"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terminów</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uiszczania</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numeracji.</w:t>
      </w:r>
    </w:p>
    <w:p w14:paraId="390F218A" w14:textId="46540A23" w:rsidR="00901DE0" w:rsidRPr="00D44D33" w:rsidRDefault="00F20309"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projektowanym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zdecydowano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podniesieniu</w:t>
      </w:r>
      <w:r w:rsidR="00970B2E" w:rsidRPr="00D44D33">
        <w:rPr>
          <w:rFonts w:ascii="Times New Roman" w:eastAsia="Times New Roman" w:hAnsi="Times New Roman" w:cs="Times New Roman"/>
          <w:sz w:val="24"/>
          <w:szCs w:val="24"/>
        </w:rPr>
        <w:t xml:space="preserve"> </w:t>
      </w:r>
      <w:r w:rsidR="480E222C" w:rsidRPr="00D44D33">
        <w:rPr>
          <w:rFonts w:ascii="Times New Roman" w:eastAsia="Times New Roman" w:hAnsi="Times New Roman" w:cs="Times New Roman"/>
          <w:sz w:val="24"/>
          <w:szCs w:val="24"/>
        </w:rPr>
        <w:t>górnych</w:t>
      </w:r>
      <w:r w:rsidR="00970B2E" w:rsidRPr="00D44D33">
        <w:rPr>
          <w:rFonts w:ascii="Times New Roman" w:eastAsia="Times New Roman" w:hAnsi="Times New Roman" w:cs="Times New Roman"/>
          <w:sz w:val="24"/>
          <w:szCs w:val="24"/>
        </w:rPr>
        <w:t xml:space="preserve"> </w:t>
      </w:r>
      <w:r w:rsidR="6F501160" w:rsidRPr="00D44D33">
        <w:rPr>
          <w:rFonts w:ascii="Times New Roman" w:eastAsia="Times New Roman" w:hAnsi="Times New Roman" w:cs="Times New Roman"/>
          <w:sz w:val="24"/>
          <w:szCs w:val="24"/>
        </w:rPr>
        <w:t>l</w:t>
      </w:r>
      <w:r w:rsidR="00901DE0" w:rsidRPr="00D44D33">
        <w:rPr>
          <w:rFonts w:ascii="Times New Roman" w:eastAsia="Times New Roman" w:hAnsi="Times New Roman" w:cs="Times New Roman"/>
          <w:sz w:val="24"/>
          <w:szCs w:val="24"/>
        </w:rPr>
        <w:t>imit</w:t>
      </w:r>
      <w:r w:rsidR="2D6CBC21" w:rsidRPr="00D44D33">
        <w:rPr>
          <w:rFonts w:ascii="Times New Roman" w:eastAsia="Times New Roman" w:hAnsi="Times New Roman" w:cs="Times New Roman"/>
          <w:sz w:val="24"/>
          <w:szCs w:val="24"/>
        </w:rPr>
        <w:t>ów</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rocznych</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opłat</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prawo</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wykorzystywania</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zasobów</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numeracji</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stosunku</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limitów</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obowiązujących</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lastRenderedPageBreak/>
        <w:t>ustawie</w:t>
      </w:r>
      <w:r w:rsidR="00970B2E" w:rsidRPr="00D44D33">
        <w:rPr>
          <w:rFonts w:ascii="Times New Roman" w:eastAsia="Times New Roman" w:hAnsi="Times New Roman" w:cs="Times New Roman"/>
          <w:sz w:val="24"/>
          <w:szCs w:val="24"/>
        </w:rPr>
        <w:t xml:space="preserve"> </w:t>
      </w:r>
      <w:r w:rsidR="00901DE0" w:rsidRPr="00D44D33">
        <w:rPr>
          <w:rFonts w:ascii="Times New Roman" w:eastAsia="Times New Roman" w:hAnsi="Times New Roman" w:cs="Times New Roman"/>
          <w:sz w:val="24"/>
          <w:szCs w:val="24"/>
        </w:rPr>
        <w:t>Pt</w:t>
      </w:r>
      <w:r w:rsidR="00901DE0"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Część</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maksymalnych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opłat</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wskazano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kwotowo,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pozostałe</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określenie</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wielokrotności</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przeciętnego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wynagrodzenia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gospodarce</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narodowej,</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wskazanego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komunikacie</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Głównego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Urzędu</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Statystycznego,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mowa</w:t>
      </w:r>
      <w:r w:rsidR="00970B2E" w:rsidRPr="00D44D33">
        <w:rPr>
          <w:rFonts w:ascii="Times New Roman" w:hAnsi="Times New Roman" w:cs="Times New Roman"/>
          <w:b/>
          <w:bCs/>
          <w:sz w:val="24"/>
          <w:szCs w:val="24"/>
        </w:rPr>
        <w:t xml:space="preserve"> </w:t>
      </w:r>
      <w:r w:rsidR="00D3278F" w:rsidRPr="00D44D33">
        <w:rPr>
          <w:rFonts w:ascii="Times New Roman" w:hAnsi="Times New Roman" w:cs="Times New Roman"/>
          <w:bCs/>
          <w:sz w:val="24"/>
          <w:szCs w:val="24"/>
        </w:rPr>
        <w:t>w</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20</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lit.</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17</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grudnia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1998</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emeryturach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rentach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Funduszu</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Ubezpieczeń</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Społecznych,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ogłoszonym</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poprzednim</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kalendarzowym.</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Wskazanie</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kwotowe</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pozostawiono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przy</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niższych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opłatach,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zmiany</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odniesieniu</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przeciętnego</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wynagrodzenia</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miałyby</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znikomy</w:t>
      </w:r>
      <w:r w:rsidR="00970B2E" w:rsidRPr="00D44D33">
        <w:rPr>
          <w:rFonts w:ascii="Times New Roman" w:hAnsi="Times New Roman" w:cs="Times New Roman"/>
          <w:sz w:val="24"/>
          <w:szCs w:val="24"/>
        </w:rPr>
        <w:t xml:space="preserve"> </w:t>
      </w:r>
      <w:r w:rsidR="00D3278F" w:rsidRPr="00D44D33">
        <w:rPr>
          <w:rFonts w:ascii="Times New Roman" w:hAnsi="Times New Roman" w:cs="Times New Roman"/>
          <w:sz w:val="24"/>
          <w:szCs w:val="24"/>
        </w:rPr>
        <w:t>wpływ.</w:t>
      </w:r>
    </w:p>
    <w:p w14:paraId="2A53AC73" w14:textId="3B4E31A7" w:rsidR="00901DE0" w:rsidRPr="00D44D33" w:rsidRDefault="00901DE0" w:rsidP="00D44D33">
      <w:pPr>
        <w:pStyle w:val="Tekstkomentarza"/>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Projektodawca,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decydując</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powyższe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zmiany,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wziął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uwagę,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powyższe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limity</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były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zmieniane</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czasu</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uchwalenia</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PT</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2004,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przeciętne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wynagrodzenie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gospodarce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narodowej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ogłaszane</w:t>
      </w:r>
      <w:r w:rsidR="00970B2E" w:rsidRPr="00D44D33">
        <w:rPr>
          <w:rFonts w:ascii="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Urzędu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Statystycznego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1998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emeryturach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rentach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Funduszu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Ubezpieczeń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Społecznych</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wzrosło</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2005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2020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AB76BC" w:rsidRPr="00D44D33">
        <w:rPr>
          <w:rFonts w:ascii="Times New Roman" w:eastAsia="Times New Roman" w:hAnsi="Times New Roman" w:cs="Times New Roman"/>
          <w:sz w:val="24"/>
          <w:szCs w:val="24"/>
        </w:rPr>
        <w:t>117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AB76BC"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00AB76BC" w:rsidRPr="00D44D33">
        <w:rPr>
          <w:rFonts w:ascii="Times New Roman" w:hAnsi="Times New Roman" w:cs="Times New Roman"/>
          <w:sz w:val="24"/>
          <w:szCs w:val="24"/>
        </w:rPr>
        <w:t>380,29</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20</w:t>
      </w:r>
      <w:r w:rsidR="00AB76BC" w:rsidRPr="00D44D33">
        <w:rPr>
          <w:rFonts w:ascii="Times New Roman" w:hAnsi="Times New Roman" w:cs="Times New Roman"/>
          <w:sz w:val="24"/>
          <w:szCs w:val="24"/>
        </w:rPr>
        <w:t>05</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167,47</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2020</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w:t>
      </w:r>
      <w:r w:rsidR="7C6AABC0"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inflacja</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roczna</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pomiędzy</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rokiem</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20</w:t>
      </w:r>
      <w:r w:rsidR="0B5BA2EA" w:rsidRPr="00D44D33">
        <w:rPr>
          <w:rFonts w:ascii="Times New Roman" w:hAnsi="Times New Roman" w:cs="Times New Roman"/>
          <w:sz w:val="24"/>
          <w:szCs w:val="24"/>
        </w:rPr>
        <w:t>0</w:t>
      </w:r>
      <w:r w:rsidR="1F314216"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rokiem</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2020</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wyniosła</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prawie</w:t>
      </w:r>
      <w:r w:rsidR="00970B2E" w:rsidRPr="00D44D33">
        <w:rPr>
          <w:rFonts w:ascii="Times New Roman" w:hAnsi="Times New Roman" w:cs="Times New Roman"/>
          <w:sz w:val="24"/>
          <w:szCs w:val="24"/>
        </w:rPr>
        <w:t xml:space="preserve"> </w:t>
      </w:r>
      <w:r w:rsidR="2909F61D" w:rsidRPr="00D44D33">
        <w:rPr>
          <w:rFonts w:ascii="Times New Roman" w:hAnsi="Times New Roman" w:cs="Times New Roman"/>
          <w:sz w:val="24"/>
          <w:szCs w:val="24"/>
        </w:rPr>
        <w:t>38</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1F314216" w:rsidRPr="00D44D33">
        <w:rPr>
          <w:rFonts w:ascii="Times New Roman" w:hAnsi="Times New Roman" w:cs="Times New Roman"/>
          <w:sz w:val="24"/>
          <w:szCs w:val="24"/>
        </w:rPr>
        <w:t>(</w:t>
      </w:r>
      <w:hyperlink r:id="rId17" w:history="1">
        <w:r w:rsidR="1F314216" w:rsidRPr="00D44D33">
          <w:rPr>
            <w:rStyle w:val="Hipercze"/>
            <w:rFonts w:ascii="Times New Roman" w:hAnsi="Times New Roman" w:cs="Times New Roman"/>
            <w:color w:val="auto"/>
            <w:sz w:val="24"/>
            <w:szCs w:val="24"/>
            <w:u w:val="none"/>
          </w:rPr>
          <w:t>https://stat.gov.pl/obszary-tematyczne/ceny-handel/wskazniki-cen/wskazniki-cen-towarow-i-uslug-konsumpcyjnych-pot-inflacja-/roczne-wskazniki-cen-towarow-i-uslug-konsumpcyjnych/</w:t>
        </w:r>
      </w:hyperlink>
      <w:r w:rsidR="00D15F7E" w:rsidRPr="00D44D33">
        <w:rPr>
          <w:rFonts w:ascii="Times New Roman" w:hAnsi="Times New Roman" w:cs="Times New Roman"/>
          <w:sz w:val="24"/>
          <w:szCs w:val="24"/>
        </w:rPr>
        <w:t>;h</w:t>
      </w:r>
      <w:r w:rsidR="1F314216" w:rsidRPr="00D44D33">
        <w:rPr>
          <w:rFonts w:ascii="Times New Roman" w:hAnsi="Times New Roman" w:cs="Times New Roman"/>
          <w:sz w:val="24"/>
          <w:szCs w:val="24"/>
        </w:rPr>
        <w:t>ttps://www.podatki.gov.pl/kalkulatory-podatkowe/kalkulator-inflacji)</w:t>
      </w:r>
      <w:r w:rsidR="00521C33" w:rsidRPr="00D44D33">
        <w:rPr>
          <w:rFonts w:ascii="Times New Roman" w:hAnsi="Times New Roman" w:cs="Times New Roman"/>
          <w:sz w:val="24"/>
          <w:szCs w:val="24"/>
        </w:rPr>
        <w:t>.</w:t>
      </w:r>
    </w:p>
    <w:p w14:paraId="5294DD00" w14:textId="492EBA86" w:rsidR="008020F2" w:rsidRPr="00D44D33" w:rsidRDefault="0037430F"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uiszcza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rozpoczęty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przysługiwało.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uiszcza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jednorazowo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006351C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351C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51C9" w:rsidRPr="00D44D33">
        <w:rPr>
          <w:rFonts w:ascii="Times New Roman" w:eastAsiaTheme="minorEastAsia" w:hAnsi="Times New Roman" w:cs="Times New Roman"/>
          <w:sz w:val="24"/>
          <w:szCs w:val="24"/>
        </w:rPr>
        <w:t>ratach</w:t>
      </w:r>
      <w:r w:rsidR="00970B2E" w:rsidRPr="00D44D33">
        <w:rPr>
          <w:rFonts w:ascii="Times New Roman" w:eastAsiaTheme="minorEastAsia" w:hAnsi="Times New Roman" w:cs="Times New Roman"/>
          <w:sz w:val="24"/>
          <w:szCs w:val="24"/>
        </w:rPr>
        <w:t xml:space="preserve"> </w:t>
      </w:r>
      <w:r w:rsidR="006351C9" w:rsidRPr="00D44D33">
        <w:rPr>
          <w:rFonts w:ascii="Times New Roman" w:eastAsiaTheme="minorEastAsia" w:hAnsi="Times New Roman" w:cs="Times New Roman"/>
          <w:sz w:val="24"/>
          <w:szCs w:val="24"/>
        </w:rPr>
        <w:t>półrocznych</w:t>
      </w:r>
      <w:r w:rsidR="00970B2E" w:rsidRPr="00D44D33">
        <w:rPr>
          <w:rFonts w:ascii="Times New Roman" w:eastAsiaTheme="minorEastAsia" w:hAnsi="Times New Roman" w:cs="Times New Roman"/>
          <w:sz w:val="24"/>
          <w:szCs w:val="24"/>
        </w:rPr>
        <w:t xml:space="preserve"> </w:t>
      </w:r>
      <w:r w:rsidR="00793DD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93DD6" w:rsidRPr="00D44D33">
        <w:rPr>
          <w:rFonts w:ascii="Times New Roman" w:eastAsiaTheme="minorEastAsia" w:hAnsi="Times New Roman" w:cs="Times New Roman"/>
          <w:sz w:val="24"/>
          <w:szCs w:val="24"/>
        </w:rPr>
        <w:t>4)</w:t>
      </w:r>
      <w:r w:rsidR="006351C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3EF25D6" w14:textId="2CAA9CFF" w:rsidR="006351C9" w:rsidRPr="00D44D33" w:rsidRDefault="006351C9" w:rsidP="00D44D33">
      <w:pPr>
        <w:pStyle w:val="Tekstkomentarza"/>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mimo</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37430F"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uiścić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opłatę</w:t>
      </w:r>
      <w:r w:rsidR="00970B2E" w:rsidRPr="00D44D33">
        <w:rPr>
          <w:rFonts w:ascii="Times New Roman" w:eastAsiaTheme="minorEastAsia" w:hAnsi="Times New Roman" w:cs="Times New Roman"/>
          <w:sz w:val="24"/>
          <w:szCs w:val="24"/>
        </w:rPr>
        <w:t xml:space="preserve"> </w:t>
      </w:r>
      <w:r w:rsidR="00E013CA" w:rsidRPr="00D44D33">
        <w:rPr>
          <w:rFonts w:ascii="Times New Roman" w:eastAsiaTheme="minorEastAsia" w:hAnsi="Times New Roman" w:cs="Times New Roman"/>
          <w:sz w:val="24"/>
          <w:szCs w:val="24"/>
        </w:rPr>
        <w:t>obejmującą</w:t>
      </w:r>
      <w:r w:rsidR="00970B2E" w:rsidRPr="00D44D33">
        <w:rPr>
          <w:rFonts w:ascii="Times New Roman" w:eastAsiaTheme="minorEastAsia" w:hAnsi="Times New Roman" w:cs="Times New Roman"/>
          <w:sz w:val="24"/>
          <w:szCs w:val="24"/>
        </w:rPr>
        <w:t xml:space="preserve"> </w:t>
      </w:r>
      <w:r w:rsidR="00E013CA" w:rsidRPr="00D44D33">
        <w:rPr>
          <w:rFonts w:ascii="Times New Roman" w:eastAsiaTheme="minorEastAsia" w:hAnsi="Times New Roman" w:cs="Times New Roman"/>
          <w:sz w:val="24"/>
          <w:szCs w:val="24"/>
        </w:rPr>
        <w:t>pełny</w:t>
      </w:r>
      <w:r w:rsidR="00970B2E" w:rsidRPr="00D44D33">
        <w:rPr>
          <w:rFonts w:ascii="Times New Roman" w:eastAsiaTheme="minorEastAsia" w:hAnsi="Times New Roman" w:cs="Times New Roman"/>
          <w:sz w:val="24"/>
          <w:szCs w:val="24"/>
        </w:rPr>
        <w:t xml:space="preserve"> </w:t>
      </w:r>
      <w:r w:rsidR="00E013CA"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00E013CA" w:rsidRPr="00D44D33">
        <w:rPr>
          <w:rFonts w:ascii="Times New Roman" w:eastAsiaTheme="minorEastAsia" w:hAnsi="Times New Roman" w:cs="Times New Roman"/>
          <w:sz w:val="24"/>
          <w:szCs w:val="24"/>
        </w:rPr>
        <w:t>kalendarzowy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bCs/>
          <w:sz w:val="24"/>
          <w:szCs w:val="24"/>
          <w:lang w:eastAsia="pl-PL"/>
        </w:rPr>
        <w:t xml:space="preserve"> </w:t>
      </w:r>
      <w:r w:rsidRPr="00D44D33">
        <w:rPr>
          <w:rFonts w:ascii="Times New Roman" w:eastAsiaTheme="minorEastAsia" w:hAnsi="Times New Roman" w:cs="Times New Roman"/>
          <w:bCs/>
          <w:sz w:val="24"/>
          <w:szCs w:val="24"/>
        </w:rPr>
        <w:t>nieefektywne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wykorzystywanie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przyznanych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numeracji,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brak</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uruchomienia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danym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numerze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terminie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12</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miesięcy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otrzymania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decyzji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przyznaniu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prawa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w:t>
      </w:r>
      <w:bookmarkStart w:id="1" w:name="mip44758641"/>
      <w:bookmarkEnd w:id="1"/>
      <w:r w:rsidRPr="00D44D33">
        <w:rPr>
          <w:rFonts w:ascii="Times New Roman" w:eastAsiaTheme="minorEastAsia" w:hAnsi="Times New Roman" w:cs="Times New Roman"/>
          <w:bCs/>
          <w:sz w:val="24"/>
          <w:szCs w:val="24"/>
        </w:rPr>
        <w:t>racji,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wykorzystywanie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numeracji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sposób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niezgodny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warunkami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przyznania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numeracji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przeznaczeniem,</w:t>
      </w:r>
      <w:bookmarkStart w:id="2" w:name="mip44758642"/>
      <w:bookmarkEnd w:id="2"/>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brak</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wnoszenia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opłat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prawo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8020F2"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numeracji</w:t>
      </w:r>
      <w:bookmarkStart w:id="3" w:name="mip44758643"/>
      <w:bookmarkEnd w:id="3"/>
      <w:r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zaistnienie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bezpośredniego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zagrożenia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naruszenia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interoperacyjności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ciągłości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telekomunikacyjnych</w:t>
      </w:r>
      <w:r w:rsidR="008020F2"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lang w:eastAsia="pl-PL"/>
        </w:rPr>
        <w:t xml:space="preserve"> </w:t>
      </w:r>
      <w:r w:rsidR="00793DD6" w:rsidRPr="00D44D33">
        <w:rPr>
          <w:rFonts w:ascii="Times New Roman" w:eastAsiaTheme="minorEastAsia" w:hAnsi="Times New Roman" w:cs="Times New Roman"/>
          <w:bCs/>
          <w:sz w:val="24"/>
          <w:szCs w:val="24"/>
        </w:rPr>
        <w:t>Zgodnie</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6</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obowiązek</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uiszczania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opłat</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prawo</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numeracji</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ustaje</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później</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niż</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upływem</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30</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dni</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daty</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złożenia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wniosku</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E013CA" w:rsidRPr="00D44D33">
        <w:rPr>
          <w:rFonts w:ascii="Times New Roman" w:eastAsiaTheme="minorEastAsia" w:hAnsi="Times New Roman" w:cs="Times New Roman"/>
          <w:bCs/>
          <w:sz w:val="24"/>
          <w:szCs w:val="24"/>
        </w:rPr>
        <w:t>rezygnację</w:t>
      </w:r>
      <w:r w:rsidR="00970B2E" w:rsidRPr="00D44D33">
        <w:rPr>
          <w:rFonts w:ascii="Times New Roman" w:eastAsiaTheme="minorEastAsia" w:hAnsi="Times New Roman" w:cs="Times New Roman"/>
          <w:bCs/>
          <w:sz w:val="24"/>
          <w:szCs w:val="24"/>
        </w:rPr>
        <w:t xml:space="preserve"> </w:t>
      </w:r>
      <w:r w:rsidR="00E013CA"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prawa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tej</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numeracji.</w:t>
      </w:r>
    </w:p>
    <w:p w14:paraId="788B5E9A" w14:textId="4DDE979A" w:rsidR="007554D4" w:rsidRPr="00D44D33" w:rsidRDefault="00793DD6" w:rsidP="00D44D33">
      <w:pPr>
        <w:pStyle w:val="Tekstkomentarza"/>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425C07" w:rsidRPr="00D44D33">
        <w:rPr>
          <w:rFonts w:ascii="Times New Roman" w:eastAsiaTheme="minorEastAsia" w:hAnsi="Times New Roman" w:cs="Times New Roman"/>
          <w:bCs/>
          <w:sz w:val="24"/>
          <w:szCs w:val="24"/>
        </w:rPr>
        <w:t>9</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zawarta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została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delegacja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ustawowa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w:t>
      </w:r>
      <w:r w:rsidR="00C7428D" w:rsidRPr="00D44D33">
        <w:rPr>
          <w:rFonts w:ascii="Times New Roman" w:eastAsiaTheme="minorEastAsia" w:hAnsi="Times New Roman" w:cs="Times New Roman"/>
          <w:bCs/>
          <w:sz w:val="24"/>
          <w:szCs w:val="24"/>
        </w:rPr>
        <w:t>la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ministra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właściwego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spraw</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informatyzacji</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wydania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porozumieniu</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ministrem</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właściwym</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spraw</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finansów</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rozporządzenia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określającego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wysokość,</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terminy</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sposoby</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uiszczania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opłat</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prawo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00C7428D" w:rsidRPr="00D44D33">
        <w:rPr>
          <w:rFonts w:ascii="Times New Roman" w:eastAsiaTheme="minorEastAsia" w:hAnsi="Times New Roman" w:cs="Times New Roman"/>
          <w:bCs/>
          <w:sz w:val="24"/>
          <w:szCs w:val="24"/>
        </w:rPr>
        <w:t>numeracji.</w:t>
      </w:r>
    </w:p>
    <w:p w14:paraId="3ED66136" w14:textId="1708C4C6" w:rsidR="00BD1543" w:rsidRPr="00D44D33" w:rsidRDefault="000F496D" w:rsidP="00D44D33">
      <w:pPr>
        <w:pStyle w:val="Tekstkomentarza"/>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D419DC6" w:rsidRPr="00D44D33">
        <w:rPr>
          <w:rFonts w:ascii="Times New Roman" w:eastAsiaTheme="minorEastAsia" w:hAnsi="Times New Roman" w:cs="Times New Roman"/>
          <w:b/>
          <w:bCs/>
          <w:sz w:val="24"/>
          <w:szCs w:val="24"/>
        </w:rPr>
        <w:t>26</w:t>
      </w:r>
    </w:p>
    <w:p w14:paraId="404C021E" w14:textId="4B9853C3" w:rsidR="00BD1543" w:rsidRPr="00D44D33" w:rsidRDefault="0DB794BF"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BD8709E" w:rsidRPr="00D44D33">
        <w:rPr>
          <w:rFonts w:ascii="Times New Roman" w:eastAsiaTheme="minorEastAsia" w:hAnsi="Times New Roman" w:cs="Times New Roman"/>
          <w:sz w:val="24"/>
          <w:szCs w:val="24"/>
        </w:rPr>
        <w:t>23</w:t>
      </w:r>
      <w:r w:rsidR="0071302C" w:rsidRPr="00D44D33">
        <w:rPr>
          <w:rFonts w:ascii="Times New Roman" w:eastAsiaTheme="minorEastAsia" w:hAnsi="Times New Roman" w:cs="Times New Roman"/>
          <w:sz w:val="24"/>
          <w:szCs w:val="24"/>
        </w:rPr>
        <w:t>–</w:t>
      </w:r>
      <w:r w:rsidR="2ABF9504"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28CF3D1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D35CE68"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7D35CE68"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7D35CE6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25C07" w:rsidRPr="00D44D33">
        <w:rPr>
          <w:rFonts w:ascii="Times New Roman" w:eastAsiaTheme="minorEastAsia" w:hAnsi="Times New Roman" w:cs="Times New Roman"/>
          <w:sz w:val="24"/>
          <w:szCs w:val="24"/>
        </w:rPr>
        <w:t xml:space="preserve">reguluje obecnie </w:t>
      </w:r>
      <w:r w:rsidR="7D35CE68" w:rsidRPr="00D44D33">
        <w:rPr>
          <w:rFonts w:ascii="Times New Roman" w:eastAsiaTheme="minorEastAsia" w:hAnsi="Times New Roman" w:cs="Times New Roman"/>
          <w:sz w:val="24"/>
          <w:szCs w:val="24"/>
        </w:rPr>
        <w:t>Pt</w:t>
      </w:r>
      <w:r w:rsidR="55C7A0C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pobierane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materialno-technicznej.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budżetu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0005164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AEEC888"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2AEEC888" w:rsidRPr="00D44D33">
        <w:rPr>
          <w:rFonts w:ascii="Times New Roman" w:eastAsiaTheme="minorEastAsia" w:hAnsi="Times New Roman" w:cs="Times New Roman"/>
          <w:sz w:val="24"/>
          <w:szCs w:val="24"/>
        </w:rPr>
        <w:t>Funduszu</w:t>
      </w:r>
      <w:r w:rsidR="00970B2E" w:rsidRPr="00D44D33">
        <w:rPr>
          <w:rFonts w:ascii="Times New Roman" w:eastAsiaTheme="minorEastAsia" w:hAnsi="Times New Roman" w:cs="Times New Roman"/>
          <w:sz w:val="24"/>
          <w:szCs w:val="24"/>
        </w:rPr>
        <w:t xml:space="preserve"> </w:t>
      </w:r>
      <w:r w:rsidR="2AEEC888" w:rsidRPr="00D44D33">
        <w:rPr>
          <w:rFonts w:ascii="Times New Roman" w:eastAsiaTheme="minorEastAsia" w:hAnsi="Times New Roman" w:cs="Times New Roman"/>
          <w:sz w:val="24"/>
          <w:szCs w:val="24"/>
        </w:rPr>
        <w:t>Szerokopasmowego</w:t>
      </w:r>
      <w:r w:rsidR="00051647" w:rsidRPr="00D44D33">
        <w:rPr>
          <w:rFonts w:ascii="Times New Roman" w:eastAsiaTheme="minorEastAsia" w:hAnsi="Times New Roman" w:cs="Times New Roman"/>
          <w:sz w:val="24"/>
          <w:szCs w:val="24"/>
        </w:rPr>
        <w:t>.</w:t>
      </w:r>
    </w:p>
    <w:p w14:paraId="5A92E50A" w14:textId="65E94EAA" w:rsidR="00BD1543" w:rsidRPr="00D44D33" w:rsidRDefault="0002124E"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reguluje</w:t>
      </w:r>
      <w:r w:rsidR="00970B2E" w:rsidRPr="00D44D33">
        <w:rPr>
          <w:rFonts w:ascii="Times New Roman" w:hAnsi="Times New Roman" w:cs="Times New Roman"/>
          <w:sz w:val="24"/>
          <w:szCs w:val="24"/>
        </w:rPr>
        <w:t xml:space="preserve"> </w:t>
      </w:r>
      <w:r w:rsidR="00051647"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kwestie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opłaty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używania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urządzenia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objętego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pozwoleniem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radiowym,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opisane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powyżej</w:t>
      </w:r>
      <w:r w:rsidR="00425C07"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w:t>
      </w:r>
      <w:r w:rsidR="00970B2E" w:rsidRPr="00D44D33">
        <w:rPr>
          <w:rFonts w:ascii="Times New Roman" w:hAnsi="Times New Roman" w:cs="Times New Roman"/>
          <w:sz w:val="24"/>
          <w:szCs w:val="24"/>
        </w:rPr>
        <w:t xml:space="preserve"> </w:t>
      </w:r>
      <w:r w:rsidR="00425C07" w:rsidRPr="00D44D33">
        <w:rPr>
          <w:rFonts w:ascii="Times New Roman" w:hAnsi="Times New Roman" w:cs="Times New Roman"/>
          <w:sz w:val="24"/>
          <w:szCs w:val="24"/>
        </w:rPr>
        <w:t xml:space="preserve">omówieniu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6B156D" w:rsidRPr="00D44D33">
        <w:rPr>
          <w:rFonts w:ascii="Times New Roman" w:hAnsi="Times New Roman" w:cs="Times New Roman"/>
          <w:sz w:val="24"/>
          <w:szCs w:val="24"/>
        </w:rPr>
        <w:t>24.</w:t>
      </w:r>
      <w:r w:rsidR="00970B2E" w:rsidRPr="00D44D33">
        <w:rPr>
          <w:rFonts w:ascii="Times New Roman" w:hAnsi="Times New Roman" w:cs="Times New Roman"/>
          <w:sz w:val="24"/>
          <w:szCs w:val="24"/>
        </w:rPr>
        <w:t xml:space="preserve"> </w:t>
      </w:r>
    </w:p>
    <w:p w14:paraId="5012468B" w14:textId="23B6D9D4" w:rsidR="0017503F" w:rsidRPr="00D44D33" w:rsidRDefault="17B35D1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Wprowadzono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utworzeniu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budżecie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rezerwy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celow</w:t>
      </w:r>
      <w:r w:rsidR="4AE4FC6A" w:rsidRPr="00D44D33">
        <w:rPr>
          <w:rFonts w:ascii="Times New Roman" w:eastAsia="Times New Roman" w:hAnsi="Times New Roman" w:cs="Times New Roman"/>
          <w:sz w:val="24"/>
          <w:szCs w:val="24"/>
        </w:rPr>
        <w:t>ej</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921F5B"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00921F5B" w:rsidRPr="00D44D33">
        <w:rPr>
          <w:rFonts w:ascii="Times New Roman" w:eastAsia="Times New Roman" w:hAnsi="Times New Roman" w:cs="Times New Roman"/>
          <w:sz w:val="24"/>
          <w:szCs w:val="24"/>
        </w:rPr>
        <w:t>odpowiadającej</w:t>
      </w:r>
      <w:r w:rsidR="00970B2E" w:rsidRPr="00D44D33">
        <w:rPr>
          <w:rFonts w:ascii="Times New Roman" w:eastAsia="Times New Roman" w:hAnsi="Times New Roman" w:cs="Times New Roman"/>
          <w:sz w:val="24"/>
          <w:szCs w:val="24"/>
        </w:rPr>
        <w:t xml:space="preserve"> </w:t>
      </w:r>
      <w:r w:rsidR="00921F5B" w:rsidRPr="00D44D33">
        <w:rPr>
          <w:rFonts w:ascii="Times New Roman" w:eastAsia="Times New Roman" w:hAnsi="Times New Roman" w:cs="Times New Roman"/>
          <w:sz w:val="24"/>
          <w:szCs w:val="24"/>
        </w:rPr>
        <w:t>kwocie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wpływów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roczn</w:t>
      </w:r>
      <w:r w:rsidR="64E1A125" w:rsidRPr="00D44D33">
        <w:rPr>
          <w:rFonts w:ascii="Times New Roman" w:eastAsia="Times New Roman" w:hAnsi="Times New Roman" w:cs="Times New Roman"/>
          <w:sz w:val="24"/>
          <w:szCs w:val="24"/>
        </w:rPr>
        <w:t>e</w:t>
      </w:r>
      <w:r w:rsidRPr="00D44D33">
        <w:rPr>
          <w:rFonts w:ascii="Times New Roman" w:eastAsia="Times New Roman" w:hAnsi="Times New Roman" w:cs="Times New Roman"/>
          <w:sz w:val="24"/>
          <w:szCs w:val="24"/>
        </w:rPr>
        <w:t>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trzeci</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czwarty</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kwartał</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poprzedniego</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pierwszy</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drugi</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kwartał</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bieżącego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przeznaczeniem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wynagrodzenia</w:t>
      </w:r>
      <w:r w:rsidR="00970B2E" w:rsidRPr="00D44D33">
        <w:rPr>
          <w:rFonts w:ascii="Times New Roman" w:eastAsia="Times New Roman" w:hAnsi="Times New Roman" w:cs="Times New Roman"/>
          <w:sz w:val="24"/>
          <w:szCs w:val="24"/>
        </w:rPr>
        <w:t xml:space="preserve"> </w:t>
      </w:r>
      <w:r w:rsidR="00921F5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921F5B"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00921F5B" w:rsidRPr="00D44D33">
        <w:rPr>
          <w:rFonts w:ascii="Times New Roman" w:eastAsia="Times New Roman" w:hAnsi="Times New Roman" w:cs="Times New Roman"/>
          <w:sz w:val="24"/>
          <w:szCs w:val="24"/>
        </w:rPr>
        <w:t>nagrody)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pracowników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urzędu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obsługującego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powyższe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p>
    <w:p w14:paraId="5B7DC5A8" w14:textId="5F092122" w:rsidR="00D35329" w:rsidRPr="00D44D33" w:rsidRDefault="0052658F"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rezerwy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celowej</w:t>
      </w:r>
      <w:r w:rsidR="00970B2E" w:rsidRPr="00D44D33">
        <w:rPr>
          <w:rFonts w:ascii="Times New Roman" w:eastAsia="Times New Roman" w:hAnsi="Times New Roman" w:cs="Times New Roman"/>
          <w:sz w:val="24"/>
          <w:szCs w:val="24"/>
        </w:rPr>
        <w:t xml:space="preserve"> </w:t>
      </w:r>
      <w:r w:rsidR="00833245"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833245" w:rsidRPr="00D44D33">
        <w:rPr>
          <w:rFonts w:ascii="Times New Roman" w:eastAsia="Times New Roman" w:hAnsi="Times New Roman" w:cs="Times New Roman"/>
          <w:sz w:val="24"/>
          <w:szCs w:val="24"/>
        </w:rPr>
        <w:t>miał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odpowiednio</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zastosowanie</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154</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27</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sierpnia</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2009</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finansach</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publicznych</w:t>
      </w:r>
      <w:r w:rsidR="0071302C" w:rsidRPr="00D44D33">
        <w:rPr>
          <w:rFonts w:ascii="Times New Roman" w:eastAsia="Times New Roman" w:hAnsi="Times New Roman" w:cs="Times New Roman"/>
          <w:sz w:val="24"/>
          <w:szCs w:val="24"/>
        </w:rPr>
        <w:t xml:space="preserve"> (Dz. U. z </w:t>
      </w:r>
      <w:r w:rsidR="0071302C" w:rsidRPr="00D44D33">
        <w:rPr>
          <w:rFonts w:ascii="Times New Roman" w:hAnsi="Times New Roman" w:cs="Times New Roman"/>
          <w:sz w:val="24"/>
          <w:szCs w:val="24"/>
        </w:rPr>
        <w:t>202</w:t>
      </w:r>
      <w:r w:rsidR="00BC6A1D" w:rsidRPr="00D44D33">
        <w:rPr>
          <w:rFonts w:ascii="Times New Roman" w:hAnsi="Times New Roman" w:cs="Times New Roman"/>
          <w:sz w:val="24"/>
          <w:szCs w:val="24"/>
        </w:rPr>
        <w:t>2</w:t>
      </w:r>
      <w:r w:rsidR="0071302C" w:rsidRPr="00D44D33">
        <w:rPr>
          <w:rFonts w:ascii="Times New Roman" w:hAnsi="Times New Roman" w:cs="Times New Roman"/>
          <w:sz w:val="24"/>
          <w:szCs w:val="24"/>
        </w:rPr>
        <w:t xml:space="preserve"> r. poz. </w:t>
      </w:r>
      <w:r w:rsidR="00BC6A1D" w:rsidRPr="00D44D33">
        <w:rPr>
          <w:rFonts w:ascii="Times New Roman" w:hAnsi="Times New Roman" w:cs="Times New Roman"/>
          <w:sz w:val="24"/>
          <w:szCs w:val="24"/>
        </w:rPr>
        <w:t>1634, z późn. zm</w:t>
      </w:r>
      <w:r w:rsidR="0094510A" w:rsidRPr="00D44D33">
        <w:rPr>
          <w:rFonts w:ascii="Times New Roman" w:hAnsi="Times New Roman" w:cs="Times New Roman"/>
          <w:sz w:val="24"/>
          <w:szCs w:val="24"/>
        </w:rPr>
        <w: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425C0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dotyczący</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uruchamiania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rezerwy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15</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października</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danego</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3EC7428D" w:rsidRPr="00D44D33">
        <w:rPr>
          <w:rFonts w:ascii="Times New Roman" w:eastAsia="Times New Roman" w:hAnsi="Times New Roman" w:cs="Times New Roman"/>
          <w:sz w:val="24"/>
          <w:szCs w:val="24"/>
        </w:rPr>
        <w:t>budżetowego.</w:t>
      </w:r>
    </w:p>
    <w:p w14:paraId="2C2ABD41" w14:textId="75BD0829" w:rsidR="00D35329" w:rsidRPr="00D44D33" w:rsidRDefault="3EC7428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przepisach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odpowiedzialny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zgłoszenie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rezerw</w:t>
      </w:r>
      <w:r w:rsidR="00132191" w:rsidRPr="00D44D33">
        <w:rPr>
          <w:rFonts w:ascii="Times New Roman" w:eastAsia="Times New Roman" w:hAnsi="Times New Roman" w:cs="Times New Roman"/>
          <w:sz w:val="24"/>
          <w:szCs w:val="24"/>
        </w:rPr>
        <w:t>y</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projektu</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00132191" w:rsidRPr="00D44D33">
        <w:rPr>
          <w:rFonts w:ascii="Times New Roman" w:eastAsia="Times New Roman" w:hAnsi="Times New Roman" w:cs="Times New Roman"/>
          <w:sz w:val="24"/>
          <w:szCs w:val="24"/>
        </w:rPr>
        <w:t>budżetowej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uregulowano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procedurą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uruchamiania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przekroczyć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kwoty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rezerwy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budżetowym</w:t>
      </w:r>
      <w:r w:rsidR="00132191" w:rsidRPr="00D44D33">
        <w:rPr>
          <w:rFonts w:ascii="Times New Roman" w:eastAsia="Times New Roman" w:hAnsi="Times New Roman" w:cs="Times New Roman"/>
          <w:sz w:val="24"/>
          <w:szCs w:val="24"/>
        </w:rPr>
        <w:t>.</w:t>
      </w:r>
    </w:p>
    <w:p w14:paraId="3518C7DB" w14:textId="178B54F4" w:rsidR="00D35329" w:rsidRPr="00D44D33" w:rsidRDefault="000F496D" w:rsidP="00D44D33">
      <w:pPr>
        <w:pStyle w:val="Tekstkomentarza"/>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15DC3ABA" w:rsidRPr="00D44D33">
        <w:rPr>
          <w:rFonts w:ascii="Times New Roman" w:eastAsiaTheme="minorEastAsia" w:hAnsi="Times New Roman" w:cs="Times New Roman"/>
          <w:b/>
          <w:bCs/>
          <w:sz w:val="24"/>
          <w:szCs w:val="24"/>
        </w:rPr>
        <w:t>27</w:t>
      </w:r>
    </w:p>
    <w:p w14:paraId="12B7F833" w14:textId="074E650E" w:rsidR="007554D4" w:rsidRPr="00D44D33" w:rsidRDefault="0DB794BF"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27CC5F4" w:rsidRPr="00D44D33">
        <w:rPr>
          <w:rFonts w:ascii="Times New Roman" w:eastAsiaTheme="minorEastAsia" w:hAnsi="Times New Roman" w:cs="Times New Roman"/>
          <w:sz w:val="24"/>
          <w:szCs w:val="24"/>
        </w:rPr>
        <w:t>23</w:t>
      </w:r>
      <w:r w:rsidR="0071302C" w:rsidRPr="00D44D33">
        <w:rPr>
          <w:rFonts w:ascii="Times New Roman" w:eastAsiaTheme="minorEastAsia" w:hAnsi="Times New Roman" w:cs="Times New Roman"/>
          <w:sz w:val="24"/>
          <w:szCs w:val="24"/>
        </w:rPr>
        <w:t>–</w:t>
      </w:r>
      <w:r w:rsidR="01162CE7"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egzekucyjnym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egzekucji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pieniężnym.</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dział</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II</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egzekucja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pieniężnych</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17</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czerwca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1966</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egzekucyjnym</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20</w:t>
      </w:r>
      <w:r w:rsidR="005E5EA8" w:rsidRPr="00D44D33">
        <w:rPr>
          <w:rFonts w:ascii="Times New Roman" w:eastAsiaTheme="minorEastAsia" w:hAnsi="Times New Roman" w:cs="Times New Roman"/>
          <w:sz w:val="24"/>
          <w:szCs w:val="24"/>
        </w:rPr>
        <w:t xml:space="preserve">22 </w:t>
      </w:r>
      <w:r w:rsidR="009605E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5E5EA8" w:rsidRPr="00D44D33">
        <w:rPr>
          <w:rFonts w:ascii="Times New Roman" w:eastAsiaTheme="minorEastAsia" w:hAnsi="Times New Roman" w:cs="Times New Roman"/>
          <w:sz w:val="24"/>
          <w:szCs w:val="24"/>
        </w:rPr>
        <w:t>479</w:t>
      </w:r>
      <w:r w:rsidR="00425C07" w:rsidRPr="00D44D33">
        <w:rPr>
          <w:rFonts w:ascii="Times New Roman" w:eastAsiaTheme="minorEastAsia" w:hAnsi="Times New Roman" w:cs="Times New Roman"/>
          <w:sz w:val="24"/>
          <w:szCs w:val="24"/>
        </w:rPr>
        <w:t>, z późn. zm.</w:t>
      </w:r>
      <w:r w:rsidR="009605E7" w:rsidRPr="00D44D33">
        <w:rPr>
          <w:rFonts w:ascii="Times New Roman" w:eastAsiaTheme="minorEastAsia" w:hAnsi="Times New Roman" w:cs="Times New Roman"/>
          <w:sz w:val="24"/>
          <w:szCs w:val="24"/>
        </w:rPr>
        <w:t>)</w:t>
      </w:r>
      <w:r w:rsidR="6EA1F30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Egzekucji</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należność</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główna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odsetki</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ustawowe.</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będący</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wierzycielem</w:t>
      </w:r>
      <w:r w:rsidR="00425C0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składa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egzekucyjnego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naczelnik</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skarbowego)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wystawionego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wykonawczego</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wszczyna</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egzekucj</w:t>
      </w:r>
      <w:r w:rsidR="00425C07"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6EA1F302" w:rsidRPr="00D44D33">
        <w:rPr>
          <w:rFonts w:ascii="Times New Roman" w:eastAsiaTheme="minorEastAsia" w:hAnsi="Times New Roman" w:cs="Times New Roman"/>
          <w:sz w:val="24"/>
          <w:szCs w:val="24"/>
        </w:rPr>
        <w:t>administracyjną.</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powiela</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funkcjonujące</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344A86C6" w:rsidRPr="00D44D33">
        <w:rPr>
          <w:rFonts w:ascii="Times New Roman" w:eastAsiaTheme="minorEastAsia" w:hAnsi="Times New Roman" w:cs="Times New Roman"/>
          <w:sz w:val="24"/>
          <w:szCs w:val="24"/>
        </w:rPr>
        <w:t>Pt.</w:t>
      </w:r>
    </w:p>
    <w:p w14:paraId="36B975A0" w14:textId="3E369526" w:rsidR="00D35329" w:rsidRPr="00D44D33" w:rsidRDefault="00D35329" w:rsidP="00D44D33">
      <w:pPr>
        <w:pStyle w:val="Tekstkomentarza"/>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3B35B81" w:rsidRPr="00D44D33">
        <w:rPr>
          <w:rFonts w:ascii="Times New Roman" w:eastAsiaTheme="minorEastAsia" w:hAnsi="Times New Roman" w:cs="Times New Roman"/>
          <w:b/>
          <w:bCs/>
          <w:sz w:val="24"/>
          <w:szCs w:val="24"/>
        </w:rPr>
        <w:t>28</w:t>
      </w:r>
    </w:p>
    <w:p w14:paraId="03E23E57" w14:textId="3D9BDE9E" w:rsidR="00B97D30" w:rsidRPr="00D44D33" w:rsidRDefault="6EA1F302" w:rsidP="00D44D33">
      <w:pPr>
        <w:pStyle w:val="Tekstkomentarza"/>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367B08C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367B08C3" w:rsidRPr="00D44D33">
        <w:rPr>
          <w:rFonts w:ascii="Times New Roman" w:eastAsiaTheme="minorEastAsia" w:hAnsi="Times New Roman" w:cs="Times New Roman"/>
          <w:sz w:val="24"/>
          <w:szCs w:val="24"/>
        </w:rPr>
        <w:t>nalo</w:t>
      </w:r>
      <w:r w:rsidRPr="00D44D33">
        <w:rPr>
          <w:rFonts w:ascii="Times New Roman" w:eastAsiaTheme="minorEastAsia" w:hAnsi="Times New Roman" w:cs="Times New Roman"/>
          <w:sz w:val="24"/>
          <w:szCs w:val="24"/>
        </w:rPr>
        <w:t>giczną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425C07"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nieuregulowanym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425C07" w:rsidRPr="00D44D33">
        <w:rPr>
          <w:rFonts w:ascii="Times New Roman" w:eastAsiaTheme="minorEastAsia" w:hAnsi="Times New Roman" w:cs="Times New Roman"/>
          <w:sz w:val="24"/>
          <w:szCs w:val="24"/>
        </w:rPr>
        <w:t>3</w:t>
      </w:r>
      <w:r w:rsidR="005E5EA8"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2</w:t>
      </w:r>
      <w:r w:rsidR="00425C07" w:rsidRPr="00D44D33">
        <w:rPr>
          <w:rFonts w:ascii="Times New Roman" w:eastAsiaTheme="minorEastAsia" w:hAnsi="Times New Roman" w:cs="Times New Roman"/>
          <w:sz w:val="24"/>
          <w:szCs w:val="24"/>
        </w:rPr>
        <w:t>5 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425C07" w:rsidRPr="00D44D33">
        <w:rPr>
          <w:rFonts w:ascii="Times New Roman" w:eastAsiaTheme="minorEastAsia" w:hAnsi="Times New Roman" w:cs="Times New Roman"/>
          <w:sz w:val="24"/>
          <w:szCs w:val="24"/>
        </w:rPr>
        <w:t xml:space="preserve">, </w:t>
      </w:r>
      <w:r w:rsidR="77B49B60"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77B49B60" w:rsidRPr="00D44D33">
        <w:rPr>
          <w:rFonts w:ascii="Times New Roman" w:eastAsiaTheme="minorEastAsia" w:hAnsi="Times New Roman" w:cs="Times New Roman"/>
          <w:sz w:val="24"/>
          <w:szCs w:val="24"/>
        </w:rPr>
        <w:t>7</w:t>
      </w:r>
      <w:r w:rsidR="005E5EA8"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27746FB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7746FB9" w:rsidRPr="00D44D33">
        <w:rPr>
          <w:rFonts w:ascii="Times New Roman" w:eastAsiaTheme="minorEastAsia" w:hAnsi="Times New Roman" w:cs="Times New Roman"/>
          <w:sz w:val="24"/>
          <w:szCs w:val="24"/>
        </w:rPr>
        <w:t>13</w:t>
      </w:r>
      <w:r w:rsidR="005E5EA8" w:rsidRPr="00D44D33">
        <w:rPr>
          <w:rFonts w:ascii="Times New Roman" w:eastAsiaTheme="minorEastAsia" w:hAnsi="Times New Roman" w:cs="Times New Roman"/>
          <w:sz w:val="24"/>
          <w:szCs w:val="24"/>
        </w:rPr>
        <w:t>–</w:t>
      </w:r>
      <w:r w:rsidR="27746FB9"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sierpnia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5E5EA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Ordynacja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podatkowa</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9605E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E5EA8" w:rsidRPr="00D44D33">
        <w:rPr>
          <w:rFonts w:ascii="Times New Roman" w:hAnsi="Times New Roman" w:cs="Times New Roman"/>
          <w:sz w:val="24"/>
          <w:szCs w:val="24"/>
        </w:rPr>
        <w:t>2021 r. poz. 1540, z późn. zm.</w:t>
      </w:r>
      <w:r w:rsidR="009605E7"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Rozdziały</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5</w:t>
      </w:r>
      <w:r w:rsidR="00425C07" w:rsidRPr="00D44D33">
        <w:rPr>
          <w:rFonts w:ascii="Times New Roman" w:eastAsiaTheme="minorEastAsia" w:hAnsi="Times New Roman" w:cs="Times New Roman"/>
          <w:sz w:val="24"/>
          <w:szCs w:val="24"/>
        </w:rPr>
        <w:t xml:space="preserve">, </w:t>
      </w:r>
      <w:r w:rsidR="7B196EAC"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7B196EAC" w:rsidRPr="00D44D33">
        <w:rPr>
          <w:rFonts w:ascii="Times New Roman" w:eastAsiaTheme="minorEastAsia" w:hAnsi="Times New Roman" w:cs="Times New Roman"/>
          <w:sz w:val="24"/>
          <w:szCs w:val="24"/>
        </w:rPr>
        <w:t>7</w:t>
      </w:r>
      <w:r w:rsidR="005E5EA8" w:rsidRPr="00D44D33">
        <w:rPr>
          <w:rFonts w:ascii="Times New Roman" w:eastAsiaTheme="minorEastAsia" w:hAnsi="Times New Roman" w:cs="Times New Roman"/>
          <w:sz w:val="24"/>
          <w:szCs w:val="24"/>
        </w:rPr>
        <w:t>–</w:t>
      </w:r>
      <w:r w:rsidR="269F019F"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13</w:t>
      </w:r>
      <w:r w:rsidR="005E5EA8" w:rsidRPr="00D44D33">
        <w:rPr>
          <w:rFonts w:ascii="Times New Roman" w:eastAsiaTheme="minorEastAsia" w:hAnsi="Times New Roman" w:cs="Times New Roman"/>
          <w:sz w:val="24"/>
          <w:szCs w:val="24"/>
        </w:rPr>
        <w:t>–</w:t>
      </w:r>
      <w:r w:rsidR="269F019F"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00425C07" w:rsidRPr="00D44D33">
        <w:rPr>
          <w:rFonts w:ascii="Times New Roman" w:eastAsiaTheme="minorEastAsia" w:hAnsi="Times New Roman" w:cs="Times New Roman"/>
          <w:sz w:val="24"/>
          <w:szCs w:val="24"/>
        </w:rPr>
        <w:t>d</w:t>
      </w:r>
      <w:r w:rsidR="367B08C3" w:rsidRPr="00D44D33">
        <w:rPr>
          <w:rFonts w:ascii="Times New Roman" w:eastAsiaTheme="minorEastAsia" w:hAnsi="Times New Roman" w:cs="Times New Roman"/>
          <w:sz w:val="24"/>
          <w:szCs w:val="24"/>
        </w:rPr>
        <w:t>ział</w:t>
      </w:r>
      <w:r w:rsidR="269F019F"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Ordynacji</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podatkowej</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do</w:t>
      </w:r>
      <w:r w:rsidR="269F019F" w:rsidRPr="00D44D33">
        <w:rPr>
          <w:rFonts w:ascii="Times New Roman" w:eastAsiaTheme="minorEastAsia" w:hAnsi="Times New Roman" w:cs="Times New Roman"/>
          <w:sz w:val="24"/>
          <w:szCs w:val="24"/>
        </w:rPr>
        <w:t>tyczą</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z</w:t>
      </w:r>
      <w:r w:rsidR="269F019F" w:rsidRPr="00D44D33">
        <w:rPr>
          <w:rFonts w:ascii="Times New Roman" w:eastAsiaTheme="minorEastAsia" w:hAnsi="Times New Roman" w:cs="Times New Roman"/>
          <w:sz w:val="24"/>
          <w:szCs w:val="24"/>
        </w:rPr>
        <w:t>obowiązań</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podatkowych</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69F019F"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zaległości</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podatkowych,</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odsetek</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zwłokę,</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podatkowych,</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ulg,</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przedawnień,</w:t>
      </w:r>
      <w:r w:rsidR="00970B2E" w:rsidRPr="00D44D33">
        <w:rPr>
          <w:rFonts w:ascii="Times New Roman" w:eastAsiaTheme="minorEastAsia" w:hAnsi="Times New Roman" w:cs="Times New Roman"/>
          <w:sz w:val="24"/>
          <w:szCs w:val="24"/>
        </w:rPr>
        <w:t xml:space="preserve"> </w:t>
      </w:r>
      <w:r w:rsidR="367B08C3" w:rsidRPr="00D44D33">
        <w:rPr>
          <w:rFonts w:ascii="Times New Roman" w:eastAsiaTheme="minorEastAsia" w:hAnsi="Times New Roman" w:cs="Times New Roman"/>
          <w:sz w:val="24"/>
          <w:szCs w:val="24"/>
        </w:rPr>
        <w:t>nadpłaty</w:t>
      </w:r>
      <w:r w:rsidR="269F019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solidarnej</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podatkowej</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trzecich,</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następców</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7BF9401D" w:rsidRPr="00D44D33">
        <w:rPr>
          <w:rFonts w:ascii="Times New Roman" w:eastAsiaTheme="minorEastAsia" w:hAnsi="Times New Roman" w:cs="Times New Roman"/>
          <w:sz w:val="24"/>
          <w:szCs w:val="24"/>
        </w:rPr>
        <w:t>przekształconych.</w:t>
      </w:r>
      <w:r w:rsidR="00970B2E" w:rsidRPr="00D44D33">
        <w:rPr>
          <w:rFonts w:ascii="Times New Roman" w:eastAsiaTheme="minorEastAsia" w:hAnsi="Times New Roman" w:cs="Times New Roman"/>
          <w:sz w:val="24"/>
          <w:szCs w:val="24"/>
        </w:rPr>
        <w:t xml:space="preserve"> </w:t>
      </w:r>
    </w:p>
    <w:p w14:paraId="197E4076" w14:textId="260CEBDE" w:rsidR="00D35329" w:rsidRPr="00D44D33" w:rsidRDefault="00D35329" w:rsidP="00D44D33">
      <w:pPr>
        <w:pStyle w:val="Tekstkomentarza"/>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3C470E07" w:rsidRPr="00D44D33">
        <w:rPr>
          <w:rFonts w:ascii="Times New Roman" w:eastAsiaTheme="minorEastAsia" w:hAnsi="Times New Roman" w:cs="Times New Roman"/>
          <w:b/>
          <w:bCs/>
          <w:sz w:val="24"/>
          <w:szCs w:val="24"/>
        </w:rPr>
        <w:t>29</w:t>
      </w:r>
    </w:p>
    <w:p w14:paraId="1B7BB2D4" w14:textId="4B036E01" w:rsidR="005A4185" w:rsidRPr="00D44D33" w:rsidRDefault="009D747C" w:rsidP="00D44D33">
      <w:pPr>
        <w:pStyle w:val="Tekstkomentarza"/>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uregulowanie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sytuacji,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kiedy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przydzielenie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rezerwacji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częstotliwości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orbitalnych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wiąże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dodatkowymi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administracyjnymi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rejestracją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imes New Roman" w:hAnsi="Times New Roman" w:cs="Times New Roman"/>
          <w:sz w:val="24"/>
          <w:szCs w:val="24"/>
          <w:lang w:eastAsia="pl-PL"/>
        </w:rPr>
        <w:t xml:space="preserve"> </w:t>
      </w:r>
      <w:r w:rsidR="2B50018F" w:rsidRPr="00D44D33">
        <w:rPr>
          <w:rFonts w:ascii="Times New Roman" w:eastAsia="Times New Roman" w:hAnsi="Times New Roman" w:cs="Times New Roman"/>
          <w:sz w:val="24"/>
          <w:szCs w:val="24"/>
        </w:rPr>
        <w:t>Międzynarodowym</w:t>
      </w:r>
      <w:r w:rsidR="00970B2E" w:rsidRPr="00D44D33">
        <w:rPr>
          <w:rFonts w:ascii="Times New Roman" w:eastAsia="Times New Roman" w:hAnsi="Times New Roman" w:cs="Times New Roman"/>
          <w:sz w:val="24"/>
          <w:szCs w:val="24"/>
        </w:rPr>
        <w:t xml:space="preserve"> </w:t>
      </w:r>
      <w:r w:rsidR="2B50018F"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2B50018F" w:rsidRPr="00D44D33">
        <w:rPr>
          <w:rFonts w:ascii="Times New Roman" w:eastAsia="Times New Roman" w:hAnsi="Times New Roman" w:cs="Times New Roman"/>
          <w:sz w:val="24"/>
          <w:szCs w:val="24"/>
        </w:rPr>
        <w:t>Telekomunikacyjnym</w:t>
      </w:r>
      <w:r w:rsidR="00970B2E" w:rsidRPr="00D44D33">
        <w:rPr>
          <w:rFonts w:ascii="Times New Roman" w:hAnsi="Times New Roman" w:cs="Times New Roman"/>
          <w:sz w:val="24"/>
          <w:szCs w:val="24"/>
        </w:rPr>
        <w:t xml:space="preserve"> </w:t>
      </w:r>
      <w:r w:rsidR="2B50018F" w:rsidRPr="00D44D33">
        <w:rPr>
          <w:rFonts w:ascii="Times New Roman" w:hAnsi="Times New Roman" w:cs="Times New Roman"/>
          <w:sz w:val="24"/>
          <w:szCs w:val="24"/>
        </w:rPr>
        <w:t>(</w:t>
      </w:r>
      <w:r w:rsidRPr="00D44D33">
        <w:rPr>
          <w:rFonts w:ascii="Times New Roman" w:eastAsiaTheme="minorEastAsia" w:hAnsi="Times New Roman" w:cs="Times New Roman"/>
          <w:sz w:val="24"/>
          <w:szCs w:val="24"/>
          <w:lang w:eastAsia="pl-PL"/>
        </w:rPr>
        <w:t>ITU</w:t>
      </w:r>
      <w:r w:rsidR="101DA6C3" w:rsidRPr="00D44D33">
        <w:rPr>
          <w:rFonts w:ascii="Times New Roman" w:eastAsiaTheme="minorEastAsia" w:hAnsi="Times New Roman" w:cs="Times New Roman"/>
          <w:sz w:val="24"/>
          <w:szCs w:val="24"/>
          <w:lang w:eastAsia="pl-PL"/>
        </w:rPr>
        <w:t>)</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sytuacji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poniesienia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złożył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rezerwację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częstotliwości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orbitalnych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czyli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uzyska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dysponowania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cennymi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własnych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potrzeb.</w:t>
      </w:r>
      <w:r w:rsidR="00970B2E" w:rsidRPr="00D44D33">
        <w:rPr>
          <w:rFonts w:ascii="Times New Roman" w:eastAsiaTheme="minorEastAsia" w:hAnsi="Times New Roman" w:cs="Times New Roman"/>
          <w:sz w:val="24"/>
          <w:szCs w:val="24"/>
          <w:lang w:eastAsia="pl-PL"/>
        </w:rPr>
        <w:t xml:space="preserve"> </w:t>
      </w:r>
      <w:r w:rsidR="1EC5193D"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trybu</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uiszczenia</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kosztów</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regulowane</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regulacji</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procedur</w:t>
      </w:r>
      <w:r w:rsidR="00970B2E" w:rsidRPr="00D44D33">
        <w:rPr>
          <w:rFonts w:ascii="Times New Roman" w:eastAsia="Times New Roman" w:hAnsi="Times New Roman" w:cs="Times New Roman"/>
          <w:sz w:val="24"/>
          <w:szCs w:val="24"/>
        </w:rPr>
        <w:t xml:space="preserve"> </w:t>
      </w:r>
      <w:r w:rsidR="1EC5193D" w:rsidRPr="00D44D33">
        <w:rPr>
          <w:rFonts w:ascii="Times New Roman" w:eastAsia="Times New Roman" w:hAnsi="Times New Roman" w:cs="Times New Roman"/>
          <w:sz w:val="24"/>
          <w:szCs w:val="24"/>
        </w:rPr>
        <w:t>ITU.</w:t>
      </w:r>
      <w:r w:rsidR="00970B2E" w:rsidRPr="00D44D33">
        <w:rPr>
          <w:rFonts w:ascii="Times New Roman" w:hAnsi="Times New Roman" w:cs="Times New Roman"/>
          <w:sz w:val="24"/>
          <w:szCs w:val="24"/>
        </w:rPr>
        <w:t xml:space="preserve"> </w:t>
      </w:r>
      <w:r w:rsidR="7F64D361"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rozwiązanie</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nowe,</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wynikające</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7F64D361" w:rsidRPr="00D44D33">
        <w:rPr>
          <w:rFonts w:ascii="Times New Roman" w:eastAsiaTheme="minorEastAsia" w:hAnsi="Times New Roman" w:cs="Times New Roman"/>
          <w:sz w:val="24"/>
          <w:szCs w:val="24"/>
          <w:lang w:eastAsia="pl-PL"/>
        </w:rPr>
        <w:t>EKŁE.</w:t>
      </w:r>
    </w:p>
    <w:p w14:paraId="6E949AA0" w14:textId="7354E781" w:rsidR="00DD7F59" w:rsidRPr="00D44D33" w:rsidRDefault="00784429"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4</w:t>
      </w:r>
      <w:r w:rsidR="00970B2E" w:rsidRPr="00D44D33">
        <w:rPr>
          <w:rFonts w:ascii="Times New Roman" w:hAnsi="Times New Roman" w:cs="Times New Roman"/>
          <w:b/>
          <w:lang w:eastAsia="en-US"/>
        </w:rPr>
        <w:t xml:space="preserve"> </w:t>
      </w:r>
    </w:p>
    <w:p w14:paraId="4CECFBEA" w14:textId="55FCE9DB" w:rsidR="00784429" w:rsidRPr="00D44D33" w:rsidRDefault="00784429"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Konsultacje</w:t>
      </w:r>
    </w:p>
    <w:p w14:paraId="55C67E3E" w14:textId="7AE226B5" w:rsidR="00DD7F59" w:rsidRPr="00D44D33" w:rsidRDefault="009C6F2E"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Oddział</w:t>
      </w:r>
      <w:r w:rsidR="00970B2E" w:rsidRPr="00D44D33">
        <w:rPr>
          <w:rFonts w:ascii="Times New Roman" w:hAnsi="Times New Roman" w:cs="Times New Roman"/>
          <w:b/>
        </w:rPr>
        <w:t xml:space="preserve"> </w:t>
      </w:r>
      <w:r w:rsidRPr="00D44D33">
        <w:rPr>
          <w:rFonts w:ascii="Times New Roman" w:hAnsi="Times New Roman" w:cs="Times New Roman"/>
          <w:b/>
        </w:rPr>
        <w:t>1</w:t>
      </w:r>
      <w:r w:rsidR="00970B2E" w:rsidRPr="00D44D33">
        <w:rPr>
          <w:rFonts w:ascii="Times New Roman" w:hAnsi="Times New Roman" w:cs="Times New Roman"/>
          <w:b/>
        </w:rPr>
        <w:t xml:space="preserve"> </w:t>
      </w:r>
    </w:p>
    <w:p w14:paraId="11841694" w14:textId="77777777" w:rsidR="00425C07" w:rsidRPr="00D44D33" w:rsidRDefault="009C6F2E"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Postępowanie</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konsultacyjne</w:t>
      </w:r>
      <w:r w:rsidR="00970B2E" w:rsidRPr="00D44D33">
        <w:rPr>
          <w:rFonts w:ascii="Times New Roman" w:hAnsi="Times New Roman" w:cs="Times New Roman"/>
          <w:b/>
          <w:lang w:eastAsia="en-US"/>
        </w:rPr>
        <w:t xml:space="preserve"> </w:t>
      </w:r>
    </w:p>
    <w:p w14:paraId="3A891401" w14:textId="1A37FE50" w:rsidR="009C6F2E" w:rsidRPr="00D44D33" w:rsidRDefault="00425C07"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A</w:t>
      </w:r>
      <w:r w:rsidR="009C6F2E" w:rsidRPr="00D44D33">
        <w:rPr>
          <w:rFonts w:ascii="Times New Roman" w:hAnsi="Times New Roman" w:cs="Times New Roman"/>
          <w:b/>
          <w:lang w:eastAsia="en-US"/>
        </w:rPr>
        <w:t>rt.</w:t>
      </w:r>
      <w:r w:rsidR="00970B2E" w:rsidRPr="00D44D33">
        <w:rPr>
          <w:rFonts w:ascii="Times New Roman" w:hAnsi="Times New Roman" w:cs="Times New Roman"/>
          <w:b/>
          <w:lang w:eastAsia="en-US"/>
        </w:rPr>
        <w:t xml:space="preserve"> </w:t>
      </w:r>
      <w:r w:rsidR="009C6F2E" w:rsidRPr="00D44D33">
        <w:rPr>
          <w:rFonts w:ascii="Times New Roman" w:hAnsi="Times New Roman" w:cs="Times New Roman"/>
          <w:b/>
          <w:lang w:eastAsia="en-US"/>
        </w:rPr>
        <w:t>3</w:t>
      </w:r>
      <w:r w:rsidR="5F274183" w:rsidRPr="00D44D33">
        <w:rPr>
          <w:rFonts w:ascii="Times New Roman" w:hAnsi="Times New Roman" w:cs="Times New Roman"/>
          <w:b/>
          <w:lang w:eastAsia="en-US"/>
        </w:rPr>
        <w:t>0</w:t>
      </w:r>
      <w:r w:rsidR="005E5EA8" w:rsidRPr="00D44D33">
        <w:rPr>
          <w:rFonts w:ascii="Times New Roman" w:hAnsi="Times New Roman" w:cs="Times New Roman"/>
          <w:b/>
          <w:lang w:eastAsia="en-US"/>
        </w:rPr>
        <w:t>–</w:t>
      </w:r>
      <w:r w:rsidR="38D89CC6" w:rsidRPr="00D44D33">
        <w:rPr>
          <w:rFonts w:ascii="Times New Roman" w:hAnsi="Times New Roman" w:cs="Times New Roman"/>
          <w:b/>
          <w:lang w:eastAsia="en-US"/>
        </w:rPr>
        <w:t>3</w:t>
      </w:r>
      <w:r w:rsidR="1EF8C411" w:rsidRPr="00D44D33">
        <w:rPr>
          <w:rFonts w:ascii="Times New Roman" w:hAnsi="Times New Roman" w:cs="Times New Roman"/>
          <w:b/>
          <w:lang w:eastAsia="en-US"/>
        </w:rPr>
        <w:t>4</w:t>
      </w:r>
    </w:p>
    <w:p w14:paraId="37D13598" w14:textId="375D1DF1" w:rsidR="00CB30F0" w:rsidRPr="00D44D33" w:rsidRDefault="00FD01DD"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Projektowane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02F06089" w:rsidRPr="00D44D33">
        <w:rPr>
          <w:rFonts w:ascii="Times New Roman" w:hAnsi="Times New Roman" w:cs="Times New Roman"/>
          <w:b w:val="0"/>
          <w:bCs w:val="0"/>
          <w:color w:val="auto"/>
          <w:sz w:val="24"/>
          <w:szCs w:val="24"/>
          <w:lang w:eastAsia="en-US"/>
        </w:rPr>
        <w:t>30</w:t>
      </w:r>
      <w:r w:rsidR="005E5EA8" w:rsidRPr="00D44D33">
        <w:rPr>
          <w:rFonts w:ascii="Times New Roman" w:hAnsi="Times New Roman" w:cs="Times New Roman"/>
          <w:b w:val="0"/>
          <w:sz w:val="24"/>
          <w:szCs w:val="24"/>
          <w:lang w:eastAsia="en-US"/>
        </w:rPr>
        <w:t>–</w:t>
      </w:r>
      <w:r w:rsidR="504E6373" w:rsidRPr="00D44D33">
        <w:rPr>
          <w:rFonts w:ascii="Times New Roman" w:hAnsi="Times New Roman" w:cs="Times New Roman"/>
          <w:b w:val="0"/>
          <w:bCs w:val="0"/>
          <w:color w:val="auto"/>
          <w:sz w:val="24"/>
          <w:szCs w:val="24"/>
          <w:lang w:eastAsia="en-US"/>
        </w:rPr>
        <w:t>34</w:t>
      </w:r>
      <w:r w:rsidR="00970B2E" w:rsidRPr="00D44D33">
        <w:rPr>
          <w:rFonts w:ascii="Times New Roman" w:hAnsi="Times New Roman" w:cs="Times New Roman"/>
          <w:b w:val="0"/>
          <w:bCs w:val="0"/>
          <w:color w:val="auto"/>
          <w:sz w:val="24"/>
          <w:szCs w:val="24"/>
          <w:lang w:eastAsia="en-US"/>
        </w:rPr>
        <w:t xml:space="preserve"> </w:t>
      </w:r>
      <w:r w:rsidR="000D71FB" w:rsidRPr="00D44D33">
        <w:rPr>
          <w:rFonts w:ascii="Times New Roman" w:hAnsi="Times New Roman" w:cs="Times New Roman"/>
          <w:b w:val="0"/>
          <w:bCs w:val="0"/>
          <w:color w:val="auto"/>
          <w:sz w:val="24"/>
          <w:szCs w:val="24"/>
        </w:rPr>
        <w:t>dotyczące</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postępowania</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konsultacyjnego</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stanowią</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wdrożenie</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23</w:t>
      </w:r>
      <w:r w:rsidR="00970B2E" w:rsidRPr="00D44D33">
        <w:rPr>
          <w:rFonts w:ascii="Times New Roman" w:hAnsi="Times New Roman" w:cs="Times New Roman"/>
          <w:b w:val="0"/>
          <w:bCs w:val="0"/>
          <w:color w:val="auto"/>
          <w:sz w:val="24"/>
          <w:szCs w:val="24"/>
        </w:rPr>
        <w:t xml:space="preserve"> </w:t>
      </w:r>
      <w:r w:rsidR="000D71FB" w:rsidRPr="00D44D33">
        <w:rPr>
          <w:rFonts w:ascii="Times New Roman" w:hAnsi="Times New Roman" w:cs="Times New Roman"/>
          <w:b w:val="0"/>
          <w:bCs w:val="0"/>
          <w:color w:val="auto"/>
          <w:sz w:val="24"/>
          <w:szCs w:val="24"/>
        </w:rPr>
        <w:t>EKŁE</w:t>
      </w:r>
      <w:r w:rsidR="00704454"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Regulacje</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zbliżonym</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kształcie</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funkcjonowały</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już</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gruncie</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Pt</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wdrażały</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przepisy</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pakietu</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dyrektyw</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łączności</w:t>
      </w:r>
      <w:r w:rsidR="00970B2E" w:rsidRPr="00D44D33">
        <w:rPr>
          <w:rFonts w:ascii="Times New Roman" w:hAnsi="Times New Roman" w:cs="Times New Roman"/>
          <w:b w:val="0"/>
          <w:bCs w:val="0"/>
          <w:color w:val="auto"/>
          <w:sz w:val="24"/>
          <w:szCs w:val="24"/>
        </w:rPr>
        <w:t xml:space="preserve"> </w:t>
      </w:r>
      <w:r w:rsidR="01BAE47D" w:rsidRPr="00D44D33">
        <w:rPr>
          <w:rFonts w:ascii="Times New Roman" w:hAnsi="Times New Roman" w:cs="Times New Roman"/>
          <w:b w:val="0"/>
          <w:bCs w:val="0"/>
          <w:color w:val="auto"/>
          <w:sz w:val="24"/>
          <w:szCs w:val="24"/>
        </w:rPr>
        <w:t>elektronicznej.</w:t>
      </w:r>
    </w:p>
    <w:p w14:paraId="7001C9C7" w14:textId="1B4ED91C" w:rsidR="000D71FB" w:rsidRPr="00D44D33" w:rsidRDefault="001F0D8C"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Prezes</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UKE,</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zgodnie</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1E6062D1" w:rsidRPr="00D44D33">
        <w:rPr>
          <w:rFonts w:ascii="Times New Roman" w:hAnsi="Times New Roman" w:cs="Times New Roman"/>
          <w:b w:val="0"/>
          <w:bCs w:val="0"/>
          <w:color w:val="auto"/>
          <w:sz w:val="24"/>
          <w:szCs w:val="24"/>
        </w:rPr>
        <w:t>30</w:t>
      </w:r>
      <w:r w:rsidR="008B3A29"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obowiązkowo</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przeprowadza</w:t>
      </w:r>
      <w:r w:rsidR="00425C07" w:rsidRPr="00D44D33">
        <w:rPr>
          <w:rFonts w:ascii="Times New Roman" w:hAnsi="Times New Roman" w:cs="Times New Roman"/>
          <w:b w:val="0"/>
          <w:bCs w:val="0"/>
          <w:color w:val="auto"/>
          <w:sz w:val="24"/>
          <w:szCs w:val="24"/>
        </w:rPr>
        <w:t>, w określonych sprawach,</w:t>
      </w:r>
      <w:r w:rsidR="00970B2E" w:rsidRPr="00D44D33">
        <w:rPr>
          <w:rFonts w:ascii="Times New Roman" w:hAnsi="Times New Roman" w:cs="Times New Roman"/>
          <w:b w:val="0"/>
          <w:bCs w:val="0"/>
          <w:color w:val="auto"/>
          <w:sz w:val="24"/>
          <w:szCs w:val="24"/>
        </w:rPr>
        <w:t xml:space="preserve"> </w:t>
      </w:r>
      <w:r w:rsidR="003663A9"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000E5680" w:rsidRPr="00D44D33">
        <w:rPr>
          <w:rFonts w:ascii="Times New Roman" w:hAnsi="Times New Roman" w:cs="Times New Roman"/>
          <w:b w:val="0"/>
          <w:bCs w:val="0"/>
          <w:color w:val="auto"/>
          <w:sz w:val="24"/>
          <w:szCs w:val="24"/>
        </w:rPr>
        <w:t>zainteresowanymi</w:t>
      </w:r>
      <w:r w:rsidR="00970B2E" w:rsidRPr="00D44D33">
        <w:rPr>
          <w:rFonts w:ascii="Times New Roman" w:hAnsi="Times New Roman" w:cs="Times New Roman"/>
          <w:b w:val="0"/>
          <w:bCs w:val="0"/>
          <w:color w:val="auto"/>
          <w:sz w:val="24"/>
          <w:szCs w:val="24"/>
        </w:rPr>
        <w:t xml:space="preserve"> </w:t>
      </w:r>
      <w:r w:rsidR="000E5680" w:rsidRPr="00D44D33">
        <w:rPr>
          <w:rFonts w:ascii="Times New Roman" w:hAnsi="Times New Roman" w:cs="Times New Roman"/>
          <w:b w:val="0"/>
          <w:bCs w:val="0"/>
          <w:color w:val="auto"/>
          <w:sz w:val="24"/>
          <w:szCs w:val="24"/>
        </w:rPr>
        <w:t>podmiotami</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konsultacje</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przed</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podjęciem</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rozstrzygnięcia</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mającego</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znaczący</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lastRenderedPageBreak/>
        <w:t>wpływ</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rynek</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właściwy.</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Ustawa</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zawiera</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przy</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tym</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zamknięty</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katalog</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spraw</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objętych</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obowiązkiem</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przeprowadzania</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konsultacji</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są</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to</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sprawy</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wskazane</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698CDE35" w:rsidRPr="00D44D33">
        <w:rPr>
          <w:rFonts w:ascii="Times New Roman" w:hAnsi="Times New Roman" w:cs="Times New Roman"/>
          <w:b w:val="0"/>
          <w:bCs w:val="0"/>
          <w:color w:val="auto"/>
          <w:sz w:val="24"/>
          <w:szCs w:val="24"/>
        </w:rPr>
        <w:t>30</w:t>
      </w:r>
      <w:r w:rsidR="00970B2E" w:rsidRPr="00D44D33">
        <w:rPr>
          <w:rFonts w:ascii="Times New Roman" w:hAnsi="Times New Roman" w:cs="Times New Roman"/>
          <w:b w:val="0"/>
          <w:color w:val="auto"/>
          <w:sz w:val="24"/>
          <w:szCs w:val="24"/>
        </w:rPr>
        <w:t xml:space="preserve"> </w:t>
      </w:r>
      <w:r w:rsidR="008B3A29" w:rsidRPr="00D44D33">
        <w:rPr>
          <w:rFonts w:ascii="Times New Roman" w:hAnsi="Times New Roman" w:cs="Times New Roman"/>
          <w:b w:val="0"/>
          <w:bCs w:val="0"/>
          <w:color w:val="auto"/>
          <w:sz w:val="24"/>
          <w:szCs w:val="24"/>
        </w:rPr>
        <w:t>ust.</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1</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(wymienione</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wprost</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449DF02F" w:rsidRPr="00D44D33">
        <w:rPr>
          <w:rFonts w:ascii="Times New Roman" w:hAnsi="Times New Roman" w:cs="Times New Roman"/>
          <w:b w:val="0"/>
          <w:bCs w:val="0"/>
          <w:color w:val="auto"/>
          <w:sz w:val="24"/>
          <w:szCs w:val="24"/>
        </w:rPr>
        <w:t>30</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ust.</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1</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lub</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przez</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odesłanie</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do</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inny</w:t>
      </w:r>
      <w:r w:rsidR="00730136" w:rsidRPr="00D44D33">
        <w:rPr>
          <w:rFonts w:ascii="Times New Roman" w:hAnsi="Times New Roman" w:cs="Times New Roman"/>
          <w:b w:val="0"/>
          <w:bCs w:val="0"/>
          <w:color w:val="auto"/>
          <w:sz w:val="24"/>
          <w:szCs w:val="24"/>
        </w:rPr>
        <w:t>ch</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przepisów</w:t>
      </w:r>
      <w:r w:rsidR="00970B2E" w:rsidRPr="00D44D33">
        <w:rPr>
          <w:rFonts w:ascii="Times New Roman" w:hAnsi="Times New Roman" w:cs="Times New Roman"/>
          <w:b w:val="0"/>
          <w:bCs w:val="0"/>
          <w:color w:val="auto"/>
          <w:sz w:val="24"/>
          <w:szCs w:val="24"/>
        </w:rPr>
        <w:t xml:space="preserve"> </w:t>
      </w:r>
      <w:r w:rsidR="00FA15E4" w:rsidRPr="00D44D33">
        <w:rPr>
          <w:rFonts w:ascii="Times New Roman" w:hAnsi="Times New Roman" w:cs="Times New Roman"/>
          <w:b w:val="0"/>
          <w:bCs w:val="0"/>
          <w:color w:val="auto"/>
          <w:sz w:val="24"/>
          <w:szCs w:val="24"/>
        </w:rPr>
        <w:t>Pke</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oraz</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innych</w:t>
      </w:r>
      <w:r w:rsidR="00970B2E" w:rsidRPr="00D44D33">
        <w:rPr>
          <w:rFonts w:ascii="Times New Roman" w:hAnsi="Times New Roman" w:cs="Times New Roman"/>
          <w:b w:val="0"/>
          <w:bCs w:val="0"/>
          <w:color w:val="auto"/>
          <w:sz w:val="24"/>
          <w:szCs w:val="24"/>
        </w:rPr>
        <w:t xml:space="preserve"> </w:t>
      </w:r>
      <w:r w:rsidR="008B3A29" w:rsidRPr="00D44D33">
        <w:rPr>
          <w:rFonts w:ascii="Times New Roman" w:hAnsi="Times New Roman" w:cs="Times New Roman"/>
          <w:b w:val="0"/>
          <w:bCs w:val="0"/>
          <w:color w:val="auto"/>
          <w:sz w:val="24"/>
          <w:szCs w:val="24"/>
        </w:rPr>
        <w:t>przepis</w:t>
      </w:r>
      <w:r w:rsidR="00730136" w:rsidRPr="00D44D33">
        <w:rPr>
          <w:rFonts w:ascii="Times New Roman" w:hAnsi="Times New Roman" w:cs="Times New Roman"/>
          <w:b w:val="0"/>
          <w:bCs w:val="0"/>
          <w:color w:val="auto"/>
          <w:sz w:val="24"/>
          <w:szCs w:val="24"/>
        </w:rPr>
        <w:t>ów</w:t>
      </w:r>
      <w:r w:rsidR="00970B2E" w:rsidRPr="00D44D33">
        <w:rPr>
          <w:rFonts w:ascii="Times New Roman" w:hAnsi="Times New Roman" w:cs="Times New Roman"/>
          <w:b w:val="0"/>
          <w:bCs w:val="0"/>
          <w:color w:val="auto"/>
          <w:sz w:val="24"/>
          <w:szCs w:val="24"/>
        </w:rPr>
        <w:t xml:space="preserve"> </w:t>
      </w:r>
      <w:r w:rsidR="00730136"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004F4731" w:rsidRPr="00D44D33">
        <w:rPr>
          <w:rFonts w:ascii="Times New Roman" w:hAnsi="Times New Roman" w:cs="Times New Roman"/>
          <w:b w:val="0"/>
          <w:bCs w:val="0"/>
          <w:color w:val="auto"/>
          <w:sz w:val="24"/>
          <w:szCs w:val="24"/>
        </w:rPr>
        <w:t>z dnia 7 maja 2010 r. o wspieraniu rozwoju usług i sieci telekomunikacyjnych</w:t>
      </w:r>
      <w:r w:rsidR="008B3A29"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Są</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to</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m.in.</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projekty</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rozstrzygnięć</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sprawach</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określenia</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rynku</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właściwego,</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nałożenia,</w:t>
      </w:r>
      <w:r w:rsidR="00970B2E" w:rsidRPr="00D44D33">
        <w:rPr>
          <w:rFonts w:ascii="Times New Roman" w:hAnsi="Times New Roman" w:cs="Times New Roman"/>
          <w:b w:val="0"/>
          <w:bCs w:val="0"/>
          <w:color w:val="auto"/>
          <w:sz w:val="24"/>
          <w:szCs w:val="24"/>
        </w:rPr>
        <w:t xml:space="preserve"> </w:t>
      </w:r>
      <w:r w:rsidR="6E0806FD" w:rsidRPr="00D44D33">
        <w:rPr>
          <w:rFonts w:ascii="Times New Roman" w:hAnsi="Times New Roman" w:cs="Times New Roman"/>
          <w:b w:val="0"/>
          <w:bCs w:val="0"/>
          <w:color w:val="auto"/>
          <w:sz w:val="24"/>
          <w:szCs w:val="24"/>
        </w:rPr>
        <w:t>uchylenia</w:t>
      </w:r>
      <w:r w:rsidR="00E12751"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utrzymania</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lub</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zmiany</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obowiązków</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regulacyjnych</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stosunku</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do</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przedsiębiorcy</w:t>
      </w:r>
      <w:r w:rsidR="00970B2E" w:rsidRPr="00D44D33">
        <w:rPr>
          <w:rFonts w:ascii="Times New Roman" w:hAnsi="Times New Roman" w:cs="Times New Roman"/>
          <w:b w:val="0"/>
          <w:bCs w:val="0"/>
          <w:color w:val="auto"/>
          <w:sz w:val="24"/>
          <w:szCs w:val="24"/>
        </w:rPr>
        <w:t xml:space="preserve"> </w:t>
      </w:r>
      <w:r w:rsidR="00B95880" w:rsidRPr="00D44D33">
        <w:rPr>
          <w:rFonts w:ascii="Times New Roman" w:hAnsi="Times New Roman" w:cs="Times New Roman"/>
          <w:b w:val="0"/>
          <w:bCs w:val="0"/>
          <w:color w:val="auto"/>
          <w:sz w:val="24"/>
          <w:szCs w:val="24"/>
        </w:rPr>
        <w:t>komunikacji</w:t>
      </w:r>
      <w:r w:rsidR="00970B2E" w:rsidRPr="00D44D33">
        <w:rPr>
          <w:rFonts w:ascii="Times New Roman" w:hAnsi="Times New Roman" w:cs="Times New Roman"/>
          <w:b w:val="0"/>
          <w:bCs w:val="0"/>
          <w:color w:val="auto"/>
          <w:sz w:val="24"/>
          <w:szCs w:val="24"/>
        </w:rPr>
        <w:t xml:space="preserve"> </w:t>
      </w:r>
      <w:r w:rsidR="00B95880" w:rsidRPr="00D44D33">
        <w:rPr>
          <w:rFonts w:ascii="Times New Roman" w:hAnsi="Times New Roman" w:cs="Times New Roman"/>
          <w:b w:val="0"/>
          <w:bCs w:val="0"/>
          <w:color w:val="auto"/>
          <w:sz w:val="24"/>
          <w:szCs w:val="24"/>
        </w:rPr>
        <w:t>elektronicznej</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o</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znaczącej</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pozycji</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lub</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nieposiadającego</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takiej</w:t>
      </w:r>
      <w:r w:rsidR="00970B2E" w:rsidRPr="00D44D33">
        <w:rPr>
          <w:rFonts w:ascii="Times New Roman" w:hAnsi="Times New Roman" w:cs="Times New Roman"/>
          <w:b w:val="0"/>
          <w:bCs w:val="0"/>
          <w:color w:val="auto"/>
          <w:sz w:val="24"/>
          <w:szCs w:val="24"/>
        </w:rPr>
        <w:t xml:space="preserve"> </w:t>
      </w:r>
      <w:r w:rsidR="00E12751" w:rsidRPr="00D44D33">
        <w:rPr>
          <w:rFonts w:ascii="Times New Roman" w:hAnsi="Times New Roman" w:cs="Times New Roman"/>
          <w:b w:val="0"/>
          <w:bCs w:val="0"/>
          <w:color w:val="auto"/>
          <w:sz w:val="24"/>
          <w:szCs w:val="24"/>
        </w:rPr>
        <w:t>pozycji</w:t>
      </w:r>
      <w:r w:rsidR="00B6600D"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920997" w:rsidRPr="00D44D33">
        <w:rPr>
          <w:rFonts w:ascii="Times New Roman" w:hAnsi="Times New Roman" w:cs="Times New Roman"/>
          <w:b w:val="0"/>
          <w:bCs w:val="0"/>
          <w:color w:val="auto"/>
          <w:sz w:val="24"/>
          <w:szCs w:val="24"/>
        </w:rPr>
        <w:t xml:space="preserve">czyli obowiązków wskazanych w art. 199 Pke, </w:t>
      </w:r>
      <w:r w:rsidR="00B6600D" w:rsidRPr="00D44D33">
        <w:rPr>
          <w:rFonts w:ascii="Times New Roman" w:hAnsi="Times New Roman" w:cs="Times New Roman"/>
          <w:b w:val="0"/>
          <w:bCs w:val="0"/>
          <w:color w:val="auto"/>
          <w:sz w:val="24"/>
          <w:szCs w:val="24"/>
        </w:rPr>
        <w:t>oraz</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nałożenia,</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uchylenia,</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zmiany</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lub</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utrzymania</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obowiązków</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dostępowych</w:t>
      </w:r>
      <w:r w:rsidR="00970B2E" w:rsidRPr="00D44D33">
        <w:rPr>
          <w:rFonts w:ascii="Times New Roman" w:hAnsi="Times New Roman" w:cs="Times New Roman"/>
          <w:b w:val="0"/>
          <w:bCs w:val="0"/>
          <w:color w:val="auto"/>
          <w:sz w:val="24"/>
          <w:szCs w:val="24"/>
        </w:rPr>
        <w:t xml:space="preserve"> </w:t>
      </w:r>
      <w:r w:rsidR="00B6600D" w:rsidRPr="00D44D33">
        <w:rPr>
          <w:rFonts w:ascii="Times New Roman" w:hAnsi="Times New Roman" w:cs="Times New Roman"/>
          <w:b w:val="0"/>
          <w:bCs w:val="0"/>
          <w:color w:val="auto"/>
          <w:sz w:val="24"/>
          <w:szCs w:val="24"/>
        </w:rPr>
        <w:t>symetrycznych</w:t>
      </w:r>
      <w:r w:rsidR="00E12751" w:rsidRPr="00D44D33">
        <w:rPr>
          <w:rFonts w:ascii="Times New Roman" w:hAnsi="Times New Roman" w:cs="Times New Roman"/>
          <w:b w:val="0"/>
          <w:bCs w:val="0"/>
          <w:color w:val="auto"/>
          <w:sz w:val="24"/>
          <w:szCs w:val="24"/>
        </w:rPr>
        <w:t>.</w:t>
      </w:r>
    </w:p>
    <w:p w14:paraId="0FA6D507" w14:textId="5685C18F" w:rsidR="005C0DB3" w:rsidRPr="00D44D33" w:rsidRDefault="00E1275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sytuacje</w:t>
      </w:r>
      <w:r w:rsidR="1022B1F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wyjątkowych</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okolicznościach,</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pilna</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tymczasowo</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przyjął</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0A909B4"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konsolidacyjnego</w:t>
      </w:r>
      <w:r w:rsidR="00CB30F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Ostatni</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przypadków</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wdrożony</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D79D5F8" w:rsidRPr="00D44D33">
        <w:rPr>
          <w:rFonts w:ascii="Times New Roman" w:eastAsiaTheme="minorEastAsia" w:hAnsi="Times New Roman" w:cs="Times New Roman"/>
          <w:sz w:val="24"/>
          <w:szCs w:val="24"/>
        </w:rPr>
        <w:t>32</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dotyczącym</w:t>
      </w:r>
      <w:r w:rsidR="00970B2E" w:rsidRPr="00D44D33">
        <w:rPr>
          <w:rFonts w:ascii="Times New Roman" w:eastAsiaTheme="minorEastAsia" w:hAnsi="Times New Roman" w:cs="Times New Roman"/>
          <w:sz w:val="24"/>
          <w:szCs w:val="24"/>
        </w:rPr>
        <w:t xml:space="preserve"> </w:t>
      </w:r>
      <w:r w:rsidR="003751D3"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00CB30F0" w:rsidRPr="00D44D33">
        <w:rPr>
          <w:rFonts w:ascii="Times New Roman" w:eastAsiaTheme="minorEastAsia" w:hAnsi="Times New Roman" w:cs="Times New Roman"/>
          <w:sz w:val="24"/>
          <w:szCs w:val="24"/>
        </w:rPr>
        <w:t>pominięcia</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konsultacji</w:t>
      </w:r>
      <w:r w:rsidR="00CB30F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tymczasowe.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4F4731" w:rsidRPr="00D44D33">
        <w:rPr>
          <w:rFonts w:ascii="Times New Roman" w:eastAsiaTheme="minorEastAsia" w:hAnsi="Times New Roman" w:cs="Times New Roman"/>
          <w:sz w:val="24"/>
          <w:szCs w:val="24"/>
        </w:rPr>
        <w:t xml:space="preserve">Pke </w:t>
      </w:r>
      <w:r w:rsidR="00F02CE0" w:rsidRPr="00D44D33">
        <w:rPr>
          <w:rFonts w:ascii="Times New Roman" w:eastAsiaTheme="minorEastAsia" w:hAnsi="Times New Roman" w:cs="Times New Roman"/>
          <w:sz w:val="24"/>
          <w:szCs w:val="24"/>
        </w:rPr>
        <w:t>przyjęto,</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ono</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nieprzekraczający</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miesięcy.</w:t>
      </w:r>
      <w:r w:rsidR="00371EEA">
        <w:rPr>
          <w:rFonts w:ascii="Times New Roman" w:eastAsiaTheme="minorEastAsia" w:hAnsi="Times New Roman" w:cs="Times New Roman"/>
          <w:sz w:val="24"/>
          <w:szCs w:val="24"/>
        </w:rPr>
        <w:t xml:space="preserve"> </w:t>
      </w:r>
    </w:p>
    <w:p w14:paraId="0E47193B" w14:textId="709DFF5F" w:rsidR="002D2F49" w:rsidRPr="00D44D33" w:rsidRDefault="002D2F4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doprecyzowują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zgłaszane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zamieszczane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bieżących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konsultacyjne</w:t>
      </w:r>
      <w:r w:rsidR="00F02CE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02CE0" w:rsidRPr="00D44D33">
        <w:rPr>
          <w:rFonts w:ascii="Times New Roman" w:eastAsiaTheme="minorEastAsia" w:hAnsi="Times New Roman" w:cs="Times New Roman"/>
          <w:sz w:val="24"/>
          <w:szCs w:val="24"/>
        </w:rPr>
        <w:t>stosow</w:t>
      </w:r>
      <w:r w:rsidR="003663A9"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trwało</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analogiczny</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3663A9"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589F9BF0" w14:textId="3695DACC" w:rsidR="00CB30F0" w:rsidRPr="00D44D33" w:rsidRDefault="2853579A" w:rsidP="00D44D33">
      <w:pPr>
        <w:pStyle w:val="h1chapter"/>
        <w:spacing w:before="120" w:after="120" w:line="360" w:lineRule="auto"/>
        <w:jc w:val="both"/>
        <w:rPr>
          <w:rFonts w:ascii="Times New Roman" w:eastAsia="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Należy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podkreślić,</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że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23</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EKŁE</w:t>
      </w:r>
      <w:r w:rsidR="00970B2E" w:rsidRPr="00D44D33">
        <w:rPr>
          <w:rFonts w:ascii="Times New Roman" w:hAnsi="Times New Roman" w:cs="Times New Roman"/>
          <w:color w:val="auto"/>
          <w:sz w:val="24"/>
          <w:szCs w:val="24"/>
        </w:rPr>
        <w:t xml:space="preserve"> </w:t>
      </w:r>
      <w:r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przeważającej</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części</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powtarza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treść</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6</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dyrektywy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ramowej.</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tego</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względu</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również</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treść</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projektowanych</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przepisów</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nie</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odbiega</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znacznie</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od</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brzmienia</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dotychczas</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obowiązujących</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15</w:t>
      </w:r>
      <w:r w:rsidR="005E5EA8" w:rsidRPr="00D44D33">
        <w:rPr>
          <w:rFonts w:ascii="Times New Roman" w:hAnsi="Times New Roman" w:cs="Times New Roman"/>
          <w:b w:val="0"/>
          <w:sz w:val="24"/>
          <w:szCs w:val="24"/>
          <w:lang w:eastAsia="en-US"/>
        </w:rPr>
        <w:t>–</w:t>
      </w:r>
      <w:r w:rsidR="36BA2A13" w:rsidRPr="00D44D33">
        <w:rPr>
          <w:rFonts w:ascii="Times New Roman" w:hAnsi="Times New Roman" w:cs="Times New Roman"/>
          <w:b w:val="0"/>
          <w:bCs w:val="0"/>
          <w:color w:val="auto"/>
          <w:sz w:val="24"/>
          <w:szCs w:val="24"/>
        </w:rPr>
        <w:t>17</w:t>
      </w:r>
      <w:r w:rsidR="00970B2E" w:rsidRPr="00D44D33">
        <w:rPr>
          <w:rFonts w:ascii="Times New Roman" w:hAnsi="Times New Roman" w:cs="Times New Roman"/>
          <w:b w:val="0"/>
          <w:bCs w:val="0"/>
          <w:color w:val="auto"/>
          <w:sz w:val="24"/>
          <w:szCs w:val="24"/>
        </w:rPr>
        <w:t xml:space="preserve"> </w:t>
      </w:r>
      <w:r w:rsidR="36BA2A13" w:rsidRPr="00D44D33">
        <w:rPr>
          <w:rFonts w:ascii="Times New Roman" w:hAnsi="Times New Roman" w:cs="Times New Roman"/>
          <w:b w:val="0"/>
          <w:bCs w:val="0"/>
          <w:color w:val="auto"/>
          <w:sz w:val="24"/>
          <w:szCs w:val="24"/>
        </w:rPr>
        <w:t>Pt.</w:t>
      </w:r>
      <w:r w:rsidR="00970B2E" w:rsidRPr="00D44D33">
        <w:rPr>
          <w:rFonts w:ascii="Times New Roman" w:hAnsi="Times New Roman" w:cs="Times New Roman"/>
          <w:b w:val="0"/>
          <w:bCs w:val="0"/>
          <w:color w:val="auto"/>
          <w:sz w:val="24"/>
          <w:szCs w:val="24"/>
        </w:rPr>
        <w:t xml:space="preserve"> </w:t>
      </w:r>
      <w:r w:rsidR="166913EE" w:rsidRPr="00D44D33">
        <w:rPr>
          <w:rFonts w:ascii="Times New Roman" w:hAnsi="Times New Roman" w:cs="Times New Roman"/>
          <w:b w:val="0"/>
          <w:bCs w:val="0"/>
          <w:color w:val="auto"/>
          <w:sz w:val="24"/>
          <w:szCs w:val="24"/>
        </w:rPr>
        <w:t>Wprowadzone</w:t>
      </w:r>
      <w:r w:rsidR="00970B2E" w:rsidRPr="00D44D33">
        <w:rPr>
          <w:rFonts w:ascii="Times New Roman" w:hAnsi="Times New Roman" w:cs="Times New Roman"/>
          <w:b w:val="0"/>
          <w:bCs w:val="0"/>
          <w:color w:val="auto"/>
          <w:sz w:val="24"/>
          <w:szCs w:val="24"/>
        </w:rPr>
        <w:t xml:space="preserve"> </w:t>
      </w:r>
      <w:r w:rsidR="166913EE" w:rsidRPr="00D44D33">
        <w:rPr>
          <w:rFonts w:ascii="Times New Roman" w:hAnsi="Times New Roman" w:cs="Times New Roman"/>
          <w:b w:val="0"/>
          <w:bCs w:val="0"/>
          <w:color w:val="auto"/>
          <w:sz w:val="24"/>
          <w:szCs w:val="24"/>
        </w:rPr>
        <w:t>prze</w:t>
      </w:r>
      <w:r w:rsidR="4E3B42B4" w:rsidRPr="00D44D33">
        <w:rPr>
          <w:rFonts w:ascii="Times New Roman" w:hAnsi="Times New Roman" w:cs="Times New Roman"/>
          <w:b w:val="0"/>
          <w:bCs w:val="0"/>
          <w:color w:val="auto"/>
          <w:sz w:val="24"/>
          <w:szCs w:val="24"/>
        </w:rPr>
        <w:t>pisy</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mają</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charakter</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porządkujący</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zwiększający</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przejrzystość</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regulacji</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dotyczącej</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postępowania</w:t>
      </w:r>
      <w:r w:rsidR="00970B2E" w:rsidRPr="00D44D33">
        <w:rPr>
          <w:rFonts w:ascii="Times New Roman" w:hAnsi="Times New Roman" w:cs="Times New Roman"/>
          <w:b w:val="0"/>
          <w:bCs w:val="0"/>
          <w:color w:val="auto"/>
          <w:sz w:val="24"/>
          <w:szCs w:val="24"/>
        </w:rPr>
        <w:t xml:space="preserve"> </w:t>
      </w:r>
      <w:r w:rsidR="4E3B42B4" w:rsidRPr="00D44D33">
        <w:rPr>
          <w:rFonts w:ascii="Times New Roman" w:hAnsi="Times New Roman" w:cs="Times New Roman"/>
          <w:b w:val="0"/>
          <w:bCs w:val="0"/>
          <w:color w:val="auto"/>
          <w:sz w:val="24"/>
          <w:szCs w:val="24"/>
        </w:rPr>
        <w:t>konsultacyjnego.</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Dodano</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również</w:t>
      </w:r>
      <w:r w:rsidR="004F4731"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33</w:t>
      </w:r>
      <w:r w:rsidR="004F4731"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regulację,</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zgodnie</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którą</w:t>
      </w:r>
      <w:r w:rsidR="00970B2E" w:rsidRPr="00D44D33">
        <w:rPr>
          <w:rFonts w:ascii="Times New Roman" w:hAnsi="Times New Roman" w:cs="Times New Roman"/>
          <w:b w:val="0"/>
          <w:bCs w:val="0"/>
          <w:color w:val="auto"/>
          <w:sz w:val="24"/>
          <w:szCs w:val="24"/>
        </w:rPr>
        <w:t xml:space="preserve"> </w:t>
      </w:r>
      <w:r w:rsidR="6267DD53" w:rsidRPr="00D44D33">
        <w:rPr>
          <w:rFonts w:ascii="Times New Roman" w:hAnsi="Times New Roman" w:cs="Times New Roman"/>
          <w:b w:val="0"/>
          <w:bCs w:val="0"/>
          <w:color w:val="auto"/>
          <w:sz w:val="24"/>
          <w:szCs w:val="24"/>
        </w:rPr>
        <w:t>Pr</w:t>
      </w:r>
      <w:r w:rsidR="6267DD53" w:rsidRPr="00D44D33">
        <w:rPr>
          <w:rFonts w:ascii="Times New Roman" w:eastAsia="Times New Roman" w:hAnsi="Times New Roman" w:cs="Times New Roman"/>
          <w:b w:val="0"/>
          <w:bCs w:val="0"/>
          <w:color w:val="auto"/>
          <w:sz w:val="24"/>
          <w:szCs w:val="24"/>
        </w:rPr>
        <w:t>ezes</w:t>
      </w:r>
      <w:r w:rsidR="00970B2E" w:rsidRPr="00D44D33">
        <w:rPr>
          <w:rFonts w:ascii="Times New Roman" w:eastAsia="Times New Roman" w:hAnsi="Times New Roman" w:cs="Times New Roman"/>
          <w:b w:val="0"/>
          <w:bCs w:val="0"/>
          <w:color w:val="auto"/>
          <w:sz w:val="24"/>
          <w:szCs w:val="24"/>
        </w:rPr>
        <w:t xml:space="preserve"> </w:t>
      </w:r>
      <w:r w:rsidR="6267DD53" w:rsidRPr="00D44D33">
        <w:rPr>
          <w:rFonts w:ascii="Times New Roman" w:eastAsia="Times New Roman" w:hAnsi="Times New Roman" w:cs="Times New Roman"/>
          <w:b w:val="0"/>
          <w:bCs w:val="0"/>
          <w:color w:val="auto"/>
          <w:sz w:val="24"/>
          <w:szCs w:val="24"/>
        </w:rPr>
        <w:t>UKE</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będzie</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miał</w:t>
      </w:r>
      <w:r w:rsidR="00970B2E" w:rsidRPr="00D44D33">
        <w:rPr>
          <w:rFonts w:ascii="Times New Roman" w:hAnsi="Times New Roman" w:cs="Times New Roman"/>
          <w:b w:val="0"/>
          <w:bCs w:val="0"/>
          <w:color w:val="auto"/>
          <w:sz w:val="24"/>
          <w:szCs w:val="24"/>
        </w:rPr>
        <w:t xml:space="preserve"> </w:t>
      </w:r>
      <w:r w:rsidR="59069610" w:rsidRPr="00D44D33">
        <w:rPr>
          <w:rFonts w:ascii="Times New Roman" w:hAnsi="Times New Roman" w:cs="Times New Roman"/>
          <w:b w:val="0"/>
          <w:bCs w:val="0"/>
          <w:color w:val="auto"/>
          <w:sz w:val="24"/>
          <w:szCs w:val="24"/>
        </w:rPr>
        <w:t>obowiązek</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udostępnia</w:t>
      </w:r>
      <w:r w:rsidR="64FD0C1E" w:rsidRPr="00D44D33">
        <w:rPr>
          <w:rFonts w:ascii="Times New Roman" w:eastAsia="Times New Roman" w:hAnsi="Times New Roman" w:cs="Times New Roman"/>
          <w:b w:val="0"/>
          <w:bCs w:val="0"/>
          <w:color w:val="auto"/>
          <w:sz w:val="24"/>
          <w:szCs w:val="24"/>
        </w:rPr>
        <w:t>nia</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na</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stronie</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podmiotowej</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BIP</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UKE</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decyzj</w:t>
      </w:r>
      <w:r w:rsidR="0F1C810E" w:rsidRPr="00D44D33">
        <w:rPr>
          <w:rFonts w:ascii="Times New Roman" w:eastAsia="Times New Roman" w:hAnsi="Times New Roman" w:cs="Times New Roman"/>
          <w:b w:val="0"/>
          <w:bCs w:val="0"/>
          <w:color w:val="auto"/>
          <w:sz w:val="24"/>
          <w:szCs w:val="24"/>
        </w:rPr>
        <w:t>i</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wydan</w:t>
      </w:r>
      <w:r w:rsidR="727A9A8A" w:rsidRPr="00D44D33">
        <w:rPr>
          <w:rFonts w:ascii="Times New Roman" w:eastAsia="Times New Roman" w:hAnsi="Times New Roman" w:cs="Times New Roman"/>
          <w:b w:val="0"/>
          <w:bCs w:val="0"/>
          <w:color w:val="auto"/>
          <w:sz w:val="24"/>
          <w:szCs w:val="24"/>
        </w:rPr>
        <w:t>ych</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po</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przeprowadzeniu</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postępowania</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konsultacyjnego,</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co</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ma</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na</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celu</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zapewnienie</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większej</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transparentności</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procesu</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konsultacji</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i</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możliwości</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zapoznania</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się</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przez</w:t>
      </w:r>
      <w:r w:rsidR="00970B2E" w:rsidRPr="00D44D33">
        <w:rPr>
          <w:rFonts w:ascii="Times New Roman" w:eastAsia="Times New Roman" w:hAnsi="Times New Roman" w:cs="Times New Roman"/>
          <w:b w:val="0"/>
          <w:bCs w:val="0"/>
          <w:color w:val="auto"/>
          <w:sz w:val="24"/>
          <w:szCs w:val="24"/>
        </w:rPr>
        <w:t xml:space="preserve"> </w:t>
      </w:r>
      <w:r w:rsidR="16A41FEE" w:rsidRPr="00D44D33">
        <w:rPr>
          <w:rFonts w:ascii="Times New Roman" w:eastAsia="Times New Roman" w:hAnsi="Times New Roman" w:cs="Times New Roman"/>
          <w:b w:val="0"/>
          <w:bCs w:val="0"/>
          <w:color w:val="auto"/>
          <w:sz w:val="24"/>
          <w:szCs w:val="24"/>
        </w:rPr>
        <w:t>wszyst</w:t>
      </w:r>
      <w:r w:rsidR="659F7E15" w:rsidRPr="00D44D33">
        <w:rPr>
          <w:rFonts w:ascii="Times New Roman" w:eastAsia="Times New Roman" w:hAnsi="Times New Roman" w:cs="Times New Roman"/>
          <w:b w:val="0"/>
          <w:bCs w:val="0"/>
          <w:color w:val="auto"/>
          <w:sz w:val="24"/>
          <w:szCs w:val="24"/>
        </w:rPr>
        <w:t>kie</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zainteresowane</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podmioty</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z</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ostateczną</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treścią</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konsultowanego</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rozstrzygnięcia.</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Przepis</w:t>
      </w:r>
      <w:r w:rsidR="00970B2E" w:rsidRPr="00D44D33">
        <w:rPr>
          <w:rFonts w:ascii="Times New Roman" w:eastAsia="Times New Roman" w:hAnsi="Times New Roman" w:cs="Times New Roman"/>
          <w:b w:val="0"/>
          <w:bCs w:val="0"/>
          <w:color w:val="auto"/>
          <w:sz w:val="24"/>
          <w:szCs w:val="24"/>
        </w:rPr>
        <w:t xml:space="preserve"> </w:t>
      </w:r>
      <w:r w:rsidR="00D15F7E" w:rsidRPr="00D44D33">
        <w:rPr>
          <w:rFonts w:ascii="Times New Roman" w:eastAsia="Times New Roman" w:hAnsi="Times New Roman" w:cs="Times New Roman"/>
          <w:b w:val="0"/>
          <w:bCs w:val="0"/>
          <w:color w:val="auto"/>
          <w:sz w:val="24"/>
          <w:szCs w:val="24"/>
        </w:rPr>
        <w:t>zapewnia</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przy</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tym,</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iż</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publikacji</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nie</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będą</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podlegały</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te</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fragme</w:t>
      </w:r>
      <w:r w:rsidR="127FE57E" w:rsidRPr="00D44D33">
        <w:rPr>
          <w:rFonts w:ascii="Times New Roman" w:eastAsia="Times New Roman" w:hAnsi="Times New Roman" w:cs="Times New Roman"/>
          <w:b w:val="0"/>
          <w:bCs w:val="0"/>
          <w:color w:val="auto"/>
          <w:sz w:val="24"/>
          <w:szCs w:val="24"/>
        </w:rPr>
        <w:t>n</w:t>
      </w:r>
      <w:r w:rsidR="659F7E15" w:rsidRPr="00D44D33">
        <w:rPr>
          <w:rFonts w:ascii="Times New Roman" w:eastAsia="Times New Roman" w:hAnsi="Times New Roman" w:cs="Times New Roman"/>
          <w:b w:val="0"/>
          <w:bCs w:val="0"/>
          <w:color w:val="auto"/>
          <w:sz w:val="24"/>
          <w:szCs w:val="24"/>
        </w:rPr>
        <w:t>ty</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decyzji,</w:t>
      </w:r>
      <w:r w:rsidR="00970B2E" w:rsidRPr="00D44D33">
        <w:rPr>
          <w:rFonts w:ascii="Times New Roman" w:eastAsia="Times New Roman" w:hAnsi="Times New Roman" w:cs="Times New Roman"/>
          <w:b w:val="0"/>
          <w:bCs w:val="0"/>
          <w:color w:val="auto"/>
          <w:sz w:val="24"/>
          <w:szCs w:val="24"/>
        </w:rPr>
        <w:t xml:space="preserve"> </w:t>
      </w:r>
      <w:r w:rsidR="659F7E15" w:rsidRPr="00D44D33">
        <w:rPr>
          <w:rFonts w:ascii="Times New Roman" w:eastAsia="Times New Roman" w:hAnsi="Times New Roman" w:cs="Times New Roman"/>
          <w:b w:val="0"/>
          <w:bCs w:val="0"/>
          <w:color w:val="auto"/>
          <w:sz w:val="24"/>
          <w:szCs w:val="24"/>
        </w:rPr>
        <w:t>które</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stanowią</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tajemnice</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prawnie</w:t>
      </w:r>
      <w:r w:rsidR="00970B2E" w:rsidRPr="00D44D33">
        <w:rPr>
          <w:rFonts w:ascii="Times New Roman" w:eastAsia="Times New Roman" w:hAnsi="Times New Roman" w:cs="Times New Roman"/>
          <w:b w:val="0"/>
          <w:bCs w:val="0"/>
          <w:color w:val="auto"/>
          <w:sz w:val="24"/>
          <w:szCs w:val="24"/>
        </w:rPr>
        <w:t xml:space="preserve"> </w:t>
      </w:r>
      <w:r w:rsidR="59069610" w:rsidRPr="00D44D33">
        <w:rPr>
          <w:rFonts w:ascii="Times New Roman" w:eastAsia="Times New Roman" w:hAnsi="Times New Roman" w:cs="Times New Roman"/>
          <w:b w:val="0"/>
          <w:bCs w:val="0"/>
          <w:color w:val="auto"/>
          <w:sz w:val="24"/>
          <w:szCs w:val="24"/>
        </w:rPr>
        <w:t>chronione.</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Dotyczy</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to</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między</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innymi</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informacji</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stanowiących</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tajemnicę</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przedsiębiorstwa</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czy</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dane</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osobowe</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podlegające</w:t>
      </w:r>
      <w:r w:rsidR="00970B2E" w:rsidRPr="00D44D33">
        <w:rPr>
          <w:rFonts w:ascii="Times New Roman" w:eastAsia="Times New Roman" w:hAnsi="Times New Roman" w:cs="Times New Roman"/>
          <w:b w:val="0"/>
          <w:bCs w:val="0"/>
          <w:color w:val="auto"/>
          <w:sz w:val="24"/>
          <w:szCs w:val="24"/>
        </w:rPr>
        <w:t xml:space="preserve"> </w:t>
      </w:r>
      <w:r w:rsidR="2FC041D5" w:rsidRPr="00D44D33">
        <w:rPr>
          <w:rFonts w:ascii="Times New Roman" w:eastAsia="Times New Roman" w:hAnsi="Times New Roman" w:cs="Times New Roman"/>
          <w:b w:val="0"/>
          <w:bCs w:val="0"/>
          <w:color w:val="auto"/>
          <w:sz w:val="24"/>
          <w:szCs w:val="24"/>
        </w:rPr>
        <w:t>ochronie.</w:t>
      </w:r>
    </w:p>
    <w:p w14:paraId="7E2E262B" w14:textId="05756E2C" w:rsidR="00AE4E8D" w:rsidRPr="00D44D33" w:rsidRDefault="4E3B42B4" w:rsidP="00D44D33">
      <w:pPr>
        <w:pStyle w:val="ROZDZODDZOZNoznaczenierozdziauluboddziau"/>
        <w:spacing w:after="120"/>
        <w:jc w:val="both"/>
        <w:rPr>
          <w:rFonts w:ascii="Times New Roman" w:hAnsi="Times New Roman" w:cs="Times New Roman"/>
          <w:bCs w:val="0"/>
        </w:rPr>
      </w:pPr>
      <w:r w:rsidRPr="00D44D33">
        <w:rPr>
          <w:rFonts w:ascii="Times New Roman" w:hAnsi="Times New Roman" w:cs="Times New Roman"/>
          <w:bCs w:val="0"/>
        </w:rPr>
        <w:lastRenderedPageBreak/>
        <w:t>Podobnie</w:t>
      </w:r>
      <w:r w:rsidR="00970B2E" w:rsidRPr="00D44D33">
        <w:rPr>
          <w:rFonts w:ascii="Times New Roman" w:hAnsi="Times New Roman" w:cs="Times New Roman"/>
          <w:bCs w:val="0"/>
        </w:rPr>
        <w:t xml:space="preserve"> </w:t>
      </w:r>
      <w:r w:rsidRPr="00D44D33">
        <w:rPr>
          <w:rFonts w:ascii="Times New Roman" w:hAnsi="Times New Roman" w:cs="Times New Roman"/>
          <w:bCs w:val="0"/>
        </w:rPr>
        <w:t>jak</w:t>
      </w:r>
      <w:r w:rsidR="00970B2E" w:rsidRPr="00D44D33">
        <w:rPr>
          <w:rFonts w:ascii="Times New Roman" w:hAnsi="Times New Roman" w:cs="Times New Roman"/>
          <w:bCs w:val="0"/>
        </w:rPr>
        <w:t xml:space="preserve"> </w:t>
      </w:r>
      <w:r w:rsidRPr="00D44D33">
        <w:rPr>
          <w:rFonts w:ascii="Times New Roman" w:hAnsi="Times New Roman" w:cs="Times New Roman"/>
          <w:bCs w:val="0"/>
        </w:rPr>
        <w:t>ustawa</w:t>
      </w:r>
      <w:r w:rsidR="00970B2E" w:rsidRPr="00D44D33">
        <w:rPr>
          <w:rFonts w:ascii="Times New Roman" w:hAnsi="Times New Roman" w:cs="Times New Roman"/>
          <w:bCs w:val="0"/>
        </w:rPr>
        <w:t xml:space="preserve"> </w:t>
      </w:r>
      <w:r w:rsidRPr="00D44D33">
        <w:rPr>
          <w:rFonts w:ascii="Times New Roman" w:hAnsi="Times New Roman" w:cs="Times New Roman"/>
          <w:bCs w:val="0"/>
        </w:rPr>
        <w:t>P</w:t>
      </w:r>
      <w:r w:rsidR="004F4731" w:rsidRPr="00D44D33">
        <w:rPr>
          <w:rFonts w:ascii="Times New Roman" w:hAnsi="Times New Roman" w:cs="Times New Roman"/>
          <w:bCs w:val="0"/>
        </w:rPr>
        <w:t>t</w:t>
      </w:r>
      <w:r w:rsidRPr="00D44D33">
        <w:rPr>
          <w:rFonts w:ascii="Times New Roman" w:hAnsi="Times New Roman" w:cs="Times New Roman"/>
          <w:bCs w:val="0"/>
        </w:rPr>
        <w:t>,</w:t>
      </w:r>
      <w:r w:rsidR="00970B2E" w:rsidRPr="00D44D33">
        <w:rPr>
          <w:rFonts w:ascii="Times New Roman" w:hAnsi="Times New Roman" w:cs="Times New Roman"/>
          <w:bCs w:val="0"/>
        </w:rPr>
        <w:t xml:space="preserve"> </w:t>
      </w:r>
      <w:r w:rsidRPr="00D44D33">
        <w:rPr>
          <w:rFonts w:ascii="Times New Roman" w:hAnsi="Times New Roman" w:cs="Times New Roman"/>
          <w:bCs w:val="0"/>
        </w:rPr>
        <w:t>również</w:t>
      </w:r>
      <w:r w:rsidR="00970B2E" w:rsidRPr="00D44D33">
        <w:rPr>
          <w:rFonts w:ascii="Times New Roman" w:hAnsi="Times New Roman" w:cs="Times New Roman"/>
          <w:bCs w:val="0"/>
        </w:rPr>
        <w:t xml:space="preserve"> </w:t>
      </w:r>
      <w:r w:rsidRPr="00D44D33">
        <w:rPr>
          <w:rFonts w:ascii="Times New Roman" w:hAnsi="Times New Roman" w:cs="Times New Roman"/>
          <w:bCs w:val="0"/>
        </w:rPr>
        <w:t>projektowana</w:t>
      </w:r>
      <w:r w:rsidR="00970B2E" w:rsidRPr="00D44D33">
        <w:rPr>
          <w:rFonts w:ascii="Times New Roman" w:hAnsi="Times New Roman" w:cs="Times New Roman"/>
          <w:bCs w:val="0"/>
        </w:rPr>
        <w:t xml:space="preserve"> </w:t>
      </w:r>
      <w:r w:rsidRPr="00D44D33">
        <w:rPr>
          <w:rFonts w:ascii="Times New Roman" w:hAnsi="Times New Roman" w:cs="Times New Roman"/>
          <w:bCs w:val="0"/>
        </w:rPr>
        <w:t>ustawa</w:t>
      </w:r>
      <w:r w:rsidR="00970B2E" w:rsidRPr="00D44D33">
        <w:rPr>
          <w:rFonts w:ascii="Times New Roman" w:hAnsi="Times New Roman" w:cs="Times New Roman"/>
          <w:bCs w:val="0"/>
        </w:rPr>
        <w:t xml:space="preserve"> </w:t>
      </w:r>
      <w:r w:rsidR="004F4731" w:rsidRPr="00D44D33">
        <w:rPr>
          <w:rFonts w:ascii="Times New Roman" w:hAnsi="Times New Roman" w:cs="Times New Roman"/>
          <w:bCs w:val="0"/>
        </w:rPr>
        <w:t xml:space="preserve">Pke </w:t>
      </w:r>
      <w:r w:rsidRPr="00D44D33">
        <w:rPr>
          <w:rFonts w:ascii="Times New Roman" w:hAnsi="Times New Roman" w:cs="Times New Roman"/>
          <w:bCs w:val="0"/>
        </w:rPr>
        <w:t>zawiera</w:t>
      </w:r>
      <w:r w:rsidR="00970B2E" w:rsidRPr="00D44D33">
        <w:rPr>
          <w:rFonts w:ascii="Times New Roman" w:hAnsi="Times New Roman" w:cs="Times New Roman"/>
          <w:bCs w:val="0"/>
        </w:rPr>
        <w:t xml:space="preserve"> </w:t>
      </w:r>
      <w:r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Pr="00D44D33">
        <w:rPr>
          <w:rFonts w:ascii="Times New Roman" w:hAnsi="Times New Roman" w:cs="Times New Roman"/>
          <w:bCs w:val="0"/>
        </w:rPr>
        <w:t>art.</w:t>
      </w:r>
      <w:r w:rsidR="00970B2E" w:rsidRPr="00D44D33">
        <w:rPr>
          <w:rFonts w:ascii="Times New Roman" w:hAnsi="Times New Roman" w:cs="Times New Roman"/>
          <w:bCs w:val="0"/>
        </w:rPr>
        <w:t xml:space="preserve"> </w:t>
      </w:r>
      <w:r w:rsidR="0C8728F2" w:rsidRPr="00D44D33">
        <w:rPr>
          <w:rFonts w:ascii="Times New Roman" w:hAnsi="Times New Roman" w:cs="Times New Roman"/>
          <w:bCs w:val="0"/>
        </w:rPr>
        <w:t>34</w:t>
      </w:r>
      <w:r w:rsidR="00970B2E" w:rsidRPr="00D44D33">
        <w:rPr>
          <w:rFonts w:ascii="Times New Roman" w:hAnsi="Times New Roman" w:cs="Times New Roman"/>
          <w:bCs w:val="0"/>
        </w:rPr>
        <w:t xml:space="preserve"> </w:t>
      </w:r>
      <w:r w:rsidRPr="00D44D33">
        <w:rPr>
          <w:rFonts w:ascii="Times New Roman" w:hAnsi="Times New Roman" w:cs="Times New Roman"/>
          <w:bCs w:val="0"/>
        </w:rPr>
        <w:t>wyłączenie</w:t>
      </w:r>
      <w:r w:rsidR="00970B2E" w:rsidRPr="00D44D33">
        <w:rPr>
          <w:rFonts w:ascii="Times New Roman" w:hAnsi="Times New Roman" w:cs="Times New Roman"/>
          <w:bCs w:val="0"/>
        </w:rPr>
        <w:t xml:space="preserve"> </w:t>
      </w:r>
      <w:r w:rsidRPr="00D44D33">
        <w:rPr>
          <w:rFonts w:ascii="Times New Roman" w:hAnsi="Times New Roman" w:cs="Times New Roman"/>
          <w:bCs w:val="0"/>
        </w:rPr>
        <w:t>stosowania,</w:t>
      </w:r>
      <w:r w:rsidR="00970B2E" w:rsidRPr="00D44D33">
        <w:rPr>
          <w:rFonts w:ascii="Times New Roman" w:hAnsi="Times New Roman" w:cs="Times New Roman"/>
          <w:bCs w:val="0"/>
        </w:rPr>
        <w:t xml:space="preserve"> </w:t>
      </w:r>
      <w:r w:rsidRPr="00D44D33">
        <w:rPr>
          <w:rFonts w:ascii="Times New Roman" w:hAnsi="Times New Roman" w:cs="Times New Roman"/>
          <w:bCs w:val="0"/>
        </w:rPr>
        <w:t>do</w:t>
      </w:r>
      <w:r w:rsidR="00970B2E" w:rsidRPr="00D44D33">
        <w:rPr>
          <w:rFonts w:ascii="Times New Roman" w:hAnsi="Times New Roman" w:cs="Times New Roman"/>
          <w:bCs w:val="0"/>
        </w:rPr>
        <w:t xml:space="preserve"> </w:t>
      </w:r>
      <w:r w:rsidRPr="00D44D33">
        <w:rPr>
          <w:rFonts w:ascii="Times New Roman" w:hAnsi="Times New Roman" w:cs="Times New Roman"/>
          <w:bCs w:val="0"/>
        </w:rPr>
        <w:t>spraw</w:t>
      </w:r>
      <w:r w:rsidR="00970B2E" w:rsidRPr="00D44D33">
        <w:rPr>
          <w:rFonts w:ascii="Times New Roman" w:hAnsi="Times New Roman" w:cs="Times New Roman"/>
          <w:bCs w:val="0"/>
        </w:rPr>
        <w:t xml:space="preserve"> </w:t>
      </w:r>
      <w:r w:rsidRPr="00D44D33">
        <w:rPr>
          <w:rFonts w:ascii="Times New Roman" w:hAnsi="Times New Roman" w:cs="Times New Roman"/>
          <w:bCs w:val="0"/>
        </w:rPr>
        <w:t>objętych</w:t>
      </w:r>
      <w:r w:rsidR="00970B2E" w:rsidRPr="00D44D33">
        <w:rPr>
          <w:rFonts w:ascii="Times New Roman" w:hAnsi="Times New Roman" w:cs="Times New Roman"/>
          <w:bCs w:val="0"/>
        </w:rPr>
        <w:t xml:space="preserve"> </w:t>
      </w:r>
      <w:r w:rsidRPr="00D44D33">
        <w:rPr>
          <w:rFonts w:ascii="Times New Roman" w:hAnsi="Times New Roman" w:cs="Times New Roman"/>
          <w:bCs w:val="0"/>
        </w:rPr>
        <w:t>postępowaniem</w:t>
      </w:r>
      <w:r w:rsidR="00970B2E" w:rsidRPr="00D44D33">
        <w:rPr>
          <w:rFonts w:ascii="Times New Roman" w:hAnsi="Times New Roman" w:cs="Times New Roman"/>
          <w:bCs w:val="0"/>
        </w:rPr>
        <w:t xml:space="preserve"> </w:t>
      </w:r>
      <w:r w:rsidRPr="00D44D33">
        <w:rPr>
          <w:rFonts w:ascii="Times New Roman" w:hAnsi="Times New Roman" w:cs="Times New Roman"/>
          <w:bCs w:val="0"/>
        </w:rPr>
        <w:t>konsultacyjnym</w:t>
      </w:r>
      <w:r w:rsidR="00970B2E" w:rsidRPr="00D44D33">
        <w:rPr>
          <w:rFonts w:ascii="Times New Roman" w:hAnsi="Times New Roman" w:cs="Times New Roman"/>
          <w:bCs w:val="0"/>
        </w:rPr>
        <w:t xml:space="preserve"> </w:t>
      </w:r>
      <w:r w:rsidRPr="00D44D33">
        <w:rPr>
          <w:rFonts w:ascii="Times New Roman" w:hAnsi="Times New Roman" w:cs="Times New Roman"/>
          <w:bCs w:val="0"/>
        </w:rPr>
        <w:t>–</w:t>
      </w:r>
      <w:r w:rsidR="00970B2E" w:rsidRPr="00D44D33">
        <w:rPr>
          <w:rFonts w:ascii="Times New Roman" w:hAnsi="Times New Roman" w:cs="Times New Roman"/>
          <w:bCs w:val="0"/>
        </w:rPr>
        <w:t xml:space="preserve"> </w:t>
      </w:r>
      <w:r w:rsidRPr="00D44D33">
        <w:rPr>
          <w:rFonts w:ascii="Times New Roman" w:hAnsi="Times New Roman" w:cs="Times New Roman"/>
          <w:bCs w:val="0"/>
        </w:rPr>
        <w:t>art.</w:t>
      </w:r>
      <w:r w:rsidR="00970B2E" w:rsidRPr="00D44D33">
        <w:rPr>
          <w:rFonts w:ascii="Times New Roman" w:hAnsi="Times New Roman" w:cs="Times New Roman"/>
          <w:bCs w:val="0"/>
        </w:rPr>
        <w:t xml:space="preserve"> </w:t>
      </w:r>
      <w:r w:rsidRPr="00D44D33">
        <w:rPr>
          <w:rFonts w:ascii="Times New Roman" w:hAnsi="Times New Roman" w:cs="Times New Roman"/>
          <w:bCs w:val="0"/>
        </w:rPr>
        <w:t>79a</w:t>
      </w:r>
      <w:r w:rsidR="00970B2E" w:rsidRPr="00D44D33">
        <w:rPr>
          <w:rFonts w:ascii="Times New Roman" w:hAnsi="Times New Roman" w:cs="Times New Roman"/>
          <w:bCs w:val="0"/>
        </w:rPr>
        <w:t xml:space="preserve"> </w:t>
      </w:r>
      <w:r w:rsidRPr="00D44D33">
        <w:rPr>
          <w:rFonts w:ascii="Times New Roman" w:hAnsi="Times New Roman" w:cs="Times New Roman"/>
          <w:bCs w:val="0"/>
        </w:rPr>
        <w:t>ustawy</w:t>
      </w:r>
      <w:r w:rsidR="00970B2E" w:rsidRPr="00D44D33">
        <w:rPr>
          <w:rFonts w:ascii="Times New Roman" w:hAnsi="Times New Roman" w:cs="Times New Roman"/>
          <w:bCs w:val="0"/>
        </w:rPr>
        <w:t xml:space="preserve"> </w:t>
      </w:r>
      <w:r w:rsidRPr="00D44D33">
        <w:rPr>
          <w:rFonts w:ascii="Times New Roman" w:hAnsi="Times New Roman" w:cs="Times New Roman"/>
          <w:bCs w:val="0"/>
        </w:rPr>
        <w:t>z</w:t>
      </w:r>
      <w:r w:rsidR="00970B2E" w:rsidRPr="00D44D33">
        <w:rPr>
          <w:rFonts w:ascii="Times New Roman" w:hAnsi="Times New Roman" w:cs="Times New Roman"/>
          <w:bCs w:val="0"/>
        </w:rPr>
        <w:t xml:space="preserve"> </w:t>
      </w:r>
      <w:r w:rsidRPr="00D44D33">
        <w:rPr>
          <w:rFonts w:ascii="Times New Roman" w:hAnsi="Times New Roman" w:cs="Times New Roman"/>
          <w:bCs w:val="0"/>
        </w:rPr>
        <w:t>dnia</w:t>
      </w:r>
      <w:r w:rsidR="00970B2E" w:rsidRPr="00D44D33">
        <w:rPr>
          <w:rFonts w:ascii="Times New Roman" w:hAnsi="Times New Roman" w:cs="Times New Roman"/>
          <w:bCs w:val="0"/>
        </w:rPr>
        <w:t xml:space="preserve"> </w:t>
      </w:r>
      <w:r w:rsidRPr="00D44D33">
        <w:rPr>
          <w:rFonts w:ascii="Times New Roman" w:hAnsi="Times New Roman" w:cs="Times New Roman"/>
          <w:bCs w:val="0"/>
        </w:rPr>
        <w:t>1960</w:t>
      </w:r>
      <w:r w:rsidR="00970B2E" w:rsidRPr="00D44D33">
        <w:rPr>
          <w:rFonts w:ascii="Times New Roman" w:hAnsi="Times New Roman" w:cs="Times New Roman"/>
          <w:bCs w:val="0"/>
        </w:rPr>
        <w:t xml:space="preserve"> </w:t>
      </w:r>
      <w:r w:rsidRPr="00D44D33">
        <w:rPr>
          <w:rFonts w:ascii="Times New Roman" w:hAnsi="Times New Roman" w:cs="Times New Roman"/>
          <w:bCs w:val="0"/>
        </w:rPr>
        <w:t>r.</w:t>
      </w:r>
      <w:r w:rsidR="00970B2E" w:rsidRPr="00D44D33">
        <w:rPr>
          <w:rFonts w:ascii="Times New Roman" w:hAnsi="Times New Roman" w:cs="Times New Roman"/>
          <w:bCs w:val="0"/>
        </w:rPr>
        <w:t xml:space="preserve"> </w:t>
      </w:r>
      <w:r w:rsidRPr="00D44D33">
        <w:rPr>
          <w:rFonts w:ascii="Times New Roman" w:hAnsi="Times New Roman" w:cs="Times New Roman"/>
          <w:bCs w:val="0"/>
        </w:rPr>
        <w:t>–</w:t>
      </w:r>
      <w:r w:rsidR="00970B2E" w:rsidRPr="00D44D33">
        <w:rPr>
          <w:rFonts w:ascii="Times New Roman" w:hAnsi="Times New Roman" w:cs="Times New Roman"/>
          <w:bCs w:val="0"/>
        </w:rPr>
        <w:t xml:space="preserve"> </w:t>
      </w:r>
      <w:r w:rsidRPr="00D44D33">
        <w:rPr>
          <w:rFonts w:ascii="Times New Roman" w:hAnsi="Times New Roman" w:cs="Times New Roman"/>
          <w:bCs w:val="0"/>
        </w:rPr>
        <w:t>Kodeks</w:t>
      </w:r>
      <w:r w:rsidR="00970B2E" w:rsidRPr="00D44D33">
        <w:rPr>
          <w:rFonts w:ascii="Times New Roman" w:hAnsi="Times New Roman" w:cs="Times New Roman"/>
          <w:bCs w:val="0"/>
        </w:rPr>
        <w:t xml:space="preserve"> </w:t>
      </w:r>
      <w:r w:rsidRPr="00D44D33">
        <w:rPr>
          <w:rFonts w:ascii="Times New Roman" w:hAnsi="Times New Roman" w:cs="Times New Roman"/>
          <w:bCs w:val="0"/>
        </w:rPr>
        <w:t>postępowania</w:t>
      </w:r>
      <w:r w:rsidR="00970B2E" w:rsidRPr="00D44D33">
        <w:rPr>
          <w:rFonts w:ascii="Times New Roman" w:hAnsi="Times New Roman" w:cs="Times New Roman"/>
          <w:bCs w:val="0"/>
        </w:rPr>
        <w:t xml:space="preserve"> </w:t>
      </w:r>
      <w:r w:rsidRPr="00D44D33">
        <w:rPr>
          <w:rFonts w:ascii="Times New Roman" w:hAnsi="Times New Roman" w:cs="Times New Roman"/>
          <w:bCs w:val="0"/>
        </w:rPr>
        <w:t>administracyjnego</w:t>
      </w:r>
      <w:r w:rsidR="00970B2E" w:rsidRPr="00D44D33">
        <w:rPr>
          <w:rFonts w:ascii="Times New Roman" w:hAnsi="Times New Roman" w:cs="Times New Roman"/>
          <w:bCs w:val="0"/>
        </w:rPr>
        <w:t xml:space="preserve"> </w:t>
      </w:r>
      <w:r w:rsidR="36463F8F" w:rsidRPr="00D44D33">
        <w:rPr>
          <w:rFonts w:ascii="Times New Roman" w:hAnsi="Times New Roman" w:cs="Times New Roman"/>
          <w:bCs w:val="0"/>
        </w:rPr>
        <w:t>(Dz.</w:t>
      </w:r>
      <w:r w:rsidR="00970B2E" w:rsidRPr="00D44D33">
        <w:rPr>
          <w:rFonts w:ascii="Times New Roman" w:hAnsi="Times New Roman" w:cs="Times New Roman"/>
          <w:bCs w:val="0"/>
        </w:rPr>
        <w:t xml:space="preserve"> </w:t>
      </w:r>
      <w:r w:rsidR="36463F8F" w:rsidRPr="00D44D33">
        <w:rPr>
          <w:rFonts w:ascii="Times New Roman" w:hAnsi="Times New Roman" w:cs="Times New Roman"/>
          <w:bCs w:val="0"/>
        </w:rPr>
        <w:t>U.</w:t>
      </w:r>
      <w:r w:rsidR="00970B2E" w:rsidRPr="00D44D33">
        <w:rPr>
          <w:rFonts w:ascii="Times New Roman" w:hAnsi="Times New Roman" w:cs="Times New Roman"/>
          <w:bCs w:val="0"/>
        </w:rPr>
        <w:t xml:space="preserve"> </w:t>
      </w:r>
      <w:r w:rsidR="36463F8F" w:rsidRPr="00D44D33">
        <w:rPr>
          <w:rFonts w:ascii="Times New Roman" w:hAnsi="Times New Roman" w:cs="Times New Roman"/>
          <w:bCs w:val="0"/>
        </w:rPr>
        <w:t>z</w:t>
      </w:r>
      <w:r w:rsidR="00970B2E" w:rsidRPr="00D44D33">
        <w:rPr>
          <w:rFonts w:ascii="Times New Roman" w:hAnsi="Times New Roman" w:cs="Times New Roman"/>
          <w:bCs w:val="0"/>
        </w:rPr>
        <w:t xml:space="preserve"> </w:t>
      </w:r>
      <w:r w:rsidR="36463F8F" w:rsidRPr="00D44D33">
        <w:rPr>
          <w:rFonts w:ascii="Times New Roman" w:hAnsi="Times New Roman" w:cs="Times New Roman"/>
          <w:bCs w:val="0"/>
        </w:rPr>
        <w:t>202</w:t>
      </w:r>
      <w:r w:rsidR="00BC6A1D" w:rsidRPr="00D44D33">
        <w:rPr>
          <w:rFonts w:ascii="Times New Roman" w:hAnsi="Times New Roman" w:cs="Times New Roman"/>
          <w:bCs w:val="0"/>
        </w:rPr>
        <w:t>2</w:t>
      </w:r>
      <w:r w:rsidR="00970B2E" w:rsidRPr="00D44D33">
        <w:rPr>
          <w:rFonts w:ascii="Times New Roman" w:hAnsi="Times New Roman" w:cs="Times New Roman"/>
          <w:bCs w:val="0"/>
        </w:rPr>
        <w:t xml:space="preserve"> </w:t>
      </w:r>
      <w:r w:rsidR="36463F8F" w:rsidRPr="00D44D33">
        <w:rPr>
          <w:rFonts w:ascii="Times New Roman" w:hAnsi="Times New Roman" w:cs="Times New Roman"/>
          <w:bCs w:val="0"/>
        </w:rPr>
        <w:t>r.</w:t>
      </w:r>
      <w:r w:rsidR="00970B2E" w:rsidRPr="00D44D33">
        <w:rPr>
          <w:rFonts w:ascii="Times New Roman" w:hAnsi="Times New Roman" w:cs="Times New Roman"/>
          <w:bCs w:val="0"/>
        </w:rPr>
        <w:t xml:space="preserve"> </w:t>
      </w:r>
      <w:r w:rsidR="440D7A92" w:rsidRPr="00D44D33">
        <w:rPr>
          <w:rFonts w:ascii="Times New Roman" w:hAnsi="Times New Roman" w:cs="Times New Roman"/>
          <w:bCs w:val="0"/>
        </w:rPr>
        <w:t>poz.</w:t>
      </w:r>
      <w:r w:rsidR="00970B2E" w:rsidRPr="00D44D33">
        <w:rPr>
          <w:rFonts w:ascii="Times New Roman" w:hAnsi="Times New Roman" w:cs="Times New Roman"/>
          <w:bCs w:val="0"/>
        </w:rPr>
        <w:t xml:space="preserve"> </w:t>
      </w:r>
      <w:r w:rsidR="00BC6A1D" w:rsidRPr="00D44D33">
        <w:rPr>
          <w:rFonts w:ascii="Times New Roman" w:hAnsi="Times New Roman" w:cs="Times New Roman"/>
          <w:bCs w:val="0"/>
        </w:rPr>
        <w:t>2000</w:t>
      </w:r>
      <w:r w:rsidR="00BC6A1D" w:rsidRPr="00D44D33">
        <w:rPr>
          <w:rFonts w:ascii="Times New Roman" w:hAnsi="Times New Roman" w:cs="Times New Roman"/>
        </w:rPr>
        <w:t xml:space="preserve"> i 2185</w:t>
      </w:r>
      <w:r w:rsidR="00862484" w:rsidRPr="00D44D33">
        <w:rPr>
          <w:rFonts w:ascii="Times New Roman" w:hAnsi="Times New Roman" w:cs="Times New Roman"/>
        </w:rPr>
        <w:t>)</w:t>
      </w:r>
      <w:r w:rsidR="440D7A92" w:rsidRPr="00D44D33">
        <w:rPr>
          <w:rFonts w:ascii="Times New Roman" w:hAnsi="Times New Roman" w:cs="Times New Roman"/>
          <w:bCs w:val="0"/>
        </w:rPr>
        <w:t>,</w:t>
      </w:r>
      <w:r w:rsidR="00970B2E" w:rsidRPr="00D44D33">
        <w:rPr>
          <w:rFonts w:ascii="Times New Roman" w:hAnsi="Times New Roman" w:cs="Times New Roman"/>
          <w:bCs w:val="0"/>
        </w:rPr>
        <w:t xml:space="preserve"> </w:t>
      </w:r>
      <w:r w:rsidR="440D7A92" w:rsidRPr="00D44D33">
        <w:rPr>
          <w:rFonts w:ascii="Times New Roman" w:hAnsi="Times New Roman" w:cs="Times New Roman"/>
          <w:bCs w:val="0"/>
        </w:rPr>
        <w:t>zwanym</w:t>
      </w:r>
      <w:r w:rsidR="00970B2E" w:rsidRPr="00D44D33">
        <w:rPr>
          <w:rFonts w:ascii="Times New Roman" w:hAnsi="Times New Roman" w:cs="Times New Roman"/>
          <w:bCs w:val="0"/>
        </w:rPr>
        <w:t xml:space="preserve"> </w:t>
      </w:r>
      <w:r w:rsidR="440D7A92" w:rsidRPr="00D44D33">
        <w:rPr>
          <w:rFonts w:ascii="Times New Roman" w:hAnsi="Times New Roman" w:cs="Times New Roman"/>
          <w:bCs w:val="0"/>
        </w:rPr>
        <w:t>dalej</w:t>
      </w:r>
      <w:r w:rsidR="00970B2E" w:rsidRPr="00D44D33">
        <w:rPr>
          <w:rFonts w:ascii="Times New Roman" w:hAnsi="Times New Roman" w:cs="Times New Roman"/>
          <w:bCs w:val="0"/>
        </w:rPr>
        <w:t xml:space="preserve"> </w:t>
      </w:r>
      <w:r w:rsidR="440D7A92" w:rsidRPr="00D44D33">
        <w:rPr>
          <w:rFonts w:ascii="Times New Roman" w:hAnsi="Times New Roman" w:cs="Times New Roman"/>
          <w:bCs w:val="0"/>
        </w:rPr>
        <w:t>„</w:t>
      </w:r>
      <w:r w:rsidR="170CBA89" w:rsidRPr="00D44D33">
        <w:rPr>
          <w:rFonts w:ascii="Times New Roman" w:hAnsi="Times New Roman" w:cs="Times New Roman"/>
          <w:bCs w:val="0"/>
        </w:rPr>
        <w:t>k</w:t>
      </w:r>
      <w:r w:rsidR="36463F8F" w:rsidRPr="00D44D33">
        <w:rPr>
          <w:rFonts w:ascii="Times New Roman" w:hAnsi="Times New Roman" w:cs="Times New Roman"/>
          <w:bCs w:val="0"/>
        </w:rPr>
        <w:t>pa”</w:t>
      </w:r>
      <w:r w:rsidRPr="00D44D33">
        <w:rPr>
          <w:rFonts w:ascii="Times New Roman" w:hAnsi="Times New Roman" w:cs="Times New Roman"/>
          <w:bCs w:val="0"/>
        </w:rPr>
        <w:t>.</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Zgodnie</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z</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a</w:t>
      </w:r>
      <w:r w:rsidR="6DBE061E" w:rsidRPr="00D44D33">
        <w:rPr>
          <w:rFonts w:ascii="Times New Roman" w:hAnsi="Times New Roman" w:cs="Times New Roman"/>
          <w:bCs w:val="0"/>
        </w:rPr>
        <w:t>rt.</w:t>
      </w:r>
      <w:r w:rsidR="00970B2E" w:rsidRPr="00D44D33">
        <w:rPr>
          <w:rFonts w:ascii="Times New Roman" w:hAnsi="Times New Roman" w:cs="Times New Roman"/>
          <w:bCs w:val="0"/>
        </w:rPr>
        <w:t xml:space="preserve"> </w:t>
      </w:r>
      <w:r w:rsidR="6DBE061E" w:rsidRPr="00D44D33">
        <w:rPr>
          <w:rFonts w:ascii="Times New Roman" w:hAnsi="Times New Roman" w:cs="Times New Roman"/>
          <w:bCs w:val="0"/>
        </w:rPr>
        <w:t>79a</w:t>
      </w:r>
      <w:r w:rsidR="00970B2E" w:rsidRPr="00D44D33">
        <w:rPr>
          <w:rFonts w:ascii="Times New Roman" w:hAnsi="Times New Roman" w:cs="Times New Roman"/>
          <w:bCs w:val="0"/>
        </w:rPr>
        <w:t xml:space="preserve"> </w:t>
      </w:r>
      <w:r w:rsidR="6DBE061E" w:rsidRPr="00D44D33">
        <w:rPr>
          <w:rFonts w:ascii="Times New Roman" w:hAnsi="Times New Roman" w:cs="Times New Roman"/>
          <w:bCs w:val="0"/>
        </w:rPr>
        <w:t>kpa</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postępowaniu</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wszczętym</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na</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żądanie</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strony,</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informując</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o</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możliwości</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wypowiedzenia</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się</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co</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do</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zebranych</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dowodów</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i</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materiałów</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oraz</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zgłoszonych</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żądań,</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organ</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administracji</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publicznej</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jest</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obowiązany</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do</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wskazania</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przesłanek</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zależnych</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od</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strony,</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które</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nie</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zostały</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na</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dzień</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wysłania</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informacji</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spełnione</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lub</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wykazane,</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co</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może</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skutkować</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wydaniem</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decyzji</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niezgodnej</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z</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żądaniem</w:t>
      </w:r>
      <w:r w:rsidR="00970B2E" w:rsidRPr="00D44D33">
        <w:rPr>
          <w:rFonts w:ascii="Times New Roman" w:hAnsi="Times New Roman" w:cs="Times New Roman"/>
          <w:bCs w:val="0"/>
        </w:rPr>
        <w:t xml:space="preserve"> </w:t>
      </w:r>
      <w:r w:rsidR="725F39D7" w:rsidRPr="00D44D33">
        <w:rPr>
          <w:rFonts w:ascii="Times New Roman" w:hAnsi="Times New Roman" w:cs="Times New Roman"/>
          <w:bCs w:val="0"/>
        </w:rPr>
        <w:t>strony.</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terminie</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wyznaczonym</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na</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wypowiedzenie</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się</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co</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do</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zebranych</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dowodów</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i</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materiałów</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oraz</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zgłoszonych</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żądań,</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strona</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może</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przedłożyć</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dodatkowe</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dowody</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celem</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wykazania</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spełnienia</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w</w:t>
      </w:r>
      <w:r w:rsidR="004F4731" w:rsidRPr="00D44D33">
        <w:rPr>
          <w:rFonts w:ascii="Times New Roman" w:hAnsi="Times New Roman" w:cs="Times New Roman"/>
          <w:bCs w:val="0"/>
        </w:rPr>
        <w:t>.</w:t>
      </w:r>
      <w:r w:rsidR="23D1E99D"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23D1E99D" w:rsidRPr="00D44D33">
        <w:rPr>
          <w:rFonts w:ascii="Times New Roman" w:hAnsi="Times New Roman" w:cs="Times New Roman"/>
          <w:bCs w:val="0"/>
        </w:rPr>
        <w:t>przesłanek.</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Zasadne</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jest</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u</w:t>
      </w:r>
      <w:r w:rsidR="3072D932" w:rsidRPr="00D44D33">
        <w:rPr>
          <w:rFonts w:ascii="Times New Roman" w:hAnsi="Times New Roman" w:cs="Times New Roman"/>
          <w:bCs w:val="0"/>
        </w:rPr>
        <w:t>trzymanie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wyłącz</w:t>
      </w:r>
      <w:r w:rsidR="22C5C8E3" w:rsidRPr="00D44D33">
        <w:rPr>
          <w:rFonts w:ascii="Times New Roman" w:hAnsi="Times New Roman" w:cs="Times New Roman"/>
          <w:bCs w:val="0"/>
        </w:rPr>
        <w:t>enia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stosowania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art.</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79a</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kpa.</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Instytucja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postępowania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konsultacyjnego,</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które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przeprowadza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Prezes</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UKE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przed</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podjęciem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rozstrzygnięcia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określonych</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projektowanym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art.</w:t>
      </w:r>
      <w:r w:rsidR="00970B2E" w:rsidRPr="00D44D33">
        <w:rPr>
          <w:rFonts w:ascii="Times New Roman" w:hAnsi="Times New Roman" w:cs="Times New Roman"/>
          <w:bCs w:val="0"/>
        </w:rPr>
        <w:t xml:space="preserve"> </w:t>
      </w:r>
      <w:r w:rsidR="2188DD31" w:rsidRPr="00D44D33">
        <w:rPr>
          <w:rFonts w:ascii="Times New Roman" w:hAnsi="Times New Roman" w:cs="Times New Roman"/>
          <w:bCs w:val="0"/>
        </w:rPr>
        <w:t>31</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sprawach,</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ma</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już</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na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celu</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umożliwienie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zainteresowanym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podmiotom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wyrażenie,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określonym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terminie,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stanowiska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do</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projektu</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rozstrzygnięcia.</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Projektowany</w:t>
      </w:r>
      <w:r w:rsidR="00970B2E" w:rsidRPr="00D44D33">
        <w:rPr>
          <w:rFonts w:ascii="Times New Roman" w:hAnsi="Times New Roman" w:cs="Times New Roman"/>
          <w:bCs w:val="0"/>
        </w:rPr>
        <w:t xml:space="preserve"> </w:t>
      </w:r>
      <w:r w:rsidR="22C5C8E3" w:rsidRPr="00D44D33">
        <w:rPr>
          <w:rFonts w:ascii="Times New Roman" w:hAnsi="Times New Roman" w:cs="Times New Roman"/>
          <w:bCs w:val="0"/>
        </w:rPr>
        <w:t>a</w:t>
      </w:r>
      <w:r w:rsidR="3072D932" w:rsidRPr="00D44D33">
        <w:rPr>
          <w:rFonts w:ascii="Times New Roman" w:hAnsi="Times New Roman" w:cs="Times New Roman"/>
          <w:bCs w:val="0"/>
        </w:rPr>
        <w:t>rt.</w:t>
      </w:r>
      <w:r w:rsidR="00970B2E" w:rsidRPr="00D44D33">
        <w:rPr>
          <w:rFonts w:ascii="Times New Roman" w:hAnsi="Times New Roman" w:cs="Times New Roman"/>
          <w:bCs w:val="0"/>
        </w:rPr>
        <w:t xml:space="preserve"> </w:t>
      </w:r>
      <w:r w:rsidR="508829E2" w:rsidRPr="00D44D33">
        <w:rPr>
          <w:rFonts w:ascii="Times New Roman" w:hAnsi="Times New Roman" w:cs="Times New Roman"/>
          <w:bCs w:val="0"/>
        </w:rPr>
        <w:t>31</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ust.</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1</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zawiera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przy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tym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wymóg,</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aby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Prezes</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UKE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ogłosił</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rozpoczęcie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postępowania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konsultacyjnego,</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określając</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przedmiot</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termin</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tego</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postępowania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udostępniając</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projekt</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rozstrzygnięcia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wraz</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uzasadnieniem.</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Przy</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czym</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termin</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zgłaszania</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stanowisk</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nie</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może</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być</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krótszy</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niż</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30</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dni</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od</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dnia</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jego</w:t>
      </w:r>
      <w:r w:rsidR="00970B2E" w:rsidRPr="00D44D33">
        <w:rPr>
          <w:rFonts w:ascii="Times New Roman" w:hAnsi="Times New Roman" w:cs="Times New Roman"/>
          <w:bCs w:val="0"/>
        </w:rPr>
        <w:t xml:space="preserve"> </w:t>
      </w:r>
      <w:r w:rsidR="73A6D048" w:rsidRPr="00D44D33">
        <w:rPr>
          <w:rFonts w:ascii="Times New Roman" w:hAnsi="Times New Roman" w:cs="Times New Roman"/>
          <w:bCs w:val="0"/>
        </w:rPr>
        <w:t>udostępnienia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w:t>
      </w:r>
      <w:r w:rsidR="218AE796" w:rsidRPr="00D44D33">
        <w:rPr>
          <w:rFonts w:ascii="Times New Roman" w:hAnsi="Times New Roman" w:cs="Times New Roman"/>
          <w:bCs w:val="0"/>
        </w:rPr>
        <w:t>rojektowane</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p</w:t>
      </w:r>
      <w:r w:rsidR="3072D932" w:rsidRPr="00D44D33">
        <w:rPr>
          <w:rFonts w:ascii="Times New Roman" w:hAnsi="Times New Roman" w:cs="Times New Roman"/>
          <w:bCs w:val="0"/>
        </w:rPr>
        <w:t>rzepisy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precyzują</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wprawdzie,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jakie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elementy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ma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zawierać</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uzasadnienie,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należy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jednak</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wskazać,</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że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przypadku</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projektów</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postanowień</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decyzji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uzasadnienie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powinno</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odpowiadać</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wymaganiom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kpa.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Dzięki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lastRenderedPageBreak/>
        <w:t>wymogowi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udostępnienia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uzasadnienia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zainteresowany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podmiot</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ma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możliwość</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zapoznania</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się</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przesłankami,</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jakie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zaważ</w:t>
      </w:r>
      <w:r w:rsidR="218AE796" w:rsidRPr="00D44D33">
        <w:rPr>
          <w:rFonts w:ascii="Times New Roman" w:hAnsi="Times New Roman" w:cs="Times New Roman"/>
          <w:bCs w:val="0"/>
        </w:rPr>
        <w:t>yły</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na</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rozstrzygnięciu</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sprawy.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Uwzględniając</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powyższe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argumenty,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należy</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uznać,</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że</w:t>
      </w:r>
      <w:r w:rsidR="00970B2E" w:rsidRPr="00D44D33">
        <w:rPr>
          <w:rFonts w:ascii="Times New Roman" w:hAnsi="Times New Roman" w:cs="Times New Roman"/>
          <w:bCs w:val="0"/>
        </w:rPr>
        <w:t xml:space="preserve"> </w:t>
      </w:r>
      <w:r w:rsidR="1C07066D" w:rsidRPr="00D44D33">
        <w:rPr>
          <w:rFonts w:ascii="Times New Roman" w:hAnsi="Times New Roman" w:cs="Times New Roman"/>
          <w:bCs w:val="0"/>
        </w:rPr>
        <w:t>przewidziane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projektowanym</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art.</w:t>
      </w:r>
      <w:r w:rsidR="00970B2E" w:rsidRPr="00D44D33">
        <w:rPr>
          <w:rFonts w:ascii="Times New Roman" w:hAnsi="Times New Roman" w:cs="Times New Roman"/>
          <w:bCs w:val="0"/>
        </w:rPr>
        <w:t xml:space="preserve"> </w:t>
      </w:r>
      <w:r w:rsidR="7E0F40D6" w:rsidRPr="00D44D33">
        <w:rPr>
          <w:rFonts w:ascii="Times New Roman" w:hAnsi="Times New Roman" w:cs="Times New Roman"/>
          <w:bCs w:val="0"/>
        </w:rPr>
        <w:t>30</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i</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n</w:t>
      </w:r>
      <w:r w:rsidR="004F4731" w:rsidRPr="00D44D33">
        <w:rPr>
          <w:rFonts w:ascii="Times New Roman" w:hAnsi="Times New Roman" w:cs="Times New Roman"/>
          <w:bCs w:val="0"/>
        </w:rPr>
        <w:t>ast</w:t>
      </w:r>
      <w:r w:rsidR="218AE796" w:rsidRPr="00D44D33">
        <w:rPr>
          <w:rFonts w:ascii="Times New Roman" w:hAnsi="Times New Roman" w:cs="Times New Roman"/>
          <w:bCs w:val="0"/>
        </w:rPr>
        <w:t>.</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postępowanie</w:t>
      </w:r>
      <w:r w:rsidR="00970B2E" w:rsidRPr="00D44D33">
        <w:rPr>
          <w:rFonts w:ascii="Times New Roman" w:hAnsi="Times New Roman" w:cs="Times New Roman"/>
          <w:bCs w:val="0"/>
        </w:rPr>
        <w:t xml:space="preserve"> </w:t>
      </w:r>
      <w:r w:rsidR="3072D932" w:rsidRPr="00D44D33">
        <w:rPr>
          <w:rFonts w:ascii="Times New Roman" w:hAnsi="Times New Roman" w:cs="Times New Roman"/>
          <w:bCs w:val="0"/>
        </w:rPr>
        <w:t>konsultacyjne</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jest</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procedurą</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zbliżoną</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do</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instytucji</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zawartej</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art.</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79a</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kpa,</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gwarantującą</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stronie</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otrzymanie</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informacji</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o</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kierunku</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w</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jakim</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zmierza</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postępowanie,</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zanim</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zostanie</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wydana</w:t>
      </w:r>
      <w:r w:rsidR="00970B2E" w:rsidRPr="00D44D33">
        <w:rPr>
          <w:rFonts w:ascii="Times New Roman" w:hAnsi="Times New Roman" w:cs="Times New Roman"/>
          <w:bCs w:val="0"/>
        </w:rPr>
        <w:t xml:space="preserve"> </w:t>
      </w:r>
      <w:r w:rsidR="218AE796" w:rsidRPr="00D44D33">
        <w:rPr>
          <w:rFonts w:ascii="Times New Roman" w:hAnsi="Times New Roman" w:cs="Times New Roman"/>
          <w:bCs w:val="0"/>
        </w:rPr>
        <w:t>decyzja.</w:t>
      </w:r>
      <w:r w:rsidR="00970B2E" w:rsidRPr="00D44D33">
        <w:rPr>
          <w:rFonts w:ascii="Times New Roman" w:hAnsi="Times New Roman" w:cs="Times New Roman"/>
          <w:bCs w:val="0"/>
        </w:rPr>
        <w:t xml:space="preserve"> </w:t>
      </w:r>
    </w:p>
    <w:p w14:paraId="32F785C9" w14:textId="3CE132A8" w:rsidR="00DD7F59" w:rsidRPr="00D44D33" w:rsidRDefault="00E37ADC"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Oddział</w:t>
      </w:r>
      <w:r w:rsidR="00970B2E" w:rsidRPr="00D44D33">
        <w:rPr>
          <w:rFonts w:ascii="Times New Roman" w:hAnsi="Times New Roman" w:cs="Times New Roman"/>
          <w:b/>
        </w:rPr>
        <w:t xml:space="preserve"> </w:t>
      </w:r>
      <w:r w:rsidRPr="00D44D33">
        <w:rPr>
          <w:rFonts w:ascii="Times New Roman" w:hAnsi="Times New Roman" w:cs="Times New Roman"/>
          <w:b/>
        </w:rPr>
        <w:t>2</w:t>
      </w:r>
      <w:r w:rsidR="00970B2E" w:rsidRPr="00D44D33">
        <w:rPr>
          <w:rFonts w:ascii="Times New Roman" w:hAnsi="Times New Roman" w:cs="Times New Roman"/>
          <w:b/>
        </w:rPr>
        <w:t xml:space="preserve"> </w:t>
      </w:r>
    </w:p>
    <w:p w14:paraId="09EF3F5C" w14:textId="77777777" w:rsidR="004F4731" w:rsidRPr="00D44D33" w:rsidRDefault="00E37ADC"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Postępowanie</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konsolidacyjne</w:t>
      </w:r>
      <w:r w:rsidR="00970B2E" w:rsidRPr="00D44D33">
        <w:rPr>
          <w:rFonts w:ascii="Times New Roman" w:hAnsi="Times New Roman" w:cs="Times New Roman"/>
          <w:b/>
          <w:lang w:eastAsia="en-US"/>
        </w:rPr>
        <w:t xml:space="preserve"> </w:t>
      </w:r>
    </w:p>
    <w:p w14:paraId="4B7B339C" w14:textId="06AB4E08" w:rsidR="00E37ADC" w:rsidRPr="00D44D33" w:rsidRDefault="004F4731"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A</w:t>
      </w:r>
      <w:r w:rsidR="00E37ADC" w:rsidRPr="00D44D33">
        <w:rPr>
          <w:rFonts w:ascii="Times New Roman" w:hAnsi="Times New Roman" w:cs="Times New Roman"/>
          <w:b/>
          <w:lang w:eastAsia="en-US"/>
        </w:rPr>
        <w:t>rt.</w:t>
      </w:r>
      <w:r w:rsidR="00970B2E" w:rsidRPr="00D44D33">
        <w:rPr>
          <w:rFonts w:ascii="Times New Roman" w:hAnsi="Times New Roman" w:cs="Times New Roman"/>
          <w:b/>
          <w:lang w:eastAsia="en-US"/>
        </w:rPr>
        <w:t xml:space="preserve"> </w:t>
      </w:r>
      <w:r w:rsidR="5F7BDD2C" w:rsidRPr="00D44D33">
        <w:rPr>
          <w:rFonts w:ascii="Times New Roman" w:hAnsi="Times New Roman" w:cs="Times New Roman"/>
          <w:b/>
          <w:lang w:eastAsia="en-US"/>
        </w:rPr>
        <w:t>35</w:t>
      </w:r>
      <w:r w:rsidR="00984088" w:rsidRPr="00D44D33">
        <w:rPr>
          <w:rFonts w:ascii="Times New Roman" w:hAnsi="Times New Roman" w:cs="Times New Roman"/>
          <w:b/>
          <w:lang w:eastAsia="en-US"/>
        </w:rPr>
        <w:t>–</w:t>
      </w:r>
      <w:r w:rsidR="3C19C6E4" w:rsidRPr="00D44D33">
        <w:rPr>
          <w:rFonts w:ascii="Times New Roman" w:hAnsi="Times New Roman" w:cs="Times New Roman"/>
          <w:b/>
          <w:lang w:eastAsia="en-US"/>
        </w:rPr>
        <w:t>38</w:t>
      </w:r>
    </w:p>
    <w:p w14:paraId="5077C867" w14:textId="00BE5F31" w:rsidR="00F02CE0" w:rsidRPr="00D44D33" w:rsidRDefault="00A36D59"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Projektowane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przepisy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stanowią</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wdrożenie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32</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004F4731" w:rsidRPr="00D44D33">
        <w:rPr>
          <w:rFonts w:ascii="Times New Roman" w:hAnsi="Times New Roman" w:cs="Times New Roman"/>
          <w:b w:val="0"/>
          <w:bCs w:val="0"/>
          <w:color w:val="auto"/>
          <w:sz w:val="24"/>
          <w:szCs w:val="24"/>
        </w:rPr>
        <w:t xml:space="preserve">art. </w:t>
      </w:r>
      <w:r w:rsidRPr="00D44D33">
        <w:rPr>
          <w:rFonts w:ascii="Times New Roman" w:hAnsi="Times New Roman" w:cs="Times New Roman"/>
          <w:b w:val="0"/>
          <w:bCs w:val="0"/>
          <w:color w:val="auto"/>
          <w:sz w:val="24"/>
          <w:szCs w:val="24"/>
        </w:rPr>
        <w:t>33</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EKŁE.</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Regulacje</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zbliżonym</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kształcie</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funkcjonowały</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już</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gruncie</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Pt</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wdrażały</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przepisy</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pakietu</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dyrektyw</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łączności</w:t>
      </w:r>
      <w:r w:rsidR="00970B2E" w:rsidRPr="00D44D33">
        <w:rPr>
          <w:rFonts w:ascii="Times New Roman" w:hAnsi="Times New Roman" w:cs="Times New Roman"/>
          <w:b w:val="0"/>
          <w:bCs w:val="0"/>
          <w:color w:val="auto"/>
          <w:sz w:val="24"/>
          <w:szCs w:val="24"/>
        </w:rPr>
        <w:t xml:space="preserve"> </w:t>
      </w:r>
      <w:r w:rsidR="08AA8E59" w:rsidRPr="00D44D33">
        <w:rPr>
          <w:rFonts w:ascii="Times New Roman" w:hAnsi="Times New Roman" w:cs="Times New Roman"/>
          <w:b w:val="0"/>
          <w:bCs w:val="0"/>
          <w:color w:val="auto"/>
          <w:sz w:val="24"/>
          <w:szCs w:val="24"/>
        </w:rPr>
        <w:t>elektronicznej.</w:t>
      </w:r>
    </w:p>
    <w:p w14:paraId="1E50045E" w14:textId="22568C68" w:rsidR="002272EF" w:rsidRPr="00D44D33" w:rsidRDefault="185321D4" w:rsidP="00D44D33">
      <w:pPr>
        <w:pStyle w:val="h1chapter"/>
        <w:spacing w:before="120" w:after="120" w:line="360" w:lineRule="auto"/>
        <w:jc w:val="both"/>
        <w:rPr>
          <w:rFonts w:ascii="Times New Roman" w:eastAsia="Times New Roman" w:hAnsi="Times New Roman" w:cs="Times New Roman"/>
          <w:color w:val="auto"/>
          <w:sz w:val="24"/>
          <w:szCs w:val="24"/>
        </w:rPr>
      </w:pPr>
      <w:r w:rsidRPr="00D44D33">
        <w:rPr>
          <w:rFonts w:ascii="Times New Roman" w:hAnsi="Times New Roman" w:cs="Times New Roman"/>
          <w:b w:val="0"/>
          <w:bCs w:val="0"/>
          <w:color w:val="auto"/>
          <w:sz w:val="24"/>
          <w:szCs w:val="24"/>
        </w:rPr>
        <w:t>Postępowanie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konsolidacyjne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przeprowadzane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po</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zakończeniu</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postępowania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konsultacyjnego</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dotyczy</w:t>
      </w:r>
      <w:r w:rsidR="00970B2E" w:rsidRPr="00D44D33">
        <w:rPr>
          <w:rFonts w:ascii="Times New Roman" w:hAnsi="Times New Roman" w:cs="Times New Roman"/>
          <w:b w:val="0"/>
          <w:bCs w:val="0"/>
          <w:color w:val="auto"/>
          <w:sz w:val="24"/>
          <w:szCs w:val="24"/>
        </w:rPr>
        <w:t xml:space="preserve"> </w:t>
      </w:r>
      <w:r w:rsidR="00D27819" w:rsidRPr="00D44D33">
        <w:rPr>
          <w:rFonts w:ascii="Times New Roman" w:hAnsi="Times New Roman" w:cs="Times New Roman"/>
          <w:b w:val="0"/>
          <w:bCs w:val="0"/>
          <w:color w:val="auto"/>
          <w:sz w:val="24"/>
          <w:szCs w:val="24"/>
        </w:rPr>
        <w:t>wskazanych</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rozstrzygnięć</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mogących</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mieć</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wpływ</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stosunki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handlowe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między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państwami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członkowskimi.</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takim</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przypadku</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Prezes</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UKE</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ma</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obowiązek</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przed</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wydaniem</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rozstrzygnięcia</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przesłać</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Komisji</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Europejskiej,</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BEREC</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organom</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regulacyjnym</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innych</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państw</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członkowskich</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projekty</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rozstrzygnięć</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wraz</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ich</w:t>
      </w:r>
      <w:r w:rsidR="00970B2E" w:rsidRPr="00D44D33">
        <w:rPr>
          <w:rFonts w:ascii="Times New Roman" w:hAnsi="Times New Roman" w:cs="Times New Roman"/>
          <w:b w:val="0"/>
          <w:bCs w:val="0"/>
          <w:color w:val="auto"/>
          <w:sz w:val="24"/>
          <w:szCs w:val="24"/>
        </w:rPr>
        <w:t xml:space="preserve"> </w:t>
      </w:r>
      <w:r w:rsidR="7D9F8FFE" w:rsidRPr="00D44D33">
        <w:rPr>
          <w:rFonts w:ascii="Times New Roman" w:hAnsi="Times New Roman" w:cs="Times New Roman"/>
          <w:b w:val="0"/>
          <w:bCs w:val="0"/>
          <w:color w:val="auto"/>
          <w:sz w:val="24"/>
          <w:szCs w:val="24"/>
        </w:rPr>
        <w:t>uzasadnieniem.</w:t>
      </w:r>
      <w:r w:rsidR="00970B2E" w:rsidRPr="00D44D33">
        <w:rPr>
          <w:rFonts w:ascii="Times New Roman" w:hAnsi="Times New Roman" w:cs="Times New Roman"/>
          <w:b w:val="0"/>
          <w:bCs w:val="0"/>
          <w:color w:val="auto"/>
          <w:sz w:val="24"/>
          <w:szCs w:val="24"/>
        </w:rPr>
        <w:t xml:space="preserve"> </w:t>
      </w:r>
      <w:r w:rsidR="0FBA87F5" w:rsidRPr="00D44D33">
        <w:rPr>
          <w:rFonts w:ascii="Times New Roman" w:hAnsi="Times New Roman" w:cs="Times New Roman"/>
          <w:b w:val="0"/>
          <w:bCs w:val="0"/>
          <w:color w:val="auto"/>
          <w:sz w:val="24"/>
          <w:szCs w:val="24"/>
        </w:rPr>
        <w:t>Przepisy</w:t>
      </w:r>
      <w:r w:rsidR="00970B2E" w:rsidRPr="00D44D33">
        <w:rPr>
          <w:rFonts w:ascii="Times New Roman" w:hAnsi="Times New Roman" w:cs="Times New Roman"/>
          <w:b w:val="0"/>
          <w:bCs w:val="0"/>
          <w:color w:val="auto"/>
          <w:sz w:val="24"/>
          <w:szCs w:val="24"/>
        </w:rPr>
        <w:t xml:space="preserve"> </w:t>
      </w:r>
      <w:r w:rsidR="0FBA87F5" w:rsidRPr="00D44D33">
        <w:rPr>
          <w:rFonts w:ascii="Times New Roman" w:hAnsi="Times New Roman" w:cs="Times New Roman"/>
          <w:b w:val="0"/>
          <w:bCs w:val="0"/>
          <w:color w:val="auto"/>
          <w:sz w:val="24"/>
          <w:szCs w:val="24"/>
        </w:rPr>
        <w:t>Pke</w:t>
      </w:r>
      <w:r w:rsidR="00970B2E" w:rsidRPr="00D44D33">
        <w:rPr>
          <w:rFonts w:ascii="Times New Roman" w:hAnsi="Times New Roman" w:cs="Times New Roman"/>
          <w:b w:val="0"/>
          <w:bCs w:val="0"/>
          <w:color w:val="auto"/>
          <w:sz w:val="24"/>
          <w:szCs w:val="24"/>
        </w:rPr>
        <w:t xml:space="preserve"> </w:t>
      </w:r>
      <w:r w:rsidR="0FBA87F5" w:rsidRPr="00D44D33">
        <w:rPr>
          <w:rFonts w:ascii="Times New Roman" w:hAnsi="Times New Roman" w:cs="Times New Roman"/>
          <w:b w:val="0"/>
          <w:bCs w:val="0"/>
          <w:color w:val="auto"/>
          <w:sz w:val="24"/>
          <w:szCs w:val="24"/>
        </w:rPr>
        <w:t>wskazują,</w:t>
      </w:r>
      <w:r w:rsidR="00970B2E" w:rsidRPr="00D44D33">
        <w:rPr>
          <w:rFonts w:ascii="Times New Roman" w:hAnsi="Times New Roman" w:cs="Times New Roman"/>
          <w:b w:val="0"/>
          <w:bCs w:val="0"/>
          <w:color w:val="auto"/>
          <w:sz w:val="24"/>
          <w:szCs w:val="24"/>
        </w:rPr>
        <w:t xml:space="preserve"> </w:t>
      </w:r>
      <w:r w:rsidR="0FBA87F5" w:rsidRPr="00D44D33">
        <w:rPr>
          <w:rFonts w:ascii="Times New Roman" w:hAnsi="Times New Roman" w:cs="Times New Roman"/>
          <w:b w:val="0"/>
          <w:bCs w:val="0"/>
          <w:color w:val="auto"/>
          <w:sz w:val="24"/>
          <w:szCs w:val="24"/>
        </w:rPr>
        <w:t>pomimo</w:t>
      </w:r>
      <w:r w:rsidR="00970B2E" w:rsidRPr="00D44D33">
        <w:rPr>
          <w:rFonts w:ascii="Times New Roman" w:hAnsi="Times New Roman" w:cs="Times New Roman"/>
          <w:b w:val="0"/>
          <w:bCs w:val="0"/>
          <w:color w:val="auto"/>
          <w:sz w:val="24"/>
          <w:szCs w:val="24"/>
        </w:rPr>
        <w:t xml:space="preserve"> </w:t>
      </w:r>
      <w:r w:rsidR="5441D168" w:rsidRPr="00D44D33">
        <w:rPr>
          <w:rFonts w:ascii="Times New Roman" w:hAnsi="Times New Roman" w:cs="Times New Roman"/>
          <w:b w:val="0"/>
          <w:bCs w:val="0"/>
          <w:color w:val="auto"/>
          <w:sz w:val="24"/>
          <w:szCs w:val="24"/>
        </w:rPr>
        <w:t>braku</w:t>
      </w:r>
      <w:r w:rsidR="00970B2E" w:rsidRPr="00D44D33">
        <w:rPr>
          <w:rFonts w:ascii="Times New Roman" w:hAnsi="Times New Roman" w:cs="Times New Roman"/>
          <w:b w:val="0"/>
          <w:bCs w:val="0"/>
          <w:color w:val="auto"/>
          <w:sz w:val="24"/>
          <w:szCs w:val="24"/>
        </w:rPr>
        <w:t xml:space="preserve"> </w:t>
      </w:r>
      <w:r w:rsidR="0FBA87F5" w:rsidRPr="00D44D33">
        <w:rPr>
          <w:rFonts w:ascii="Times New Roman" w:hAnsi="Times New Roman" w:cs="Times New Roman"/>
          <w:b w:val="0"/>
          <w:bCs w:val="0"/>
          <w:color w:val="auto"/>
          <w:sz w:val="24"/>
          <w:szCs w:val="24"/>
        </w:rPr>
        <w:t>wyraźne</w:t>
      </w:r>
      <w:r w:rsidR="462E6B93" w:rsidRPr="00D44D33">
        <w:rPr>
          <w:rFonts w:ascii="Times New Roman" w:hAnsi="Times New Roman" w:cs="Times New Roman"/>
          <w:b w:val="0"/>
          <w:bCs w:val="0"/>
          <w:color w:val="auto"/>
          <w:sz w:val="24"/>
          <w:szCs w:val="24"/>
        </w:rPr>
        <w:t>j</w:t>
      </w:r>
      <w:r w:rsidR="00970B2E" w:rsidRPr="00D44D33">
        <w:rPr>
          <w:rFonts w:ascii="Times New Roman" w:hAnsi="Times New Roman" w:cs="Times New Roman"/>
          <w:b w:val="0"/>
          <w:bCs w:val="0"/>
          <w:color w:val="auto"/>
          <w:sz w:val="24"/>
          <w:szCs w:val="24"/>
        </w:rPr>
        <w:t xml:space="preserve"> </w:t>
      </w:r>
      <w:r w:rsidR="462E6B93" w:rsidRPr="00D44D33">
        <w:rPr>
          <w:rFonts w:ascii="Times New Roman" w:hAnsi="Times New Roman" w:cs="Times New Roman"/>
          <w:b w:val="0"/>
          <w:bCs w:val="0"/>
          <w:color w:val="auto"/>
          <w:sz w:val="24"/>
          <w:szCs w:val="24"/>
        </w:rPr>
        <w:t>regulacji</w:t>
      </w:r>
      <w:r w:rsidR="00970B2E" w:rsidRPr="00D44D33">
        <w:rPr>
          <w:rFonts w:ascii="Times New Roman" w:hAnsi="Times New Roman" w:cs="Times New Roman"/>
          <w:b w:val="0"/>
          <w:bCs w:val="0"/>
          <w:color w:val="auto"/>
          <w:sz w:val="24"/>
          <w:szCs w:val="24"/>
        </w:rPr>
        <w:t xml:space="preserve"> </w:t>
      </w:r>
      <w:r w:rsidR="462E6B93"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462E6B93" w:rsidRPr="00D44D33">
        <w:rPr>
          <w:rFonts w:ascii="Times New Roman" w:hAnsi="Times New Roman" w:cs="Times New Roman"/>
          <w:b w:val="0"/>
          <w:bCs w:val="0"/>
          <w:color w:val="auto"/>
          <w:sz w:val="24"/>
          <w:szCs w:val="24"/>
        </w:rPr>
        <w:t>EKŁE</w:t>
      </w:r>
      <w:r w:rsidR="00970B2E" w:rsidRPr="00D44D33">
        <w:rPr>
          <w:rFonts w:ascii="Times New Roman" w:hAnsi="Times New Roman" w:cs="Times New Roman"/>
          <w:b w:val="0"/>
          <w:bCs w:val="0"/>
          <w:color w:val="auto"/>
          <w:sz w:val="24"/>
          <w:szCs w:val="24"/>
        </w:rPr>
        <w:t xml:space="preserve"> </w:t>
      </w:r>
      <w:r w:rsidR="462E6B93"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462E6B93" w:rsidRPr="00D44D33">
        <w:rPr>
          <w:rFonts w:ascii="Times New Roman" w:hAnsi="Times New Roman" w:cs="Times New Roman"/>
          <w:b w:val="0"/>
          <w:bCs w:val="0"/>
          <w:color w:val="auto"/>
          <w:sz w:val="24"/>
          <w:szCs w:val="24"/>
        </w:rPr>
        <w:t>tym</w:t>
      </w:r>
      <w:r w:rsidR="00970B2E" w:rsidRPr="00D44D33">
        <w:rPr>
          <w:rFonts w:ascii="Times New Roman" w:hAnsi="Times New Roman" w:cs="Times New Roman"/>
          <w:b w:val="0"/>
          <w:bCs w:val="0"/>
          <w:color w:val="auto"/>
          <w:sz w:val="24"/>
          <w:szCs w:val="24"/>
        </w:rPr>
        <w:t xml:space="preserve"> </w:t>
      </w:r>
      <w:r w:rsidR="462E6B93" w:rsidRPr="00D44D33">
        <w:rPr>
          <w:rFonts w:ascii="Times New Roman" w:hAnsi="Times New Roman" w:cs="Times New Roman"/>
          <w:b w:val="0"/>
          <w:bCs w:val="0"/>
          <w:color w:val="auto"/>
          <w:sz w:val="24"/>
          <w:szCs w:val="24"/>
        </w:rPr>
        <w:t>zakresie,</w:t>
      </w:r>
      <w:r w:rsidR="00970B2E" w:rsidRPr="00D44D33">
        <w:rPr>
          <w:rFonts w:ascii="Times New Roman" w:hAnsi="Times New Roman" w:cs="Times New Roman"/>
          <w:b w:val="0"/>
          <w:bCs w:val="0"/>
          <w:color w:val="auto"/>
          <w:sz w:val="24"/>
          <w:szCs w:val="24"/>
        </w:rPr>
        <w:t xml:space="preserve"> </w:t>
      </w:r>
      <w:r w:rsidR="1BEDF0B0" w:rsidRPr="00D44D33">
        <w:rPr>
          <w:rFonts w:ascii="Times New Roman" w:hAnsi="Times New Roman" w:cs="Times New Roman"/>
          <w:b w:val="0"/>
          <w:bCs w:val="0"/>
          <w:color w:val="auto"/>
          <w:sz w:val="24"/>
          <w:szCs w:val="24"/>
        </w:rPr>
        <w:t>że</w:t>
      </w:r>
      <w:r w:rsidR="00970B2E" w:rsidRPr="00D44D33">
        <w:rPr>
          <w:rFonts w:ascii="Times New Roman" w:hAnsi="Times New Roman" w:cs="Times New Roman"/>
          <w:b w:val="0"/>
          <w:bCs w:val="0"/>
          <w:color w:val="auto"/>
          <w:sz w:val="24"/>
          <w:szCs w:val="24"/>
        </w:rPr>
        <w:t xml:space="preserve"> </w:t>
      </w:r>
      <w:r w:rsidR="1522AD1D" w:rsidRPr="00D44D33">
        <w:rPr>
          <w:rFonts w:ascii="Times New Roman" w:hAnsi="Times New Roman" w:cs="Times New Roman"/>
          <w:b w:val="0"/>
          <w:bCs w:val="0"/>
          <w:color w:val="auto"/>
          <w:sz w:val="24"/>
          <w:szCs w:val="24"/>
        </w:rPr>
        <w:t>Prezes</w:t>
      </w:r>
      <w:r w:rsidR="00970B2E" w:rsidRPr="00D44D33">
        <w:rPr>
          <w:rFonts w:ascii="Times New Roman" w:hAnsi="Times New Roman" w:cs="Times New Roman"/>
          <w:b w:val="0"/>
          <w:bCs w:val="0"/>
          <w:color w:val="auto"/>
          <w:sz w:val="24"/>
          <w:szCs w:val="24"/>
        </w:rPr>
        <w:t xml:space="preserve"> </w:t>
      </w:r>
      <w:r w:rsidR="1522AD1D" w:rsidRPr="00D44D33">
        <w:rPr>
          <w:rFonts w:ascii="Times New Roman" w:hAnsi="Times New Roman" w:cs="Times New Roman"/>
          <w:b w:val="0"/>
          <w:bCs w:val="0"/>
          <w:color w:val="auto"/>
          <w:sz w:val="24"/>
          <w:szCs w:val="24"/>
        </w:rPr>
        <w:t>UKE</w:t>
      </w:r>
      <w:r w:rsidR="00970B2E" w:rsidRPr="00D44D33">
        <w:rPr>
          <w:rFonts w:ascii="Times New Roman" w:hAnsi="Times New Roman" w:cs="Times New Roman"/>
          <w:b w:val="0"/>
          <w:bCs w:val="0"/>
          <w:color w:val="auto"/>
          <w:sz w:val="24"/>
          <w:szCs w:val="24"/>
        </w:rPr>
        <w:t xml:space="preserve"> </w:t>
      </w:r>
      <w:r w:rsidR="1522AD1D" w:rsidRPr="00D44D33">
        <w:rPr>
          <w:rFonts w:ascii="Times New Roman" w:hAnsi="Times New Roman" w:cs="Times New Roman"/>
          <w:b w:val="0"/>
          <w:bCs w:val="0"/>
          <w:color w:val="auto"/>
          <w:sz w:val="24"/>
          <w:szCs w:val="24"/>
        </w:rPr>
        <w:t>będzie</w:t>
      </w:r>
      <w:r w:rsidR="00970B2E" w:rsidRPr="00D44D33">
        <w:rPr>
          <w:rFonts w:ascii="Times New Roman" w:hAnsi="Times New Roman" w:cs="Times New Roman"/>
          <w:b w:val="0"/>
          <w:bCs w:val="0"/>
          <w:color w:val="auto"/>
          <w:sz w:val="24"/>
          <w:szCs w:val="24"/>
        </w:rPr>
        <w:t xml:space="preserve"> </w:t>
      </w:r>
      <w:r w:rsidR="1522AD1D" w:rsidRPr="00D44D33">
        <w:rPr>
          <w:rFonts w:ascii="Times New Roman" w:hAnsi="Times New Roman" w:cs="Times New Roman"/>
          <w:b w:val="0"/>
          <w:bCs w:val="0"/>
          <w:color w:val="auto"/>
          <w:sz w:val="24"/>
          <w:szCs w:val="24"/>
        </w:rPr>
        <w:t>zobli</w:t>
      </w:r>
      <w:r w:rsidR="1522AD1D" w:rsidRPr="00D44D33">
        <w:rPr>
          <w:rFonts w:ascii="Times New Roman" w:hAnsi="Times New Roman" w:cs="Times New Roman"/>
          <w:b w:val="0"/>
          <w:bCs w:val="0"/>
          <w:color w:val="auto"/>
          <w:sz w:val="24"/>
          <w:szCs w:val="24"/>
        </w:rPr>
        <w:lastRenderedPageBreak/>
        <w:t>gowany</w:t>
      </w:r>
      <w:r w:rsidR="00970B2E" w:rsidRPr="00D44D33">
        <w:rPr>
          <w:rFonts w:ascii="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udostępnia</w:t>
      </w:r>
      <w:r w:rsidR="50ACFB0A" w:rsidRPr="00D44D33">
        <w:rPr>
          <w:rFonts w:ascii="Times New Roman" w:eastAsia="Times New Roman" w:hAnsi="Times New Roman" w:cs="Times New Roman"/>
          <w:b w:val="0"/>
          <w:bCs w:val="0"/>
          <w:color w:val="auto"/>
          <w:sz w:val="24"/>
          <w:szCs w:val="24"/>
        </w:rPr>
        <w:t>ć</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na</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stronie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podmiotowej</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BIP</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UKE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dokumenty</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przekazane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Komisji</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Europejskiej</w:t>
      </w:r>
      <w:r w:rsidR="004F4731" w:rsidRPr="00D44D33">
        <w:rPr>
          <w:rFonts w:ascii="Times New Roman" w:eastAsia="Times New Roman" w:hAnsi="Times New Roman" w:cs="Times New Roman"/>
          <w:b w:val="0"/>
          <w:bCs w:val="0"/>
          <w:color w:val="auto"/>
          <w:sz w:val="24"/>
          <w:szCs w:val="24"/>
        </w:rPr>
        <w:t>,</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a</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następnie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udostępnia</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otrzymane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w</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tej</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sprawie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opinie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i</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decyzje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Komisji</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Europejskiej.</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Przepis</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zapewni</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dostęp</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do</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istotnych</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stanowisk</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Komisji</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Europejskiej,</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które</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będą</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miały</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wpływ</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na</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treść</w:t>
      </w:r>
      <w:r w:rsidR="00970B2E" w:rsidRPr="00D44D33">
        <w:rPr>
          <w:rFonts w:ascii="Times New Roman" w:eastAsia="Times New Roman" w:hAnsi="Times New Roman" w:cs="Times New Roman"/>
          <w:b w:val="0"/>
          <w:bCs w:val="0"/>
          <w:color w:val="auto"/>
          <w:sz w:val="24"/>
          <w:szCs w:val="24"/>
        </w:rPr>
        <w:t xml:space="preserve"> </w:t>
      </w:r>
      <w:r w:rsidR="34873ECD" w:rsidRPr="00D44D33">
        <w:rPr>
          <w:rFonts w:ascii="Times New Roman" w:eastAsia="Times New Roman" w:hAnsi="Times New Roman" w:cs="Times New Roman"/>
          <w:b w:val="0"/>
          <w:bCs w:val="0"/>
          <w:color w:val="auto"/>
          <w:sz w:val="24"/>
          <w:szCs w:val="24"/>
        </w:rPr>
        <w:t>projektowanej</w:t>
      </w:r>
      <w:r w:rsidR="00970B2E" w:rsidRPr="00D44D33">
        <w:rPr>
          <w:rFonts w:ascii="Times New Roman" w:eastAsia="Times New Roman" w:hAnsi="Times New Roman" w:cs="Times New Roman"/>
          <w:b w:val="0"/>
          <w:bCs w:val="0"/>
          <w:color w:val="auto"/>
          <w:sz w:val="24"/>
          <w:szCs w:val="24"/>
        </w:rPr>
        <w:t xml:space="preserve"> </w:t>
      </w:r>
      <w:r w:rsidR="00BB57B2" w:rsidRPr="00D44D33">
        <w:rPr>
          <w:rFonts w:ascii="Times New Roman" w:eastAsia="Times New Roman" w:hAnsi="Times New Roman" w:cs="Times New Roman"/>
          <w:b w:val="0"/>
          <w:bCs w:val="0"/>
          <w:color w:val="auto"/>
          <w:sz w:val="24"/>
          <w:szCs w:val="24"/>
        </w:rPr>
        <w:t>decyzji.</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Udostępnieniu</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nie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podlegają</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informacje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stanowiące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tajemnice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prawnie</w:t>
      </w:r>
      <w:r w:rsidR="00970B2E" w:rsidRPr="00D44D33">
        <w:rPr>
          <w:rFonts w:ascii="Times New Roman" w:eastAsia="Times New Roman" w:hAnsi="Times New Roman" w:cs="Times New Roman"/>
          <w:b w:val="0"/>
          <w:bCs w:val="0"/>
          <w:color w:val="auto"/>
          <w:sz w:val="24"/>
          <w:szCs w:val="24"/>
        </w:rPr>
        <w:t xml:space="preserve"> </w:t>
      </w:r>
      <w:r w:rsidR="63F6295A" w:rsidRPr="00D44D33">
        <w:rPr>
          <w:rFonts w:ascii="Times New Roman" w:eastAsia="Times New Roman" w:hAnsi="Times New Roman" w:cs="Times New Roman"/>
          <w:b w:val="0"/>
          <w:bCs w:val="0"/>
          <w:color w:val="auto"/>
          <w:sz w:val="24"/>
          <w:szCs w:val="24"/>
        </w:rPr>
        <w:t>chronione.</w:t>
      </w:r>
    </w:p>
    <w:p w14:paraId="7EC441AB" w14:textId="54C787A2" w:rsidR="002272EF" w:rsidRPr="00D44D33" w:rsidRDefault="6041BF1E"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Projektowane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przepisy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określają</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kolejne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etapy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postępowania,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kompetencje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obowiązki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Prezesa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UKE,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które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przy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tym</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związane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są</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kompetencjami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Komisji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Europejskiej</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BEREC</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(badającymi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czy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projektowane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rozstrzygnięcie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będzie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stanowiło</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przeszkodę</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funkcjonowaniu</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jednolitego</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rynku).</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Postępowanie</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konsolidacyjne</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jednym</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instrumentów</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zapewniających</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jednolite</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stosowanie</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przepisów</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EKŁE</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we</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wszystkich</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państwach</w:t>
      </w:r>
      <w:r w:rsidR="00970B2E" w:rsidRPr="00D44D33">
        <w:rPr>
          <w:rFonts w:ascii="Times New Roman" w:hAnsi="Times New Roman" w:cs="Times New Roman"/>
          <w:b w:val="0"/>
          <w:bCs w:val="0"/>
          <w:color w:val="auto"/>
          <w:sz w:val="24"/>
          <w:szCs w:val="24"/>
        </w:rPr>
        <w:t xml:space="preserve"> </w:t>
      </w:r>
      <w:r w:rsidR="575DD269" w:rsidRPr="00D44D33">
        <w:rPr>
          <w:rFonts w:ascii="Times New Roman" w:hAnsi="Times New Roman" w:cs="Times New Roman"/>
          <w:b w:val="0"/>
          <w:bCs w:val="0"/>
          <w:color w:val="auto"/>
          <w:sz w:val="24"/>
          <w:szCs w:val="24"/>
        </w:rPr>
        <w:t>członkowskich.</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Wyjątkiem</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post</w:t>
      </w:r>
      <w:r w:rsidR="7D82C552" w:rsidRPr="00D44D33">
        <w:rPr>
          <w:rFonts w:ascii="Times New Roman" w:hAnsi="Times New Roman" w:cs="Times New Roman"/>
          <w:b w:val="0"/>
          <w:bCs w:val="0"/>
          <w:color w:val="auto"/>
          <w:sz w:val="24"/>
          <w:szCs w:val="24"/>
        </w:rPr>
        <w:t>ę</w:t>
      </w:r>
      <w:r w:rsidR="61E7B67A" w:rsidRPr="00D44D33">
        <w:rPr>
          <w:rFonts w:ascii="Times New Roman" w:hAnsi="Times New Roman" w:cs="Times New Roman"/>
          <w:b w:val="0"/>
          <w:bCs w:val="0"/>
          <w:color w:val="auto"/>
          <w:sz w:val="24"/>
          <w:szCs w:val="24"/>
        </w:rPr>
        <w:t>powania</w:t>
      </w:r>
      <w:r w:rsidR="440D7A92"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221FE264"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221FE264" w:rsidRPr="00D44D33">
        <w:rPr>
          <w:rFonts w:ascii="Times New Roman" w:hAnsi="Times New Roman" w:cs="Times New Roman"/>
          <w:b w:val="0"/>
          <w:bCs w:val="0"/>
          <w:color w:val="auto"/>
          <w:sz w:val="24"/>
          <w:szCs w:val="24"/>
        </w:rPr>
        <w:t>ramach</w:t>
      </w:r>
      <w:r w:rsidR="00970B2E" w:rsidRPr="00D44D33">
        <w:rPr>
          <w:rFonts w:ascii="Times New Roman" w:hAnsi="Times New Roman" w:cs="Times New Roman"/>
          <w:b w:val="0"/>
          <w:bCs w:val="0"/>
          <w:color w:val="auto"/>
          <w:sz w:val="24"/>
          <w:szCs w:val="24"/>
        </w:rPr>
        <w:t xml:space="preserve"> </w:t>
      </w:r>
      <w:r w:rsidR="221FE264" w:rsidRPr="00D44D33">
        <w:rPr>
          <w:rFonts w:ascii="Times New Roman" w:hAnsi="Times New Roman" w:cs="Times New Roman"/>
          <w:b w:val="0"/>
          <w:bCs w:val="0"/>
          <w:color w:val="auto"/>
          <w:sz w:val="24"/>
          <w:szCs w:val="24"/>
        </w:rPr>
        <w:t>którego</w:t>
      </w:r>
      <w:r w:rsidR="00970B2E" w:rsidRPr="00D44D33">
        <w:rPr>
          <w:rFonts w:ascii="Times New Roman" w:hAnsi="Times New Roman" w:cs="Times New Roman"/>
          <w:b w:val="0"/>
          <w:bCs w:val="0"/>
          <w:color w:val="auto"/>
          <w:sz w:val="24"/>
          <w:szCs w:val="24"/>
        </w:rPr>
        <w:t xml:space="preserve"> </w:t>
      </w:r>
      <w:r w:rsidR="259C0ACA" w:rsidRPr="00D44D33">
        <w:rPr>
          <w:rFonts w:ascii="Times New Roman" w:hAnsi="Times New Roman" w:cs="Times New Roman"/>
          <w:b w:val="0"/>
          <w:bCs w:val="0"/>
          <w:color w:val="auto"/>
          <w:sz w:val="24"/>
          <w:szCs w:val="24"/>
        </w:rPr>
        <w:t>projekt</w:t>
      </w:r>
      <w:r w:rsidR="00970B2E" w:rsidRPr="00D44D33">
        <w:rPr>
          <w:rFonts w:ascii="Times New Roman" w:hAnsi="Times New Roman" w:cs="Times New Roman"/>
          <w:b w:val="0"/>
          <w:bCs w:val="0"/>
          <w:color w:val="auto"/>
          <w:sz w:val="24"/>
          <w:szCs w:val="24"/>
        </w:rPr>
        <w:t xml:space="preserve"> </w:t>
      </w:r>
      <w:r w:rsidR="259C0ACA" w:rsidRPr="00D44D33">
        <w:rPr>
          <w:rFonts w:ascii="Times New Roman" w:hAnsi="Times New Roman" w:cs="Times New Roman"/>
          <w:b w:val="0"/>
          <w:bCs w:val="0"/>
          <w:color w:val="auto"/>
          <w:sz w:val="24"/>
          <w:szCs w:val="24"/>
        </w:rPr>
        <w:t>rozstrzygnięcia</w:t>
      </w:r>
      <w:r w:rsidR="00970B2E" w:rsidRPr="00D44D33">
        <w:rPr>
          <w:rFonts w:ascii="Times New Roman" w:hAnsi="Times New Roman" w:cs="Times New Roman"/>
          <w:b w:val="0"/>
          <w:bCs w:val="0"/>
          <w:color w:val="auto"/>
          <w:sz w:val="24"/>
          <w:szCs w:val="24"/>
        </w:rPr>
        <w:t xml:space="preserve"> </w:t>
      </w:r>
      <w:r w:rsidR="259C0ACA" w:rsidRPr="00D44D33">
        <w:rPr>
          <w:rFonts w:ascii="Times New Roman" w:hAnsi="Times New Roman" w:cs="Times New Roman"/>
          <w:b w:val="0"/>
          <w:bCs w:val="0"/>
          <w:color w:val="auto"/>
          <w:sz w:val="24"/>
          <w:szCs w:val="24"/>
        </w:rPr>
        <w:t>podlega</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konsultacji,</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ale</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nie</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konsolidacji,</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postępowanie</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sprawie</w:t>
      </w:r>
      <w:r w:rsidR="00970B2E" w:rsidRPr="00D44D33">
        <w:rPr>
          <w:rFonts w:ascii="Times New Roman" w:hAnsi="Times New Roman" w:cs="Times New Roman"/>
          <w:b w:val="0"/>
          <w:bCs w:val="0"/>
          <w:color w:val="auto"/>
          <w:sz w:val="24"/>
          <w:szCs w:val="24"/>
        </w:rPr>
        <w:t xml:space="preserve"> </w:t>
      </w:r>
      <w:r w:rsidR="61E7B67A" w:rsidRPr="00D44D33">
        <w:rPr>
          <w:rFonts w:ascii="Times New Roman" w:hAnsi="Times New Roman" w:cs="Times New Roman"/>
          <w:b w:val="0"/>
          <w:bCs w:val="0"/>
          <w:color w:val="auto"/>
          <w:sz w:val="24"/>
          <w:szCs w:val="24"/>
        </w:rPr>
        <w:t>nałożenia</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operatora</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obowiązku</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kolokacji,</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udostępniania</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elementów</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sieci</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telekomunikacyjnej</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oraz</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powiązanych</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zasobów,</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które</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zostały</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umieszczone</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nieruchomości</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związku</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wykonywaniem</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uprawnień</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wynikających</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przepisów</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prawa,</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wyroku</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sądu</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lub</w:t>
      </w:r>
      <w:r w:rsidR="00970B2E" w:rsidRPr="00D44D33">
        <w:rPr>
          <w:rFonts w:ascii="Times New Roman" w:hAnsi="Times New Roman" w:cs="Times New Roman"/>
          <w:b w:val="0"/>
          <w:bCs w:val="0"/>
          <w:color w:val="auto"/>
          <w:sz w:val="24"/>
          <w:szCs w:val="24"/>
        </w:rPr>
        <w:t xml:space="preserve"> </w:t>
      </w:r>
      <w:r w:rsidR="65513FDF" w:rsidRPr="00D44D33">
        <w:rPr>
          <w:rFonts w:ascii="Times New Roman" w:hAnsi="Times New Roman" w:cs="Times New Roman"/>
          <w:b w:val="0"/>
          <w:bCs w:val="0"/>
          <w:color w:val="auto"/>
          <w:sz w:val="24"/>
          <w:szCs w:val="24"/>
        </w:rPr>
        <w:t>decyzji,</w:t>
      </w:r>
      <w:r w:rsidR="00970B2E" w:rsidRPr="00D44D33">
        <w:rPr>
          <w:rFonts w:ascii="Times New Roman" w:hAnsi="Times New Roman" w:cs="Times New Roman"/>
          <w:b w:val="0"/>
          <w:bCs w:val="0"/>
          <w:color w:val="auto"/>
          <w:sz w:val="24"/>
          <w:szCs w:val="24"/>
        </w:rPr>
        <w:t xml:space="preserve"> </w:t>
      </w:r>
      <w:r w:rsidR="573AB1CE" w:rsidRPr="00D44D33">
        <w:rPr>
          <w:rFonts w:ascii="Times New Roman" w:hAnsi="Times New Roman" w:cs="Times New Roman"/>
          <w:b w:val="0"/>
          <w:bCs w:val="0"/>
          <w:color w:val="auto"/>
          <w:sz w:val="24"/>
          <w:szCs w:val="24"/>
        </w:rPr>
        <w:t>o</w:t>
      </w:r>
      <w:r w:rsidR="00970B2E" w:rsidRPr="00D44D33">
        <w:rPr>
          <w:rFonts w:ascii="Times New Roman" w:hAnsi="Times New Roman" w:cs="Times New Roman"/>
          <w:b w:val="0"/>
          <w:bCs w:val="0"/>
          <w:color w:val="auto"/>
          <w:sz w:val="24"/>
          <w:szCs w:val="24"/>
        </w:rPr>
        <w:t xml:space="preserve"> </w:t>
      </w:r>
      <w:r w:rsidR="573AB1CE" w:rsidRPr="00D44D33">
        <w:rPr>
          <w:rFonts w:ascii="Times New Roman" w:hAnsi="Times New Roman" w:cs="Times New Roman"/>
          <w:b w:val="0"/>
          <w:bCs w:val="0"/>
          <w:color w:val="auto"/>
          <w:sz w:val="24"/>
          <w:szCs w:val="24"/>
        </w:rPr>
        <w:t>który</w:t>
      </w:r>
      <w:r w:rsidR="440D7A92" w:rsidRPr="00D44D33">
        <w:rPr>
          <w:rFonts w:ascii="Times New Roman" w:hAnsi="Times New Roman" w:cs="Times New Roman"/>
          <w:b w:val="0"/>
          <w:bCs w:val="0"/>
          <w:color w:val="auto"/>
          <w:sz w:val="24"/>
          <w:szCs w:val="24"/>
        </w:rPr>
        <w:t>ch</w:t>
      </w:r>
      <w:r w:rsidR="00970B2E" w:rsidRPr="00D44D33">
        <w:rPr>
          <w:rFonts w:ascii="Times New Roman" w:hAnsi="Times New Roman" w:cs="Times New Roman"/>
          <w:b w:val="0"/>
          <w:bCs w:val="0"/>
          <w:color w:val="auto"/>
          <w:sz w:val="24"/>
          <w:szCs w:val="24"/>
        </w:rPr>
        <w:t xml:space="preserve"> </w:t>
      </w:r>
      <w:r w:rsidR="573AB1CE" w:rsidRPr="00D44D33">
        <w:rPr>
          <w:rFonts w:ascii="Times New Roman" w:hAnsi="Times New Roman" w:cs="Times New Roman"/>
          <w:b w:val="0"/>
          <w:bCs w:val="0"/>
          <w:color w:val="auto"/>
          <w:sz w:val="24"/>
          <w:szCs w:val="24"/>
        </w:rPr>
        <w:t>mowa</w:t>
      </w:r>
      <w:r w:rsidR="00970B2E" w:rsidRPr="00D44D33">
        <w:rPr>
          <w:rFonts w:ascii="Times New Roman" w:hAnsi="Times New Roman" w:cs="Times New Roman"/>
          <w:b w:val="0"/>
          <w:bCs w:val="0"/>
          <w:color w:val="auto"/>
          <w:sz w:val="24"/>
          <w:szCs w:val="24"/>
        </w:rPr>
        <w:t xml:space="preserve"> </w:t>
      </w:r>
      <w:r w:rsidR="573AB1CE"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73AB1CE"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00DB7BF4" w:rsidRPr="00D44D33">
        <w:rPr>
          <w:rFonts w:ascii="Times New Roman" w:hAnsi="Times New Roman" w:cs="Times New Roman"/>
          <w:b w:val="0"/>
          <w:bCs w:val="0"/>
          <w:color w:val="auto"/>
          <w:sz w:val="24"/>
          <w:szCs w:val="24"/>
        </w:rPr>
        <w:t>181</w:t>
      </w:r>
      <w:r w:rsidR="00970B2E" w:rsidRPr="00D44D33">
        <w:rPr>
          <w:rFonts w:ascii="Times New Roman" w:hAnsi="Times New Roman" w:cs="Times New Roman"/>
          <w:b w:val="0"/>
          <w:bCs w:val="0"/>
          <w:color w:val="auto"/>
          <w:sz w:val="24"/>
          <w:szCs w:val="24"/>
        </w:rPr>
        <w:t xml:space="preserve"> </w:t>
      </w:r>
      <w:r w:rsidR="440D7A92" w:rsidRPr="00D44D33">
        <w:rPr>
          <w:rFonts w:ascii="Times New Roman" w:hAnsi="Times New Roman" w:cs="Times New Roman"/>
          <w:b w:val="0"/>
          <w:bCs w:val="0"/>
          <w:color w:val="auto"/>
          <w:sz w:val="24"/>
          <w:szCs w:val="24"/>
        </w:rPr>
        <w:t>projektu</w:t>
      </w:r>
      <w:r w:rsidR="00970B2E" w:rsidRPr="00D44D33">
        <w:rPr>
          <w:rFonts w:ascii="Times New Roman" w:hAnsi="Times New Roman" w:cs="Times New Roman"/>
          <w:b w:val="0"/>
          <w:bCs w:val="0"/>
          <w:color w:val="auto"/>
          <w:sz w:val="24"/>
          <w:szCs w:val="24"/>
        </w:rPr>
        <w:t xml:space="preserve"> </w:t>
      </w:r>
      <w:r w:rsidR="36463F8F"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024CA77A" w:rsidRPr="00D44D33">
        <w:rPr>
          <w:rFonts w:ascii="Times New Roman" w:hAnsi="Times New Roman" w:cs="Times New Roman"/>
          <w:b w:val="0"/>
          <w:bCs w:val="0"/>
          <w:color w:val="auto"/>
          <w:sz w:val="24"/>
          <w:szCs w:val="24"/>
        </w:rPr>
        <w:t>Pke</w:t>
      </w:r>
      <w:r w:rsidR="440D7A92"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p>
    <w:p w14:paraId="4A182DD0" w14:textId="08F2CD78" w:rsidR="002272EF" w:rsidRPr="00D44D33" w:rsidRDefault="05B75578"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Krajowy</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organ</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regulacyjny,</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zgodnie</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32</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ust.</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8</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EKŁE</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powinien</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uwzględniać</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jak</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największym</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stopniu</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uwagi</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innych</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krajowych</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organów</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regulacyjnych,</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BEREC</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Komisji</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Europejskiej.</w:t>
      </w:r>
      <w:r w:rsidR="00970B2E" w:rsidRPr="00D44D33">
        <w:rPr>
          <w:rFonts w:ascii="Times New Roman" w:hAnsi="Times New Roman" w:cs="Times New Roman"/>
          <w:b w:val="0"/>
          <w:bCs w:val="0"/>
          <w:color w:val="auto"/>
          <w:sz w:val="24"/>
          <w:szCs w:val="24"/>
        </w:rPr>
        <w:t xml:space="preserve"> </w:t>
      </w:r>
      <w:r w:rsidR="433A79AC" w:rsidRPr="00D44D33">
        <w:rPr>
          <w:rFonts w:ascii="Times New Roman" w:hAnsi="Times New Roman" w:cs="Times New Roman"/>
          <w:b w:val="0"/>
          <w:bCs w:val="0"/>
          <w:color w:val="auto"/>
          <w:sz w:val="24"/>
          <w:szCs w:val="24"/>
        </w:rPr>
        <w:t>P</w:t>
      </w:r>
      <w:r w:rsidR="0F517EB0" w:rsidRPr="00D44D33">
        <w:rPr>
          <w:rFonts w:ascii="Times New Roman" w:hAnsi="Times New Roman" w:cs="Times New Roman"/>
          <w:b w:val="0"/>
          <w:bCs w:val="0"/>
          <w:color w:val="auto"/>
          <w:sz w:val="24"/>
          <w:szCs w:val="24"/>
        </w:rPr>
        <w:t>rze</w:t>
      </w:r>
      <w:r w:rsidR="39D357B3" w:rsidRPr="00D44D33">
        <w:rPr>
          <w:rFonts w:ascii="Times New Roman" w:hAnsi="Times New Roman" w:cs="Times New Roman"/>
          <w:b w:val="0"/>
          <w:bCs w:val="0"/>
          <w:color w:val="auto"/>
          <w:sz w:val="24"/>
          <w:szCs w:val="24"/>
        </w:rPr>
        <w:t>pis</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wskazuje</w:t>
      </w:r>
      <w:r w:rsidR="00970B2E" w:rsidRPr="00D44D33">
        <w:rPr>
          <w:rFonts w:ascii="Times New Roman" w:hAnsi="Times New Roman" w:cs="Times New Roman"/>
          <w:b w:val="0"/>
          <w:bCs w:val="0"/>
          <w:color w:val="auto"/>
          <w:sz w:val="24"/>
          <w:szCs w:val="24"/>
        </w:rPr>
        <w:t xml:space="preserve"> </w:t>
      </w:r>
      <w:r w:rsidR="4ECC8E31" w:rsidRPr="00D44D33">
        <w:rPr>
          <w:rFonts w:ascii="Times New Roman" w:hAnsi="Times New Roman" w:cs="Times New Roman"/>
          <w:b w:val="0"/>
          <w:bCs w:val="0"/>
          <w:color w:val="auto"/>
          <w:sz w:val="24"/>
          <w:szCs w:val="24"/>
        </w:rPr>
        <w:t>zatem</w:t>
      </w:r>
      <w:r w:rsidR="39D357B3"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iż</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Prezes</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UKE</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nie</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ma</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obowiązku</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uwzględnienia</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tych</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uwag</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całości.</w:t>
      </w:r>
      <w:r w:rsidR="00970B2E" w:rsidRPr="00D44D33">
        <w:rPr>
          <w:rFonts w:ascii="Times New Roman" w:hAnsi="Times New Roman" w:cs="Times New Roman"/>
          <w:b w:val="0"/>
          <w:bCs w:val="0"/>
          <w:color w:val="auto"/>
          <w:sz w:val="24"/>
          <w:szCs w:val="24"/>
        </w:rPr>
        <w:t xml:space="preserve"> </w:t>
      </w:r>
      <w:r w:rsidR="004F4731" w:rsidRPr="00D44D33">
        <w:rPr>
          <w:rFonts w:ascii="Times New Roman" w:hAnsi="Times New Roman" w:cs="Times New Roman"/>
          <w:b w:val="0"/>
          <w:bCs w:val="0"/>
          <w:color w:val="auto"/>
          <w:sz w:val="24"/>
          <w:szCs w:val="24"/>
        </w:rPr>
        <w:t>E</w:t>
      </w:r>
      <w:r w:rsidR="39D357B3" w:rsidRPr="00D44D33">
        <w:rPr>
          <w:rFonts w:ascii="Times New Roman" w:hAnsi="Times New Roman" w:cs="Times New Roman"/>
          <w:b w:val="0"/>
          <w:bCs w:val="0"/>
          <w:color w:val="auto"/>
          <w:sz w:val="24"/>
          <w:szCs w:val="24"/>
        </w:rPr>
        <w:t>K</w:t>
      </w:r>
      <w:r w:rsidR="004F4731" w:rsidRPr="00D44D33">
        <w:rPr>
          <w:rFonts w:ascii="Times New Roman" w:hAnsi="Times New Roman" w:cs="Times New Roman"/>
          <w:b w:val="0"/>
          <w:bCs w:val="0"/>
          <w:color w:val="auto"/>
          <w:sz w:val="24"/>
          <w:szCs w:val="24"/>
        </w:rPr>
        <w:t>ŁE</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przewiduje</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jednak</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tym</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zakresie</w:t>
      </w:r>
      <w:r w:rsidR="00970B2E" w:rsidRPr="00D44D33">
        <w:rPr>
          <w:rFonts w:ascii="Times New Roman" w:hAnsi="Times New Roman" w:cs="Times New Roman"/>
          <w:b w:val="0"/>
          <w:bCs w:val="0"/>
          <w:color w:val="auto"/>
          <w:sz w:val="24"/>
          <w:szCs w:val="24"/>
        </w:rPr>
        <w:t xml:space="preserve"> </w:t>
      </w:r>
      <w:r w:rsidR="56B70B3B" w:rsidRPr="00D44D33">
        <w:rPr>
          <w:rFonts w:ascii="Times New Roman" w:hAnsi="Times New Roman" w:cs="Times New Roman"/>
          <w:b w:val="0"/>
          <w:bCs w:val="0"/>
          <w:color w:val="auto"/>
          <w:sz w:val="24"/>
          <w:szCs w:val="24"/>
        </w:rPr>
        <w:t>wyjątek</w:t>
      </w:r>
      <w:r w:rsidR="39D357B3"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kiedy</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to</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organ</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zobowiązany</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lastRenderedPageBreak/>
        <w:t>uwzględnić</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stanowisko</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Komisji</w:t>
      </w:r>
      <w:r w:rsidR="00970B2E" w:rsidRPr="00D44D33">
        <w:rPr>
          <w:rFonts w:ascii="Times New Roman" w:hAnsi="Times New Roman" w:cs="Times New Roman"/>
          <w:b w:val="0"/>
          <w:bCs w:val="0"/>
          <w:color w:val="auto"/>
          <w:sz w:val="24"/>
          <w:szCs w:val="24"/>
        </w:rPr>
        <w:t xml:space="preserve"> </w:t>
      </w:r>
      <w:r w:rsidR="39D357B3" w:rsidRPr="00D44D33">
        <w:rPr>
          <w:rFonts w:ascii="Times New Roman" w:hAnsi="Times New Roman" w:cs="Times New Roman"/>
          <w:b w:val="0"/>
          <w:bCs w:val="0"/>
          <w:color w:val="auto"/>
          <w:sz w:val="24"/>
          <w:szCs w:val="24"/>
        </w:rPr>
        <w:t>Europejskiej</w:t>
      </w:r>
      <w:r w:rsidR="01371B49"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co</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zostało</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również</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przewidziane</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projektowanym</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21EB5FCA" w:rsidRPr="00D44D33">
        <w:rPr>
          <w:rFonts w:ascii="Times New Roman" w:hAnsi="Times New Roman" w:cs="Times New Roman"/>
          <w:b w:val="0"/>
          <w:bCs w:val="0"/>
          <w:color w:val="auto"/>
          <w:sz w:val="24"/>
          <w:szCs w:val="24"/>
        </w:rPr>
        <w:t>36</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ust.</w:t>
      </w:r>
      <w:r w:rsidR="00970B2E" w:rsidRPr="00D44D33">
        <w:rPr>
          <w:rFonts w:ascii="Times New Roman" w:hAnsi="Times New Roman" w:cs="Times New Roman"/>
          <w:b w:val="0"/>
          <w:bCs w:val="0"/>
          <w:color w:val="auto"/>
          <w:sz w:val="24"/>
          <w:szCs w:val="24"/>
        </w:rPr>
        <w:t xml:space="preserve"> </w:t>
      </w:r>
      <w:r w:rsidR="01371B49" w:rsidRPr="00D44D33">
        <w:rPr>
          <w:rFonts w:ascii="Times New Roman" w:hAnsi="Times New Roman" w:cs="Times New Roman"/>
          <w:b w:val="0"/>
          <w:bCs w:val="0"/>
          <w:color w:val="auto"/>
          <w:sz w:val="24"/>
          <w:szCs w:val="24"/>
        </w:rPr>
        <w:t>2</w:t>
      </w:r>
      <w:r w:rsidR="56B70B3B"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56B70B3B" w:rsidRPr="00D44D33">
        <w:rPr>
          <w:rFonts w:ascii="Times New Roman" w:hAnsi="Times New Roman" w:cs="Times New Roman"/>
          <w:b w:val="0"/>
          <w:bCs w:val="0"/>
          <w:color w:val="auto"/>
          <w:sz w:val="24"/>
          <w:szCs w:val="24"/>
        </w:rPr>
        <w:t>P</w:t>
      </w:r>
      <w:r w:rsidR="4E90ABD2" w:rsidRPr="00D44D33">
        <w:rPr>
          <w:rFonts w:ascii="Times New Roman" w:hAnsi="Times New Roman" w:cs="Times New Roman"/>
          <w:b w:val="0"/>
          <w:bCs w:val="0"/>
          <w:color w:val="auto"/>
          <w:sz w:val="24"/>
          <w:szCs w:val="24"/>
        </w:rPr>
        <w:t>rzypadek</w:t>
      </w:r>
      <w:r w:rsidR="00970B2E" w:rsidRPr="00D44D33">
        <w:rPr>
          <w:rFonts w:ascii="Times New Roman" w:hAnsi="Times New Roman" w:cs="Times New Roman"/>
          <w:b w:val="0"/>
          <w:bCs w:val="0"/>
          <w:color w:val="auto"/>
          <w:sz w:val="24"/>
          <w:szCs w:val="24"/>
        </w:rPr>
        <w:t xml:space="preserve"> </w:t>
      </w:r>
      <w:r w:rsidR="4E90ABD2" w:rsidRPr="00D44D33">
        <w:rPr>
          <w:rFonts w:ascii="Times New Roman" w:hAnsi="Times New Roman" w:cs="Times New Roman"/>
          <w:b w:val="0"/>
          <w:bCs w:val="0"/>
          <w:color w:val="auto"/>
          <w:sz w:val="24"/>
          <w:szCs w:val="24"/>
        </w:rPr>
        <w:t>dotyczy</w:t>
      </w:r>
      <w:r w:rsidR="00970B2E" w:rsidRPr="00D44D33">
        <w:rPr>
          <w:rFonts w:ascii="Times New Roman" w:hAnsi="Times New Roman" w:cs="Times New Roman"/>
          <w:b w:val="0"/>
          <w:bCs w:val="0"/>
          <w:color w:val="auto"/>
          <w:sz w:val="24"/>
          <w:szCs w:val="24"/>
        </w:rPr>
        <w:t xml:space="preserve"> </w:t>
      </w:r>
      <w:r w:rsidR="4E90ABD2" w:rsidRPr="00D44D33">
        <w:rPr>
          <w:rFonts w:ascii="Times New Roman" w:hAnsi="Times New Roman" w:cs="Times New Roman"/>
          <w:b w:val="0"/>
          <w:bCs w:val="0"/>
          <w:color w:val="auto"/>
          <w:sz w:val="24"/>
          <w:szCs w:val="24"/>
        </w:rPr>
        <w:t>wydania</w:t>
      </w:r>
      <w:r w:rsidR="00970B2E" w:rsidRPr="00D44D33">
        <w:rPr>
          <w:rFonts w:ascii="Times New Roman" w:hAnsi="Times New Roman" w:cs="Times New Roman"/>
          <w:b w:val="0"/>
          <w:bCs w:val="0"/>
          <w:color w:val="auto"/>
          <w:sz w:val="24"/>
          <w:szCs w:val="24"/>
        </w:rPr>
        <w:t xml:space="preserve"> </w:t>
      </w:r>
      <w:r w:rsidR="4E90ABD2" w:rsidRPr="00D44D33">
        <w:rPr>
          <w:rFonts w:ascii="Times New Roman" w:hAnsi="Times New Roman" w:cs="Times New Roman"/>
          <w:b w:val="0"/>
          <w:bCs w:val="0"/>
          <w:color w:val="auto"/>
          <w:sz w:val="24"/>
          <w:szCs w:val="24"/>
        </w:rPr>
        <w:t>przez</w:t>
      </w:r>
      <w:r w:rsidR="00970B2E" w:rsidRPr="00D44D33">
        <w:rPr>
          <w:rFonts w:ascii="Times New Roman" w:hAnsi="Times New Roman" w:cs="Times New Roman"/>
          <w:b w:val="0"/>
          <w:bCs w:val="0"/>
          <w:color w:val="auto"/>
          <w:sz w:val="24"/>
          <w:szCs w:val="24"/>
        </w:rPr>
        <w:t xml:space="preserve"> </w:t>
      </w:r>
      <w:r w:rsidR="4E90ABD2" w:rsidRPr="00D44D33">
        <w:rPr>
          <w:rFonts w:ascii="Times New Roman" w:hAnsi="Times New Roman" w:cs="Times New Roman"/>
          <w:b w:val="0"/>
          <w:bCs w:val="0"/>
          <w:color w:val="auto"/>
          <w:sz w:val="24"/>
          <w:szCs w:val="24"/>
        </w:rPr>
        <w:t>Komisję</w:t>
      </w:r>
      <w:r w:rsidR="00970B2E" w:rsidRPr="00D44D33">
        <w:rPr>
          <w:rFonts w:ascii="Times New Roman" w:hAnsi="Times New Roman" w:cs="Times New Roman"/>
          <w:b w:val="0"/>
          <w:bCs w:val="0"/>
          <w:color w:val="auto"/>
          <w:sz w:val="24"/>
          <w:szCs w:val="24"/>
        </w:rPr>
        <w:t xml:space="preserve"> </w:t>
      </w:r>
      <w:r w:rsidR="4E90ABD2" w:rsidRPr="00D44D33">
        <w:rPr>
          <w:rFonts w:ascii="Times New Roman" w:hAnsi="Times New Roman" w:cs="Times New Roman"/>
          <w:b w:val="0"/>
          <w:bCs w:val="0"/>
          <w:color w:val="auto"/>
          <w:sz w:val="24"/>
          <w:szCs w:val="24"/>
        </w:rPr>
        <w:t>Europejską</w:t>
      </w:r>
      <w:r w:rsidR="00970B2E" w:rsidRPr="00D44D33">
        <w:rPr>
          <w:rFonts w:ascii="Times New Roman" w:hAnsi="Times New Roman" w:cs="Times New Roman"/>
          <w:b w:val="0"/>
          <w:bCs w:val="0"/>
          <w:color w:val="auto"/>
          <w:sz w:val="24"/>
          <w:szCs w:val="24"/>
        </w:rPr>
        <w:t xml:space="preserve"> </w:t>
      </w:r>
      <w:r w:rsidR="4E90ABD2" w:rsidRPr="00D44D33">
        <w:rPr>
          <w:rFonts w:ascii="Times New Roman" w:hAnsi="Times New Roman" w:cs="Times New Roman"/>
          <w:b w:val="0"/>
          <w:bCs w:val="0"/>
          <w:color w:val="auto"/>
          <w:sz w:val="24"/>
          <w:szCs w:val="24"/>
        </w:rPr>
        <w:t>decyzji</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wzywającej</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do</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wycofania</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projektu</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rozstrzygnięcia</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zakresie</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ustalenia</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znaczącej</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pozycji</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rynkowej</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oraz</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zakresie</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zdefiniowania</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rynku</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właściwego</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różnego</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od</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tych,</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które</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zdefiniowano</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zaleceniu</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Komisji</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Europejskiej</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sprawie</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właściwych</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rynków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produktów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i</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usług</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sektorze</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łączności</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elektronicznej</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podlegających</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regulacji</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i/>
          <w:color w:val="auto"/>
          <w:sz w:val="24"/>
          <w:szCs w:val="24"/>
        </w:rPr>
        <w:t>ex</w:t>
      </w:r>
      <w:r w:rsidR="00970B2E" w:rsidRPr="00D44D33">
        <w:rPr>
          <w:rFonts w:ascii="Times New Roman" w:hAnsi="Times New Roman" w:cs="Times New Roman"/>
          <w:b w:val="0"/>
          <w:i/>
          <w:color w:val="auto"/>
          <w:sz w:val="24"/>
          <w:szCs w:val="24"/>
        </w:rPr>
        <w:t xml:space="preserve"> </w:t>
      </w:r>
      <w:r w:rsidR="59627FDB" w:rsidRPr="00D44D33">
        <w:rPr>
          <w:rFonts w:ascii="Times New Roman" w:hAnsi="Times New Roman" w:cs="Times New Roman"/>
          <w:b w:val="0"/>
          <w:i/>
          <w:color w:val="auto"/>
          <w:sz w:val="24"/>
          <w:szCs w:val="24"/>
        </w:rPr>
        <w:t>ante</w:t>
      </w:r>
      <w:r w:rsidR="59627FDB"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Przepis</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ten</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zgodny</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z</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dotychczasowym</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brzmieniem</w:t>
      </w:r>
      <w:r w:rsidR="00970B2E" w:rsidRPr="00D44D33">
        <w:rPr>
          <w:rFonts w:ascii="Times New Roman" w:hAnsi="Times New Roman" w:cs="Times New Roman"/>
          <w:b w:val="0"/>
          <w:bCs w:val="0"/>
          <w:color w:val="auto"/>
          <w:sz w:val="24"/>
          <w:szCs w:val="24"/>
        </w:rPr>
        <w:t xml:space="preserve"> </w:t>
      </w:r>
      <w:r w:rsidR="59627FDB"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4B76191C" w:rsidRPr="00D44D33">
        <w:rPr>
          <w:rFonts w:ascii="Times New Roman" w:hAnsi="Times New Roman" w:cs="Times New Roman"/>
          <w:b w:val="0"/>
          <w:bCs w:val="0"/>
          <w:color w:val="auto"/>
          <w:sz w:val="24"/>
          <w:szCs w:val="24"/>
        </w:rPr>
        <w:t>19</w:t>
      </w:r>
      <w:r w:rsidR="00970B2E" w:rsidRPr="00D44D33">
        <w:rPr>
          <w:rFonts w:ascii="Times New Roman" w:hAnsi="Times New Roman" w:cs="Times New Roman"/>
          <w:b w:val="0"/>
          <w:bCs w:val="0"/>
          <w:color w:val="auto"/>
          <w:sz w:val="24"/>
          <w:szCs w:val="24"/>
        </w:rPr>
        <w:t xml:space="preserve"> </w:t>
      </w:r>
      <w:r w:rsidR="4B76191C" w:rsidRPr="00D44D33">
        <w:rPr>
          <w:rFonts w:ascii="Times New Roman" w:hAnsi="Times New Roman" w:cs="Times New Roman"/>
          <w:b w:val="0"/>
          <w:bCs w:val="0"/>
          <w:color w:val="auto"/>
          <w:sz w:val="24"/>
          <w:szCs w:val="24"/>
        </w:rPr>
        <w:t>ust.</w:t>
      </w:r>
      <w:r w:rsidR="00970B2E" w:rsidRPr="00D44D33">
        <w:rPr>
          <w:rFonts w:ascii="Times New Roman" w:hAnsi="Times New Roman" w:cs="Times New Roman"/>
          <w:b w:val="0"/>
          <w:bCs w:val="0"/>
          <w:color w:val="auto"/>
          <w:sz w:val="24"/>
          <w:szCs w:val="24"/>
        </w:rPr>
        <w:t xml:space="preserve"> </w:t>
      </w:r>
      <w:r w:rsidR="4B76191C" w:rsidRPr="00D44D33">
        <w:rPr>
          <w:rFonts w:ascii="Times New Roman" w:hAnsi="Times New Roman" w:cs="Times New Roman"/>
          <w:b w:val="0"/>
          <w:bCs w:val="0"/>
          <w:color w:val="auto"/>
          <w:sz w:val="24"/>
          <w:szCs w:val="24"/>
        </w:rPr>
        <w:t>2</w:t>
      </w:r>
      <w:r w:rsidR="00970B2E" w:rsidRPr="00D44D33">
        <w:rPr>
          <w:rFonts w:ascii="Times New Roman" w:hAnsi="Times New Roman" w:cs="Times New Roman"/>
          <w:b w:val="0"/>
          <w:bCs w:val="0"/>
          <w:color w:val="auto"/>
          <w:sz w:val="24"/>
          <w:szCs w:val="24"/>
        </w:rPr>
        <w:t xml:space="preserve"> </w:t>
      </w:r>
      <w:r w:rsidR="4B76191C" w:rsidRPr="00D44D33">
        <w:rPr>
          <w:rFonts w:ascii="Times New Roman" w:hAnsi="Times New Roman" w:cs="Times New Roman"/>
          <w:b w:val="0"/>
          <w:bCs w:val="0"/>
          <w:color w:val="auto"/>
          <w:sz w:val="24"/>
          <w:szCs w:val="24"/>
        </w:rPr>
        <w:t>Pt.</w:t>
      </w:r>
    </w:p>
    <w:p w14:paraId="1CA26599" w14:textId="409BA7E8" w:rsidR="00634EDD" w:rsidRPr="00D44D33" w:rsidRDefault="002272EF" w:rsidP="00D44D33">
      <w:pPr>
        <w:pStyle w:val="h1chapter"/>
        <w:spacing w:before="120" w:after="120" w:line="360" w:lineRule="auto"/>
        <w:jc w:val="both"/>
        <w:rPr>
          <w:rFonts w:ascii="Times New Roman" w:hAnsi="Times New Roman" w:cs="Times New Roman"/>
          <w:b w:val="0"/>
          <w:bCs w:val="0"/>
          <w:color w:val="auto"/>
          <w:sz w:val="24"/>
          <w:szCs w:val="24"/>
        </w:rPr>
      </w:pPr>
      <w:r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zakresie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konsolidacji</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rynku</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wewnętrznego</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przepisy</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EKŁE</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dużej</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mierze</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stanowią</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powtórzenie</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treści</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7</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dyrektywy</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ramowej.</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Nowym</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fragmentem,</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który</w:t>
      </w:r>
      <w:r w:rsidR="00970B2E" w:rsidRPr="00D44D33">
        <w:rPr>
          <w:rFonts w:ascii="Times New Roman" w:hAnsi="Times New Roman" w:cs="Times New Roman"/>
          <w:b w:val="0"/>
          <w:bCs w:val="0"/>
          <w:color w:val="auto"/>
          <w:sz w:val="24"/>
          <w:szCs w:val="24"/>
        </w:rPr>
        <w:t xml:space="preserve"> </w:t>
      </w:r>
      <w:r w:rsidR="00670959"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00670959" w:rsidRPr="00D44D33">
        <w:rPr>
          <w:rFonts w:ascii="Times New Roman" w:hAnsi="Times New Roman" w:cs="Times New Roman"/>
          <w:b w:val="0"/>
          <w:bCs w:val="0"/>
          <w:color w:val="auto"/>
          <w:sz w:val="24"/>
          <w:szCs w:val="24"/>
        </w:rPr>
        <w:t>wdrażany</w:t>
      </w:r>
      <w:r w:rsidR="00970B2E" w:rsidRPr="00D44D33">
        <w:rPr>
          <w:rFonts w:ascii="Times New Roman" w:hAnsi="Times New Roman" w:cs="Times New Roman"/>
          <w:b w:val="0"/>
          <w:bCs w:val="0"/>
          <w:color w:val="auto"/>
          <w:sz w:val="24"/>
          <w:szCs w:val="24"/>
        </w:rPr>
        <w:t xml:space="preserve"> </w:t>
      </w:r>
      <w:r w:rsidR="00670959"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670959" w:rsidRPr="00D44D33">
        <w:rPr>
          <w:rFonts w:ascii="Times New Roman" w:hAnsi="Times New Roman" w:cs="Times New Roman"/>
          <w:b w:val="0"/>
          <w:bCs w:val="0"/>
          <w:color w:val="auto"/>
          <w:sz w:val="24"/>
          <w:szCs w:val="24"/>
        </w:rPr>
        <w:t>projektowanym</w:t>
      </w:r>
      <w:r w:rsidR="00970B2E" w:rsidRPr="00D44D33">
        <w:rPr>
          <w:rFonts w:ascii="Times New Roman" w:hAnsi="Times New Roman" w:cs="Times New Roman"/>
          <w:b w:val="0"/>
          <w:bCs w:val="0"/>
          <w:color w:val="auto"/>
          <w:sz w:val="24"/>
          <w:szCs w:val="24"/>
        </w:rPr>
        <w:t xml:space="preserve"> </w:t>
      </w:r>
      <w:r w:rsidR="00670959"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2E933D0E" w:rsidRPr="00D44D33">
        <w:rPr>
          <w:rFonts w:ascii="Times New Roman" w:hAnsi="Times New Roman" w:cs="Times New Roman"/>
          <w:b w:val="0"/>
          <w:bCs w:val="0"/>
          <w:color w:val="auto"/>
          <w:sz w:val="24"/>
          <w:szCs w:val="24"/>
        </w:rPr>
        <w:t>36</w:t>
      </w:r>
      <w:r w:rsidR="00970B2E" w:rsidRPr="00D44D33">
        <w:rPr>
          <w:rFonts w:ascii="Times New Roman" w:hAnsi="Times New Roman" w:cs="Times New Roman"/>
          <w:b w:val="0"/>
          <w:bCs w:val="0"/>
          <w:color w:val="auto"/>
          <w:sz w:val="24"/>
          <w:szCs w:val="24"/>
        </w:rPr>
        <w:t xml:space="preserve"> </w:t>
      </w:r>
      <w:r w:rsidR="00670959" w:rsidRPr="00D44D33">
        <w:rPr>
          <w:rFonts w:ascii="Times New Roman" w:hAnsi="Times New Roman" w:cs="Times New Roman"/>
          <w:b w:val="0"/>
          <w:bCs w:val="0"/>
          <w:color w:val="auto"/>
          <w:sz w:val="24"/>
          <w:szCs w:val="24"/>
        </w:rPr>
        <w:t>ust.</w:t>
      </w:r>
      <w:r w:rsidR="00970B2E" w:rsidRPr="00D44D33">
        <w:rPr>
          <w:rFonts w:ascii="Times New Roman" w:hAnsi="Times New Roman" w:cs="Times New Roman"/>
          <w:b w:val="0"/>
          <w:bCs w:val="0"/>
          <w:color w:val="auto"/>
          <w:sz w:val="24"/>
          <w:szCs w:val="24"/>
        </w:rPr>
        <w:t xml:space="preserve"> </w:t>
      </w:r>
      <w:r w:rsidR="00B13692" w:rsidRPr="00D44D33">
        <w:rPr>
          <w:rFonts w:ascii="Times New Roman" w:hAnsi="Times New Roman" w:cs="Times New Roman"/>
          <w:b w:val="0"/>
          <w:bCs w:val="0"/>
          <w:color w:val="auto"/>
          <w:sz w:val="24"/>
          <w:szCs w:val="24"/>
        </w:rPr>
        <w:t>5</w:t>
      </w:r>
      <w:r w:rsidR="00670959" w:rsidRPr="00D44D33">
        <w:rPr>
          <w:rFonts w:ascii="Times New Roman" w:hAnsi="Times New Roman" w:cs="Times New Roman"/>
          <w:b w:val="0"/>
          <w:bCs w:val="0"/>
          <w:color w:val="auto"/>
          <w:sz w:val="24"/>
          <w:szCs w:val="24"/>
        </w:rPr>
        <w:t>,</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jest</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umożliwienie</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krajowemu</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organowi</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regulacyjnemu</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wycofania</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każdej</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chwili</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projektowanego</w:t>
      </w:r>
      <w:r w:rsidR="00970B2E" w:rsidRPr="00D44D33">
        <w:rPr>
          <w:rFonts w:ascii="Times New Roman" w:hAnsi="Times New Roman" w:cs="Times New Roman"/>
          <w:b w:val="0"/>
          <w:bCs w:val="0"/>
          <w:color w:val="auto"/>
          <w:sz w:val="24"/>
          <w:szCs w:val="24"/>
        </w:rPr>
        <w:t xml:space="preserve"> </w:t>
      </w:r>
      <w:r w:rsidR="0076540C" w:rsidRPr="00D44D33">
        <w:rPr>
          <w:rFonts w:ascii="Times New Roman" w:hAnsi="Times New Roman" w:cs="Times New Roman"/>
          <w:b w:val="0"/>
          <w:bCs w:val="0"/>
          <w:color w:val="auto"/>
          <w:sz w:val="24"/>
          <w:szCs w:val="24"/>
        </w:rPr>
        <w:t>środka.</w:t>
      </w:r>
      <w:r w:rsidR="00371EEA">
        <w:rPr>
          <w:rFonts w:ascii="Times New Roman" w:hAnsi="Times New Roman" w:cs="Times New Roman"/>
          <w:b w:val="0"/>
          <w:bCs w:val="0"/>
          <w:color w:val="auto"/>
          <w:sz w:val="24"/>
          <w:szCs w:val="24"/>
        </w:rPr>
        <w:t xml:space="preserve"> </w:t>
      </w:r>
    </w:p>
    <w:p w14:paraId="5A958E1A" w14:textId="561DC4D6" w:rsidR="00AA3879" w:rsidRPr="00D44D33" w:rsidRDefault="00DA296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Istotna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naprawczych.</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projektów</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rozstrzygnięć</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wzajemnych</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środkami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naprawczymi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dotyczącymi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nałożonymi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usługach</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uzna,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stanowiłby</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przeszkodę</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tworzenia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jednolitego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istnieją</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poważne</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prawem</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0001050E"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dodanie</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możliwych</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lastRenderedPageBreak/>
        <w:t>uprawnienia</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00682FC3"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B74782" w:rsidRPr="00D44D33">
        <w:rPr>
          <w:rFonts w:ascii="Times New Roman" w:eastAsiaTheme="minorEastAsia" w:hAnsi="Times New Roman" w:cs="Times New Roman"/>
          <w:sz w:val="24"/>
          <w:szCs w:val="24"/>
          <w:lang w:eastAsia="pl-PL"/>
        </w:rPr>
        <w:t>zobowiązującą</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krajowy</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organ</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regulacyjny</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wycofania</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planowanego</w:t>
      </w:r>
      <w:r w:rsidR="00970B2E" w:rsidRPr="00D44D33">
        <w:rPr>
          <w:rFonts w:ascii="Times New Roman" w:eastAsiaTheme="minorEastAsia" w:hAnsi="Times New Roman" w:cs="Times New Roman"/>
          <w:sz w:val="24"/>
          <w:szCs w:val="24"/>
          <w:lang w:eastAsia="pl-PL"/>
        </w:rPr>
        <w:t xml:space="preserve"> </w:t>
      </w:r>
      <w:r w:rsidR="00B74782" w:rsidRPr="00D44D33">
        <w:rPr>
          <w:rFonts w:ascii="Times New Roman" w:eastAsiaTheme="minorEastAsia" w:hAnsi="Times New Roman" w:cs="Times New Roman"/>
          <w:sz w:val="24"/>
          <w:szCs w:val="24"/>
          <w:lang w:eastAsia="pl-PL"/>
        </w:rPr>
        <w:t>środka</w:t>
      </w:r>
      <w:r w:rsidR="00970B2E" w:rsidRPr="00D44D33">
        <w:rPr>
          <w:rFonts w:ascii="Times New Roman" w:eastAsiaTheme="minorEastAsia" w:hAnsi="Times New Roman" w:cs="Times New Roman"/>
          <w:b/>
          <w:bCs/>
          <w:sz w:val="24"/>
          <w:szCs w:val="24"/>
        </w:rPr>
        <w:t xml:space="preserve"> </w:t>
      </w:r>
      <w:r w:rsidR="003357A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objęty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76</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rozszerzanie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udzielania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pierwszym</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uwzględnić</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spójnego</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naprawczych</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mogła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zgłosić</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wydać</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zalecenie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wycofania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planowanego</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środka.</w:t>
      </w:r>
      <w:r w:rsidR="00371EEA">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związany</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zawarto</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F217BAE" w:rsidRPr="00D44D33">
        <w:rPr>
          <w:rFonts w:ascii="Times New Roman" w:eastAsiaTheme="minorEastAsia" w:hAnsi="Times New Roman" w:cs="Times New Roman"/>
          <w:sz w:val="24"/>
          <w:szCs w:val="24"/>
        </w:rPr>
        <w:t>37</w:t>
      </w:r>
      <w:r w:rsidR="00970B2E" w:rsidRPr="00D44D33">
        <w:rPr>
          <w:rFonts w:ascii="Times New Roman" w:eastAsiaTheme="minorEastAsia" w:hAnsi="Times New Roman" w:cs="Times New Roman"/>
          <w:sz w:val="24"/>
          <w:szCs w:val="24"/>
        </w:rPr>
        <w:t xml:space="preserve"> </w:t>
      </w:r>
      <w:r w:rsidR="003357A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56403" w:rsidRPr="00D44D33">
        <w:rPr>
          <w:rFonts w:ascii="Times New Roman" w:eastAsiaTheme="minorEastAsia" w:hAnsi="Times New Roman" w:cs="Times New Roman"/>
          <w:sz w:val="24"/>
          <w:szCs w:val="24"/>
        </w:rPr>
        <w:t>7</w:t>
      </w:r>
      <w:r w:rsidR="003357AD" w:rsidRPr="00D44D33">
        <w:rPr>
          <w:rFonts w:ascii="Times New Roman" w:eastAsiaTheme="minorEastAsia" w:hAnsi="Times New Roman" w:cs="Times New Roman"/>
          <w:sz w:val="24"/>
          <w:szCs w:val="24"/>
        </w:rPr>
        <w:t>.</w:t>
      </w:r>
    </w:p>
    <w:p w14:paraId="1E9C9F14" w14:textId="1A9A8279" w:rsidR="0081787B" w:rsidRPr="00D44D33" w:rsidRDefault="0019350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hAnsi="Times New Roman" w:cs="Times New Roman"/>
          <w:b/>
          <w:bCs/>
          <w:sz w:val="24"/>
          <w:szCs w:val="24"/>
        </w:rPr>
        <w:t>R</w:t>
      </w:r>
      <w:r w:rsidR="00754575" w:rsidRPr="00D44D33">
        <w:rPr>
          <w:rFonts w:ascii="Times New Roman" w:hAnsi="Times New Roman" w:cs="Times New Roman"/>
          <w:b/>
          <w:bCs/>
          <w:sz w:val="24"/>
          <w:szCs w:val="24"/>
        </w:rPr>
        <w:t>ozdział</w:t>
      </w:r>
      <w:r w:rsidR="00970B2E" w:rsidRPr="00D44D33">
        <w:rPr>
          <w:rFonts w:ascii="Times New Roman" w:hAnsi="Times New Roman" w:cs="Times New Roman"/>
          <w:b/>
          <w:bCs/>
          <w:sz w:val="24"/>
          <w:szCs w:val="24"/>
        </w:rPr>
        <w:t xml:space="preserve"> </w:t>
      </w:r>
      <w:r w:rsidRPr="00D44D33">
        <w:rPr>
          <w:rFonts w:ascii="Times New Roman" w:hAnsi="Times New Roman" w:cs="Times New Roman"/>
          <w:b/>
          <w:bCs/>
          <w:sz w:val="24"/>
          <w:szCs w:val="24"/>
        </w:rPr>
        <w:t>5</w:t>
      </w:r>
    </w:p>
    <w:p w14:paraId="798F9535" w14:textId="0C1BBDF9" w:rsidR="0081787B" w:rsidRPr="00D44D33" w:rsidRDefault="1D167C95" w:rsidP="00D44D33">
      <w:pPr>
        <w:spacing w:before="120" w:after="120" w:line="360" w:lineRule="auto"/>
        <w:jc w:val="center"/>
        <w:rPr>
          <w:rFonts w:ascii="Times New Roman" w:eastAsia="Times" w:hAnsi="Times New Roman" w:cs="Times New Roman"/>
          <w:b/>
          <w:bCs/>
          <w:sz w:val="24"/>
          <w:szCs w:val="24"/>
        </w:rPr>
      </w:pPr>
      <w:r w:rsidRPr="00D44D33">
        <w:rPr>
          <w:rFonts w:ascii="Times New Roman" w:eastAsia="Times" w:hAnsi="Times New Roman" w:cs="Times New Roman"/>
          <w:b/>
          <w:bCs/>
          <w:sz w:val="24"/>
          <w:szCs w:val="24"/>
        </w:rPr>
        <w:t>Z</w:t>
      </w:r>
      <w:r w:rsidR="6F412A00" w:rsidRPr="00D44D33">
        <w:rPr>
          <w:rFonts w:ascii="Times New Roman" w:eastAsia="Times" w:hAnsi="Times New Roman" w:cs="Times New Roman"/>
          <w:b/>
          <w:bCs/>
          <w:sz w:val="24"/>
          <w:szCs w:val="24"/>
        </w:rPr>
        <w:t>adania</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i</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obowiązki</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na</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rzecz</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obronności,</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bezpieczeństwa</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państwa</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oraz</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bezpieczeństwa</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i</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porządku</w:t>
      </w:r>
      <w:r w:rsidR="00970B2E" w:rsidRPr="00D44D33">
        <w:rPr>
          <w:rFonts w:ascii="Times New Roman" w:eastAsia="Times" w:hAnsi="Times New Roman" w:cs="Times New Roman"/>
          <w:b/>
          <w:bCs/>
          <w:sz w:val="24"/>
          <w:szCs w:val="24"/>
        </w:rPr>
        <w:t xml:space="preserve"> </w:t>
      </w:r>
      <w:r w:rsidR="6F412A00" w:rsidRPr="00D44D33">
        <w:rPr>
          <w:rFonts w:ascii="Times New Roman" w:eastAsia="Times" w:hAnsi="Times New Roman" w:cs="Times New Roman"/>
          <w:b/>
          <w:bCs/>
          <w:sz w:val="24"/>
          <w:szCs w:val="24"/>
        </w:rPr>
        <w:t>publicznego</w:t>
      </w:r>
    </w:p>
    <w:p w14:paraId="4A86A2C6" w14:textId="5A14BDE4" w:rsidR="00CD2298" w:rsidRPr="00D44D33" w:rsidRDefault="00CD2298" w:rsidP="00D44D33">
      <w:pPr>
        <w:spacing w:before="120" w:after="120" w:line="360" w:lineRule="auto"/>
        <w:jc w:val="both"/>
        <w:rPr>
          <w:rFonts w:ascii="Times New Roman" w:eastAsia="Times" w:hAnsi="Times New Roman" w:cs="Times New Roman"/>
          <w:b/>
          <w:bCs/>
          <w:sz w:val="24"/>
          <w:szCs w:val="24"/>
        </w:rPr>
      </w:pPr>
      <w:r w:rsidRPr="00D44D33">
        <w:rPr>
          <w:rFonts w:ascii="Times New Roman" w:eastAsia="Times" w:hAnsi="Times New Roman" w:cs="Times New Roman"/>
          <w:bCs/>
          <w:sz w:val="24"/>
          <w:szCs w:val="24"/>
        </w:rPr>
        <w:t>Przepisy</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tego</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rozdziału</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obejmują</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zadania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i</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obowiązki</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na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rzecz</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obronności,</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bezpieczeństwa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państwa,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także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bezpieczeństwa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i</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porządku</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publicznego.</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Należy</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wskazać,</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że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Prezes</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U</w:t>
      </w:r>
      <w:r w:rsidR="004F4731" w:rsidRPr="00D44D33">
        <w:rPr>
          <w:rFonts w:ascii="Times New Roman" w:eastAsia="Times" w:hAnsi="Times New Roman" w:cs="Times New Roman"/>
          <w:bCs/>
          <w:sz w:val="24"/>
          <w:szCs w:val="24"/>
        </w:rPr>
        <w:t>KE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może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wydawać</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wytyczne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mające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na</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celu</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precyzyjne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określenie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sposobu</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realizacji</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obowiązków</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nałożonych</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przez</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przedsiębiorców</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telekomunikacyjnych,</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także</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w</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tym</w:t>
      </w:r>
      <w:r w:rsidR="00970B2E" w:rsidRPr="00D44D33">
        <w:rPr>
          <w:rFonts w:ascii="Times New Roman" w:eastAsia="Times" w:hAnsi="Times New Roman" w:cs="Times New Roman"/>
          <w:bCs/>
          <w:sz w:val="24"/>
          <w:szCs w:val="24"/>
        </w:rPr>
        <w:t xml:space="preserve"> </w:t>
      </w:r>
      <w:r w:rsidRPr="00D44D33">
        <w:rPr>
          <w:rFonts w:ascii="Times New Roman" w:eastAsia="Times" w:hAnsi="Times New Roman" w:cs="Times New Roman"/>
          <w:bCs/>
          <w:sz w:val="24"/>
          <w:szCs w:val="24"/>
        </w:rPr>
        <w:t>zakresie.</w:t>
      </w:r>
    </w:p>
    <w:p w14:paraId="145C1562" w14:textId="2016EC88" w:rsidR="6F412A00" w:rsidRPr="00D44D33" w:rsidRDefault="00AE4E8D" w:rsidP="00D44D33">
      <w:pPr>
        <w:spacing w:before="120" w:after="120" w:line="360" w:lineRule="auto"/>
        <w:jc w:val="center"/>
        <w:rPr>
          <w:rFonts w:ascii="Times New Roman" w:eastAsia="Times New Roman" w:hAnsi="Times New Roman" w:cs="Times New Roman"/>
          <w:b/>
          <w:sz w:val="24"/>
          <w:szCs w:val="24"/>
        </w:rPr>
      </w:pPr>
      <w:r w:rsidRPr="00D44D33">
        <w:rPr>
          <w:rFonts w:ascii="Times New Roman" w:eastAsia="Times New Roman" w:hAnsi="Times New Roman" w:cs="Times New Roman"/>
          <w:b/>
          <w:sz w:val="24"/>
          <w:szCs w:val="24"/>
        </w:rPr>
        <w:t>Art.</w:t>
      </w:r>
      <w:r w:rsidR="00970B2E" w:rsidRPr="00D44D33">
        <w:rPr>
          <w:rFonts w:ascii="Times New Roman" w:eastAsia="Times New Roman" w:hAnsi="Times New Roman" w:cs="Times New Roman"/>
          <w:b/>
          <w:sz w:val="24"/>
          <w:szCs w:val="24"/>
        </w:rPr>
        <w:t xml:space="preserve"> </w:t>
      </w:r>
      <w:r w:rsidR="13B7DB3B" w:rsidRPr="00D44D33">
        <w:rPr>
          <w:rFonts w:ascii="Times New Roman" w:eastAsia="Times New Roman" w:hAnsi="Times New Roman" w:cs="Times New Roman"/>
          <w:b/>
          <w:bCs/>
          <w:sz w:val="24"/>
          <w:szCs w:val="24"/>
        </w:rPr>
        <w:t>39</w:t>
      </w:r>
    </w:p>
    <w:p w14:paraId="2BACFF49" w14:textId="5117E705" w:rsidR="6F412A00" w:rsidRPr="00D44D33" w:rsidRDefault="4BFFC4E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5E849A32" w:rsidRPr="00D44D33">
        <w:rPr>
          <w:rFonts w:ascii="Times New Roman" w:eastAsia="Times New Roman" w:hAnsi="Times New Roman" w:cs="Times New Roman"/>
          <w:sz w:val="24"/>
          <w:szCs w:val="24"/>
        </w:rPr>
        <w:t>39</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uregulowane</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planistycznych</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wypadek</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wystąpienia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szczególnego</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Utrzymany</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został,</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lastRenderedPageBreak/>
        <w:t>w</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porównaniu</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ustaw</w:t>
      </w:r>
      <w:r w:rsidR="47966AF6" w:rsidRPr="00D44D33">
        <w:rPr>
          <w:rFonts w:ascii="Times New Roman" w:eastAsia="Times New Roman" w:hAnsi="Times New Roman" w:cs="Times New Roman"/>
          <w:sz w:val="24"/>
          <w:szCs w:val="24"/>
        </w:rPr>
        <w:t>ą</w:t>
      </w:r>
      <w:r w:rsidR="00970B2E" w:rsidRPr="00D44D33">
        <w:rPr>
          <w:rFonts w:ascii="Times New Roman" w:eastAsia="Times New Roman" w:hAnsi="Times New Roman" w:cs="Times New Roman"/>
          <w:sz w:val="24"/>
          <w:szCs w:val="24"/>
        </w:rPr>
        <w:t xml:space="preserve"> </w:t>
      </w:r>
      <w:r w:rsidR="47966AF6" w:rsidRPr="00D44D33">
        <w:rPr>
          <w:rFonts w:ascii="Times New Roman" w:eastAsia="Times New Roman" w:hAnsi="Times New Roman" w:cs="Times New Roman"/>
          <w:sz w:val="24"/>
          <w:szCs w:val="24"/>
        </w:rPr>
        <w:t>P</w:t>
      </w:r>
      <w:r w:rsidR="004F4731" w:rsidRPr="00D44D33">
        <w:rPr>
          <w:rFonts w:ascii="Times New Roman" w:eastAsia="Times New Roman" w:hAnsi="Times New Roman" w:cs="Times New Roman"/>
          <w:sz w:val="24"/>
          <w:szCs w:val="24"/>
        </w:rPr>
        <w:t>t</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sporządzania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działań</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wypadek</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wystąpienia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szczególnego</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Obszary,</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dotyczyć</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plan,</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pokrywają</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aktualnie</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występującymi</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obowiązującej</w:t>
      </w:r>
      <w:r w:rsidR="00970B2E" w:rsidRPr="00D44D33">
        <w:rPr>
          <w:rFonts w:ascii="Times New Roman" w:eastAsia="Times New Roman" w:hAnsi="Times New Roman" w:cs="Times New Roman"/>
          <w:sz w:val="24"/>
          <w:szCs w:val="24"/>
        </w:rPr>
        <w:t xml:space="preserve"> </w:t>
      </w:r>
      <w:r w:rsidR="037FE959" w:rsidRPr="00D44D33">
        <w:rPr>
          <w:rFonts w:ascii="Times New Roman" w:eastAsia="Times New Roman" w:hAnsi="Times New Roman" w:cs="Times New Roman"/>
          <w:sz w:val="24"/>
          <w:szCs w:val="24"/>
        </w:rPr>
        <w:t>ustawie</w:t>
      </w:r>
      <w:r w:rsidR="004F4731" w:rsidRPr="00D44D33">
        <w:rPr>
          <w:rFonts w:ascii="Times New Roman" w:eastAsia="Times New Roman" w:hAnsi="Times New Roman" w:cs="Times New Roman"/>
          <w:sz w:val="24"/>
          <w:szCs w:val="24"/>
        </w:rPr>
        <w:t xml:space="preserve"> Pt</w:t>
      </w:r>
      <w:r w:rsidR="037FE959"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W </w:t>
      </w:r>
      <w:r w:rsidR="04F7D274" w:rsidRPr="00D44D33">
        <w:rPr>
          <w:rFonts w:ascii="Times New Roman" w:eastAsia="Times New Roman" w:hAnsi="Times New Roman" w:cs="Times New Roman"/>
          <w:sz w:val="24"/>
          <w:szCs w:val="24"/>
        </w:rPr>
        <w:t>projekcie</w:t>
      </w:r>
      <w:r w:rsidR="004F4731" w:rsidRPr="00D44D33">
        <w:rPr>
          <w:rFonts w:ascii="Times New Roman" w:eastAsia="Times New Roman" w:hAnsi="Times New Roman" w:cs="Times New Roman"/>
          <w:sz w:val="24"/>
          <w:szCs w:val="24"/>
        </w:rPr>
        <w:t xml:space="preserve"> Pke uregulowano</w:t>
      </w:r>
      <w:r w:rsidR="00970B2E" w:rsidRPr="00D44D33">
        <w:rPr>
          <w:rFonts w:ascii="Times New Roman" w:eastAsia="Times New Roman" w:hAnsi="Times New Roman" w:cs="Times New Roman"/>
          <w:sz w:val="24"/>
          <w:szCs w:val="24"/>
        </w:rPr>
        <w:t xml:space="preserve"> </w:t>
      </w:r>
      <w:r w:rsidR="00984088" w:rsidRPr="00D44D33">
        <w:rPr>
          <w:rFonts w:ascii="Times New Roman" w:hAnsi="Times New Roman" w:cs="Times New Roman"/>
          <w:b/>
          <w:sz w:val="24"/>
          <w:szCs w:val="24"/>
        </w:rPr>
        <w:t>–</w:t>
      </w:r>
      <w:r w:rsidR="00970B2E" w:rsidRPr="00D44D33">
        <w:rPr>
          <w:rFonts w:ascii="Times New Roman" w:eastAsia="Times New Roman" w:hAnsi="Times New Roman" w:cs="Times New Roman"/>
          <w:sz w:val="24"/>
          <w:szCs w:val="24"/>
        </w:rPr>
        <w:t xml:space="preserve"> </w:t>
      </w:r>
      <w:r w:rsidR="1A241ED1" w:rsidRPr="00D44D33">
        <w:rPr>
          <w:rFonts w:ascii="Times New Roman" w:eastAsia="Times New Roman" w:hAnsi="Times New Roman" w:cs="Times New Roman"/>
          <w:sz w:val="24"/>
          <w:szCs w:val="24"/>
        </w:rPr>
        <w:t>ujęte</w:t>
      </w:r>
      <w:r w:rsidR="00970B2E" w:rsidRPr="00D44D33">
        <w:rPr>
          <w:rFonts w:ascii="Times New Roman" w:eastAsia="Times New Roman" w:hAnsi="Times New Roman" w:cs="Times New Roman"/>
          <w:sz w:val="24"/>
          <w:szCs w:val="24"/>
        </w:rPr>
        <w:t xml:space="preserve"> </w:t>
      </w:r>
      <w:r w:rsidR="1A241ED1" w:rsidRPr="00D44D33">
        <w:rPr>
          <w:rFonts w:ascii="Times New Roman" w:eastAsia="Times New Roman" w:hAnsi="Times New Roman" w:cs="Times New Roman"/>
          <w:sz w:val="24"/>
          <w:szCs w:val="24"/>
        </w:rPr>
        <w:t>dotychczas</w:t>
      </w:r>
      <w:r w:rsidR="00970B2E" w:rsidRPr="00D44D33">
        <w:rPr>
          <w:rFonts w:ascii="Times New Roman" w:eastAsia="Times New Roman" w:hAnsi="Times New Roman" w:cs="Times New Roman"/>
          <w:sz w:val="24"/>
          <w:szCs w:val="24"/>
        </w:rPr>
        <w:t xml:space="preserve"> </w:t>
      </w:r>
      <w:r w:rsidR="1A241ED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A241ED1"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00984088" w:rsidRPr="00D44D33">
        <w:rPr>
          <w:rFonts w:ascii="Times New Roman" w:hAnsi="Times New Roman" w:cs="Times New Roman"/>
          <w:b/>
          <w:sz w:val="24"/>
          <w:szCs w:val="24"/>
        </w:rPr>
        <w:t>–</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dotyczące</w:t>
      </w:r>
      <w:r w:rsidR="0256532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3D14097" w:rsidRPr="00D44D33">
        <w:rPr>
          <w:rFonts w:ascii="Times New Roman" w:eastAsia="Times New Roman" w:hAnsi="Times New Roman" w:cs="Times New Roman"/>
          <w:sz w:val="24"/>
          <w:szCs w:val="24"/>
        </w:rPr>
        <w:t>ważności</w:t>
      </w:r>
      <w:r w:rsidR="00970B2E" w:rsidRPr="00D44D33">
        <w:rPr>
          <w:rFonts w:ascii="Times New Roman" w:eastAsia="Times New Roman" w:hAnsi="Times New Roman" w:cs="Times New Roman"/>
          <w:sz w:val="24"/>
          <w:szCs w:val="24"/>
        </w:rPr>
        <w:t xml:space="preserve"> </w:t>
      </w:r>
      <w:r w:rsidR="63D14097"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terminu</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sporządzania</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33D9BE65"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3B052668" w:rsidRPr="00D44D33">
        <w:rPr>
          <w:rFonts w:ascii="Times New Roman" w:eastAsia="Times New Roman" w:hAnsi="Times New Roman" w:cs="Times New Roman"/>
          <w:sz w:val="24"/>
          <w:szCs w:val="24"/>
        </w:rPr>
        <w:t>konieczności</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ujęcia</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udostępnionych</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uzgadniające</w:t>
      </w:r>
      <w:r w:rsidR="00970B2E" w:rsidRPr="00D44D33">
        <w:rPr>
          <w:rFonts w:ascii="Times New Roman" w:eastAsia="Times New Roman" w:hAnsi="Times New Roman" w:cs="Times New Roman"/>
          <w:sz w:val="24"/>
          <w:szCs w:val="24"/>
        </w:rPr>
        <w:t xml:space="preserve"> </w:t>
      </w:r>
      <w:r w:rsidR="2581CFDB" w:rsidRPr="00D44D33">
        <w:rPr>
          <w:rFonts w:ascii="Times New Roman" w:eastAsia="Times New Roman" w:hAnsi="Times New Roman" w:cs="Times New Roman"/>
          <w:sz w:val="24"/>
          <w:szCs w:val="24"/>
        </w:rPr>
        <w:t>plan</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inne</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wskazane</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or</w:t>
      </w:r>
      <w:r w:rsidR="2B52377B" w:rsidRPr="00D44D33">
        <w:rPr>
          <w:rFonts w:ascii="Times New Roman" w:eastAsia="Times New Roman" w:hAnsi="Times New Roman" w:cs="Times New Roman"/>
          <w:sz w:val="24"/>
          <w:szCs w:val="24"/>
        </w:rPr>
        <w:t>g</w:t>
      </w:r>
      <w:r w:rsidR="451570BE" w:rsidRPr="00D44D33">
        <w:rPr>
          <w:rFonts w:ascii="Times New Roman" w:eastAsia="Times New Roman" w:hAnsi="Times New Roman" w:cs="Times New Roman"/>
          <w:sz w:val="24"/>
          <w:szCs w:val="24"/>
        </w:rPr>
        <w:t>any</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trybu</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451570BE" w:rsidRPr="00D44D33">
        <w:rPr>
          <w:rFonts w:ascii="Times New Roman" w:eastAsia="Times New Roman" w:hAnsi="Times New Roman" w:cs="Times New Roman"/>
          <w:sz w:val="24"/>
          <w:szCs w:val="24"/>
        </w:rPr>
        <w:t>danych</w:t>
      </w:r>
      <w:r w:rsidR="2581CFDB"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9432B8F" w:rsidRPr="00D44D33">
        <w:rPr>
          <w:rFonts w:ascii="Times New Roman" w:eastAsia="Times New Roman" w:hAnsi="Times New Roman" w:cs="Times New Roman"/>
          <w:sz w:val="24"/>
          <w:szCs w:val="24"/>
        </w:rPr>
        <w:t>tryb</w:t>
      </w:r>
      <w:r w:rsidR="1FFD1B60"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59432B8F" w:rsidRPr="00D44D33">
        <w:rPr>
          <w:rFonts w:ascii="Times New Roman" w:eastAsia="Times New Roman" w:hAnsi="Times New Roman" w:cs="Times New Roman"/>
          <w:sz w:val="24"/>
          <w:szCs w:val="24"/>
        </w:rPr>
        <w:t>uzgodnienia</w:t>
      </w:r>
      <w:r w:rsidR="00970B2E" w:rsidRPr="00D44D33">
        <w:rPr>
          <w:rFonts w:ascii="Times New Roman" w:eastAsia="Times New Roman" w:hAnsi="Times New Roman" w:cs="Times New Roman"/>
          <w:sz w:val="24"/>
          <w:szCs w:val="24"/>
        </w:rPr>
        <w:t xml:space="preserve"> </w:t>
      </w:r>
      <w:r w:rsidR="59432B8F" w:rsidRPr="00D44D33">
        <w:rPr>
          <w:rFonts w:ascii="Times New Roman" w:eastAsia="Times New Roman" w:hAnsi="Times New Roman" w:cs="Times New Roman"/>
          <w:sz w:val="24"/>
          <w:szCs w:val="24"/>
        </w:rPr>
        <w:t>projektu</w:t>
      </w:r>
      <w:r w:rsidR="00970B2E" w:rsidRPr="00D44D33">
        <w:rPr>
          <w:rFonts w:ascii="Times New Roman" w:eastAsia="Times New Roman" w:hAnsi="Times New Roman" w:cs="Times New Roman"/>
          <w:sz w:val="24"/>
          <w:szCs w:val="24"/>
        </w:rPr>
        <w:t xml:space="preserve"> </w:t>
      </w:r>
      <w:r w:rsidR="59432B8F"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6FD980EE" w:rsidRPr="00D44D33">
        <w:rPr>
          <w:rFonts w:ascii="Times New Roman" w:eastAsia="Times New Roman" w:hAnsi="Times New Roman" w:cs="Times New Roman"/>
          <w:sz w:val="24"/>
          <w:szCs w:val="24"/>
        </w:rPr>
        <w:t>uprawnienie</w:t>
      </w:r>
      <w:r w:rsidR="00970B2E" w:rsidRPr="00D44D33">
        <w:rPr>
          <w:rFonts w:ascii="Times New Roman" w:eastAsia="Times New Roman" w:hAnsi="Times New Roman" w:cs="Times New Roman"/>
          <w:sz w:val="24"/>
          <w:szCs w:val="24"/>
        </w:rPr>
        <w:t xml:space="preserve"> </w:t>
      </w:r>
      <w:r w:rsidR="6FD980E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B9FC65A" w:rsidRPr="00D44D33">
        <w:rPr>
          <w:rFonts w:ascii="Times New Roman" w:eastAsia="Times New Roman" w:hAnsi="Times New Roman" w:cs="Times New Roman"/>
          <w:sz w:val="24"/>
          <w:szCs w:val="24"/>
        </w:rPr>
        <w:t>sprawdzenia</w:t>
      </w:r>
      <w:r w:rsidR="00970B2E" w:rsidRPr="00D44D33">
        <w:rPr>
          <w:rFonts w:ascii="Times New Roman" w:eastAsia="Times New Roman" w:hAnsi="Times New Roman" w:cs="Times New Roman"/>
          <w:sz w:val="24"/>
          <w:szCs w:val="24"/>
        </w:rPr>
        <w:t xml:space="preserve"> </w:t>
      </w:r>
      <w:r w:rsidR="59432B8F" w:rsidRPr="00D44D33">
        <w:rPr>
          <w:rFonts w:ascii="Times New Roman" w:eastAsia="Times New Roman" w:hAnsi="Times New Roman" w:cs="Times New Roman"/>
          <w:sz w:val="24"/>
          <w:szCs w:val="24"/>
        </w:rPr>
        <w:t>kompletn</w:t>
      </w:r>
      <w:r w:rsidR="598CB608" w:rsidRPr="00D44D33">
        <w:rPr>
          <w:rFonts w:ascii="Times New Roman" w:eastAsia="Times New Roman" w:hAnsi="Times New Roman" w:cs="Times New Roman"/>
          <w:sz w:val="24"/>
          <w:szCs w:val="24"/>
        </w:rPr>
        <w:t>ości</w:t>
      </w:r>
      <w:r w:rsidR="00970B2E" w:rsidRPr="00D44D33">
        <w:rPr>
          <w:rFonts w:ascii="Times New Roman" w:eastAsia="Times New Roman" w:hAnsi="Times New Roman" w:cs="Times New Roman"/>
          <w:sz w:val="24"/>
          <w:szCs w:val="24"/>
        </w:rPr>
        <w:t xml:space="preserve"> </w:t>
      </w:r>
      <w:r w:rsidR="598CB608" w:rsidRPr="00D44D33">
        <w:rPr>
          <w:rFonts w:ascii="Times New Roman" w:eastAsia="Times New Roman" w:hAnsi="Times New Roman" w:cs="Times New Roman"/>
          <w:sz w:val="24"/>
          <w:szCs w:val="24"/>
        </w:rPr>
        <w:t>projektu</w:t>
      </w:r>
      <w:r w:rsidR="00970B2E" w:rsidRPr="00D44D33">
        <w:rPr>
          <w:rFonts w:ascii="Times New Roman" w:eastAsia="Times New Roman" w:hAnsi="Times New Roman" w:cs="Times New Roman"/>
          <w:sz w:val="24"/>
          <w:szCs w:val="24"/>
        </w:rPr>
        <w:t xml:space="preserve"> </w:t>
      </w:r>
      <w:r w:rsidR="598CB608"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598CB608"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598CB608"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598CB608"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598CB608"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8FE4D9D" w:rsidRPr="00D44D33">
        <w:rPr>
          <w:rFonts w:ascii="Times New Roman" w:eastAsia="Times New Roman" w:hAnsi="Times New Roman" w:cs="Times New Roman"/>
          <w:sz w:val="24"/>
          <w:szCs w:val="24"/>
        </w:rPr>
        <w:t>przesłanek</w:t>
      </w:r>
      <w:r w:rsidR="00970B2E" w:rsidRPr="00D44D33">
        <w:rPr>
          <w:rFonts w:ascii="Times New Roman" w:eastAsia="Times New Roman" w:hAnsi="Times New Roman" w:cs="Times New Roman"/>
          <w:sz w:val="24"/>
          <w:szCs w:val="24"/>
        </w:rPr>
        <w:t xml:space="preserve"> </w:t>
      </w:r>
      <w:r w:rsidR="68FE4D9D" w:rsidRPr="00D44D33">
        <w:rPr>
          <w:rFonts w:ascii="Times New Roman" w:eastAsia="Times New Roman" w:hAnsi="Times New Roman" w:cs="Times New Roman"/>
          <w:sz w:val="24"/>
          <w:szCs w:val="24"/>
        </w:rPr>
        <w:t>powodujących</w:t>
      </w:r>
      <w:r w:rsidR="00970B2E" w:rsidRPr="00D44D33">
        <w:rPr>
          <w:rFonts w:ascii="Times New Roman" w:eastAsia="Times New Roman" w:hAnsi="Times New Roman" w:cs="Times New Roman"/>
          <w:sz w:val="24"/>
          <w:szCs w:val="24"/>
        </w:rPr>
        <w:t xml:space="preserve"> </w:t>
      </w:r>
      <w:r w:rsidR="68FE4D9D" w:rsidRPr="00D44D33">
        <w:rPr>
          <w:rFonts w:ascii="Times New Roman" w:eastAsia="Times New Roman" w:hAnsi="Times New Roman" w:cs="Times New Roman"/>
          <w:sz w:val="24"/>
          <w:szCs w:val="24"/>
        </w:rPr>
        <w:t>konieczność</w:t>
      </w:r>
      <w:r w:rsidR="00970B2E" w:rsidRPr="00D44D33">
        <w:rPr>
          <w:rFonts w:ascii="Times New Roman" w:eastAsia="Times New Roman" w:hAnsi="Times New Roman" w:cs="Times New Roman"/>
          <w:sz w:val="24"/>
          <w:szCs w:val="24"/>
        </w:rPr>
        <w:t xml:space="preserve"> </w:t>
      </w:r>
      <w:r w:rsidR="40CC733F" w:rsidRPr="00D44D33">
        <w:rPr>
          <w:rFonts w:ascii="Times New Roman" w:eastAsia="Times New Roman" w:hAnsi="Times New Roman" w:cs="Times New Roman"/>
          <w:sz w:val="24"/>
          <w:szCs w:val="24"/>
        </w:rPr>
        <w:t>aktualizacji</w:t>
      </w:r>
      <w:r w:rsidR="00970B2E" w:rsidRPr="00D44D33">
        <w:rPr>
          <w:rFonts w:ascii="Times New Roman" w:eastAsia="Times New Roman" w:hAnsi="Times New Roman" w:cs="Times New Roman"/>
          <w:sz w:val="24"/>
          <w:szCs w:val="24"/>
        </w:rPr>
        <w:t xml:space="preserve"> </w:t>
      </w:r>
      <w:r w:rsidR="40CC733F" w:rsidRPr="00D44D33">
        <w:rPr>
          <w:rFonts w:ascii="Times New Roman" w:eastAsia="Times New Roman" w:hAnsi="Times New Roman" w:cs="Times New Roman"/>
          <w:sz w:val="24"/>
          <w:szCs w:val="24"/>
        </w:rPr>
        <w:t>planu.</w:t>
      </w:r>
    </w:p>
    <w:p w14:paraId="26CA4D37" w14:textId="6B2431FD" w:rsidR="6F412A00" w:rsidRPr="00D44D33" w:rsidRDefault="004F473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 xml:space="preserve">Projekt Pke przekazuje Radzie </w:t>
      </w:r>
      <w:r w:rsidR="3362C6C8" w:rsidRPr="00D44D33">
        <w:rPr>
          <w:rFonts w:ascii="Times New Roman" w:eastAsia="Times New Roman" w:hAnsi="Times New Roman" w:cs="Times New Roman"/>
          <w:sz w:val="24"/>
          <w:szCs w:val="24"/>
        </w:rPr>
        <w:t>Ministrów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 xml:space="preserve">do </w:t>
      </w:r>
      <w:r w:rsidR="3362C6C8" w:rsidRPr="00D44D33">
        <w:rPr>
          <w:rFonts w:ascii="Times New Roman" w:eastAsia="Times New Roman" w:hAnsi="Times New Roman" w:cs="Times New Roman"/>
          <w:sz w:val="24"/>
          <w:szCs w:val="24"/>
        </w:rPr>
        <w:t>określ</w:t>
      </w:r>
      <w:r w:rsidRPr="00D44D33">
        <w:rPr>
          <w:rFonts w:ascii="Times New Roman" w:eastAsia="Times New Roman" w:hAnsi="Times New Roman" w:cs="Times New Roman"/>
          <w:sz w:val="24"/>
          <w:szCs w:val="24"/>
        </w:rPr>
        <w:t>enia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1995A13D" w:rsidRPr="00D44D33">
        <w:rPr>
          <w:rFonts w:ascii="Times New Roman" w:eastAsia="Times New Roman" w:hAnsi="Times New Roman" w:cs="Times New Roman"/>
          <w:sz w:val="24"/>
          <w:szCs w:val="24"/>
        </w:rPr>
        <w:t>rodzaj</w:t>
      </w:r>
      <w:r w:rsidR="00970B2E" w:rsidRPr="00D44D33">
        <w:rPr>
          <w:rFonts w:ascii="Times New Roman" w:eastAsia="Times New Roman" w:hAnsi="Times New Roman" w:cs="Times New Roman"/>
          <w:sz w:val="24"/>
          <w:szCs w:val="24"/>
        </w:rPr>
        <w:t xml:space="preserve"> </w:t>
      </w:r>
      <w:r w:rsidR="1995A13D"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szczegółową</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zawartość</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tryb</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sporządzania,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uzgadniania,</w:t>
      </w:r>
      <w:r w:rsidR="00970B2E" w:rsidRPr="00D44D33">
        <w:rPr>
          <w:rFonts w:ascii="Times New Roman" w:eastAsia="Times New Roman" w:hAnsi="Times New Roman" w:cs="Times New Roman"/>
          <w:sz w:val="24"/>
          <w:szCs w:val="24"/>
        </w:rPr>
        <w:t xml:space="preserve"> </w:t>
      </w:r>
      <w:r w:rsidR="2E566B60" w:rsidRPr="00D44D33">
        <w:rPr>
          <w:rFonts w:ascii="Times New Roman" w:eastAsia="Times New Roman" w:hAnsi="Times New Roman" w:cs="Times New Roman"/>
          <w:sz w:val="24"/>
          <w:szCs w:val="24"/>
        </w:rPr>
        <w:t>uzupełniania</w:t>
      </w:r>
      <w:r w:rsidR="00970B2E" w:rsidRPr="00D44D33">
        <w:rPr>
          <w:rFonts w:ascii="Times New Roman" w:eastAsia="Times New Roman" w:hAnsi="Times New Roman" w:cs="Times New Roman"/>
          <w:sz w:val="24"/>
          <w:szCs w:val="24"/>
        </w:rPr>
        <w:t xml:space="preserve"> </w:t>
      </w:r>
      <w:r w:rsidR="7F4A166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wprowadzenia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stosowania</w:t>
      </w:r>
      <w:r w:rsidR="3788653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8D4FAD7"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38D4FAD7"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3FB6C369"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3FB6C369" w:rsidRPr="00D44D33">
        <w:rPr>
          <w:rFonts w:ascii="Times New Roman" w:eastAsia="Times New Roman" w:hAnsi="Times New Roman" w:cs="Times New Roman"/>
          <w:sz w:val="24"/>
          <w:szCs w:val="24"/>
        </w:rPr>
        <w:t>uzgadniające</w:t>
      </w:r>
      <w:r w:rsidR="00970B2E" w:rsidRPr="00D44D33">
        <w:rPr>
          <w:rFonts w:ascii="Times New Roman" w:eastAsia="Times New Roman" w:hAnsi="Times New Roman" w:cs="Times New Roman"/>
          <w:sz w:val="24"/>
          <w:szCs w:val="24"/>
        </w:rPr>
        <w:t xml:space="preserve"> </w:t>
      </w:r>
      <w:r w:rsidR="3FB6C369" w:rsidRPr="00D44D33">
        <w:rPr>
          <w:rFonts w:ascii="Times New Roman" w:eastAsia="Times New Roman" w:hAnsi="Times New Roman" w:cs="Times New Roman"/>
          <w:sz w:val="24"/>
          <w:szCs w:val="24"/>
        </w:rPr>
        <w:t>plan,</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udostępnianych</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telekomunikacyjnemu,</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szczegółowe</w:t>
      </w:r>
      <w:r w:rsidR="00970B2E" w:rsidRPr="00D44D33">
        <w:rPr>
          <w:rFonts w:ascii="Times New Roman" w:eastAsia="Times New Roman" w:hAnsi="Times New Roman" w:cs="Times New Roman"/>
          <w:sz w:val="24"/>
          <w:szCs w:val="24"/>
        </w:rPr>
        <w:t xml:space="preserve"> </w:t>
      </w:r>
      <w:r w:rsidR="4CE969A3" w:rsidRPr="00D44D33">
        <w:rPr>
          <w:rFonts w:ascii="Times New Roman" w:eastAsia="Times New Roman" w:hAnsi="Times New Roman" w:cs="Times New Roman"/>
          <w:sz w:val="24"/>
          <w:szCs w:val="24"/>
        </w:rPr>
        <w:t>okoliczności</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aktualizacji</w:t>
      </w:r>
      <w:r w:rsidR="00970B2E" w:rsidRPr="00D44D33">
        <w:rPr>
          <w:rFonts w:ascii="Times New Roman" w:eastAsia="Times New Roman" w:hAnsi="Times New Roman" w:cs="Times New Roman"/>
          <w:sz w:val="24"/>
          <w:szCs w:val="24"/>
        </w:rPr>
        <w:t xml:space="preserve"> </w:t>
      </w:r>
      <w:r w:rsidR="1F0BD968" w:rsidRPr="00D44D33">
        <w:rPr>
          <w:rFonts w:ascii="Times New Roman" w:eastAsia="Times New Roman" w:hAnsi="Times New Roman" w:cs="Times New Roman"/>
          <w:sz w:val="24"/>
          <w:szCs w:val="24"/>
        </w:rPr>
        <w:t>planu</w:t>
      </w:r>
      <w:r w:rsidR="6D8ADCC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Rada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Ministrów</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nakładaniu</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sporządzania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weźmie</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uwagę</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rodzaj</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wykonywanej</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wielkość</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porządku</w:t>
      </w:r>
      <w:r w:rsidR="00970B2E" w:rsidRPr="00D44D33">
        <w:rPr>
          <w:rFonts w:ascii="Times New Roman" w:eastAsia="Times New Roman" w:hAnsi="Times New Roman" w:cs="Times New Roman"/>
          <w:sz w:val="24"/>
          <w:szCs w:val="24"/>
        </w:rPr>
        <w:t xml:space="preserve"> </w:t>
      </w:r>
      <w:r w:rsidR="1EFC7814" w:rsidRPr="00D44D33">
        <w:rPr>
          <w:rFonts w:ascii="Times New Roman" w:eastAsia="Times New Roman" w:hAnsi="Times New Roman" w:cs="Times New Roman"/>
          <w:sz w:val="24"/>
          <w:szCs w:val="24"/>
        </w:rPr>
        <w:t>publicznego</w:t>
      </w:r>
      <w:r w:rsidR="204FC2B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1363D82"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61363D8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363D82"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61363D82" w:rsidRPr="00D44D33">
        <w:rPr>
          <w:rFonts w:ascii="Times New Roman" w:eastAsia="Times New Roman" w:hAnsi="Times New Roman" w:cs="Times New Roman"/>
          <w:sz w:val="24"/>
          <w:szCs w:val="24"/>
        </w:rPr>
        <w:t>Rada</w:t>
      </w:r>
      <w:r w:rsidR="00970B2E" w:rsidRPr="00D44D33">
        <w:rPr>
          <w:rFonts w:ascii="Times New Roman" w:eastAsia="Times New Roman" w:hAnsi="Times New Roman" w:cs="Times New Roman"/>
          <w:sz w:val="24"/>
          <w:szCs w:val="24"/>
        </w:rPr>
        <w:t xml:space="preserve"> </w:t>
      </w:r>
      <w:r w:rsidR="61363D82" w:rsidRPr="00D44D33">
        <w:rPr>
          <w:rFonts w:ascii="Times New Roman" w:eastAsia="Times New Roman" w:hAnsi="Times New Roman" w:cs="Times New Roman"/>
          <w:sz w:val="24"/>
          <w:szCs w:val="24"/>
        </w:rPr>
        <w:t>Ministrów</w:t>
      </w:r>
      <w:r w:rsidR="00970B2E" w:rsidRPr="00D44D33">
        <w:rPr>
          <w:rFonts w:ascii="Times New Roman" w:eastAsia="Times New Roman" w:hAnsi="Times New Roman" w:cs="Times New Roman"/>
          <w:sz w:val="24"/>
          <w:szCs w:val="24"/>
        </w:rPr>
        <w:t xml:space="preserve"> </w:t>
      </w:r>
      <w:r w:rsidR="61363D82" w:rsidRPr="00D44D33">
        <w:rPr>
          <w:rFonts w:ascii="Times New Roman" w:eastAsia="Times New Roman" w:hAnsi="Times New Roman" w:cs="Times New Roman"/>
          <w:sz w:val="24"/>
          <w:szCs w:val="24"/>
        </w:rPr>
        <w:t>określi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rodzaje</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rodzaje</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niepodlegających</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obowiązkowi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sporządzania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planu</w:t>
      </w:r>
      <w:r w:rsidR="5E6C439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przekazywania</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organom</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uzgadniającym</w:t>
      </w:r>
      <w:r w:rsidR="00970B2E" w:rsidRPr="00D44D33">
        <w:rPr>
          <w:rFonts w:ascii="Times New Roman" w:eastAsia="Times New Roman" w:hAnsi="Times New Roman" w:cs="Times New Roman"/>
          <w:sz w:val="24"/>
          <w:szCs w:val="24"/>
        </w:rPr>
        <w:t xml:space="preserve"> </w:t>
      </w:r>
      <w:r w:rsidR="5E6C4392" w:rsidRPr="00D44D33">
        <w:rPr>
          <w:rFonts w:ascii="Times New Roman" w:eastAsia="Times New Roman" w:hAnsi="Times New Roman" w:cs="Times New Roman"/>
          <w:sz w:val="24"/>
          <w:szCs w:val="24"/>
        </w:rPr>
        <w:t>plan</w:t>
      </w:r>
      <w:r w:rsidR="3362C6C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DDEFA2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DDEFA23" w:rsidRPr="00D44D33">
        <w:rPr>
          <w:rFonts w:ascii="Times New Roman" w:eastAsia="Times New Roman" w:hAnsi="Times New Roman" w:cs="Times New Roman"/>
          <w:sz w:val="24"/>
          <w:szCs w:val="24"/>
        </w:rPr>
        <w:t>chwili</w:t>
      </w:r>
      <w:r w:rsidR="00970B2E" w:rsidRPr="00D44D33">
        <w:rPr>
          <w:rFonts w:ascii="Times New Roman" w:eastAsia="Times New Roman" w:hAnsi="Times New Roman" w:cs="Times New Roman"/>
          <w:sz w:val="24"/>
          <w:szCs w:val="24"/>
        </w:rPr>
        <w:t xml:space="preserve"> </w:t>
      </w:r>
      <w:r w:rsidR="6DDEFA23" w:rsidRPr="00D44D33">
        <w:rPr>
          <w:rFonts w:ascii="Times New Roman" w:eastAsia="Times New Roman" w:hAnsi="Times New Roman" w:cs="Times New Roman"/>
          <w:sz w:val="24"/>
          <w:szCs w:val="24"/>
        </w:rPr>
        <w:t>obecnej</w:t>
      </w:r>
      <w:r w:rsidR="00970B2E" w:rsidRPr="00D44D33">
        <w:rPr>
          <w:rFonts w:ascii="Times New Roman" w:eastAsia="Times New Roman" w:hAnsi="Times New Roman" w:cs="Times New Roman"/>
          <w:sz w:val="24"/>
          <w:szCs w:val="24"/>
        </w:rPr>
        <w:t xml:space="preserve"> </w:t>
      </w:r>
      <w:r w:rsidR="07C9314E"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48AD73CC" w:rsidRPr="00D44D33">
        <w:rPr>
          <w:rFonts w:ascii="Times New Roman" w:eastAsia="Times New Roman" w:hAnsi="Times New Roman" w:cs="Times New Roman"/>
          <w:sz w:val="24"/>
          <w:szCs w:val="24"/>
        </w:rPr>
        <w:t>telekomunikacyjny</w:t>
      </w:r>
      <w:r w:rsidR="00970B2E" w:rsidRPr="00D44D33">
        <w:rPr>
          <w:rFonts w:ascii="Times New Roman" w:eastAsia="Times New Roman" w:hAnsi="Times New Roman" w:cs="Times New Roman"/>
          <w:sz w:val="24"/>
          <w:szCs w:val="24"/>
        </w:rPr>
        <w:t xml:space="preserve"> </w:t>
      </w:r>
      <w:r w:rsidR="5CC5867A"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5CC5867A" w:rsidRPr="00D44D33">
        <w:rPr>
          <w:rFonts w:ascii="Times New Roman" w:eastAsia="Times New Roman" w:hAnsi="Times New Roman" w:cs="Times New Roman"/>
          <w:sz w:val="24"/>
          <w:szCs w:val="24"/>
        </w:rPr>
        <w:t>bowiem</w:t>
      </w:r>
      <w:r w:rsidR="00970B2E" w:rsidRPr="00D44D33">
        <w:rPr>
          <w:rFonts w:ascii="Times New Roman" w:eastAsia="Times New Roman" w:hAnsi="Times New Roman" w:cs="Times New Roman"/>
          <w:sz w:val="24"/>
          <w:szCs w:val="24"/>
        </w:rPr>
        <w:t xml:space="preserve"> </w:t>
      </w:r>
      <w:r w:rsidR="5CC5867A"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lastRenderedPageBreak/>
        <w:t>przekazania</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tylko</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takim</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61DBDEB" w:rsidRPr="00D44D33">
        <w:rPr>
          <w:rFonts w:ascii="Times New Roman" w:eastAsia="Times New Roman" w:hAnsi="Times New Roman" w:cs="Times New Roman"/>
          <w:sz w:val="24"/>
          <w:szCs w:val="24"/>
        </w:rPr>
        <w:t>jakim</w:t>
      </w:r>
      <w:r w:rsidR="00970B2E" w:rsidRPr="00D44D33">
        <w:rPr>
          <w:rFonts w:ascii="Times New Roman" w:eastAsia="Times New Roman" w:hAnsi="Times New Roman" w:cs="Times New Roman"/>
          <w:sz w:val="24"/>
          <w:szCs w:val="24"/>
        </w:rPr>
        <w:t xml:space="preserve"> </w:t>
      </w:r>
      <w:r w:rsidR="48746B24" w:rsidRPr="00D44D33">
        <w:rPr>
          <w:rFonts w:ascii="Times New Roman" w:eastAsia="Times New Roman" w:hAnsi="Times New Roman" w:cs="Times New Roman"/>
          <w:sz w:val="24"/>
          <w:szCs w:val="24"/>
        </w:rPr>
        <w:t>podlegał</w:t>
      </w:r>
      <w:r w:rsidR="00970B2E" w:rsidRPr="00D44D33">
        <w:rPr>
          <w:rFonts w:ascii="Times New Roman" w:eastAsia="Times New Roman" w:hAnsi="Times New Roman" w:cs="Times New Roman"/>
          <w:sz w:val="24"/>
          <w:szCs w:val="24"/>
        </w:rPr>
        <w:t xml:space="preserve"> </w:t>
      </w:r>
      <w:r w:rsidR="48746B24" w:rsidRPr="00D44D33">
        <w:rPr>
          <w:rFonts w:ascii="Times New Roman" w:eastAsia="Times New Roman" w:hAnsi="Times New Roman" w:cs="Times New Roman"/>
          <w:sz w:val="24"/>
          <w:szCs w:val="24"/>
        </w:rPr>
        <w:t>on</w:t>
      </w:r>
      <w:r w:rsidR="00970B2E" w:rsidRPr="00D44D33">
        <w:rPr>
          <w:rFonts w:ascii="Times New Roman" w:eastAsia="Times New Roman" w:hAnsi="Times New Roman" w:cs="Times New Roman"/>
          <w:sz w:val="24"/>
          <w:szCs w:val="24"/>
        </w:rPr>
        <w:t xml:space="preserve"> </w:t>
      </w:r>
      <w:r w:rsidR="48746B24" w:rsidRPr="00D44D33">
        <w:rPr>
          <w:rFonts w:ascii="Times New Roman" w:eastAsia="Times New Roman" w:hAnsi="Times New Roman" w:cs="Times New Roman"/>
          <w:sz w:val="24"/>
          <w:szCs w:val="24"/>
        </w:rPr>
        <w:t>uzgodnieniu</w:t>
      </w:r>
      <w:r w:rsidR="00970B2E" w:rsidRPr="00D44D33">
        <w:rPr>
          <w:rFonts w:ascii="Times New Roman" w:eastAsia="Times New Roman" w:hAnsi="Times New Roman" w:cs="Times New Roman"/>
          <w:sz w:val="24"/>
          <w:szCs w:val="24"/>
        </w:rPr>
        <w:t xml:space="preserve"> </w:t>
      </w:r>
      <w:r w:rsidR="48746B24"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8746B24" w:rsidRPr="00D44D33">
        <w:rPr>
          <w:rFonts w:ascii="Times New Roman" w:eastAsia="Times New Roman" w:hAnsi="Times New Roman" w:cs="Times New Roman"/>
          <w:sz w:val="24"/>
          <w:szCs w:val="24"/>
        </w:rPr>
        <w:t>danym</w:t>
      </w:r>
      <w:r w:rsidR="00970B2E" w:rsidRPr="00D44D33">
        <w:rPr>
          <w:rFonts w:ascii="Times New Roman" w:eastAsia="Times New Roman" w:hAnsi="Times New Roman" w:cs="Times New Roman"/>
          <w:sz w:val="24"/>
          <w:szCs w:val="24"/>
        </w:rPr>
        <w:t xml:space="preserve"> </w:t>
      </w:r>
      <w:r w:rsidR="48746B24" w:rsidRPr="00D44D33">
        <w:rPr>
          <w:rFonts w:ascii="Times New Roman" w:eastAsia="Times New Roman" w:hAnsi="Times New Roman" w:cs="Times New Roman"/>
          <w:sz w:val="24"/>
          <w:szCs w:val="24"/>
        </w:rPr>
        <w:t>organem.</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Niemniej</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zaistnieć</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potrzeba</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przesłania</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organo</w:t>
      </w:r>
      <w:r w:rsidR="2EC6729B" w:rsidRPr="00D44D33">
        <w:rPr>
          <w:rFonts w:ascii="Times New Roman" w:eastAsia="Times New Roman" w:hAnsi="Times New Roman" w:cs="Times New Roman"/>
          <w:sz w:val="24"/>
          <w:szCs w:val="24"/>
        </w:rPr>
        <w:t>wi</w:t>
      </w:r>
      <w:r w:rsidR="00970B2E" w:rsidRPr="00D44D33">
        <w:rPr>
          <w:rFonts w:ascii="Times New Roman" w:eastAsia="Times New Roman" w:hAnsi="Times New Roman" w:cs="Times New Roman"/>
          <w:sz w:val="24"/>
          <w:szCs w:val="24"/>
        </w:rPr>
        <w:t xml:space="preserve"> </w:t>
      </w:r>
      <w:r w:rsidR="602EA1F1" w:rsidRPr="00D44D33">
        <w:rPr>
          <w:rFonts w:ascii="Times New Roman" w:eastAsia="Times New Roman" w:hAnsi="Times New Roman" w:cs="Times New Roman"/>
          <w:sz w:val="24"/>
          <w:szCs w:val="24"/>
        </w:rPr>
        <w:t>uzgadnia</w:t>
      </w:r>
      <w:r w:rsidR="53D7A1C6" w:rsidRPr="00D44D33">
        <w:rPr>
          <w:rFonts w:ascii="Times New Roman" w:eastAsia="Times New Roman" w:hAnsi="Times New Roman" w:cs="Times New Roman"/>
          <w:sz w:val="24"/>
          <w:szCs w:val="24"/>
        </w:rPr>
        <w:t>jąc</w:t>
      </w:r>
      <w:r w:rsidR="4E75E660" w:rsidRPr="00D44D33">
        <w:rPr>
          <w:rFonts w:ascii="Times New Roman" w:eastAsia="Times New Roman" w:hAnsi="Times New Roman" w:cs="Times New Roman"/>
          <w:sz w:val="24"/>
          <w:szCs w:val="24"/>
        </w:rPr>
        <w:t>emu</w:t>
      </w:r>
      <w:r w:rsidR="00970B2E" w:rsidRPr="00D44D33">
        <w:rPr>
          <w:rFonts w:ascii="Times New Roman" w:eastAsia="Times New Roman" w:hAnsi="Times New Roman" w:cs="Times New Roman"/>
          <w:sz w:val="24"/>
          <w:szCs w:val="24"/>
        </w:rPr>
        <w:t xml:space="preserve"> </w:t>
      </w:r>
      <w:r w:rsidR="53D7A1C6" w:rsidRPr="00D44D33">
        <w:rPr>
          <w:rFonts w:ascii="Times New Roman" w:eastAsia="Times New Roman" w:hAnsi="Times New Roman" w:cs="Times New Roman"/>
          <w:sz w:val="24"/>
          <w:szCs w:val="24"/>
        </w:rPr>
        <w:t>całego</w:t>
      </w:r>
      <w:r w:rsidR="00970B2E" w:rsidRPr="00D44D33">
        <w:rPr>
          <w:rFonts w:ascii="Times New Roman" w:eastAsia="Times New Roman" w:hAnsi="Times New Roman" w:cs="Times New Roman"/>
          <w:sz w:val="24"/>
          <w:szCs w:val="24"/>
        </w:rPr>
        <w:t xml:space="preserve"> </w:t>
      </w:r>
      <w:r w:rsidR="53D7A1C6"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53D7A1C6"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53D7A1C6" w:rsidRPr="00D44D33">
        <w:rPr>
          <w:rFonts w:ascii="Times New Roman" w:eastAsia="Times New Roman" w:hAnsi="Times New Roman" w:cs="Times New Roman"/>
          <w:sz w:val="24"/>
          <w:szCs w:val="24"/>
        </w:rPr>
        <w:t>wskazanej</w:t>
      </w:r>
      <w:r w:rsidR="00970B2E" w:rsidRPr="00D44D33">
        <w:rPr>
          <w:rFonts w:ascii="Times New Roman" w:eastAsia="Times New Roman" w:hAnsi="Times New Roman" w:cs="Times New Roman"/>
          <w:sz w:val="24"/>
          <w:szCs w:val="24"/>
        </w:rPr>
        <w:t xml:space="preserve"> </w:t>
      </w:r>
      <w:r w:rsidR="53D7A1C6"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53D7A1C6" w:rsidRPr="00D44D33">
        <w:rPr>
          <w:rFonts w:ascii="Times New Roman" w:eastAsia="Times New Roman" w:hAnsi="Times New Roman" w:cs="Times New Roman"/>
          <w:sz w:val="24"/>
          <w:szCs w:val="24"/>
        </w:rPr>
        <w:t>części.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Zrezygnowano</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możliwości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określenia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obowiązanych</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uzgadniania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zawartości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planów,</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gdyż</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praktyki</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wynika,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każdy</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sporządzający</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plan</w:t>
      </w:r>
      <w:r w:rsidR="00970B2E" w:rsidRPr="00D44D33">
        <w:rPr>
          <w:rFonts w:ascii="Times New Roman" w:eastAsia="Times New Roman" w:hAnsi="Times New Roman" w:cs="Times New Roman"/>
          <w:sz w:val="24"/>
          <w:szCs w:val="24"/>
        </w:rPr>
        <w:t xml:space="preserve"> </w:t>
      </w:r>
      <w:r w:rsidR="3362C6C8" w:rsidRPr="00D44D33">
        <w:rPr>
          <w:rFonts w:ascii="Times New Roman" w:eastAsia="Times New Roman" w:hAnsi="Times New Roman" w:cs="Times New Roman"/>
          <w:sz w:val="24"/>
          <w:szCs w:val="24"/>
        </w:rPr>
        <w:t>dokonuje</w:t>
      </w:r>
      <w:r w:rsidR="00970B2E" w:rsidRPr="00D44D33">
        <w:rPr>
          <w:rFonts w:ascii="Times New Roman" w:eastAsia="Times New Roman" w:hAnsi="Times New Roman" w:cs="Times New Roman"/>
          <w:sz w:val="24"/>
          <w:szCs w:val="24"/>
        </w:rPr>
        <w:t xml:space="preserve"> </w:t>
      </w:r>
      <w:r w:rsidR="3BD34D11" w:rsidRPr="00D44D33">
        <w:rPr>
          <w:rFonts w:ascii="Times New Roman" w:eastAsia="Times New Roman" w:hAnsi="Times New Roman" w:cs="Times New Roman"/>
          <w:sz w:val="24"/>
          <w:szCs w:val="24"/>
        </w:rPr>
        <w:t>uzgodnienia</w:t>
      </w:r>
      <w:r w:rsidR="3362C6C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3A010B93" w14:textId="10406F6D" w:rsidR="00AE4E8D" w:rsidRPr="00D44D33" w:rsidRDefault="00AE4E8D"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sz w:val="24"/>
          <w:szCs w:val="24"/>
        </w:rPr>
        <w:t>Art.</w:t>
      </w:r>
      <w:r w:rsidR="00970B2E" w:rsidRPr="00D44D33">
        <w:rPr>
          <w:rFonts w:ascii="Times New Roman" w:eastAsia="Times New Roman" w:hAnsi="Times New Roman" w:cs="Times New Roman"/>
          <w:b/>
          <w:sz w:val="24"/>
          <w:szCs w:val="24"/>
        </w:rPr>
        <w:t xml:space="preserve"> </w:t>
      </w:r>
      <w:r w:rsidR="4B4BC67E" w:rsidRPr="00D44D33">
        <w:rPr>
          <w:rFonts w:ascii="Times New Roman" w:eastAsia="Times New Roman" w:hAnsi="Times New Roman" w:cs="Times New Roman"/>
          <w:b/>
          <w:bCs/>
          <w:sz w:val="24"/>
          <w:szCs w:val="24"/>
        </w:rPr>
        <w:t>40</w:t>
      </w:r>
    </w:p>
    <w:p w14:paraId="5525E303" w14:textId="1104328C" w:rsidR="6F412A00" w:rsidRPr="00D44D33" w:rsidRDefault="4626C8C9"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3D8EFE45" w:rsidRPr="00D44D33">
        <w:rPr>
          <w:rFonts w:ascii="Times New Roman" w:eastAsia="Times New Roman" w:hAnsi="Times New Roman" w:cs="Times New Roman"/>
          <w:sz w:val="24"/>
          <w:szCs w:val="24"/>
        </w:rPr>
        <w:t>40</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powtórzone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4E763D75" w:rsidRPr="00D44D33">
        <w:rPr>
          <w:rFonts w:ascii="Times New Roman" w:eastAsia="Times New Roman" w:hAnsi="Times New Roman" w:cs="Times New Roman"/>
          <w:sz w:val="24"/>
          <w:szCs w:val="24"/>
        </w:rPr>
        <w:t>Pt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nałożenia,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utrzymania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ciągłości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dostarczania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odtwarzania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swojej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Nowością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odtwarzania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uwzględnieniem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pierwszeństwa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operatorów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kluczowych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operatorów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infrastruktury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krytycznej.</w:t>
      </w:r>
    </w:p>
    <w:p w14:paraId="2982D769" w14:textId="00933671" w:rsidR="6F412A00" w:rsidRPr="00D44D33" w:rsidRDefault="0C3A528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Now</w:t>
      </w:r>
      <w:r w:rsidR="4ACFDBC7"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29515C17"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przesłank</w:t>
      </w:r>
      <w:r w:rsidR="741B388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B377D42" w:rsidRPr="00D44D33">
        <w:rPr>
          <w:rFonts w:ascii="Times New Roman" w:eastAsia="Times New Roman" w:hAnsi="Times New Roman" w:cs="Times New Roman"/>
          <w:sz w:val="24"/>
          <w:szCs w:val="24"/>
        </w:rPr>
        <w:t>nałożenia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ograniczeń</w:t>
      </w:r>
      <w:r w:rsidR="00970B2E" w:rsidRPr="00D44D33">
        <w:rPr>
          <w:rFonts w:ascii="Times New Roman" w:eastAsia="Times New Roman" w:hAnsi="Times New Roman" w:cs="Times New Roman"/>
          <w:sz w:val="24"/>
          <w:szCs w:val="24"/>
        </w:rPr>
        <w:t xml:space="preserve"> </w:t>
      </w:r>
      <w:r w:rsidR="3B9940B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B9940BF" w:rsidRPr="00D44D33">
        <w:rPr>
          <w:rFonts w:ascii="Times New Roman" w:eastAsia="Times New Roman" w:hAnsi="Times New Roman" w:cs="Times New Roman"/>
          <w:sz w:val="24"/>
          <w:szCs w:val="24"/>
        </w:rPr>
        <w:t>wyniku</w:t>
      </w:r>
      <w:r w:rsidR="00970B2E" w:rsidRPr="00D44D33">
        <w:rPr>
          <w:rFonts w:ascii="Times New Roman" w:eastAsia="Times New Roman" w:hAnsi="Times New Roman" w:cs="Times New Roman"/>
          <w:sz w:val="24"/>
          <w:szCs w:val="24"/>
        </w:rPr>
        <w:t xml:space="preserve"> </w:t>
      </w:r>
      <w:r w:rsidR="489AF93C" w:rsidRPr="00D44D33">
        <w:rPr>
          <w:rFonts w:ascii="Times New Roman" w:eastAsia="Times New Roman" w:hAnsi="Times New Roman" w:cs="Times New Roman"/>
          <w:sz w:val="24"/>
          <w:szCs w:val="24"/>
        </w:rPr>
        <w:t>wprowadzeni</w:t>
      </w:r>
      <w:r w:rsidR="5E72B800"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2EDCF1B1" w:rsidRPr="00D44D33">
        <w:rPr>
          <w:rFonts w:ascii="Times New Roman" w:eastAsia="Times New Roman" w:hAnsi="Times New Roman" w:cs="Times New Roman"/>
          <w:sz w:val="24"/>
          <w:szCs w:val="24"/>
        </w:rPr>
        <w:t>stopni</w:t>
      </w:r>
      <w:r w:rsidR="1782B386"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2EDCF1B1" w:rsidRPr="00D44D33">
        <w:rPr>
          <w:rFonts w:ascii="Times New Roman" w:eastAsia="Times New Roman" w:hAnsi="Times New Roman" w:cs="Times New Roman"/>
          <w:sz w:val="24"/>
          <w:szCs w:val="24"/>
        </w:rPr>
        <w:t>alarmow</w:t>
      </w:r>
      <w:r w:rsidR="6D8F9931" w:rsidRPr="00D44D33">
        <w:rPr>
          <w:rFonts w:ascii="Times New Roman" w:eastAsia="Times New Roman" w:hAnsi="Times New Roman" w:cs="Times New Roman"/>
          <w:sz w:val="24"/>
          <w:szCs w:val="24"/>
        </w:rPr>
        <w:t>ego</w:t>
      </w:r>
      <w:r w:rsidR="00970B2E" w:rsidRPr="00D44D33">
        <w:rPr>
          <w:rFonts w:ascii="Times New Roman" w:eastAsia="Times New Roman" w:hAnsi="Times New Roman" w:cs="Times New Roman"/>
          <w:sz w:val="24"/>
          <w:szCs w:val="24"/>
        </w:rPr>
        <w:t xml:space="preserve"> </w:t>
      </w:r>
      <w:r w:rsidR="2EDCF1B1" w:rsidRPr="00D44D33">
        <w:rPr>
          <w:rFonts w:ascii="Times New Roman" w:eastAsia="Times New Roman" w:hAnsi="Times New Roman" w:cs="Times New Roman"/>
          <w:sz w:val="24"/>
          <w:szCs w:val="24"/>
        </w:rPr>
        <w:t>CRP</w:t>
      </w:r>
      <w:r w:rsidR="12AB7934"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ograniczeń</w:t>
      </w:r>
      <w:r w:rsidR="00970B2E" w:rsidRPr="00D44D33">
        <w:rPr>
          <w:rFonts w:ascii="Times New Roman" w:eastAsia="Times New Roman" w:hAnsi="Times New Roman" w:cs="Times New Roman"/>
          <w:sz w:val="24"/>
          <w:szCs w:val="24"/>
        </w:rPr>
        <w:t xml:space="preserve"> </w:t>
      </w:r>
      <w:r w:rsidR="1510EAC0"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używania</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radiowych</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2AB7934"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wystąpienia</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trwałych</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cyklicznych</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zakłóceń</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radiowego</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wykorzystywanego</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bezpośrednio</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rzecz</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porządku</w:t>
      </w:r>
      <w:r w:rsidR="00970B2E" w:rsidRPr="00D44D33">
        <w:rPr>
          <w:rFonts w:ascii="Times New Roman" w:eastAsia="Times New Roman" w:hAnsi="Times New Roman" w:cs="Times New Roman"/>
          <w:sz w:val="24"/>
          <w:szCs w:val="24"/>
        </w:rPr>
        <w:t xml:space="preserve"> </w:t>
      </w:r>
      <w:r w:rsidR="63DF1E3B" w:rsidRPr="00D44D33">
        <w:rPr>
          <w:rFonts w:ascii="Times New Roman" w:eastAsia="Times New Roman" w:hAnsi="Times New Roman" w:cs="Times New Roman"/>
          <w:sz w:val="24"/>
          <w:szCs w:val="24"/>
        </w:rPr>
        <w:t>publicznego</w:t>
      </w:r>
      <w:r w:rsidR="2EDCF1B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celu</w:t>
      </w:r>
      <w:r w:rsidR="00970B2E" w:rsidRPr="00D44D33">
        <w:rPr>
          <w:rFonts w:ascii="Times New Roman" w:eastAsia="Calibri" w:hAnsi="Times New Roman" w:cs="Times New Roman"/>
          <w:sz w:val="24"/>
          <w:szCs w:val="24"/>
        </w:rPr>
        <w:t xml:space="preserve"> </w:t>
      </w:r>
      <w:r w:rsidR="11C5B6FA" w:rsidRPr="00D44D33">
        <w:rPr>
          <w:rFonts w:ascii="Times New Roman" w:eastAsia="Calibri" w:hAnsi="Times New Roman" w:cs="Times New Roman"/>
          <w:sz w:val="24"/>
          <w:szCs w:val="24"/>
        </w:rPr>
        <w:t>uwzglę</w:t>
      </w:r>
      <w:r w:rsidR="11C5B6FA" w:rsidRPr="00D44D33">
        <w:rPr>
          <w:rFonts w:ascii="Times New Roman" w:eastAsia="Times New Roman" w:hAnsi="Times New Roman" w:cs="Times New Roman"/>
          <w:sz w:val="24"/>
          <w:szCs w:val="24"/>
        </w:rPr>
        <w:t>dnienie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nagłych</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chwilę</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obecną</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niedających</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przewidzieć</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infrastruktura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lastRenderedPageBreak/>
        <w:t>może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mieć</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negatywny</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wpływ</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systemy</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radioelektroniczne,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skład</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wchodzą</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radiowe,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prawidłowe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niezakłócone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działanie</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służy</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celów</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zapewnieniem</w:t>
      </w:r>
      <w:r w:rsidR="00970B2E" w:rsidRPr="00D44D33">
        <w:rPr>
          <w:rFonts w:ascii="Times New Roman" w:eastAsia="Times New Roman" w:hAnsi="Times New Roman" w:cs="Times New Roman"/>
          <w:sz w:val="24"/>
          <w:szCs w:val="24"/>
        </w:rPr>
        <w:t xml:space="preserve"> </w:t>
      </w:r>
      <w:r w:rsidR="11C5B6FA" w:rsidRPr="00D44D33">
        <w:rPr>
          <w:rFonts w:ascii="Times New Roman" w:eastAsia="Times New Roman" w:hAnsi="Times New Roman" w:cs="Times New Roman"/>
          <w:sz w:val="24"/>
          <w:szCs w:val="24"/>
        </w:rPr>
        <w:t>bezpieczeńs</w:t>
      </w:r>
      <w:r w:rsidR="2FC02256" w:rsidRPr="00D44D33">
        <w:rPr>
          <w:rFonts w:ascii="Times New Roman" w:eastAsia="Times New Roman" w:hAnsi="Times New Roman" w:cs="Times New Roman"/>
          <w:sz w:val="24"/>
          <w:szCs w:val="24"/>
        </w:rPr>
        <w:t>twa</w:t>
      </w:r>
      <w:r w:rsidR="00970B2E" w:rsidRPr="00D44D33">
        <w:rPr>
          <w:rFonts w:ascii="Times New Roman" w:eastAsia="Times New Roman" w:hAnsi="Times New Roman" w:cs="Times New Roman"/>
          <w:sz w:val="24"/>
          <w:szCs w:val="24"/>
        </w:rPr>
        <w:t xml:space="preserve"> </w:t>
      </w:r>
      <w:r w:rsidR="2FC02256"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Ogłoszenie</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stopnia</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alarmowego</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CRP</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powinno</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postrzegane</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względem</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sfery</w:t>
      </w:r>
      <w:r w:rsidR="00970B2E" w:rsidRPr="00D44D33">
        <w:rPr>
          <w:rFonts w:ascii="Times New Roman" w:eastAsia="Times New Roman" w:hAnsi="Times New Roman" w:cs="Times New Roman"/>
          <w:sz w:val="24"/>
          <w:szCs w:val="24"/>
        </w:rPr>
        <w:t xml:space="preserve"> </w:t>
      </w:r>
      <w:r w:rsidR="1D16C788" w:rsidRPr="00D44D33">
        <w:rPr>
          <w:rFonts w:ascii="Times New Roman" w:eastAsia="Times New Roman" w:hAnsi="Times New Roman" w:cs="Times New Roman"/>
          <w:sz w:val="24"/>
          <w:szCs w:val="24"/>
        </w:rPr>
        <w:t>cyberprzestrzeni</w:t>
      </w:r>
      <w:r w:rsidR="00970B2E" w:rsidRPr="00D44D33">
        <w:rPr>
          <w:rFonts w:ascii="Times New Roman" w:eastAsia="Times New Roman" w:hAnsi="Times New Roman" w:cs="Times New Roman"/>
          <w:sz w:val="24"/>
          <w:szCs w:val="24"/>
        </w:rPr>
        <w:t xml:space="preserve"> </w:t>
      </w:r>
      <w:r w:rsidR="67890501"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67890501" w:rsidRPr="00D44D33">
        <w:rPr>
          <w:rFonts w:ascii="Times New Roman" w:eastAsia="Times New Roman" w:hAnsi="Times New Roman" w:cs="Times New Roman"/>
          <w:sz w:val="24"/>
          <w:szCs w:val="24"/>
        </w:rPr>
        <w:t>potencjalna</w:t>
      </w:r>
      <w:r w:rsidR="00970B2E" w:rsidRPr="00D44D33">
        <w:rPr>
          <w:rFonts w:ascii="Times New Roman" w:eastAsia="Times New Roman" w:hAnsi="Times New Roman" w:cs="Times New Roman"/>
          <w:sz w:val="24"/>
          <w:szCs w:val="24"/>
        </w:rPr>
        <w:t xml:space="preserve"> </w:t>
      </w:r>
      <w:r w:rsidR="67890501" w:rsidRPr="00D44D33">
        <w:rPr>
          <w:rFonts w:ascii="Times New Roman" w:eastAsia="Times New Roman" w:hAnsi="Times New Roman" w:cs="Times New Roman"/>
          <w:sz w:val="24"/>
          <w:szCs w:val="24"/>
        </w:rPr>
        <w:t>przesłanka</w:t>
      </w:r>
      <w:r w:rsidR="00970B2E" w:rsidRPr="00D44D33">
        <w:rPr>
          <w:rFonts w:ascii="Times New Roman" w:eastAsia="Times New Roman" w:hAnsi="Times New Roman" w:cs="Times New Roman"/>
          <w:sz w:val="24"/>
          <w:szCs w:val="24"/>
        </w:rPr>
        <w:t xml:space="preserve"> </w:t>
      </w:r>
      <w:r w:rsidR="6789050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7890501" w:rsidRPr="00D44D33">
        <w:rPr>
          <w:rFonts w:ascii="Times New Roman" w:eastAsia="Times New Roman" w:hAnsi="Times New Roman" w:cs="Times New Roman"/>
          <w:sz w:val="24"/>
          <w:szCs w:val="24"/>
        </w:rPr>
        <w:t>wprowa</w:t>
      </w:r>
      <w:r w:rsidR="2DCAA5C2" w:rsidRPr="00D44D33">
        <w:rPr>
          <w:rFonts w:ascii="Times New Roman" w:eastAsia="Times New Roman" w:hAnsi="Times New Roman" w:cs="Times New Roman"/>
          <w:sz w:val="24"/>
          <w:szCs w:val="24"/>
        </w:rPr>
        <w:t>dzenia</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ograniczeń</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BA20185" w:rsidRPr="00D44D33">
        <w:rPr>
          <w:rFonts w:ascii="Times New Roman" w:eastAsia="Times New Roman" w:hAnsi="Times New Roman" w:cs="Times New Roman"/>
          <w:sz w:val="24"/>
          <w:szCs w:val="24"/>
        </w:rPr>
        <w:t>telekomunikacji</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DCAA5C2"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5C1F285B" w:rsidRPr="00D44D33">
        <w:rPr>
          <w:rFonts w:ascii="Times New Roman" w:eastAsia="Times New Roman" w:hAnsi="Times New Roman" w:cs="Times New Roman"/>
          <w:sz w:val="24"/>
          <w:szCs w:val="24"/>
        </w:rPr>
        <w:t>pojawienia</w:t>
      </w:r>
      <w:r w:rsidR="00970B2E" w:rsidRPr="00D44D33">
        <w:rPr>
          <w:rFonts w:ascii="Times New Roman" w:eastAsia="Times New Roman" w:hAnsi="Times New Roman" w:cs="Times New Roman"/>
          <w:sz w:val="24"/>
          <w:szCs w:val="24"/>
        </w:rPr>
        <w:t xml:space="preserve"> </w:t>
      </w:r>
      <w:r w:rsidR="5C1F285B"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5C1F285B" w:rsidRPr="00D44D33">
        <w:rPr>
          <w:rFonts w:ascii="Times New Roman" w:eastAsia="Times New Roman" w:hAnsi="Times New Roman" w:cs="Times New Roman"/>
          <w:sz w:val="24"/>
          <w:szCs w:val="24"/>
        </w:rPr>
        <w:t>zagrożeń</w:t>
      </w:r>
      <w:r w:rsidR="00970B2E" w:rsidRPr="00D44D33">
        <w:rPr>
          <w:rFonts w:ascii="Times New Roman" w:eastAsia="Times New Roman" w:hAnsi="Times New Roman" w:cs="Times New Roman"/>
          <w:sz w:val="24"/>
          <w:szCs w:val="24"/>
        </w:rPr>
        <w:t xml:space="preserve"> </w:t>
      </w:r>
      <w:r w:rsidR="5C1F285B" w:rsidRPr="00D44D33">
        <w:rPr>
          <w:rFonts w:ascii="Times New Roman" w:eastAsia="Times New Roman" w:hAnsi="Times New Roman" w:cs="Times New Roman"/>
          <w:sz w:val="24"/>
          <w:szCs w:val="24"/>
        </w:rPr>
        <w:t>cybe</w:t>
      </w:r>
      <w:r w:rsidR="139A7532" w:rsidRPr="00D44D33">
        <w:rPr>
          <w:rFonts w:ascii="Times New Roman" w:eastAsia="Times New Roman" w:hAnsi="Times New Roman" w:cs="Times New Roman"/>
          <w:sz w:val="24"/>
          <w:szCs w:val="24"/>
        </w:rPr>
        <w:t>r</w:t>
      </w:r>
      <w:r w:rsidR="5C1F285B" w:rsidRPr="00D44D33">
        <w:rPr>
          <w:rFonts w:ascii="Times New Roman" w:eastAsia="Times New Roman" w:hAnsi="Times New Roman" w:cs="Times New Roman"/>
          <w:sz w:val="24"/>
          <w:szCs w:val="24"/>
        </w:rPr>
        <w:t>przestrzeni</w:t>
      </w:r>
      <w:r w:rsidR="1D16C78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1B8EB183" w14:textId="7356FC01" w:rsidR="6F412A00" w:rsidRPr="00D44D33" w:rsidRDefault="4626C8C9"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w </w:t>
      </w:r>
      <w:r w:rsidRPr="00D44D33">
        <w:rPr>
          <w:rFonts w:ascii="Times New Roman" w:eastAsia="Times New Roman" w:hAnsi="Times New Roman" w:cs="Times New Roman"/>
          <w:sz w:val="24"/>
          <w:szCs w:val="24"/>
        </w:rPr>
        <w:t>cel</w:t>
      </w:r>
      <w:r w:rsidR="004F4731"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liczby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wystąpić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866AE22" w:rsidRPr="00D44D33">
        <w:rPr>
          <w:rFonts w:ascii="Times New Roman" w:eastAsia="Times New Roman" w:hAnsi="Times New Roman" w:cs="Times New Roman"/>
          <w:sz w:val="24"/>
          <w:szCs w:val="24"/>
        </w:rPr>
        <w:t>uzasadnionym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powyższej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zrezygnowano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szerokiego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katalogu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tylko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kilka,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tj.</w:t>
      </w:r>
      <w:r w:rsidR="00970B2E" w:rsidRPr="00D44D33">
        <w:rPr>
          <w:rFonts w:ascii="Times New Roman" w:eastAsia="Times New Roman" w:hAnsi="Times New Roman" w:cs="Times New Roman"/>
          <w:sz w:val="24"/>
          <w:szCs w:val="24"/>
        </w:rPr>
        <w:t xml:space="preserve"> </w:t>
      </w:r>
      <w:r w:rsidR="49B1B856"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49B1B856" w:rsidRPr="00D44D33">
        <w:rPr>
          <w:rFonts w:ascii="Times New Roman" w:eastAsia="Times New Roman" w:hAnsi="Times New Roman" w:cs="Times New Roman"/>
          <w:sz w:val="24"/>
          <w:szCs w:val="24"/>
        </w:rPr>
        <w:t>Obrony</w:t>
      </w:r>
      <w:r w:rsidR="00970B2E" w:rsidRPr="00D44D33">
        <w:rPr>
          <w:rFonts w:ascii="Times New Roman" w:eastAsia="Times New Roman" w:hAnsi="Times New Roman" w:cs="Times New Roman"/>
          <w:sz w:val="24"/>
          <w:szCs w:val="24"/>
        </w:rPr>
        <w:t xml:space="preserve"> </w:t>
      </w:r>
      <w:r w:rsidR="49B1B856" w:rsidRPr="00D44D33">
        <w:rPr>
          <w:rFonts w:ascii="Times New Roman" w:eastAsia="Times New Roman" w:hAnsi="Times New Roman" w:cs="Times New Roman"/>
          <w:sz w:val="24"/>
          <w:szCs w:val="24"/>
        </w:rPr>
        <w:t>Narodowej,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Policji,</w:t>
      </w:r>
      <w:r w:rsidR="00970B2E" w:rsidRPr="00D44D33">
        <w:rPr>
          <w:rFonts w:ascii="Times New Roman" w:eastAsia="Times New Roman" w:hAnsi="Times New Roman" w:cs="Times New Roman"/>
          <w:sz w:val="24"/>
          <w:szCs w:val="24"/>
        </w:rPr>
        <w:t xml:space="preserve"> </w:t>
      </w:r>
      <w:r w:rsidR="6C36F430"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6C36F430" w:rsidRPr="00D44D33">
        <w:rPr>
          <w:rFonts w:ascii="Times New Roman" w:eastAsia="Times New Roman" w:hAnsi="Times New Roman" w:cs="Times New Roman"/>
          <w:sz w:val="24"/>
          <w:szCs w:val="24"/>
        </w:rPr>
        <w:t>Centralnego</w:t>
      </w:r>
      <w:r w:rsidR="00970B2E" w:rsidRPr="00D44D33">
        <w:rPr>
          <w:rFonts w:ascii="Times New Roman" w:eastAsia="Times New Roman" w:hAnsi="Times New Roman" w:cs="Times New Roman"/>
          <w:sz w:val="24"/>
          <w:szCs w:val="24"/>
        </w:rPr>
        <w:t xml:space="preserve"> </w:t>
      </w:r>
      <w:r w:rsidR="6C36F430" w:rsidRPr="00D44D33">
        <w:rPr>
          <w:rFonts w:ascii="Times New Roman" w:eastAsia="Times New Roman" w:hAnsi="Times New Roman" w:cs="Times New Roman"/>
          <w:sz w:val="24"/>
          <w:szCs w:val="24"/>
        </w:rPr>
        <w:t>Biura</w:t>
      </w:r>
      <w:r w:rsidR="00970B2E" w:rsidRPr="00D44D33">
        <w:rPr>
          <w:rFonts w:ascii="Times New Roman" w:eastAsia="Times New Roman" w:hAnsi="Times New Roman" w:cs="Times New Roman"/>
          <w:sz w:val="24"/>
          <w:szCs w:val="24"/>
        </w:rPr>
        <w:t xml:space="preserve"> </w:t>
      </w:r>
      <w:r w:rsidR="6C36F430" w:rsidRPr="00D44D33">
        <w:rPr>
          <w:rFonts w:ascii="Times New Roman" w:eastAsia="Times New Roman" w:hAnsi="Times New Roman" w:cs="Times New Roman"/>
          <w:sz w:val="24"/>
          <w:szCs w:val="24"/>
        </w:rPr>
        <w:t>Śledczego</w:t>
      </w:r>
      <w:r w:rsidR="00970B2E" w:rsidRPr="00D44D33">
        <w:rPr>
          <w:rFonts w:ascii="Times New Roman" w:eastAsia="Times New Roman" w:hAnsi="Times New Roman" w:cs="Times New Roman"/>
          <w:sz w:val="24"/>
          <w:szCs w:val="24"/>
        </w:rPr>
        <w:t xml:space="preserve"> </w:t>
      </w:r>
      <w:r w:rsidR="6C36F430" w:rsidRPr="00D44D33">
        <w:rPr>
          <w:rFonts w:ascii="Times New Roman" w:eastAsia="Times New Roman" w:hAnsi="Times New Roman" w:cs="Times New Roman"/>
          <w:sz w:val="24"/>
          <w:szCs w:val="24"/>
        </w:rPr>
        <w:t>Policji,</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Komendanta Centralnego Biura Zwalczania Cyberprzestępczości, </w:t>
      </w:r>
      <w:r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wojewódzkiego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Policji,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Straży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Granicznej,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Żandarmerii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Wojskowej,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Szefa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Agencji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Szefa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Kontrwywiadu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Wojskowego</w:t>
      </w:r>
      <w:r w:rsidR="00970B2E" w:rsidRPr="00D44D33">
        <w:rPr>
          <w:rFonts w:ascii="Times New Roman" w:eastAsia="Times New Roman" w:hAnsi="Times New Roman" w:cs="Times New Roman"/>
          <w:sz w:val="24"/>
          <w:szCs w:val="24"/>
        </w:rPr>
        <w:t xml:space="preserve"> </w:t>
      </w:r>
      <w:r w:rsidR="39651EA8"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3F407A2E" w:rsidRPr="00D44D33">
        <w:rPr>
          <w:rFonts w:ascii="Times New Roman" w:eastAsia="Times New Roman" w:hAnsi="Times New Roman" w:cs="Times New Roman"/>
          <w:sz w:val="24"/>
          <w:szCs w:val="24"/>
        </w:rPr>
        <w:t>Nową</w:t>
      </w:r>
      <w:r w:rsidR="00970B2E" w:rsidRPr="00D44D33">
        <w:rPr>
          <w:rFonts w:ascii="Times New Roman" w:eastAsia="Times New Roman" w:hAnsi="Times New Roman" w:cs="Times New Roman"/>
          <w:sz w:val="24"/>
          <w:szCs w:val="24"/>
        </w:rPr>
        <w:t xml:space="preserve"> </w:t>
      </w:r>
      <w:r w:rsidR="3F407A2E" w:rsidRPr="00D44D33">
        <w:rPr>
          <w:rFonts w:ascii="Times New Roman" w:eastAsia="Times New Roman" w:hAnsi="Times New Roman" w:cs="Times New Roman"/>
          <w:sz w:val="24"/>
          <w:szCs w:val="24"/>
        </w:rPr>
        <w:t>regulacją</w:t>
      </w:r>
      <w:r w:rsidR="00970B2E" w:rsidRPr="00D44D33">
        <w:rPr>
          <w:rFonts w:ascii="Times New Roman" w:eastAsia="Times New Roman" w:hAnsi="Times New Roman" w:cs="Times New Roman"/>
          <w:sz w:val="24"/>
          <w:szCs w:val="24"/>
        </w:rPr>
        <w:t xml:space="preserve"> </w:t>
      </w:r>
      <w:r w:rsidR="3F407A2E"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35C20F30"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75459522" w:rsidRPr="00D44D33">
        <w:rPr>
          <w:rFonts w:ascii="Times New Roman" w:eastAsia="Times New Roman" w:hAnsi="Times New Roman" w:cs="Times New Roman"/>
          <w:sz w:val="24"/>
          <w:szCs w:val="24"/>
        </w:rPr>
        <w:t>to</w:t>
      </w:r>
      <w:r w:rsidR="35C20F3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5C20F30"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decyzja</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ogłoszona</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ustnie</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doręczana</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stronie</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piśmie</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14</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dni</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jej</w:t>
      </w:r>
      <w:r w:rsidR="00970B2E" w:rsidRPr="00D44D33">
        <w:rPr>
          <w:rFonts w:ascii="Times New Roman" w:eastAsia="Times New Roman" w:hAnsi="Times New Roman" w:cs="Times New Roman"/>
          <w:sz w:val="24"/>
          <w:szCs w:val="24"/>
        </w:rPr>
        <w:t xml:space="preserve"> </w:t>
      </w:r>
      <w:r w:rsidR="6ECA1017" w:rsidRPr="00D44D33">
        <w:rPr>
          <w:rFonts w:ascii="Times New Roman" w:eastAsia="Times New Roman" w:hAnsi="Times New Roman" w:cs="Times New Roman"/>
          <w:sz w:val="24"/>
          <w:szCs w:val="24"/>
        </w:rPr>
        <w:t>ogłoszenia.</w:t>
      </w:r>
    </w:p>
    <w:p w14:paraId="296E693C" w14:textId="40EF3244" w:rsidR="2D9A2947" w:rsidRPr="00D44D33" w:rsidRDefault="2D9A294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Nową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8D82142" w:rsidRPr="00D44D33">
        <w:rPr>
          <w:rFonts w:ascii="Times New Roman" w:eastAsia="Times New Roman" w:hAnsi="Times New Roman" w:cs="Times New Roman"/>
          <w:sz w:val="24"/>
          <w:szCs w:val="24"/>
        </w:rPr>
        <w:t>ewentualnego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ograniczenia</w:t>
      </w:r>
      <w:r w:rsidR="00970B2E" w:rsidRPr="00D44D33">
        <w:rPr>
          <w:rFonts w:ascii="Times New Roman" w:eastAsia="Times New Roman" w:hAnsi="Times New Roman" w:cs="Times New Roman"/>
          <w:sz w:val="24"/>
          <w:szCs w:val="24"/>
        </w:rPr>
        <w:t xml:space="preserve"> </w:t>
      </w:r>
      <w:r w:rsidR="2A5FC18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524461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524461A"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5524461A"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2A5FC188"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2A5FC188" w:rsidRPr="00D44D33">
        <w:rPr>
          <w:rFonts w:ascii="Times New Roman" w:eastAsia="Times New Roman" w:hAnsi="Times New Roman" w:cs="Times New Roman"/>
          <w:sz w:val="24"/>
          <w:szCs w:val="24"/>
        </w:rPr>
        <w:t>wniosek</w:t>
      </w:r>
      <w:r w:rsidR="00970B2E" w:rsidRPr="00D44D33">
        <w:rPr>
          <w:rFonts w:ascii="Times New Roman" w:eastAsia="Times New Roman" w:hAnsi="Times New Roman" w:cs="Times New Roman"/>
          <w:sz w:val="24"/>
          <w:szCs w:val="24"/>
        </w:rPr>
        <w:t xml:space="preserve"> </w:t>
      </w:r>
      <w:r w:rsidR="6783594C" w:rsidRPr="00D44D33">
        <w:rPr>
          <w:rFonts w:ascii="Times New Roman" w:eastAsia="Times New Roman" w:hAnsi="Times New Roman" w:cs="Times New Roman"/>
          <w:sz w:val="24"/>
          <w:szCs w:val="24"/>
        </w:rPr>
        <w:t>wskazanego</w:t>
      </w:r>
      <w:r w:rsidR="00970B2E" w:rsidRPr="00D44D33">
        <w:rPr>
          <w:rFonts w:ascii="Times New Roman" w:eastAsia="Times New Roman" w:hAnsi="Times New Roman" w:cs="Times New Roman"/>
          <w:sz w:val="24"/>
          <w:szCs w:val="24"/>
        </w:rPr>
        <w:t xml:space="preserve"> </w:t>
      </w:r>
      <w:r w:rsidR="6783594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783594C"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6783594C" w:rsidRPr="00D44D33">
        <w:rPr>
          <w:rFonts w:ascii="Times New Roman" w:eastAsia="Times New Roman" w:hAnsi="Times New Roman" w:cs="Times New Roman"/>
          <w:sz w:val="24"/>
          <w:szCs w:val="24"/>
        </w:rPr>
        <w:t>4</w:t>
      </w:r>
      <w:r w:rsidR="00970B2E" w:rsidRPr="00D44D33">
        <w:rPr>
          <w:rFonts w:ascii="Times New Roman" w:eastAsia="Times New Roman" w:hAnsi="Times New Roman" w:cs="Times New Roman"/>
          <w:sz w:val="24"/>
          <w:szCs w:val="24"/>
        </w:rPr>
        <w:t xml:space="preserve"> </w:t>
      </w:r>
      <w:r w:rsidR="47D5CD30" w:rsidRPr="00D44D33">
        <w:rPr>
          <w:rFonts w:ascii="Times New Roman" w:eastAsia="Times New Roman" w:hAnsi="Times New Roman" w:cs="Times New Roman"/>
          <w:sz w:val="24"/>
          <w:szCs w:val="24"/>
        </w:rPr>
        <w:t>podmiotu</w:t>
      </w:r>
      <w:r w:rsidR="00970B2E" w:rsidRPr="00D44D33">
        <w:rPr>
          <w:rFonts w:ascii="Times New Roman" w:eastAsia="Times New Roman" w:hAnsi="Times New Roman" w:cs="Times New Roman"/>
          <w:sz w:val="24"/>
          <w:szCs w:val="24"/>
        </w:rPr>
        <w:t xml:space="preserve"> </w:t>
      </w:r>
      <w:r w:rsidR="00984088" w:rsidRPr="00D44D33">
        <w:rPr>
          <w:rFonts w:ascii="Times New Roman" w:hAnsi="Times New Roman" w:cs="Times New Roman"/>
          <w:b/>
          <w:sz w:val="24"/>
          <w:szCs w:val="24"/>
        </w:rPr>
        <w:t>–</w:t>
      </w:r>
      <w:r w:rsidR="00970B2E" w:rsidRPr="00D44D33">
        <w:rPr>
          <w:rFonts w:ascii="Times New Roman" w:eastAsia="Times New Roman" w:hAnsi="Times New Roman" w:cs="Times New Roman"/>
          <w:sz w:val="24"/>
          <w:szCs w:val="24"/>
        </w:rPr>
        <w:t xml:space="preserve"> </w:t>
      </w:r>
      <w:r w:rsidR="2CE891CB"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zaso</w:t>
      </w:r>
      <w:r w:rsidR="51051CA9" w:rsidRPr="00D44D33">
        <w:rPr>
          <w:rFonts w:ascii="Times New Roman" w:eastAsia="Times New Roman" w:hAnsi="Times New Roman" w:cs="Times New Roman"/>
          <w:sz w:val="24"/>
          <w:szCs w:val="24"/>
        </w:rPr>
        <w:t>bów</w:t>
      </w:r>
      <w:r w:rsidR="00970B2E" w:rsidRPr="00D44D33">
        <w:rPr>
          <w:rFonts w:ascii="Times New Roman" w:eastAsia="Times New Roman" w:hAnsi="Times New Roman" w:cs="Times New Roman"/>
          <w:sz w:val="24"/>
          <w:szCs w:val="24"/>
        </w:rPr>
        <w:t xml:space="preserve"> </w:t>
      </w:r>
      <w:r w:rsidR="3B252F1E"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3B252F1E" w:rsidRPr="00D44D33">
        <w:rPr>
          <w:rFonts w:ascii="Times New Roman" w:eastAsia="Times New Roman" w:hAnsi="Times New Roman" w:cs="Times New Roman"/>
          <w:sz w:val="24"/>
          <w:szCs w:val="24"/>
        </w:rPr>
        <w:t>przydzielonych</w:t>
      </w:r>
      <w:r w:rsidR="00970B2E" w:rsidRPr="00D44D33">
        <w:rPr>
          <w:rFonts w:ascii="Times New Roman" w:eastAsia="Times New Roman" w:hAnsi="Times New Roman" w:cs="Times New Roman"/>
          <w:sz w:val="24"/>
          <w:szCs w:val="24"/>
        </w:rPr>
        <w:t xml:space="preserve"> </w:t>
      </w:r>
      <w:r w:rsidR="6895DE0F"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3B252F1E" w:rsidRPr="00D44D33">
        <w:rPr>
          <w:rFonts w:ascii="Times New Roman" w:eastAsia="Times New Roman" w:hAnsi="Times New Roman" w:cs="Times New Roman"/>
          <w:sz w:val="24"/>
          <w:szCs w:val="24"/>
        </w:rPr>
        <w:t>telekomunikacyjne</w:t>
      </w:r>
      <w:r w:rsidR="65636C4A" w:rsidRPr="00D44D33">
        <w:rPr>
          <w:rFonts w:ascii="Times New Roman" w:eastAsia="Times New Roman" w:hAnsi="Times New Roman" w:cs="Times New Roman"/>
          <w:sz w:val="24"/>
          <w:szCs w:val="24"/>
        </w:rPr>
        <w:t>mu,</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przekazania</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6EFC7473"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EFC7473" w:rsidRPr="00D44D33">
        <w:rPr>
          <w:rFonts w:ascii="Times New Roman" w:eastAsia="Times New Roman" w:hAnsi="Times New Roman" w:cs="Times New Roman"/>
          <w:sz w:val="24"/>
          <w:szCs w:val="24"/>
        </w:rPr>
        <w:t>czas</w:t>
      </w:r>
      <w:r w:rsidR="00970B2E" w:rsidRPr="00D44D33">
        <w:rPr>
          <w:rFonts w:ascii="Times New Roman" w:eastAsia="Times New Roman" w:hAnsi="Times New Roman" w:cs="Times New Roman"/>
          <w:sz w:val="24"/>
          <w:szCs w:val="24"/>
        </w:rPr>
        <w:t xml:space="preserve"> </w:t>
      </w:r>
      <w:r w:rsidR="6EFC7473" w:rsidRPr="00D44D33">
        <w:rPr>
          <w:rFonts w:ascii="Times New Roman" w:eastAsia="Times New Roman" w:hAnsi="Times New Roman" w:cs="Times New Roman"/>
          <w:sz w:val="24"/>
          <w:szCs w:val="24"/>
        </w:rPr>
        <w:t>określony</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65636C4A" w:rsidRPr="00D44D33">
        <w:rPr>
          <w:rFonts w:ascii="Times New Roman" w:eastAsia="Times New Roman" w:hAnsi="Times New Roman" w:cs="Times New Roman"/>
          <w:sz w:val="24"/>
          <w:szCs w:val="24"/>
        </w:rPr>
        <w:t>te</w:t>
      </w:r>
      <w:r w:rsidR="28E91033" w:rsidRPr="00D44D33">
        <w:rPr>
          <w:rFonts w:ascii="Times New Roman" w:eastAsia="Times New Roman" w:hAnsi="Times New Roman" w:cs="Times New Roman"/>
          <w:sz w:val="24"/>
          <w:szCs w:val="24"/>
        </w:rPr>
        <w:t>n</w:t>
      </w:r>
      <w:r w:rsidR="00970B2E" w:rsidRPr="00D44D33">
        <w:rPr>
          <w:rFonts w:ascii="Times New Roman" w:eastAsia="Times New Roman" w:hAnsi="Times New Roman" w:cs="Times New Roman"/>
          <w:sz w:val="24"/>
          <w:szCs w:val="24"/>
        </w:rPr>
        <w:t xml:space="preserve"> </w:t>
      </w:r>
      <w:r w:rsidR="6630F0EA" w:rsidRPr="00D44D33">
        <w:rPr>
          <w:rFonts w:ascii="Times New Roman" w:eastAsia="Times New Roman" w:hAnsi="Times New Roman" w:cs="Times New Roman"/>
          <w:sz w:val="24"/>
          <w:szCs w:val="24"/>
        </w:rPr>
        <w:t>podmiot</w:t>
      </w:r>
      <w:r w:rsidR="105F494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ograniczenie</w:t>
      </w:r>
      <w:r w:rsidR="00970B2E" w:rsidRPr="00D44D33">
        <w:rPr>
          <w:rFonts w:ascii="Times New Roman" w:eastAsia="Times New Roman" w:hAnsi="Times New Roman" w:cs="Times New Roman"/>
          <w:sz w:val="24"/>
          <w:szCs w:val="24"/>
        </w:rPr>
        <w:t xml:space="preserve"> </w:t>
      </w:r>
      <w:r w:rsidR="01199A42"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4EDD3BEC"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możliwe</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tylko</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5F4947"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11B325EE" w:rsidRPr="00D44D33">
        <w:rPr>
          <w:rFonts w:ascii="Times New Roman" w:eastAsia="Times New Roman" w:hAnsi="Times New Roman" w:cs="Times New Roman"/>
          <w:sz w:val="24"/>
          <w:szCs w:val="24"/>
        </w:rPr>
        <w:t>wprowadzenia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nadzwyczajnego</w:t>
      </w:r>
      <w:r w:rsidR="77B4DA1F"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podwyższenia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stanu</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lastRenderedPageBreak/>
        <w:t>gotowości</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obronnej</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43F2A"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zewnętrznego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wydania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postanowienia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dniu,</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rozpoczyna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czas</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wojny</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wystąpienia</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551912AD" w:rsidRPr="00D44D33">
        <w:rPr>
          <w:rFonts w:ascii="Times New Roman" w:eastAsia="Times New Roman" w:hAnsi="Times New Roman" w:cs="Times New Roman"/>
          <w:sz w:val="24"/>
          <w:szCs w:val="24"/>
        </w:rPr>
        <w:t>właściwy</w:t>
      </w:r>
      <w:r w:rsidR="00970B2E" w:rsidRPr="00D44D33">
        <w:rPr>
          <w:rFonts w:ascii="Times New Roman" w:eastAsia="Times New Roman" w:hAnsi="Times New Roman" w:cs="Times New Roman"/>
          <w:sz w:val="24"/>
          <w:szCs w:val="24"/>
        </w:rPr>
        <w:t xml:space="preserve"> </w:t>
      </w:r>
      <w:r w:rsidR="551912AD" w:rsidRPr="00D44D33">
        <w:rPr>
          <w:rFonts w:ascii="Times New Roman" w:eastAsia="Times New Roman" w:hAnsi="Times New Roman" w:cs="Times New Roman"/>
          <w:sz w:val="24"/>
          <w:szCs w:val="24"/>
        </w:rPr>
        <w:t>organ</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wnioskiem</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wprowadzenie</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wydani</w:t>
      </w:r>
      <w:r w:rsidR="0F3160AA"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086E329E" w:rsidRPr="00D44D33">
        <w:rPr>
          <w:rFonts w:ascii="Times New Roman" w:eastAsia="Times New Roman" w:hAnsi="Times New Roman" w:cs="Times New Roman"/>
          <w:sz w:val="24"/>
          <w:szCs w:val="24"/>
        </w:rPr>
        <w:t>postanowienia</w:t>
      </w:r>
      <w:r w:rsidR="40548F19"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DE67131"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5DE67131"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5DE67131" w:rsidRPr="00D44D33">
        <w:rPr>
          <w:rFonts w:ascii="Times New Roman" w:eastAsia="Times New Roman" w:hAnsi="Times New Roman" w:cs="Times New Roman"/>
          <w:sz w:val="24"/>
          <w:szCs w:val="24"/>
        </w:rPr>
        <w:t>wydając</w:t>
      </w:r>
      <w:r w:rsidR="00970B2E" w:rsidRPr="00D44D33">
        <w:rPr>
          <w:rFonts w:ascii="Times New Roman" w:eastAsia="Times New Roman" w:hAnsi="Times New Roman" w:cs="Times New Roman"/>
          <w:sz w:val="24"/>
          <w:szCs w:val="24"/>
        </w:rPr>
        <w:t xml:space="preserve"> </w:t>
      </w:r>
      <w:r w:rsidR="5DE67131" w:rsidRPr="00D44D33">
        <w:rPr>
          <w:rFonts w:ascii="Times New Roman" w:eastAsia="Times New Roman" w:hAnsi="Times New Roman" w:cs="Times New Roman"/>
          <w:sz w:val="24"/>
          <w:szCs w:val="24"/>
        </w:rPr>
        <w:t>decyzję</w:t>
      </w:r>
      <w:r w:rsidR="00970B2E" w:rsidRPr="00D44D33">
        <w:rPr>
          <w:rFonts w:ascii="Times New Roman" w:eastAsia="Times New Roman" w:hAnsi="Times New Roman" w:cs="Times New Roman"/>
          <w:sz w:val="24"/>
          <w:szCs w:val="24"/>
        </w:rPr>
        <w:t xml:space="preserve"> </w:t>
      </w:r>
      <w:r w:rsidR="5DE67131" w:rsidRPr="00D44D33">
        <w:rPr>
          <w:rFonts w:ascii="Times New Roman" w:eastAsia="Times New Roman" w:hAnsi="Times New Roman" w:cs="Times New Roman"/>
          <w:sz w:val="24"/>
          <w:szCs w:val="24"/>
        </w:rPr>
        <w:t>musi</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kierować</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zasadą</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minimalizowania</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skutków</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wydania</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prowadzonej</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skutków</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roszczeniem</w:t>
      </w:r>
      <w:r w:rsidR="00970B2E" w:rsidRPr="00D44D33">
        <w:rPr>
          <w:rFonts w:ascii="Times New Roman" w:eastAsia="Times New Roman" w:hAnsi="Times New Roman" w:cs="Times New Roman"/>
          <w:sz w:val="24"/>
          <w:szCs w:val="24"/>
        </w:rPr>
        <w:t xml:space="preserve"> </w:t>
      </w:r>
      <w:r w:rsidR="606C0CDA" w:rsidRPr="00D44D33">
        <w:rPr>
          <w:rFonts w:ascii="Times New Roman" w:eastAsia="Times New Roman" w:hAnsi="Times New Roman" w:cs="Times New Roman"/>
          <w:sz w:val="24"/>
          <w:szCs w:val="24"/>
        </w:rPr>
        <w:t>odszko</w:t>
      </w:r>
      <w:r w:rsidR="462515D7" w:rsidRPr="00D44D33">
        <w:rPr>
          <w:rFonts w:ascii="Times New Roman" w:eastAsia="Times New Roman" w:hAnsi="Times New Roman" w:cs="Times New Roman"/>
          <w:sz w:val="24"/>
          <w:szCs w:val="24"/>
        </w:rPr>
        <w:t>dowawczym.</w:t>
      </w:r>
      <w:r w:rsidR="00970B2E" w:rsidRPr="00D44D33">
        <w:rPr>
          <w:rFonts w:ascii="Times New Roman" w:eastAsia="Times New Roman" w:hAnsi="Times New Roman" w:cs="Times New Roman"/>
          <w:sz w:val="24"/>
          <w:szCs w:val="24"/>
        </w:rPr>
        <w:t xml:space="preserve"> </w:t>
      </w:r>
      <w:r w:rsidR="462515D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62515D7" w:rsidRPr="00D44D33">
        <w:rPr>
          <w:rFonts w:ascii="Times New Roman" w:eastAsia="Times New Roman" w:hAnsi="Times New Roman" w:cs="Times New Roman"/>
          <w:sz w:val="24"/>
          <w:szCs w:val="24"/>
        </w:rPr>
        <w:t>okres</w:t>
      </w:r>
      <w:r w:rsidR="00970B2E" w:rsidRPr="00D44D33">
        <w:rPr>
          <w:rFonts w:ascii="Times New Roman" w:eastAsia="Times New Roman" w:hAnsi="Times New Roman" w:cs="Times New Roman"/>
          <w:sz w:val="24"/>
          <w:szCs w:val="24"/>
        </w:rPr>
        <w:t xml:space="preserve"> </w:t>
      </w:r>
      <w:r w:rsidR="462515D7" w:rsidRPr="00D44D33">
        <w:rPr>
          <w:rFonts w:ascii="Times New Roman" w:eastAsia="Times New Roman" w:hAnsi="Times New Roman" w:cs="Times New Roman"/>
          <w:sz w:val="24"/>
          <w:szCs w:val="24"/>
        </w:rPr>
        <w:t>ograniczenia</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pobierania</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opłata</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wykorzystywanie</w:t>
      </w:r>
      <w:r w:rsidR="00970B2E" w:rsidRPr="00D44D33">
        <w:rPr>
          <w:rFonts w:ascii="Times New Roman" w:eastAsia="Times New Roman" w:hAnsi="Times New Roman" w:cs="Times New Roman"/>
          <w:sz w:val="24"/>
          <w:szCs w:val="24"/>
        </w:rPr>
        <w:t xml:space="preserve"> </w:t>
      </w:r>
      <w:r w:rsidR="04C9FB09" w:rsidRPr="00D44D33">
        <w:rPr>
          <w:rFonts w:ascii="Times New Roman" w:eastAsia="Times New Roman" w:hAnsi="Times New Roman" w:cs="Times New Roman"/>
          <w:sz w:val="24"/>
          <w:szCs w:val="24"/>
        </w:rPr>
        <w:t>częstotliwości</w:t>
      </w:r>
      <w:r w:rsidR="78EFC90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przysługuje</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prawo</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wystąpieniem</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roszczeniem</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odszkodowawczym</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tytułu</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poniesionych</w:t>
      </w:r>
      <w:r w:rsidR="00970B2E" w:rsidRPr="00D44D33">
        <w:rPr>
          <w:rFonts w:ascii="Times New Roman" w:eastAsia="Times New Roman" w:hAnsi="Times New Roman" w:cs="Times New Roman"/>
          <w:sz w:val="24"/>
          <w:szCs w:val="24"/>
        </w:rPr>
        <w:t xml:space="preserve"> </w:t>
      </w:r>
      <w:r w:rsidR="78EFC90C" w:rsidRPr="00D44D33">
        <w:rPr>
          <w:rFonts w:ascii="Times New Roman" w:eastAsia="Times New Roman" w:hAnsi="Times New Roman" w:cs="Times New Roman"/>
          <w:sz w:val="24"/>
          <w:szCs w:val="24"/>
        </w:rPr>
        <w:t>strat</w:t>
      </w:r>
      <w:r w:rsidR="7F7CF4A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zastosowaniem</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wyrównywaniu</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strat</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majątkowych</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wynikających</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ograniczenia</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czasie</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stanu</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nadzwyczajnego</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wolności</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praw</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człowieka</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F7CF4AC" w:rsidRPr="00D44D33">
        <w:rPr>
          <w:rFonts w:ascii="Times New Roman" w:eastAsia="Times New Roman" w:hAnsi="Times New Roman" w:cs="Times New Roman"/>
          <w:sz w:val="24"/>
          <w:szCs w:val="24"/>
        </w:rPr>
        <w:t>obywatela.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Wprowadzenie</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powyższego</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ograniczenia</w:t>
      </w:r>
      <w:r w:rsidR="605BC20E"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okresie</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zewnętrznego</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ogłoszony</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zostanie</w:t>
      </w:r>
      <w:r w:rsidR="00970B2E" w:rsidRPr="00D44D33">
        <w:rPr>
          <w:rFonts w:ascii="Times New Roman" w:eastAsia="Times New Roman" w:hAnsi="Times New Roman" w:cs="Times New Roman"/>
          <w:sz w:val="24"/>
          <w:szCs w:val="24"/>
        </w:rPr>
        <w:t xml:space="preserve"> </w:t>
      </w:r>
      <w:r w:rsidR="6FD0EB59"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stan</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wojenny</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280809C9" w:rsidRPr="00D44D33">
        <w:rPr>
          <w:rFonts w:ascii="Times New Roman" w:eastAsia="Times New Roman" w:hAnsi="Times New Roman" w:cs="Times New Roman"/>
          <w:sz w:val="24"/>
          <w:szCs w:val="24"/>
        </w:rPr>
        <w:t>wyjątkowy,</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kluczowe</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tworzenia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funkcjonowania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działań</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Sił</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Zbrojnych</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R</w:t>
      </w:r>
      <w:r w:rsidR="00C41BB2" w:rsidRPr="00D44D33">
        <w:rPr>
          <w:rFonts w:ascii="Times New Roman" w:eastAsia="Times New Roman" w:hAnsi="Times New Roman" w:cs="Times New Roman"/>
          <w:sz w:val="24"/>
          <w:szCs w:val="24"/>
        </w:rPr>
        <w:t xml:space="preserve">zeczypospolitej </w:t>
      </w:r>
      <w:r w:rsidR="131F44E6" w:rsidRPr="00D44D33">
        <w:rPr>
          <w:rFonts w:ascii="Times New Roman" w:eastAsia="Times New Roman" w:hAnsi="Times New Roman" w:cs="Times New Roman"/>
          <w:sz w:val="24"/>
          <w:szCs w:val="24"/>
        </w:rPr>
        <w:t>P</w:t>
      </w:r>
      <w:r w:rsidR="00C41BB2" w:rsidRPr="00D44D33">
        <w:rPr>
          <w:rFonts w:ascii="Times New Roman" w:eastAsia="Times New Roman" w:hAnsi="Times New Roman" w:cs="Times New Roman"/>
          <w:sz w:val="24"/>
          <w:szCs w:val="24"/>
        </w:rPr>
        <w:t>olskiej</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określonych</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sytuacjach</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operacyjnych</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50D85FA9" w:rsidRPr="00D44D33">
        <w:rPr>
          <w:rFonts w:ascii="Times New Roman" w:eastAsia="Times New Roman" w:hAnsi="Times New Roman" w:cs="Times New Roman"/>
          <w:sz w:val="24"/>
          <w:szCs w:val="24"/>
        </w:rPr>
        <w:t>czasowego</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B1A6C79" w:rsidRPr="00D44D33">
        <w:rPr>
          <w:rFonts w:ascii="Times New Roman" w:eastAsia="Times New Roman" w:hAnsi="Times New Roman" w:cs="Times New Roman"/>
          <w:sz w:val="24"/>
          <w:szCs w:val="24"/>
        </w:rPr>
        <w:t>dodatkowych</w:t>
      </w:r>
      <w:r w:rsidR="00970B2E" w:rsidRPr="00D44D33">
        <w:rPr>
          <w:rFonts w:ascii="Times New Roman" w:eastAsia="Times New Roman" w:hAnsi="Times New Roman" w:cs="Times New Roman"/>
          <w:sz w:val="24"/>
          <w:szCs w:val="24"/>
        </w:rPr>
        <w:t xml:space="preserve"> </w:t>
      </w:r>
      <w:r w:rsidR="39B666ED" w:rsidRPr="00D44D33">
        <w:rPr>
          <w:rFonts w:ascii="Times New Roman" w:eastAsia="Times New Roman" w:hAnsi="Times New Roman" w:cs="Times New Roman"/>
          <w:sz w:val="24"/>
          <w:szCs w:val="24"/>
        </w:rPr>
        <w:t>zasobów</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widma</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131F44E6" w:rsidRPr="00D44D33">
        <w:rPr>
          <w:rFonts w:ascii="Times New Roman" w:eastAsia="Times New Roman" w:hAnsi="Times New Roman" w:cs="Times New Roman"/>
          <w:sz w:val="24"/>
          <w:szCs w:val="24"/>
        </w:rPr>
        <w:t>radiowych</w:t>
      </w:r>
      <w:r w:rsidR="00970B2E" w:rsidRPr="00D44D33">
        <w:rPr>
          <w:rFonts w:ascii="Times New Roman" w:eastAsia="Times New Roman" w:hAnsi="Times New Roman" w:cs="Times New Roman"/>
          <w:sz w:val="24"/>
          <w:szCs w:val="24"/>
        </w:rPr>
        <w:t xml:space="preserve"> </w:t>
      </w:r>
      <w:r w:rsidR="1534E916" w:rsidRPr="00D44D33">
        <w:rPr>
          <w:rFonts w:ascii="Times New Roman" w:eastAsia="Times New Roman" w:hAnsi="Times New Roman" w:cs="Times New Roman"/>
          <w:sz w:val="24"/>
          <w:szCs w:val="24"/>
        </w:rPr>
        <w:t>będących</w:t>
      </w:r>
      <w:r w:rsidR="00970B2E" w:rsidRPr="00D44D33">
        <w:rPr>
          <w:rFonts w:ascii="Times New Roman" w:eastAsia="Times New Roman" w:hAnsi="Times New Roman" w:cs="Times New Roman"/>
          <w:sz w:val="24"/>
          <w:szCs w:val="24"/>
        </w:rPr>
        <w:t xml:space="preserve"> </w:t>
      </w:r>
      <w:r w:rsidR="76F1DFA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6F1DFA3" w:rsidRPr="00D44D33">
        <w:rPr>
          <w:rFonts w:ascii="Times New Roman" w:eastAsia="Times New Roman" w:hAnsi="Times New Roman" w:cs="Times New Roman"/>
          <w:sz w:val="24"/>
          <w:szCs w:val="24"/>
        </w:rPr>
        <w:t>dyspozycji</w:t>
      </w:r>
      <w:r w:rsidR="00970B2E" w:rsidRPr="00D44D33">
        <w:rPr>
          <w:rFonts w:ascii="Times New Roman" w:eastAsia="Times New Roman" w:hAnsi="Times New Roman" w:cs="Times New Roman"/>
          <w:sz w:val="24"/>
          <w:szCs w:val="24"/>
        </w:rPr>
        <w:t xml:space="preserve"> </w:t>
      </w:r>
      <w:r w:rsidR="40EF5755"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76F1DFA3" w:rsidRPr="00D44D33">
        <w:rPr>
          <w:rFonts w:ascii="Times New Roman" w:eastAsia="Times New Roman" w:hAnsi="Times New Roman" w:cs="Times New Roman"/>
          <w:sz w:val="24"/>
          <w:szCs w:val="24"/>
        </w:rPr>
        <w:t>telekomunikacyjnych</w:t>
      </w:r>
      <w:r w:rsidR="131F44E6" w:rsidRPr="00D44D33">
        <w:rPr>
          <w:rFonts w:ascii="Times New Roman" w:eastAsia="Times New Roman" w:hAnsi="Times New Roman" w:cs="Times New Roman"/>
          <w:sz w:val="24"/>
          <w:szCs w:val="24"/>
        </w:rPr>
        <w:t>.</w:t>
      </w:r>
    </w:p>
    <w:p w14:paraId="4C3CA450" w14:textId="53D318A7" w:rsidR="00AE4E8D" w:rsidRPr="00D44D33" w:rsidRDefault="00AE4E8D"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sz w:val="24"/>
          <w:szCs w:val="24"/>
        </w:rPr>
        <w:t>Art.</w:t>
      </w:r>
      <w:r w:rsidR="00970B2E" w:rsidRPr="00D44D33">
        <w:rPr>
          <w:rFonts w:ascii="Times New Roman" w:eastAsia="Times New Roman" w:hAnsi="Times New Roman" w:cs="Times New Roman"/>
          <w:b/>
          <w:sz w:val="24"/>
          <w:szCs w:val="24"/>
        </w:rPr>
        <w:t xml:space="preserve"> </w:t>
      </w:r>
      <w:r w:rsidR="7D009DAD" w:rsidRPr="00D44D33">
        <w:rPr>
          <w:rFonts w:ascii="Times New Roman" w:eastAsia="Times New Roman" w:hAnsi="Times New Roman" w:cs="Times New Roman"/>
          <w:b/>
          <w:bCs/>
          <w:sz w:val="24"/>
          <w:szCs w:val="24"/>
        </w:rPr>
        <w:t>41</w:t>
      </w:r>
    </w:p>
    <w:p w14:paraId="4D7873F8" w14:textId="0D147034" w:rsidR="6F412A00" w:rsidRPr="00D44D33" w:rsidRDefault="1FC1F95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9F24A73" w:rsidRPr="00D44D33">
        <w:rPr>
          <w:rFonts w:ascii="Times New Roman" w:eastAsia="Times New Roman" w:hAnsi="Times New Roman" w:cs="Times New Roman"/>
          <w:sz w:val="24"/>
          <w:szCs w:val="24"/>
        </w:rPr>
        <w:t>41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utrzymano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przeprowadzania</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akcji</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ratowniczej,</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7E085D77"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możliwości</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szczególnego</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niebędące</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przedsiębiorcami</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telekomunikacyjnymi</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radiowych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(głównie</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środowisko</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radioamatorskie)</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lastRenderedPageBreak/>
        <w:t>nadawczych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nadawczo-odbiorczych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stosowanych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służbach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radiokomunikacyjnych,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niezbędnych</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przeprowadzania</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akcji</w:t>
      </w:r>
      <w:r w:rsidR="00970B2E" w:rsidRPr="00D44D33">
        <w:rPr>
          <w:rFonts w:ascii="Times New Roman" w:eastAsia="Times New Roman" w:hAnsi="Times New Roman" w:cs="Times New Roman"/>
          <w:sz w:val="24"/>
          <w:szCs w:val="24"/>
        </w:rPr>
        <w:t xml:space="preserve"> </w:t>
      </w:r>
      <w:r w:rsidR="103B8D2C" w:rsidRPr="00D44D33">
        <w:rPr>
          <w:rFonts w:ascii="Times New Roman" w:eastAsia="Times New Roman" w:hAnsi="Times New Roman" w:cs="Times New Roman"/>
          <w:sz w:val="24"/>
          <w:szCs w:val="24"/>
        </w:rPr>
        <w:t>ratowniczych</w:t>
      </w:r>
      <w:r w:rsidR="00970B2E" w:rsidRPr="00D44D33">
        <w:rPr>
          <w:rFonts w:ascii="Times New Roman" w:eastAsia="Times New Roman" w:hAnsi="Times New Roman" w:cs="Times New Roman"/>
          <w:sz w:val="24"/>
          <w:szCs w:val="24"/>
        </w:rPr>
        <w:t xml:space="preserve"> </w:t>
      </w:r>
      <w:r w:rsidR="0D252184"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D252184" w:rsidRPr="00D44D33">
        <w:rPr>
          <w:rFonts w:ascii="Times New Roman" w:eastAsia="Times New Roman" w:hAnsi="Times New Roman" w:cs="Times New Roman"/>
          <w:sz w:val="24"/>
          <w:szCs w:val="24"/>
        </w:rPr>
        <w:t>zasięgu</w:t>
      </w:r>
      <w:r w:rsidR="00970B2E" w:rsidRPr="00D44D33">
        <w:rPr>
          <w:rFonts w:ascii="Times New Roman" w:eastAsia="Times New Roman" w:hAnsi="Times New Roman" w:cs="Times New Roman"/>
          <w:sz w:val="24"/>
          <w:szCs w:val="24"/>
        </w:rPr>
        <w:t xml:space="preserve"> </w:t>
      </w:r>
      <w:r w:rsidR="0D252184" w:rsidRPr="00D44D33">
        <w:rPr>
          <w:rFonts w:ascii="Times New Roman" w:eastAsia="Times New Roman" w:hAnsi="Times New Roman" w:cs="Times New Roman"/>
          <w:sz w:val="24"/>
          <w:szCs w:val="24"/>
        </w:rPr>
        <w:t>międzynarodowym</w:t>
      </w:r>
      <w:r w:rsidR="103B8D2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FDA0132" w:rsidRPr="00D44D33">
        <w:rPr>
          <w:rFonts w:ascii="Times New Roman" w:eastAsia="Times New Roman" w:hAnsi="Times New Roman" w:cs="Times New Roman"/>
          <w:sz w:val="24"/>
          <w:szCs w:val="24"/>
        </w:rPr>
        <w:t>Doprecyzowano</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jednocześnie</w:t>
      </w:r>
      <w:r w:rsidR="00970B2E" w:rsidRPr="00D44D33">
        <w:rPr>
          <w:rFonts w:ascii="Times New Roman" w:eastAsia="Times New Roman" w:hAnsi="Times New Roman" w:cs="Times New Roman"/>
          <w:sz w:val="24"/>
          <w:szCs w:val="24"/>
        </w:rPr>
        <w:t xml:space="preserve"> </w:t>
      </w:r>
      <w:r w:rsidR="1FBA9B8C" w:rsidRPr="00D44D33">
        <w:rPr>
          <w:rFonts w:ascii="Times New Roman" w:eastAsia="Times New Roman" w:hAnsi="Times New Roman" w:cs="Times New Roman"/>
          <w:sz w:val="24"/>
          <w:szCs w:val="24"/>
        </w:rPr>
        <w:t>kilka</w:t>
      </w:r>
      <w:r w:rsidR="00970B2E" w:rsidRPr="00D44D33">
        <w:rPr>
          <w:rFonts w:ascii="Times New Roman" w:eastAsia="Times New Roman" w:hAnsi="Times New Roman" w:cs="Times New Roman"/>
          <w:sz w:val="24"/>
          <w:szCs w:val="24"/>
        </w:rPr>
        <w:t xml:space="preserve"> </w:t>
      </w:r>
      <w:r w:rsidR="1FBA9B8C" w:rsidRPr="00D44D33">
        <w:rPr>
          <w:rFonts w:ascii="Times New Roman" w:eastAsia="Times New Roman" w:hAnsi="Times New Roman" w:cs="Times New Roman"/>
          <w:sz w:val="24"/>
          <w:szCs w:val="24"/>
        </w:rPr>
        <w:t>kwestii</w:t>
      </w:r>
      <w:r w:rsidR="6BCC381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BCC3817"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6BCC3817" w:rsidRPr="00D44D33">
        <w:rPr>
          <w:rFonts w:ascii="Times New Roman" w:eastAsia="Times New Roman" w:hAnsi="Times New Roman" w:cs="Times New Roman"/>
          <w:sz w:val="24"/>
          <w:szCs w:val="24"/>
        </w:rPr>
        <w:t>czym</w:t>
      </w:r>
      <w:r w:rsidR="00970B2E" w:rsidRPr="00D44D33">
        <w:rPr>
          <w:rFonts w:ascii="Times New Roman" w:eastAsia="Times New Roman" w:hAnsi="Times New Roman" w:cs="Times New Roman"/>
          <w:sz w:val="24"/>
          <w:szCs w:val="24"/>
        </w:rPr>
        <w:t xml:space="preserve"> </w:t>
      </w:r>
      <w:r w:rsidR="4A9BF1B8" w:rsidRPr="00D44D33">
        <w:rPr>
          <w:rFonts w:ascii="Times New Roman" w:eastAsia="Times New Roman" w:hAnsi="Times New Roman" w:cs="Times New Roman"/>
          <w:sz w:val="24"/>
          <w:szCs w:val="24"/>
        </w:rPr>
        <w:t>regulacją</w:t>
      </w:r>
      <w:r w:rsidR="00970B2E" w:rsidRPr="00D44D33">
        <w:rPr>
          <w:rFonts w:ascii="Times New Roman" w:eastAsia="Times New Roman" w:hAnsi="Times New Roman" w:cs="Times New Roman"/>
          <w:sz w:val="24"/>
          <w:szCs w:val="24"/>
        </w:rPr>
        <w:t xml:space="preserve"> </w:t>
      </w:r>
      <w:r w:rsidR="4A9BF1B8" w:rsidRPr="00D44D33">
        <w:rPr>
          <w:rFonts w:ascii="Times New Roman" w:eastAsia="Times New Roman" w:hAnsi="Times New Roman" w:cs="Times New Roman"/>
          <w:sz w:val="24"/>
          <w:szCs w:val="24"/>
        </w:rPr>
        <w:t>ustawową</w:t>
      </w:r>
      <w:r w:rsidR="00970B2E" w:rsidRPr="00D44D33">
        <w:rPr>
          <w:rFonts w:ascii="Times New Roman" w:eastAsia="Times New Roman" w:hAnsi="Times New Roman" w:cs="Times New Roman"/>
          <w:sz w:val="24"/>
          <w:szCs w:val="24"/>
        </w:rPr>
        <w:t xml:space="preserve"> </w:t>
      </w:r>
      <w:r w:rsidR="4A9BF1B8" w:rsidRPr="00D44D33">
        <w:rPr>
          <w:rFonts w:ascii="Times New Roman" w:eastAsia="Times New Roman" w:hAnsi="Times New Roman" w:cs="Times New Roman"/>
          <w:sz w:val="24"/>
          <w:szCs w:val="24"/>
        </w:rPr>
        <w:t>objęto</w:t>
      </w:r>
      <w:r w:rsidR="00970B2E" w:rsidRPr="00D44D33">
        <w:rPr>
          <w:rFonts w:ascii="Times New Roman" w:eastAsia="Times New Roman" w:hAnsi="Times New Roman" w:cs="Times New Roman"/>
          <w:sz w:val="24"/>
          <w:szCs w:val="24"/>
        </w:rPr>
        <w:t xml:space="preserve"> </w:t>
      </w:r>
      <w:r w:rsidR="4A9BF1B8"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A9BF1B8" w:rsidRPr="00D44D33">
        <w:rPr>
          <w:rFonts w:ascii="Times New Roman" w:eastAsia="Times New Roman" w:hAnsi="Times New Roman" w:cs="Times New Roman"/>
          <w:sz w:val="24"/>
          <w:szCs w:val="24"/>
        </w:rPr>
        <w:t>jednakowych</w:t>
      </w:r>
      <w:r w:rsidR="00970B2E" w:rsidRPr="00D44D33">
        <w:rPr>
          <w:rFonts w:ascii="Times New Roman" w:eastAsia="Times New Roman" w:hAnsi="Times New Roman" w:cs="Times New Roman"/>
          <w:sz w:val="24"/>
          <w:szCs w:val="24"/>
        </w:rPr>
        <w:t xml:space="preserve"> </w:t>
      </w:r>
      <w:r w:rsidR="4A9BF1B8" w:rsidRPr="00D44D33">
        <w:rPr>
          <w:rFonts w:ascii="Times New Roman" w:eastAsia="Times New Roman" w:hAnsi="Times New Roman" w:cs="Times New Roman"/>
          <w:sz w:val="24"/>
          <w:szCs w:val="24"/>
        </w:rPr>
        <w:t>zasadach</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udostępnianie</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5CE4FD6E"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04C6CA45" w:rsidRPr="00D44D33">
        <w:rPr>
          <w:rFonts w:ascii="Times New Roman" w:eastAsia="Times New Roman" w:hAnsi="Times New Roman" w:cs="Times New Roman"/>
          <w:sz w:val="24"/>
          <w:szCs w:val="24"/>
        </w:rPr>
        <w:t>Dotyczą</w:t>
      </w:r>
      <w:r w:rsidR="00970B2E" w:rsidRPr="00D44D33">
        <w:rPr>
          <w:rFonts w:ascii="Times New Roman" w:eastAsia="Times New Roman" w:hAnsi="Times New Roman" w:cs="Times New Roman"/>
          <w:sz w:val="24"/>
          <w:szCs w:val="24"/>
        </w:rPr>
        <w:t xml:space="preserve"> </w:t>
      </w:r>
      <w:r w:rsidR="04C6CA45" w:rsidRPr="00D44D33">
        <w:rPr>
          <w:rFonts w:ascii="Times New Roman" w:eastAsia="Times New Roman" w:hAnsi="Times New Roman" w:cs="Times New Roman"/>
          <w:sz w:val="24"/>
          <w:szCs w:val="24"/>
        </w:rPr>
        <w:t>one:</w:t>
      </w:r>
      <w:r w:rsidR="00970B2E" w:rsidRPr="00D44D33">
        <w:rPr>
          <w:rFonts w:ascii="Times New Roman" w:eastAsia="Times New Roman" w:hAnsi="Times New Roman" w:cs="Times New Roman"/>
          <w:sz w:val="24"/>
          <w:szCs w:val="24"/>
        </w:rPr>
        <w:t xml:space="preserve"> </w:t>
      </w:r>
      <w:r w:rsidR="04C6CA45" w:rsidRPr="00D44D33">
        <w:rPr>
          <w:rFonts w:ascii="Times New Roman" w:eastAsia="Times New Roman" w:hAnsi="Times New Roman" w:cs="Times New Roman"/>
          <w:sz w:val="24"/>
          <w:szCs w:val="24"/>
        </w:rPr>
        <w:t>wskazania</w:t>
      </w:r>
      <w:r w:rsidR="642BDEA9"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podstawę</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udostępnienia</w:t>
      </w:r>
      <w:r w:rsidR="00970B2E" w:rsidRPr="00D44D33">
        <w:rPr>
          <w:rFonts w:ascii="Times New Roman" w:eastAsia="Times New Roman" w:hAnsi="Times New Roman" w:cs="Times New Roman"/>
          <w:sz w:val="24"/>
          <w:szCs w:val="24"/>
        </w:rPr>
        <w:t xml:space="preserve"> </w:t>
      </w:r>
      <w:r w:rsidR="7CF79E7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CF79E7C" w:rsidRPr="00D44D33">
        <w:rPr>
          <w:rFonts w:ascii="Times New Roman" w:eastAsia="Times New Roman" w:hAnsi="Times New Roman" w:cs="Times New Roman"/>
          <w:sz w:val="24"/>
          <w:szCs w:val="24"/>
        </w:rPr>
        <w:t>obu</w:t>
      </w:r>
      <w:r w:rsidR="00970B2E" w:rsidRPr="00D44D33">
        <w:rPr>
          <w:rFonts w:ascii="Times New Roman" w:eastAsia="Times New Roman" w:hAnsi="Times New Roman" w:cs="Times New Roman"/>
          <w:sz w:val="24"/>
          <w:szCs w:val="24"/>
        </w:rPr>
        <w:t xml:space="preserve"> </w:t>
      </w:r>
      <w:r w:rsidR="7CF79E7C" w:rsidRPr="00D44D33">
        <w:rPr>
          <w:rFonts w:ascii="Times New Roman" w:eastAsia="Times New Roman" w:hAnsi="Times New Roman" w:cs="Times New Roman"/>
          <w:sz w:val="24"/>
          <w:szCs w:val="24"/>
        </w:rPr>
        <w:t>przypadkach</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pisemne</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3E52AB21" w:rsidRPr="00D44D33">
        <w:rPr>
          <w:rFonts w:ascii="Times New Roman" w:eastAsia="Times New Roman" w:hAnsi="Times New Roman" w:cs="Times New Roman"/>
          <w:sz w:val="24"/>
          <w:szCs w:val="24"/>
        </w:rPr>
        <w:t>ewentualnie</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ustne</w:t>
      </w:r>
      <w:r w:rsidR="00970B2E" w:rsidRPr="00D44D33">
        <w:rPr>
          <w:rFonts w:ascii="Times New Roman" w:eastAsia="Times New Roman" w:hAnsi="Times New Roman" w:cs="Times New Roman"/>
          <w:sz w:val="24"/>
          <w:szCs w:val="24"/>
        </w:rPr>
        <w:t xml:space="preserve"> </w:t>
      </w:r>
      <w:r w:rsidR="642BDEA9" w:rsidRPr="00D44D33">
        <w:rPr>
          <w:rFonts w:ascii="Times New Roman" w:eastAsia="Times New Roman" w:hAnsi="Times New Roman" w:cs="Times New Roman"/>
          <w:sz w:val="24"/>
          <w:szCs w:val="24"/>
        </w:rPr>
        <w:t>żądanie</w:t>
      </w:r>
      <w:r w:rsidR="00970B2E" w:rsidRPr="00D44D33">
        <w:rPr>
          <w:rFonts w:ascii="Times New Roman" w:eastAsia="Times New Roman" w:hAnsi="Times New Roman" w:cs="Times New Roman"/>
          <w:sz w:val="24"/>
          <w:szCs w:val="24"/>
        </w:rPr>
        <w:t xml:space="preserve"> </w:t>
      </w:r>
      <w:r w:rsidR="66A5072F" w:rsidRPr="00D44D33">
        <w:rPr>
          <w:rFonts w:ascii="Times New Roman" w:eastAsia="Times New Roman" w:hAnsi="Times New Roman" w:cs="Times New Roman"/>
          <w:sz w:val="24"/>
          <w:szCs w:val="24"/>
        </w:rPr>
        <w:t>podmiotu</w:t>
      </w:r>
      <w:r w:rsidR="00970B2E" w:rsidRPr="00D44D33">
        <w:rPr>
          <w:rFonts w:ascii="Times New Roman" w:eastAsia="Times New Roman" w:hAnsi="Times New Roman" w:cs="Times New Roman"/>
          <w:sz w:val="24"/>
          <w:szCs w:val="24"/>
        </w:rPr>
        <w:t xml:space="preserve"> </w:t>
      </w:r>
      <w:r w:rsidR="14A208F3" w:rsidRPr="00D44D33">
        <w:rPr>
          <w:rFonts w:ascii="Times New Roman" w:eastAsia="Times New Roman" w:hAnsi="Times New Roman" w:cs="Times New Roman"/>
          <w:sz w:val="24"/>
          <w:szCs w:val="24"/>
        </w:rPr>
        <w:t>żądającego</w:t>
      </w:r>
      <w:r w:rsidR="00970B2E" w:rsidRPr="00D44D33">
        <w:rPr>
          <w:rFonts w:ascii="Times New Roman" w:eastAsia="Times New Roman" w:hAnsi="Times New Roman" w:cs="Times New Roman"/>
          <w:sz w:val="24"/>
          <w:szCs w:val="24"/>
        </w:rPr>
        <w:t xml:space="preserve"> </w:t>
      </w:r>
      <w:r w:rsidR="14A208F3" w:rsidRPr="00D44D33">
        <w:rPr>
          <w:rFonts w:ascii="Times New Roman" w:eastAsia="Times New Roman" w:hAnsi="Times New Roman" w:cs="Times New Roman"/>
          <w:sz w:val="24"/>
          <w:szCs w:val="24"/>
        </w:rPr>
        <w:t>udostępnienia,</w:t>
      </w:r>
      <w:r w:rsidR="00970B2E" w:rsidRPr="00D44D33">
        <w:rPr>
          <w:rFonts w:ascii="Times New Roman" w:eastAsia="Times New Roman" w:hAnsi="Times New Roman" w:cs="Times New Roman"/>
          <w:sz w:val="24"/>
          <w:szCs w:val="24"/>
        </w:rPr>
        <w:t xml:space="preserve"> </w:t>
      </w:r>
      <w:r w:rsidR="14A208F3" w:rsidRPr="00D44D33">
        <w:rPr>
          <w:rFonts w:ascii="Times New Roman" w:eastAsia="Times New Roman" w:hAnsi="Times New Roman" w:cs="Times New Roman"/>
          <w:sz w:val="24"/>
          <w:szCs w:val="24"/>
        </w:rPr>
        <w:t>trybu</w:t>
      </w:r>
      <w:r w:rsidR="00970B2E" w:rsidRPr="00D44D33">
        <w:rPr>
          <w:rFonts w:ascii="Times New Roman" w:eastAsia="Times New Roman" w:hAnsi="Times New Roman" w:cs="Times New Roman"/>
          <w:sz w:val="24"/>
          <w:szCs w:val="24"/>
        </w:rPr>
        <w:t xml:space="preserve"> </w:t>
      </w:r>
      <w:r w:rsidR="14A208F3" w:rsidRPr="00D44D33">
        <w:rPr>
          <w:rFonts w:ascii="Times New Roman" w:eastAsia="Times New Roman" w:hAnsi="Times New Roman" w:cs="Times New Roman"/>
          <w:sz w:val="24"/>
          <w:szCs w:val="24"/>
        </w:rPr>
        <w:t>zwrotu</w:t>
      </w:r>
      <w:r w:rsidR="00970B2E" w:rsidRPr="00D44D33">
        <w:rPr>
          <w:rFonts w:ascii="Times New Roman" w:eastAsia="Times New Roman" w:hAnsi="Times New Roman" w:cs="Times New Roman"/>
          <w:sz w:val="24"/>
          <w:szCs w:val="24"/>
        </w:rPr>
        <w:t xml:space="preserve"> </w:t>
      </w:r>
      <w:r w:rsidR="14A208F3"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postępowania</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utraty</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zniszczenia</w:t>
      </w:r>
      <w:r w:rsidR="00970B2E" w:rsidRPr="00D44D33">
        <w:rPr>
          <w:rFonts w:ascii="Times New Roman" w:eastAsia="Times New Roman" w:hAnsi="Times New Roman" w:cs="Times New Roman"/>
          <w:sz w:val="24"/>
          <w:szCs w:val="24"/>
        </w:rPr>
        <w:t xml:space="preserve"> </w:t>
      </w:r>
      <w:r w:rsidR="313326C5" w:rsidRPr="00D44D33">
        <w:rPr>
          <w:rFonts w:ascii="Times New Roman" w:eastAsia="Times New Roman" w:hAnsi="Times New Roman" w:cs="Times New Roman"/>
          <w:sz w:val="24"/>
          <w:szCs w:val="24"/>
        </w:rPr>
        <w:t>urządzenia</w:t>
      </w:r>
      <w:r w:rsidR="26C8AF5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wraz</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wskazaniem</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podstawy</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prawnej</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dotyczącej</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roszczeń</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26C8AF52" w:rsidRPr="00D44D33">
        <w:rPr>
          <w:rFonts w:ascii="Times New Roman" w:eastAsia="Times New Roman" w:hAnsi="Times New Roman" w:cs="Times New Roman"/>
          <w:sz w:val="24"/>
          <w:szCs w:val="24"/>
        </w:rPr>
        <w:t>odszkodowanie.</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upoważnieniu</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ustawowym</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stanowiącym</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podstawę</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wydania</w:t>
      </w:r>
      <w:r w:rsidR="00970B2E" w:rsidRPr="00D44D33">
        <w:rPr>
          <w:rFonts w:ascii="Times New Roman" w:eastAsia="Times New Roman" w:hAnsi="Times New Roman" w:cs="Times New Roman"/>
          <w:sz w:val="24"/>
          <w:szCs w:val="24"/>
        </w:rPr>
        <w:t xml:space="preserve"> </w:t>
      </w:r>
      <w:r w:rsidR="6F5C7AD8"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ujęto</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potrzebę</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uregulowania</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kwestii</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4D61EB55" w:rsidRPr="00D44D33">
        <w:rPr>
          <w:rFonts w:ascii="Times New Roman" w:eastAsia="Times New Roman" w:hAnsi="Times New Roman" w:cs="Times New Roman"/>
          <w:sz w:val="24"/>
          <w:szCs w:val="24"/>
        </w:rPr>
        <w:t>telekomuni</w:t>
      </w:r>
      <w:r w:rsidR="708E7433" w:rsidRPr="00D44D33">
        <w:rPr>
          <w:rFonts w:ascii="Times New Roman" w:eastAsia="Times New Roman" w:hAnsi="Times New Roman" w:cs="Times New Roman"/>
          <w:sz w:val="24"/>
          <w:szCs w:val="24"/>
        </w:rPr>
        <w:t>kacyjnych</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p</w:t>
      </w:r>
      <w:r w:rsidR="708E7433" w:rsidRPr="00D44D33">
        <w:rPr>
          <w:rFonts w:ascii="Times New Roman" w:eastAsia="Times New Roman" w:hAnsi="Times New Roman" w:cs="Times New Roman"/>
          <w:sz w:val="24"/>
          <w:szCs w:val="24"/>
        </w:rPr>
        <w:t>rzez</w:t>
      </w:r>
      <w:r w:rsidR="00970B2E" w:rsidRPr="00D44D33">
        <w:rPr>
          <w:rFonts w:ascii="Times New Roman" w:eastAsia="Times New Roman" w:hAnsi="Times New Roman" w:cs="Times New Roman"/>
          <w:sz w:val="24"/>
          <w:szCs w:val="24"/>
        </w:rPr>
        <w:t xml:space="preserve"> </w:t>
      </w:r>
      <w:r w:rsidR="708E7433"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708E7433"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708E7433" w:rsidRPr="00D44D33">
        <w:rPr>
          <w:rFonts w:ascii="Times New Roman" w:eastAsia="Times New Roman" w:hAnsi="Times New Roman" w:cs="Times New Roman"/>
          <w:sz w:val="24"/>
          <w:szCs w:val="24"/>
        </w:rPr>
        <w:t>Upoważnienie</w:t>
      </w:r>
      <w:r w:rsidR="00970B2E" w:rsidRPr="00D44D33">
        <w:rPr>
          <w:rFonts w:ascii="Times New Roman" w:eastAsia="Times New Roman" w:hAnsi="Times New Roman" w:cs="Times New Roman"/>
          <w:sz w:val="24"/>
          <w:szCs w:val="24"/>
        </w:rPr>
        <w:t xml:space="preserve"> </w:t>
      </w:r>
      <w:r w:rsidR="708E7433" w:rsidRPr="00D44D33">
        <w:rPr>
          <w:rFonts w:ascii="Times New Roman" w:eastAsia="Times New Roman" w:hAnsi="Times New Roman" w:cs="Times New Roman"/>
          <w:sz w:val="24"/>
          <w:szCs w:val="24"/>
        </w:rPr>
        <w:t>rozszerzono</w:t>
      </w:r>
      <w:r w:rsidR="00970B2E" w:rsidRPr="00D44D33">
        <w:rPr>
          <w:rFonts w:ascii="Times New Roman" w:eastAsia="Times New Roman" w:hAnsi="Times New Roman" w:cs="Times New Roman"/>
          <w:sz w:val="24"/>
          <w:szCs w:val="24"/>
        </w:rPr>
        <w:t xml:space="preserve"> </w:t>
      </w:r>
      <w:r w:rsidR="708E743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6143896F" w:rsidRPr="00D44D33">
        <w:rPr>
          <w:rFonts w:ascii="Times New Roman" w:eastAsia="Times New Roman" w:hAnsi="Times New Roman" w:cs="Times New Roman"/>
          <w:sz w:val="24"/>
          <w:szCs w:val="24"/>
        </w:rPr>
        <w:t>określenie</w:t>
      </w:r>
      <w:r w:rsidR="00970B2E" w:rsidRPr="00D44D33">
        <w:rPr>
          <w:rFonts w:ascii="Times New Roman" w:eastAsia="Times New Roman" w:hAnsi="Times New Roman" w:cs="Times New Roman"/>
          <w:sz w:val="24"/>
          <w:szCs w:val="24"/>
        </w:rPr>
        <w:t xml:space="preserve"> </w:t>
      </w:r>
      <w:r w:rsidR="6143896F" w:rsidRPr="00D44D33">
        <w:rPr>
          <w:rFonts w:ascii="Times New Roman" w:eastAsia="Times New Roman" w:hAnsi="Times New Roman" w:cs="Times New Roman"/>
          <w:sz w:val="24"/>
          <w:szCs w:val="24"/>
        </w:rPr>
        <w:t>trybu</w:t>
      </w:r>
      <w:r w:rsidR="00970B2E" w:rsidRPr="00D44D33">
        <w:rPr>
          <w:rFonts w:ascii="Times New Roman" w:eastAsia="Times New Roman" w:hAnsi="Times New Roman" w:cs="Times New Roman"/>
          <w:sz w:val="24"/>
          <w:szCs w:val="24"/>
        </w:rPr>
        <w:t xml:space="preserve"> </w:t>
      </w:r>
      <w:r w:rsidR="6143896F"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143896F" w:rsidRPr="00D44D33">
        <w:rPr>
          <w:rFonts w:ascii="Times New Roman" w:eastAsia="Times New Roman" w:hAnsi="Times New Roman" w:cs="Times New Roman"/>
          <w:sz w:val="24"/>
          <w:szCs w:val="24"/>
        </w:rPr>
        <w:t>sposobu</w:t>
      </w:r>
      <w:r w:rsidR="00970B2E" w:rsidRPr="00D44D33">
        <w:rPr>
          <w:rFonts w:ascii="Times New Roman" w:eastAsia="Times New Roman" w:hAnsi="Times New Roman" w:cs="Times New Roman"/>
          <w:sz w:val="24"/>
          <w:szCs w:val="24"/>
        </w:rPr>
        <w:t xml:space="preserve"> </w:t>
      </w:r>
      <w:r w:rsidR="6143896F" w:rsidRPr="00D44D33">
        <w:rPr>
          <w:rFonts w:ascii="Times New Roman" w:eastAsia="Times New Roman" w:hAnsi="Times New Roman" w:cs="Times New Roman"/>
          <w:sz w:val="24"/>
          <w:szCs w:val="24"/>
        </w:rPr>
        <w:t>zwrotu</w:t>
      </w:r>
      <w:r w:rsidR="00970B2E" w:rsidRPr="00D44D33">
        <w:rPr>
          <w:rFonts w:ascii="Times New Roman" w:eastAsia="Times New Roman" w:hAnsi="Times New Roman" w:cs="Times New Roman"/>
          <w:sz w:val="24"/>
          <w:szCs w:val="24"/>
        </w:rPr>
        <w:t xml:space="preserve"> </w:t>
      </w:r>
      <w:r w:rsidR="6143896F" w:rsidRPr="00D44D33">
        <w:rPr>
          <w:rFonts w:ascii="Times New Roman" w:eastAsia="Times New Roman" w:hAnsi="Times New Roman" w:cs="Times New Roman"/>
          <w:sz w:val="24"/>
          <w:szCs w:val="24"/>
        </w:rPr>
        <w:t>urządzenia.</w:t>
      </w:r>
    </w:p>
    <w:p w14:paraId="6C82B2A5" w14:textId="2511A6B4" w:rsidR="7707D7C3" w:rsidRPr="00D44D33" w:rsidRDefault="102B146C"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zrezygnowano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179</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fakt,</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zawiera</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on </w:t>
      </w:r>
      <w:r w:rsidR="7447150D" w:rsidRPr="00D44D33">
        <w:rPr>
          <w:rFonts w:ascii="Times New Roman" w:eastAsia="Times New Roman" w:hAnsi="Times New Roman" w:cs="Times New Roman"/>
          <w:sz w:val="24"/>
          <w:szCs w:val="24"/>
        </w:rPr>
        <w:t>normy</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prawnej,</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lecz</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jedynie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informację,</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wykonuje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obowiązki</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zawarte</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planach,</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decyzjach</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umowach</w:t>
      </w:r>
      <w:r w:rsidR="30ED6F6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celem</w:t>
      </w:r>
      <w:r w:rsidR="00970B2E" w:rsidRPr="00D44D33">
        <w:rPr>
          <w:rFonts w:ascii="Times New Roman" w:eastAsia="Times New Roman" w:hAnsi="Times New Roman" w:cs="Times New Roman"/>
          <w:sz w:val="24"/>
          <w:szCs w:val="24"/>
        </w:rPr>
        <w:t xml:space="preserve"> </w:t>
      </w:r>
      <w:r w:rsidR="6F3AC3A4" w:rsidRPr="00D44D33">
        <w:rPr>
          <w:rFonts w:ascii="Times New Roman" w:eastAsia="Times New Roman" w:hAnsi="Times New Roman" w:cs="Times New Roman"/>
          <w:sz w:val="24"/>
          <w:szCs w:val="24"/>
        </w:rPr>
        <w:t>p</w:t>
      </w:r>
      <w:r w:rsidR="30ED6F66" w:rsidRPr="00D44D33">
        <w:rPr>
          <w:rFonts w:ascii="Times New Roman" w:eastAsia="Times New Roman" w:hAnsi="Times New Roman" w:cs="Times New Roman"/>
          <w:sz w:val="24"/>
          <w:szCs w:val="24"/>
        </w:rPr>
        <w:t>rzygotowania</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utrzymania</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wskazanych</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elementów</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30ED6F66" w:rsidRPr="00D44D33">
        <w:rPr>
          <w:rFonts w:ascii="Times New Roman" w:eastAsia="Times New Roman" w:hAnsi="Times New Roman" w:cs="Times New Roman"/>
          <w:sz w:val="24"/>
          <w:szCs w:val="24"/>
        </w:rPr>
        <w:t>telekomunikacyjnyc</w:t>
      </w:r>
      <w:r w:rsidR="54081843" w:rsidRPr="00D44D33">
        <w:rPr>
          <w:rFonts w:ascii="Times New Roman" w:eastAsia="Times New Roman" w:hAnsi="Times New Roman" w:cs="Times New Roman"/>
          <w:sz w:val="24"/>
          <w:szCs w:val="24"/>
        </w:rPr>
        <w:t>h</w:t>
      </w:r>
      <w:r w:rsidR="00970B2E" w:rsidRPr="00D44D33">
        <w:rPr>
          <w:rFonts w:ascii="Times New Roman" w:eastAsia="Times New Roman" w:hAnsi="Times New Roman" w:cs="Times New Roman"/>
          <w:sz w:val="24"/>
          <w:szCs w:val="24"/>
        </w:rPr>
        <w:t xml:space="preserve"> </w:t>
      </w:r>
      <w:r w:rsidR="54081843"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4081843"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54081843" w:rsidRPr="00D44D33">
        <w:rPr>
          <w:rFonts w:ascii="Times New Roman" w:eastAsia="Times New Roman" w:hAnsi="Times New Roman" w:cs="Times New Roman"/>
          <w:sz w:val="24"/>
          <w:szCs w:val="24"/>
        </w:rPr>
        <w:t>systemu</w:t>
      </w:r>
      <w:r w:rsidR="00970B2E" w:rsidRPr="00D44D33">
        <w:rPr>
          <w:rFonts w:ascii="Times New Roman" w:eastAsia="Times New Roman" w:hAnsi="Times New Roman" w:cs="Times New Roman"/>
          <w:sz w:val="24"/>
          <w:szCs w:val="24"/>
        </w:rPr>
        <w:t xml:space="preserve"> </w:t>
      </w:r>
      <w:r w:rsidR="54081843" w:rsidRPr="00D44D33">
        <w:rPr>
          <w:rFonts w:ascii="Times New Roman" w:eastAsia="Times New Roman" w:hAnsi="Times New Roman" w:cs="Times New Roman"/>
          <w:sz w:val="24"/>
          <w:szCs w:val="24"/>
        </w:rPr>
        <w:t>kierowania</w:t>
      </w:r>
      <w:r w:rsidR="00970B2E" w:rsidRPr="00D44D33">
        <w:rPr>
          <w:rFonts w:ascii="Times New Roman" w:eastAsia="Times New Roman" w:hAnsi="Times New Roman" w:cs="Times New Roman"/>
          <w:sz w:val="24"/>
          <w:szCs w:val="24"/>
        </w:rPr>
        <w:t xml:space="preserve"> </w:t>
      </w:r>
      <w:r w:rsidR="54081843" w:rsidRPr="00D44D33">
        <w:rPr>
          <w:rFonts w:ascii="Times New Roman" w:eastAsia="Times New Roman" w:hAnsi="Times New Roman" w:cs="Times New Roman"/>
          <w:sz w:val="24"/>
          <w:szCs w:val="24"/>
        </w:rPr>
        <w:t>bezpieczeństwem</w:t>
      </w:r>
      <w:r w:rsidR="00970B2E" w:rsidRPr="00D44D33">
        <w:rPr>
          <w:rFonts w:ascii="Times New Roman" w:eastAsia="Times New Roman" w:hAnsi="Times New Roman" w:cs="Times New Roman"/>
          <w:sz w:val="24"/>
          <w:szCs w:val="24"/>
        </w:rPr>
        <w:t xml:space="preserve"> </w:t>
      </w:r>
      <w:r w:rsidR="54081843" w:rsidRPr="00D44D33">
        <w:rPr>
          <w:rFonts w:ascii="Times New Roman" w:eastAsia="Times New Roman" w:hAnsi="Times New Roman" w:cs="Times New Roman"/>
          <w:sz w:val="24"/>
          <w:szCs w:val="24"/>
        </w:rPr>
        <w:t>narodowym.</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Taki</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1F8DEA1D"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1F8DEA1D" w:rsidRPr="00D44D33">
        <w:rPr>
          <w:rFonts w:ascii="Times New Roman" w:eastAsia="Times New Roman" w:hAnsi="Times New Roman" w:cs="Times New Roman"/>
          <w:sz w:val="24"/>
          <w:szCs w:val="24"/>
        </w:rPr>
        <w:t>niezrozumiały</w:t>
      </w:r>
      <w:r w:rsidR="00970B2E" w:rsidRPr="00D44D33">
        <w:rPr>
          <w:rFonts w:ascii="Times New Roman" w:eastAsia="Times New Roman" w:hAnsi="Times New Roman" w:cs="Times New Roman"/>
          <w:sz w:val="24"/>
          <w:szCs w:val="24"/>
        </w:rPr>
        <w:t xml:space="preserve"> </w:t>
      </w:r>
      <w:r w:rsidR="1F8DEA1D"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7447150D"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(zwłaszcza</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małego,</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prowadzącego</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8495CEA" w:rsidRPr="00D44D33">
        <w:rPr>
          <w:rFonts w:ascii="Times New Roman" w:eastAsia="Times New Roman" w:hAnsi="Times New Roman" w:cs="Times New Roman"/>
          <w:sz w:val="24"/>
          <w:szCs w:val="24"/>
        </w:rPr>
        <w:t>niewielkim</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obszarze</w:t>
      </w:r>
      <w:r w:rsidR="00970B2E" w:rsidRPr="00D44D33">
        <w:rPr>
          <w:rFonts w:ascii="Times New Roman" w:eastAsia="Times New Roman" w:hAnsi="Times New Roman" w:cs="Times New Roman"/>
          <w:sz w:val="24"/>
          <w:szCs w:val="24"/>
        </w:rPr>
        <w:t xml:space="preserve"> </w:t>
      </w:r>
      <w:r w:rsidR="1843864D" w:rsidRPr="00D44D33">
        <w:rPr>
          <w:rFonts w:ascii="Times New Roman" w:eastAsia="Times New Roman" w:hAnsi="Times New Roman" w:cs="Times New Roman"/>
          <w:sz w:val="24"/>
          <w:szCs w:val="24"/>
        </w:rPr>
        <w:t>kraju)</w:t>
      </w:r>
      <w:r w:rsidR="0D96B50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którego</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dotyczą</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powyższe</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decyzje,</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D96B506" w:rsidRPr="00D44D33">
        <w:rPr>
          <w:rFonts w:ascii="Times New Roman" w:eastAsia="Times New Roman" w:hAnsi="Times New Roman" w:cs="Times New Roman"/>
          <w:sz w:val="24"/>
          <w:szCs w:val="24"/>
        </w:rPr>
        <w:t>plany</w:t>
      </w:r>
      <w:r w:rsidR="7447150D" w:rsidRPr="00D44D33">
        <w:rPr>
          <w:rFonts w:ascii="Times New Roman" w:eastAsia="Times New Roman" w:hAnsi="Times New Roman" w:cs="Times New Roman"/>
          <w:sz w:val="24"/>
          <w:szCs w:val="24"/>
        </w:rPr>
        <w:t>.</w:t>
      </w:r>
    </w:p>
    <w:p w14:paraId="6D0C5202" w14:textId="7EBFFF32" w:rsidR="00AE4E8D" w:rsidRPr="00D44D33" w:rsidRDefault="00AE4E8D"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sz w:val="24"/>
          <w:szCs w:val="24"/>
        </w:rPr>
        <w:t>Art.</w:t>
      </w:r>
      <w:r w:rsidR="00970B2E" w:rsidRPr="00D44D33">
        <w:rPr>
          <w:rFonts w:ascii="Times New Roman" w:eastAsia="Times New Roman" w:hAnsi="Times New Roman" w:cs="Times New Roman"/>
          <w:b/>
          <w:sz w:val="24"/>
          <w:szCs w:val="24"/>
        </w:rPr>
        <w:t xml:space="preserve"> </w:t>
      </w:r>
      <w:r w:rsidR="1DC2D464" w:rsidRPr="00D44D33">
        <w:rPr>
          <w:rFonts w:ascii="Times New Roman" w:eastAsia="Times New Roman" w:hAnsi="Times New Roman" w:cs="Times New Roman"/>
          <w:b/>
          <w:bCs/>
          <w:sz w:val="24"/>
          <w:szCs w:val="24"/>
        </w:rPr>
        <w:t>42</w:t>
      </w:r>
    </w:p>
    <w:p w14:paraId="4C8C4554" w14:textId="1DF4B6ED" w:rsidR="7707D7C3" w:rsidRPr="00D44D33" w:rsidRDefault="6DCEFCC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lastRenderedPageBreak/>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77CCDE92" w:rsidRPr="00D44D33">
        <w:rPr>
          <w:rFonts w:ascii="Times New Roman" w:eastAsia="Times New Roman" w:hAnsi="Times New Roman" w:cs="Times New Roman"/>
          <w:sz w:val="24"/>
          <w:szCs w:val="24"/>
        </w:rPr>
        <w:t>42</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Pke powielono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w:t>
      </w:r>
      <w:r w:rsidR="004F4731" w:rsidRPr="00D44D33">
        <w:rPr>
          <w:rFonts w:ascii="Times New Roman" w:eastAsia="Times New Roman" w:hAnsi="Times New Roman" w:cs="Times New Roman"/>
          <w:sz w:val="24"/>
          <w:szCs w:val="24"/>
        </w:rPr>
        <w:t xml:space="preserve"> Pt</w:t>
      </w:r>
      <w:r w:rsidR="00482725">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dodając,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Ministerstwa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Obrony</w:t>
      </w:r>
      <w:r w:rsidR="00970B2E" w:rsidRPr="00D44D33">
        <w:rPr>
          <w:rFonts w:ascii="Times New Roman" w:eastAsia="Times New Roman" w:hAnsi="Times New Roman" w:cs="Times New Roman"/>
          <w:sz w:val="24"/>
          <w:szCs w:val="24"/>
        </w:rPr>
        <w:t xml:space="preserve"> </w:t>
      </w:r>
      <w:r w:rsidR="7B1C741B" w:rsidRPr="00D44D33">
        <w:rPr>
          <w:rFonts w:ascii="Times New Roman" w:eastAsia="Times New Roman" w:hAnsi="Times New Roman" w:cs="Times New Roman"/>
          <w:sz w:val="24"/>
          <w:szCs w:val="24"/>
        </w:rPr>
        <w:t>Narodowej</w:t>
      </w:r>
      <w:r w:rsidR="00970B2E" w:rsidRPr="00D44D33">
        <w:rPr>
          <w:rFonts w:ascii="Times New Roman" w:eastAsia="Times New Roman" w:hAnsi="Times New Roman" w:cs="Times New Roman"/>
          <w:sz w:val="24"/>
          <w:szCs w:val="24"/>
        </w:rPr>
        <w:t xml:space="preserve"> </w:t>
      </w:r>
      <w:r w:rsidR="2A8EF1BF"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2A8EF1BF"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2A8EF1BF"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2A8EF1BF"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2A8EF1BF"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2A8EF1BF" w:rsidRPr="00D44D33">
        <w:rPr>
          <w:rFonts w:ascii="Times New Roman" w:eastAsia="Times New Roman" w:hAnsi="Times New Roman" w:cs="Times New Roman"/>
          <w:sz w:val="24"/>
          <w:szCs w:val="24"/>
        </w:rPr>
        <w:t>Administracji</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do listy podmiotów</w:t>
      </w:r>
      <w:r w:rsidR="00482725">
        <w:rPr>
          <w:rFonts w:ascii="Times New Roman" w:eastAsia="Times New Roman" w:hAnsi="Times New Roman" w:cs="Times New Roman"/>
          <w:sz w:val="24"/>
          <w:szCs w:val="24"/>
        </w:rPr>
        <w:t>,</w:t>
      </w:r>
      <w:r w:rsidR="004F4731" w:rsidRPr="00D44D33">
        <w:rPr>
          <w:rFonts w:ascii="Times New Roman" w:eastAsia="Times New Roman" w:hAnsi="Times New Roman" w:cs="Times New Roman"/>
          <w:sz w:val="24"/>
          <w:szCs w:val="24"/>
        </w:rPr>
        <w:t xml:space="preserve"> które mogą zarządzić o zastosowaniu urządzeń uniemożliwiających telekomunikację na określonym obszarze </w:t>
      </w:r>
      <w:r w:rsidR="2920049C" w:rsidRPr="00D44D33">
        <w:rPr>
          <w:rFonts w:ascii="Times New Roman" w:eastAsia="Times New Roman" w:hAnsi="Times New Roman" w:cs="Times New Roman"/>
          <w:sz w:val="24"/>
          <w:szCs w:val="24"/>
        </w:rPr>
        <w:t>odpowiednio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w:t>
      </w:r>
      <w:r w:rsidR="287433D8" w:rsidRPr="00D44D33">
        <w:rPr>
          <w:rFonts w:ascii="Times New Roman" w:eastAsia="Times New Roman" w:hAnsi="Times New Roman" w:cs="Times New Roman"/>
          <w:sz w:val="24"/>
          <w:szCs w:val="24"/>
        </w:rPr>
        <w:t>stra</w:t>
      </w:r>
      <w:r w:rsidR="00970B2E" w:rsidRPr="00D44D33">
        <w:rPr>
          <w:rFonts w:ascii="Times New Roman" w:eastAsia="Times New Roman" w:hAnsi="Times New Roman" w:cs="Times New Roman"/>
          <w:sz w:val="24"/>
          <w:szCs w:val="24"/>
        </w:rPr>
        <w:t xml:space="preserve"> </w:t>
      </w:r>
      <w:r w:rsidR="287433D8" w:rsidRPr="00D44D33">
        <w:rPr>
          <w:rFonts w:ascii="Times New Roman" w:eastAsia="Times New Roman" w:hAnsi="Times New Roman" w:cs="Times New Roman"/>
          <w:sz w:val="24"/>
          <w:szCs w:val="24"/>
        </w:rPr>
        <w:t>Obrony</w:t>
      </w:r>
      <w:r w:rsidR="00970B2E" w:rsidRPr="00D44D33">
        <w:rPr>
          <w:rFonts w:ascii="Times New Roman" w:eastAsia="Times New Roman" w:hAnsi="Times New Roman" w:cs="Times New Roman"/>
          <w:sz w:val="24"/>
          <w:szCs w:val="24"/>
        </w:rPr>
        <w:t xml:space="preserve"> </w:t>
      </w:r>
      <w:r w:rsidR="287433D8" w:rsidRPr="00D44D33">
        <w:rPr>
          <w:rFonts w:ascii="Times New Roman" w:eastAsia="Times New Roman" w:hAnsi="Times New Roman" w:cs="Times New Roman"/>
          <w:sz w:val="24"/>
          <w:szCs w:val="24"/>
        </w:rPr>
        <w:t>Narodowej</w:t>
      </w:r>
      <w:r w:rsidR="00970B2E" w:rsidRPr="00D44D33">
        <w:rPr>
          <w:rFonts w:ascii="Times New Roman" w:eastAsia="Times New Roman" w:hAnsi="Times New Roman" w:cs="Times New Roman"/>
          <w:sz w:val="24"/>
          <w:szCs w:val="24"/>
        </w:rPr>
        <w:t xml:space="preserve"> </w:t>
      </w:r>
      <w:r w:rsidR="729B479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07995CC" w:rsidRPr="00D44D33">
        <w:rPr>
          <w:rFonts w:ascii="Times New Roman" w:eastAsia="Times New Roman" w:hAnsi="Times New Roman" w:cs="Times New Roman"/>
          <w:sz w:val="24"/>
          <w:szCs w:val="24"/>
        </w:rPr>
        <w:t>Komendanta</w:t>
      </w:r>
      <w:r w:rsidR="00970B2E" w:rsidRPr="00D44D33">
        <w:rPr>
          <w:rFonts w:ascii="Times New Roman" w:eastAsia="Times New Roman" w:hAnsi="Times New Roman" w:cs="Times New Roman"/>
          <w:sz w:val="24"/>
          <w:szCs w:val="24"/>
        </w:rPr>
        <w:t xml:space="preserve"> </w:t>
      </w:r>
      <w:r w:rsidR="729B4792" w:rsidRPr="00D44D33">
        <w:rPr>
          <w:rFonts w:ascii="Times New Roman" w:eastAsia="Times New Roman" w:hAnsi="Times New Roman" w:cs="Times New Roman"/>
          <w:sz w:val="24"/>
          <w:szCs w:val="24"/>
        </w:rPr>
        <w:t>Centralnego</w:t>
      </w:r>
      <w:r w:rsidR="00970B2E" w:rsidRPr="00D44D33">
        <w:rPr>
          <w:rFonts w:ascii="Times New Roman" w:eastAsia="Times New Roman" w:hAnsi="Times New Roman" w:cs="Times New Roman"/>
          <w:sz w:val="24"/>
          <w:szCs w:val="24"/>
        </w:rPr>
        <w:t xml:space="preserve"> </w:t>
      </w:r>
      <w:r w:rsidR="729B4792" w:rsidRPr="00D44D33">
        <w:rPr>
          <w:rFonts w:ascii="Times New Roman" w:eastAsia="Times New Roman" w:hAnsi="Times New Roman" w:cs="Times New Roman"/>
          <w:sz w:val="24"/>
          <w:szCs w:val="24"/>
        </w:rPr>
        <w:t>Biura</w:t>
      </w:r>
      <w:r w:rsidR="00970B2E" w:rsidRPr="00D44D33">
        <w:rPr>
          <w:rFonts w:ascii="Times New Roman" w:eastAsia="Times New Roman" w:hAnsi="Times New Roman" w:cs="Times New Roman"/>
          <w:sz w:val="24"/>
          <w:szCs w:val="24"/>
        </w:rPr>
        <w:t xml:space="preserve"> </w:t>
      </w:r>
      <w:r w:rsidR="729B4792" w:rsidRPr="00D44D33">
        <w:rPr>
          <w:rFonts w:ascii="Times New Roman" w:eastAsia="Times New Roman" w:hAnsi="Times New Roman" w:cs="Times New Roman"/>
          <w:sz w:val="24"/>
          <w:szCs w:val="24"/>
        </w:rPr>
        <w:t>Śledczego</w:t>
      </w:r>
      <w:r w:rsidR="00970B2E" w:rsidRPr="00D44D33">
        <w:rPr>
          <w:rFonts w:ascii="Times New Roman" w:eastAsia="Times New Roman" w:hAnsi="Times New Roman" w:cs="Times New Roman"/>
          <w:sz w:val="24"/>
          <w:szCs w:val="24"/>
        </w:rPr>
        <w:t xml:space="preserve"> </w:t>
      </w:r>
      <w:r w:rsidR="729B4792" w:rsidRPr="00D44D33">
        <w:rPr>
          <w:rFonts w:ascii="Times New Roman" w:eastAsia="Times New Roman" w:hAnsi="Times New Roman" w:cs="Times New Roman"/>
          <w:sz w:val="24"/>
          <w:szCs w:val="24"/>
        </w:rPr>
        <w:t>Policji</w:t>
      </w:r>
      <w:r w:rsidR="287433D8" w:rsidRPr="00D44D33">
        <w:rPr>
          <w:rFonts w:ascii="Times New Roman" w:eastAsia="Times New Roman" w:hAnsi="Times New Roman" w:cs="Times New Roman"/>
          <w:sz w:val="24"/>
          <w:szCs w:val="24"/>
        </w:rPr>
        <w:t>.</w:t>
      </w:r>
    </w:p>
    <w:p w14:paraId="22E0D3B5" w14:textId="75831CE7" w:rsidR="004C03E7" w:rsidRPr="00D44D33" w:rsidRDefault="00547125" w:rsidP="00D44D33">
      <w:pPr>
        <w:spacing w:line="360" w:lineRule="auto"/>
        <w:jc w:val="both"/>
        <w:rPr>
          <w:rFonts w:ascii="Times New Roman" w:hAnsi="Times New Roman" w:cs="Times New Roman"/>
          <w:sz w:val="24"/>
          <w:szCs w:val="24"/>
          <w:lang w:eastAsia="pl-PL"/>
        </w:rPr>
      </w:pPr>
      <w:r w:rsidRPr="00D44D33">
        <w:rPr>
          <w:rFonts w:ascii="Times New Roman" w:hAnsi="Times New Roman" w:cs="Times New Roman"/>
          <w:color w:val="333333"/>
          <w:sz w:val="24"/>
          <w:szCs w:val="24"/>
          <w:shd w:val="clear" w:color="auto" w:fill="FFFFFF"/>
        </w:rPr>
        <w:t>P</w:t>
      </w:r>
      <w:r w:rsidRPr="00D44D33">
        <w:rPr>
          <w:rFonts w:ascii="Times New Roman" w:hAnsi="Times New Roman" w:cs="Times New Roman"/>
          <w:sz w:val="24"/>
          <w:szCs w:val="24"/>
          <w:lang w:eastAsia="pl-PL"/>
        </w:rPr>
        <w:t>rojektowana ustawa</w:t>
      </w:r>
      <w:r w:rsidR="00371EEA">
        <w:rPr>
          <w:rFonts w:ascii="Times New Roman" w:hAnsi="Times New Roman" w:cs="Times New Roman"/>
          <w:sz w:val="24"/>
          <w:szCs w:val="24"/>
          <w:lang w:eastAsia="pl-PL"/>
        </w:rPr>
        <w:t>,</w:t>
      </w:r>
      <w:r w:rsidRPr="00D44D33">
        <w:rPr>
          <w:rFonts w:ascii="Times New Roman" w:hAnsi="Times New Roman" w:cs="Times New Roman"/>
          <w:sz w:val="24"/>
          <w:szCs w:val="24"/>
          <w:lang w:eastAsia="pl-PL"/>
        </w:rPr>
        <w:t xml:space="preserve"> tworząc nową kategorię podmiotów tj. podmioty świadczące publicznie dostępną usługę komunikacji interpersonalnej niewykorzystując</w:t>
      </w:r>
      <w:r w:rsidR="004B5FAB" w:rsidRPr="00D44D33">
        <w:rPr>
          <w:rFonts w:ascii="Times New Roman" w:hAnsi="Times New Roman" w:cs="Times New Roman"/>
          <w:sz w:val="24"/>
          <w:szCs w:val="24"/>
          <w:lang w:eastAsia="pl-PL"/>
        </w:rPr>
        <w:t>ej</w:t>
      </w:r>
      <w:r w:rsidRPr="00D44D33">
        <w:rPr>
          <w:rFonts w:ascii="Times New Roman" w:hAnsi="Times New Roman" w:cs="Times New Roman"/>
          <w:sz w:val="24"/>
          <w:szCs w:val="24"/>
          <w:lang w:eastAsia="pl-PL"/>
        </w:rPr>
        <w:t xml:space="preserve"> numerów w ramach przedsiębiorców komunikacji elektronicznej, nakłada na </w:t>
      </w:r>
      <w:r w:rsidR="00066B34" w:rsidRPr="00D44D33">
        <w:rPr>
          <w:rFonts w:ascii="Times New Roman" w:hAnsi="Times New Roman" w:cs="Times New Roman"/>
          <w:sz w:val="24"/>
          <w:szCs w:val="24"/>
          <w:lang w:eastAsia="pl-PL"/>
        </w:rPr>
        <w:t>te podmioty</w:t>
      </w:r>
      <w:r w:rsidRPr="00D44D33">
        <w:rPr>
          <w:rFonts w:ascii="Times New Roman" w:hAnsi="Times New Roman" w:cs="Times New Roman"/>
          <w:sz w:val="24"/>
          <w:szCs w:val="24"/>
          <w:lang w:eastAsia="pl-PL"/>
        </w:rPr>
        <w:t xml:space="preserve"> obowiązki na rzecz bezpieczeństwa państwa oraz bezpieczeństwa i porządku publicznego w zakresie dotyczącym dostępu do danych związanych ze świadczonymi usługami komunikacji elektronicznej.</w:t>
      </w:r>
    </w:p>
    <w:p w14:paraId="2F4862CB" w14:textId="24EFFAFC" w:rsidR="004C03E7" w:rsidRPr="00D44D33" w:rsidRDefault="004C03E7" w:rsidP="00D44D33">
      <w:pPr>
        <w:spacing w:line="360" w:lineRule="auto"/>
        <w:jc w:val="both"/>
        <w:rPr>
          <w:rFonts w:ascii="Times New Roman" w:hAnsi="Times New Roman" w:cs="Times New Roman"/>
          <w:sz w:val="24"/>
          <w:szCs w:val="24"/>
          <w:lang w:eastAsia="pl-PL"/>
        </w:rPr>
      </w:pPr>
      <w:r w:rsidRPr="00D44D33">
        <w:rPr>
          <w:rFonts w:ascii="Times New Roman" w:hAnsi="Times New Roman" w:cs="Times New Roman"/>
          <w:sz w:val="24"/>
          <w:szCs w:val="24"/>
          <w:lang w:eastAsia="pl-PL"/>
        </w:rPr>
        <w:t xml:space="preserve">Rozszerzenie katalogu podmiotów, na których są nakładane obowiązki w art. 43–53, z przedsiębiorców telekomunikacyjnych na przedsiębiorców komunikacji elektronicznej, nastąpiło na żądanie </w:t>
      </w:r>
      <w:r w:rsidR="00FA3FA7" w:rsidRPr="00D44D33">
        <w:rPr>
          <w:rFonts w:ascii="Times New Roman" w:hAnsi="Times New Roman" w:cs="Times New Roman"/>
          <w:sz w:val="24"/>
          <w:szCs w:val="24"/>
          <w:lang w:eastAsia="pl-PL"/>
        </w:rPr>
        <w:t>M</w:t>
      </w:r>
      <w:r w:rsidRPr="00D44D33">
        <w:rPr>
          <w:rFonts w:ascii="Times New Roman" w:hAnsi="Times New Roman" w:cs="Times New Roman"/>
          <w:sz w:val="24"/>
          <w:szCs w:val="24"/>
          <w:lang w:eastAsia="pl-PL"/>
        </w:rPr>
        <w:t xml:space="preserve">inistra </w:t>
      </w:r>
      <w:r w:rsidR="00FA3FA7" w:rsidRPr="00D44D33">
        <w:rPr>
          <w:rFonts w:ascii="Times New Roman" w:hAnsi="Times New Roman" w:cs="Times New Roman"/>
          <w:sz w:val="24"/>
          <w:szCs w:val="24"/>
          <w:lang w:eastAsia="pl-PL"/>
        </w:rPr>
        <w:t>O</w:t>
      </w:r>
      <w:r w:rsidRPr="00D44D33">
        <w:rPr>
          <w:rFonts w:ascii="Times New Roman" w:hAnsi="Times New Roman" w:cs="Times New Roman"/>
          <w:sz w:val="24"/>
          <w:szCs w:val="24"/>
          <w:lang w:eastAsia="pl-PL"/>
        </w:rPr>
        <w:t xml:space="preserve">brony </w:t>
      </w:r>
      <w:r w:rsidR="00FA3FA7" w:rsidRPr="00D44D33">
        <w:rPr>
          <w:rFonts w:ascii="Times New Roman" w:hAnsi="Times New Roman" w:cs="Times New Roman"/>
          <w:sz w:val="24"/>
          <w:szCs w:val="24"/>
          <w:lang w:eastAsia="pl-PL"/>
        </w:rPr>
        <w:t>N</w:t>
      </w:r>
      <w:r w:rsidRPr="00D44D33">
        <w:rPr>
          <w:rFonts w:ascii="Times New Roman" w:hAnsi="Times New Roman" w:cs="Times New Roman"/>
          <w:sz w:val="24"/>
          <w:szCs w:val="24"/>
          <w:lang w:eastAsia="pl-PL"/>
        </w:rPr>
        <w:t xml:space="preserve">arodowej oraz </w:t>
      </w:r>
      <w:r w:rsidR="00FA3FA7" w:rsidRPr="00D44D33">
        <w:rPr>
          <w:rFonts w:ascii="Times New Roman" w:hAnsi="Times New Roman" w:cs="Times New Roman"/>
          <w:sz w:val="24"/>
          <w:szCs w:val="24"/>
          <w:lang w:eastAsia="pl-PL"/>
        </w:rPr>
        <w:t>M</w:t>
      </w:r>
      <w:r w:rsidRPr="00D44D33">
        <w:rPr>
          <w:rFonts w:ascii="Times New Roman" w:hAnsi="Times New Roman" w:cs="Times New Roman"/>
          <w:sz w:val="24"/>
          <w:szCs w:val="24"/>
          <w:lang w:eastAsia="pl-PL"/>
        </w:rPr>
        <w:t xml:space="preserve">inistra </w:t>
      </w:r>
      <w:r w:rsidR="00FA3FA7" w:rsidRPr="00D44D33">
        <w:rPr>
          <w:rFonts w:ascii="Times New Roman" w:hAnsi="Times New Roman" w:cs="Times New Roman"/>
          <w:sz w:val="24"/>
          <w:szCs w:val="24"/>
          <w:lang w:eastAsia="pl-PL"/>
        </w:rPr>
        <w:t>K</w:t>
      </w:r>
      <w:r w:rsidRPr="00D44D33">
        <w:rPr>
          <w:rFonts w:ascii="Times New Roman" w:hAnsi="Times New Roman" w:cs="Times New Roman"/>
          <w:sz w:val="24"/>
          <w:szCs w:val="24"/>
          <w:lang w:eastAsia="pl-PL"/>
        </w:rPr>
        <w:t xml:space="preserve">oordynatora </w:t>
      </w:r>
      <w:r w:rsidR="00FA3FA7" w:rsidRPr="00D44D33">
        <w:rPr>
          <w:rFonts w:ascii="Times New Roman" w:hAnsi="Times New Roman" w:cs="Times New Roman"/>
          <w:sz w:val="24"/>
          <w:szCs w:val="24"/>
          <w:lang w:eastAsia="pl-PL"/>
        </w:rPr>
        <w:t>S</w:t>
      </w:r>
      <w:r w:rsidRPr="00D44D33">
        <w:rPr>
          <w:rFonts w:ascii="Times New Roman" w:hAnsi="Times New Roman" w:cs="Times New Roman"/>
          <w:sz w:val="24"/>
          <w:szCs w:val="24"/>
          <w:lang w:eastAsia="pl-PL"/>
        </w:rPr>
        <w:t xml:space="preserve">łużb </w:t>
      </w:r>
      <w:r w:rsidR="00FA3FA7" w:rsidRPr="00D44D33">
        <w:rPr>
          <w:rFonts w:ascii="Times New Roman" w:hAnsi="Times New Roman" w:cs="Times New Roman"/>
          <w:sz w:val="24"/>
          <w:szCs w:val="24"/>
          <w:lang w:eastAsia="pl-PL"/>
        </w:rPr>
        <w:t>S</w:t>
      </w:r>
      <w:r w:rsidRPr="00D44D33">
        <w:rPr>
          <w:rFonts w:ascii="Times New Roman" w:hAnsi="Times New Roman" w:cs="Times New Roman"/>
          <w:sz w:val="24"/>
          <w:szCs w:val="24"/>
          <w:lang w:eastAsia="pl-PL"/>
        </w:rPr>
        <w:t>pecjalnych.</w:t>
      </w:r>
    </w:p>
    <w:p w14:paraId="2B041DBB" w14:textId="5D3B2B25" w:rsidR="00547125" w:rsidRPr="00D44D33" w:rsidRDefault="00547125" w:rsidP="00D44D33">
      <w:pPr>
        <w:spacing w:line="360" w:lineRule="auto"/>
        <w:jc w:val="both"/>
        <w:rPr>
          <w:rFonts w:ascii="Times New Roman" w:eastAsia="Times New Roman" w:hAnsi="Times New Roman" w:cs="Times New Roman"/>
          <w:sz w:val="24"/>
          <w:szCs w:val="24"/>
        </w:rPr>
      </w:pPr>
      <w:r w:rsidRPr="00D44D33">
        <w:rPr>
          <w:rFonts w:ascii="Times New Roman" w:hAnsi="Times New Roman" w:cs="Times New Roman"/>
          <w:sz w:val="24"/>
          <w:szCs w:val="24"/>
          <w:lang w:eastAsia="pl-PL"/>
        </w:rPr>
        <w:t>Mając na względzie rozwój technologii oraz dużo korzystniejsze z biznesowego punktu widzenia zasady funkcjonowania podmiotu świadczącego publicznie dostępną usługę komunikacji interpersonalnej niewykorzystującą numerów</w:t>
      </w:r>
      <w:r w:rsidR="00482725">
        <w:rPr>
          <w:rFonts w:ascii="Times New Roman" w:hAnsi="Times New Roman" w:cs="Times New Roman"/>
          <w:sz w:val="24"/>
          <w:szCs w:val="24"/>
          <w:lang w:eastAsia="pl-PL"/>
        </w:rPr>
        <w:t>,</w:t>
      </w:r>
      <w:r w:rsidRPr="00D44D33">
        <w:rPr>
          <w:rFonts w:ascii="Times New Roman" w:hAnsi="Times New Roman" w:cs="Times New Roman"/>
          <w:sz w:val="24"/>
          <w:szCs w:val="24"/>
          <w:lang w:eastAsia="pl-PL"/>
        </w:rPr>
        <w:t xml:space="preserve"> należy spodziewać się, że w niedalekiej przyszłości istotna część działalności dotychczasowych przedsiębiorców telekomunikacyjnych </w:t>
      </w:r>
      <w:r w:rsidRPr="00D44D33">
        <w:rPr>
          <w:rFonts w:ascii="Times New Roman" w:hAnsi="Times New Roman" w:cs="Times New Roman"/>
          <w:sz w:val="24"/>
          <w:szCs w:val="24"/>
          <w:lang w:eastAsia="pl-PL"/>
        </w:rPr>
        <w:lastRenderedPageBreak/>
        <w:t>zostanie przeniesiona do segmentu tych podmiotów, a tym samym zostałaby wyłączona z obszaru podlegającego realizacji obowiązków na potrzeby bezpieczeństwa państwa oraz bezpieczeństwa i porządku publicznego.</w:t>
      </w:r>
    </w:p>
    <w:p w14:paraId="3C4C9104" w14:textId="2D2182AB" w:rsidR="6F412A00" w:rsidRPr="00D44D33" w:rsidRDefault="4B3366F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kolejnych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artykułach</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Pke </w:t>
      </w:r>
      <w:r w:rsidR="00884159" w:rsidRPr="00D44D33">
        <w:rPr>
          <w:rFonts w:ascii="Times New Roman" w:eastAsia="Times New Roman" w:hAnsi="Times New Roman" w:cs="Times New Roman"/>
          <w:b/>
          <w:bCs/>
          <w:sz w:val="24"/>
          <w:szCs w:val="24"/>
        </w:rPr>
        <w:t>43</w:t>
      </w:r>
      <w:r w:rsidR="00482725">
        <w:rPr>
          <w:rFonts w:ascii="Times New Roman" w:eastAsia="Times New Roman" w:hAnsi="Times New Roman" w:cs="Times New Roman"/>
          <w:b/>
          <w:bCs/>
          <w:sz w:val="24"/>
          <w:szCs w:val="24"/>
        </w:rPr>
        <w:t>–</w:t>
      </w:r>
      <w:r w:rsidR="00E102CA" w:rsidRPr="00D44D33">
        <w:rPr>
          <w:rFonts w:ascii="Times New Roman" w:eastAsia="Times New Roman" w:hAnsi="Times New Roman" w:cs="Times New Roman"/>
          <w:b/>
          <w:bCs/>
          <w:sz w:val="24"/>
          <w:szCs w:val="24"/>
        </w:rPr>
        <w:t>51</w:t>
      </w:r>
      <w:r w:rsidR="00884159" w:rsidRPr="00D44D33">
        <w:rPr>
          <w:rFonts w:ascii="Times New Roman" w:eastAsia="Times New Roman" w:hAnsi="Times New Roman" w:cs="Times New Roman"/>
          <w:sz w:val="24"/>
          <w:szCs w:val="24"/>
        </w:rPr>
        <w:t xml:space="preserve"> </w:t>
      </w:r>
      <w:r w:rsidR="6F412A00" w:rsidRPr="00D44D33">
        <w:rPr>
          <w:rFonts w:ascii="Times New Roman" w:eastAsia="Times New Roman" w:hAnsi="Times New Roman" w:cs="Times New Roman"/>
          <w:sz w:val="24"/>
          <w:szCs w:val="24"/>
        </w:rPr>
        <w:t>ujęte</w:t>
      </w:r>
      <w:r w:rsidR="00970B2E" w:rsidRPr="00D44D33">
        <w:rPr>
          <w:rFonts w:ascii="Times New Roman" w:eastAsia="Times New Roman" w:hAnsi="Times New Roman" w:cs="Times New Roman"/>
          <w:sz w:val="24"/>
          <w:szCs w:val="24"/>
        </w:rPr>
        <w:t xml:space="preserve"> </w:t>
      </w:r>
      <w:r w:rsidR="6F412A00"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6F412A00"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6F412A00" w:rsidRPr="00D44D33">
        <w:rPr>
          <w:rFonts w:ascii="Times New Roman" w:eastAsia="Times New Roman" w:hAnsi="Times New Roman" w:cs="Times New Roman"/>
          <w:sz w:val="24"/>
          <w:szCs w:val="24"/>
        </w:rPr>
        <w:t>dotyczące:</w:t>
      </w:r>
    </w:p>
    <w:p w14:paraId="606416B3" w14:textId="1588F9F4" w:rsidR="6F412A00" w:rsidRPr="00D44D33" w:rsidRDefault="6F412A00" w:rsidP="00D44D33">
      <w:pPr>
        <w:pStyle w:val="Akapitzlist"/>
        <w:numPr>
          <w:ilvl w:val="0"/>
          <w:numId w:val="98"/>
        </w:numPr>
        <w:spacing w:before="120" w:after="120" w:line="360" w:lineRule="auto"/>
        <w:ind w:left="709"/>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 xml:space="preserve">komunikacji elektronicznej </w:t>
      </w:r>
      <w:r w:rsidR="00984088" w:rsidRPr="00D44D33">
        <w:rPr>
          <w:rFonts w:ascii="Times New Roman" w:eastAsia="Times New Roman" w:hAnsi="Times New Roman" w:cs="Times New Roman"/>
          <w:sz w:val="24"/>
          <w:szCs w:val="24"/>
        </w:rPr>
        <w:t>„</w:t>
      </w:r>
      <w:r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utrwalania</w:t>
      </w:r>
      <w:r w:rsidR="62101A0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DD29C4" w:rsidRPr="00D44D33">
        <w:rPr>
          <w:rFonts w:ascii="Times New Roman" w:eastAsia="Times New Roman" w:hAnsi="Times New Roman" w:cs="Times New Roman"/>
          <w:sz w:val="24"/>
          <w:szCs w:val="24"/>
        </w:rPr>
        <w:t>43</w:t>
      </w:r>
      <w:r w:rsidRPr="00D44D33">
        <w:rPr>
          <w:rFonts w:ascii="Times New Roman" w:eastAsia="Times New Roman" w:hAnsi="Times New Roman" w:cs="Times New Roman"/>
          <w:sz w:val="24"/>
          <w:szCs w:val="24"/>
        </w:rPr>
        <w:t>,</w:t>
      </w:r>
      <w:r w:rsidR="00322CC1"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39C95DE9" w:rsidRPr="00D44D33">
        <w:rPr>
          <w:rFonts w:ascii="Times New Roman" w:eastAsia="Times New Roman" w:hAnsi="Times New Roman" w:cs="Times New Roman"/>
          <w:sz w:val="24"/>
          <w:szCs w:val="24"/>
        </w:rPr>
        <w:t>44</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4F4731" w:rsidRPr="00D44D33">
        <w:rPr>
          <w:rFonts w:ascii="Times New Roman" w:eastAsia="Times New Roman" w:hAnsi="Times New Roman" w:cs="Times New Roman"/>
          <w:sz w:val="24"/>
          <w:szCs w:val="24"/>
        </w:rPr>
        <w:t xml:space="preserve"> art.</w:t>
      </w:r>
      <w:r w:rsidR="00970B2E" w:rsidRPr="00D44D33">
        <w:rPr>
          <w:rFonts w:ascii="Times New Roman" w:eastAsia="Times New Roman" w:hAnsi="Times New Roman" w:cs="Times New Roman"/>
          <w:sz w:val="24"/>
          <w:szCs w:val="24"/>
        </w:rPr>
        <w:t xml:space="preserve"> </w:t>
      </w:r>
      <w:r w:rsidR="00B1F38C" w:rsidRPr="00D44D33">
        <w:rPr>
          <w:rFonts w:ascii="Times New Roman" w:eastAsia="Times New Roman" w:hAnsi="Times New Roman" w:cs="Times New Roman"/>
          <w:sz w:val="24"/>
          <w:szCs w:val="24"/>
        </w:rPr>
        <w:t>46</w:t>
      </w:r>
      <w:r w:rsidRPr="00D44D33">
        <w:rPr>
          <w:rFonts w:ascii="Times New Roman" w:eastAsia="Times New Roman" w:hAnsi="Times New Roman" w:cs="Times New Roman"/>
          <w:sz w:val="24"/>
          <w:szCs w:val="24"/>
        </w:rPr>
        <w:t>),</w:t>
      </w:r>
    </w:p>
    <w:p w14:paraId="7AC7BF78" w14:textId="402B8661" w:rsidR="6F412A00" w:rsidRPr="00D44D33" w:rsidRDefault="1B7A059E" w:rsidP="00D44D33">
      <w:pPr>
        <w:pStyle w:val="Akapitzlist"/>
        <w:numPr>
          <w:ilvl w:val="0"/>
          <w:numId w:val="98"/>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przygotowania</w:t>
      </w:r>
      <w:r w:rsidR="00970B2E" w:rsidRPr="00D44D33">
        <w:rPr>
          <w:rFonts w:ascii="Times New Roman" w:eastAsia="Times New Roman" w:hAnsi="Times New Roman" w:cs="Times New Roman"/>
          <w:sz w:val="24"/>
          <w:szCs w:val="24"/>
        </w:rPr>
        <w:t xml:space="preserve"> </w:t>
      </w:r>
      <w:r w:rsidR="0CFAA032"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1EF63028" w:rsidRPr="00D44D33">
        <w:rPr>
          <w:rFonts w:ascii="Times New Roman" w:eastAsia="Times New Roman" w:hAnsi="Times New Roman" w:cs="Times New Roman"/>
          <w:sz w:val="24"/>
          <w:szCs w:val="24"/>
        </w:rPr>
        <w:t>technicznych</w:t>
      </w:r>
      <w:r w:rsidR="00970B2E" w:rsidRPr="00D44D33">
        <w:rPr>
          <w:rFonts w:ascii="Times New Roman" w:eastAsia="Times New Roman" w:hAnsi="Times New Roman" w:cs="Times New Roman"/>
          <w:sz w:val="24"/>
          <w:szCs w:val="24"/>
        </w:rPr>
        <w:t xml:space="preserve"> </w:t>
      </w:r>
      <w:r w:rsidR="1EF63028"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F63028" w:rsidRPr="00D44D33">
        <w:rPr>
          <w:rFonts w:ascii="Times New Roman" w:eastAsia="Times New Roman" w:hAnsi="Times New Roman" w:cs="Times New Roman"/>
          <w:sz w:val="24"/>
          <w:szCs w:val="24"/>
        </w:rPr>
        <w:t>organizacyjnych</w:t>
      </w:r>
      <w:r w:rsidR="00970B2E" w:rsidRPr="00D44D33">
        <w:rPr>
          <w:rFonts w:ascii="Times New Roman" w:eastAsia="Times New Roman" w:hAnsi="Times New Roman" w:cs="Times New Roman"/>
          <w:sz w:val="24"/>
          <w:szCs w:val="24"/>
        </w:rPr>
        <w:t xml:space="preserve"> </w:t>
      </w:r>
      <w:r w:rsidR="1EF63028"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EF63028"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1EF63028"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przetwarzanych</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sądowi</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prokuratorowi</w:t>
      </w:r>
      <w:r w:rsidR="00970B2E" w:rsidRPr="00D44D33">
        <w:rPr>
          <w:rFonts w:ascii="Times New Roman" w:eastAsia="Times New Roman" w:hAnsi="Times New Roman" w:cs="Times New Roman"/>
          <w:sz w:val="24"/>
          <w:szCs w:val="24"/>
        </w:rPr>
        <w:t xml:space="preserve"> </w:t>
      </w:r>
      <w:r w:rsidR="00E97BFD"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2996166E" w:rsidRPr="00D44D33">
        <w:rPr>
          <w:rFonts w:ascii="Times New Roman" w:eastAsia="Times New Roman" w:hAnsi="Times New Roman" w:cs="Times New Roman"/>
          <w:sz w:val="24"/>
          <w:szCs w:val="24"/>
        </w:rPr>
        <w:t>45</w:t>
      </w:r>
      <w:r w:rsidR="004F4731" w:rsidRPr="00D44D33">
        <w:rPr>
          <w:rFonts w:ascii="Times New Roman" w:eastAsia="Times New Roman" w:hAnsi="Times New Roman" w:cs="Times New Roman"/>
          <w:sz w:val="24"/>
          <w:szCs w:val="24"/>
        </w:rPr>
        <w:t xml:space="preserve"> i</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art. </w:t>
      </w:r>
      <w:r w:rsidR="185C04EB" w:rsidRPr="00D44D33">
        <w:rPr>
          <w:rFonts w:ascii="Times New Roman" w:eastAsia="Times New Roman" w:hAnsi="Times New Roman" w:cs="Times New Roman"/>
          <w:sz w:val="24"/>
          <w:szCs w:val="24"/>
        </w:rPr>
        <w:t>46</w:t>
      </w:r>
      <w:r w:rsidR="00E97BFD" w:rsidRPr="00D44D33">
        <w:rPr>
          <w:rFonts w:ascii="Times New Roman" w:eastAsia="Times New Roman" w:hAnsi="Times New Roman" w:cs="Times New Roman"/>
          <w:sz w:val="24"/>
          <w:szCs w:val="24"/>
        </w:rPr>
        <w:t>),</w:t>
      </w:r>
    </w:p>
    <w:p w14:paraId="6E45EA0F" w14:textId="3D007EBA" w:rsidR="00E102CA" w:rsidRPr="00D44D33" w:rsidRDefault="1FC1F951" w:rsidP="00D44D33">
      <w:pPr>
        <w:pStyle w:val="Akapitzlist"/>
        <w:numPr>
          <w:ilvl w:val="0"/>
          <w:numId w:val="98"/>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zatrzymywania,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przechowywania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004F4731" w:rsidRPr="00D44D33">
        <w:rPr>
          <w:rFonts w:ascii="Times New Roman" w:eastAsia="Times New Roman" w:hAnsi="Times New Roman" w:cs="Times New Roman"/>
          <w:sz w:val="24"/>
          <w:szCs w:val="24"/>
        </w:rPr>
        <w:t xml:space="preserve">przez </w:t>
      </w:r>
      <w:r w:rsidR="100FEA16"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4653DC1" w:rsidRPr="00D44D33">
        <w:rPr>
          <w:rFonts w:ascii="Times New Roman" w:eastAsia="Times New Roman" w:hAnsi="Times New Roman" w:cs="Times New Roman"/>
          <w:sz w:val="24"/>
          <w:szCs w:val="24"/>
        </w:rPr>
        <w:t>47</w:t>
      </w:r>
      <w:r w:rsidR="00984088" w:rsidRPr="00D44D33">
        <w:rPr>
          <w:rFonts w:ascii="Times New Roman" w:hAnsi="Times New Roman" w:cs="Times New Roman"/>
          <w:b/>
          <w:sz w:val="24"/>
          <w:szCs w:val="24"/>
        </w:rPr>
        <w:t>–</w:t>
      </w:r>
      <w:r w:rsidR="24F95727" w:rsidRPr="00D44D33">
        <w:rPr>
          <w:rFonts w:ascii="Times New Roman" w:eastAsia="Times New Roman" w:hAnsi="Times New Roman" w:cs="Times New Roman"/>
          <w:sz w:val="24"/>
          <w:szCs w:val="24"/>
        </w:rPr>
        <w:t>4</w:t>
      </w:r>
      <w:r w:rsidR="1010DBCE" w:rsidRPr="00D44D33">
        <w:rPr>
          <w:rFonts w:ascii="Times New Roman" w:eastAsia="Times New Roman" w:hAnsi="Times New Roman" w:cs="Times New Roman"/>
          <w:sz w:val="24"/>
          <w:szCs w:val="24"/>
        </w:rPr>
        <w:t>9</w:t>
      </w:r>
      <w:r w:rsidRPr="00D44D33">
        <w:rPr>
          <w:rFonts w:ascii="Times New Roman" w:eastAsia="Times New Roman" w:hAnsi="Times New Roman" w:cs="Times New Roman"/>
          <w:sz w:val="24"/>
          <w:szCs w:val="24"/>
        </w:rPr>
        <w:t>)</w:t>
      </w:r>
      <w:r w:rsidR="6E9A0BB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E9A0BB3" w:rsidRPr="00D44D33">
        <w:rPr>
          <w:rFonts w:ascii="Times New Roman" w:eastAsia="Times New Roman" w:hAnsi="Times New Roman" w:cs="Times New Roman"/>
          <w:sz w:val="24"/>
          <w:szCs w:val="24"/>
        </w:rPr>
        <w:t>zwanych</w:t>
      </w:r>
      <w:r w:rsidR="00970B2E" w:rsidRPr="00D44D33">
        <w:rPr>
          <w:rFonts w:ascii="Times New Roman" w:eastAsia="Times New Roman" w:hAnsi="Times New Roman" w:cs="Times New Roman"/>
          <w:sz w:val="24"/>
          <w:szCs w:val="24"/>
        </w:rPr>
        <w:t xml:space="preserve"> </w:t>
      </w:r>
      <w:r w:rsidR="6E9A0BB3" w:rsidRPr="00D44D33">
        <w:rPr>
          <w:rFonts w:ascii="Times New Roman" w:eastAsia="Times New Roman" w:hAnsi="Times New Roman" w:cs="Times New Roman"/>
          <w:sz w:val="24"/>
          <w:szCs w:val="24"/>
        </w:rPr>
        <w:t>dalej</w:t>
      </w:r>
      <w:r w:rsidR="004F4731" w:rsidRPr="00D44D33">
        <w:rPr>
          <w:rFonts w:ascii="Times New Roman" w:eastAsia="Times New Roman" w:hAnsi="Times New Roman" w:cs="Times New Roman"/>
          <w:sz w:val="24"/>
          <w:szCs w:val="24"/>
        </w:rPr>
        <w:t xml:space="preserve"> „</w:t>
      </w:r>
      <w:r w:rsidR="6E9A0BB3" w:rsidRPr="00D44D33">
        <w:rPr>
          <w:rFonts w:ascii="Times New Roman" w:eastAsia="Times New Roman" w:hAnsi="Times New Roman" w:cs="Times New Roman"/>
          <w:sz w:val="24"/>
          <w:szCs w:val="24"/>
        </w:rPr>
        <w:t>danymi</w:t>
      </w:r>
      <w:r w:rsidR="00970B2E" w:rsidRPr="00D44D33">
        <w:rPr>
          <w:rFonts w:ascii="Times New Roman" w:eastAsia="Times New Roman" w:hAnsi="Times New Roman" w:cs="Times New Roman"/>
          <w:sz w:val="24"/>
          <w:szCs w:val="24"/>
        </w:rPr>
        <w:t xml:space="preserve"> </w:t>
      </w:r>
      <w:r w:rsidR="6E9A0BB3" w:rsidRPr="00D44D33">
        <w:rPr>
          <w:rFonts w:ascii="Times New Roman" w:eastAsia="Times New Roman" w:hAnsi="Times New Roman" w:cs="Times New Roman"/>
          <w:sz w:val="24"/>
          <w:szCs w:val="24"/>
        </w:rPr>
        <w:t>retencyjnymi”</w:t>
      </w:r>
      <w:r w:rsidR="00E102CA" w:rsidRPr="00D44D33">
        <w:rPr>
          <w:rFonts w:ascii="Times New Roman" w:eastAsia="Times New Roman" w:hAnsi="Times New Roman" w:cs="Times New Roman"/>
          <w:sz w:val="24"/>
          <w:szCs w:val="24"/>
        </w:rPr>
        <w:t>,</w:t>
      </w:r>
    </w:p>
    <w:p w14:paraId="1E3B1E03" w14:textId="6CEE5E86" w:rsidR="00E102CA" w:rsidRPr="00D44D33" w:rsidRDefault="00E102CA" w:rsidP="00D44D33">
      <w:pPr>
        <w:pStyle w:val="Akapitzlist"/>
        <w:numPr>
          <w:ilvl w:val="0"/>
          <w:numId w:val="98"/>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możliwości wspólnego wykonywania powyższych obowiązków przez przedsiębiorców komunikacji elektronicznej oraz możliwości powierzenia tych obowiązków innemu przedsiębiorcy komunikacji elektronicznej (art. 50),</w:t>
      </w:r>
    </w:p>
    <w:p w14:paraId="5C0954C1" w14:textId="73046599" w:rsidR="6F412A00" w:rsidRPr="00D44D33" w:rsidRDefault="00D93B64" w:rsidP="00D44D33">
      <w:pPr>
        <w:pStyle w:val="Akapitzlist"/>
        <w:numPr>
          <w:ilvl w:val="0"/>
          <w:numId w:val="98"/>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 xml:space="preserve">obowiązku </w:t>
      </w:r>
      <w:r w:rsidR="00E102CA" w:rsidRPr="00D44D33">
        <w:rPr>
          <w:rFonts w:ascii="Times New Roman" w:eastAsia="Times New Roman" w:hAnsi="Times New Roman" w:cs="Times New Roman"/>
          <w:sz w:val="24"/>
          <w:szCs w:val="24"/>
        </w:rPr>
        <w:t>informowania Prezesa UKE (art. 51).</w:t>
      </w:r>
    </w:p>
    <w:p w14:paraId="01880992" w14:textId="0DE0BDC2" w:rsidR="6F412A00" w:rsidRPr="00D44D33" w:rsidRDefault="11E425DB"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merytoryczne</w:t>
      </w:r>
      <w:r w:rsidR="00970B2E" w:rsidRPr="00D44D33">
        <w:rPr>
          <w:rFonts w:ascii="Times New Roman" w:eastAsia="Times New Roman" w:hAnsi="Times New Roman" w:cs="Times New Roman"/>
          <w:sz w:val="24"/>
          <w:szCs w:val="24"/>
        </w:rPr>
        <w:t xml:space="preserve"> </w:t>
      </w:r>
      <w:r w:rsidR="4C28167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C281673"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4C281673"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4C281673" w:rsidRPr="00D44D33">
        <w:rPr>
          <w:rFonts w:ascii="Times New Roman" w:eastAsia="Times New Roman" w:hAnsi="Times New Roman" w:cs="Times New Roman"/>
          <w:sz w:val="24"/>
          <w:szCs w:val="24"/>
        </w:rPr>
        <w:t>to</w:t>
      </w:r>
      <w:r w:rsidR="00E97BFD" w:rsidRPr="00D44D33">
        <w:rPr>
          <w:rFonts w:ascii="Times New Roman" w:eastAsia="Times New Roman" w:hAnsi="Times New Roman" w:cs="Times New Roman"/>
          <w:sz w:val="24"/>
          <w:szCs w:val="24"/>
        </w:rPr>
        <w:t>:</w:t>
      </w:r>
    </w:p>
    <w:p w14:paraId="5AE3E44E" w14:textId="01DC8390" w:rsidR="49297A28" w:rsidRPr="00D44D33" w:rsidRDefault="49297A28"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43</w:t>
      </w:r>
    </w:p>
    <w:p w14:paraId="73BA5C00" w14:textId="0D1BB46B" w:rsidR="6F412A00" w:rsidRPr="00D44D33" w:rsidRDefault="008551B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W</w:t>
      </w:r>
      <w:r w:rsidR="00970B2E" w:rsidRPr="00D44D33">
        <w:rPr>
          <w:rFonts w:ascii="Times New Roman" w:eastAsia="Times New Roman" w:hAnsi="Times New Roman" w:cs="Times New Roman"/>
          <w:sz w:val="24"/>
          <w:szCs w:val="24"/>
        </w:rPr>
        <w:t xml:space="preserve"> </w:t>
      </w:r>
      <w:r w:rsidR="5675F8C3"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BB8F2D9"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5675F8C3"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5675F8C3"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3A8B5A3B"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dodan</w:t>
      </w:r>
      <w:r w:rsidR="09EC14DD"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obowiąz</w:t>
      </w:r>
      <w:r w:rsidR="06693851" w:rsidRPr="00D44D33">
        <w:rPr>
          <w:rFonts w:ascii="Times New Roman" w:eastAsia="Times New Roman" w:hAnsi="Times New Roman" w:cs="Times New Roman"/>
          <w:sz w:val="24"/>
          <w:szCs w:val="24"/>
        </w:rPr>
        <w:t>ek</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podmiotom</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danych</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lokalizacyjnych</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powstających</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lub</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transmitowanych</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sieci</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telekomunikacyjnej</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innego</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przedsiębiorcy</w:t>
      </w:r>
      <w:r w:rsidR="00970B2E" w:rsidRPr="00D44D33">
        <w:rPr>
          <w:rFonts w:ascii="Times New Roman" w:eastAsia="Times"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ramach</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roamingu</w:t>
      </w:r>
      <w:r w:rsidR="00970B2E" w:rsidRPr="00D44D33">
        <w:rPr>
          <w:rFonts w:ascii="Times New Roman" w:eastAsia="Times" w:hAnsi="Times New Roman" w:cs="Times New Roman"/>
          <w:sz w:val="24"/>
          <w:szCs w:val="24"/>
        </w:rPr>
        <w:t xml:space="preserve"> </w:t>
      </w:r>
      <w:r w:rsidR="4AA74A04" w:rsidRPr="00D44D33">
        <w:rPr>
          <w:rFonts w:ascii="Times New Roman" w:eastAsia="Times" w:hAnsi="Times New Roman" w:cs="Times New Roman"/>
          <w:sz w:val="24"/>
          <w:szCs w:val="24"/>
        </w:rPr>
        <w:t>krajowego</w:t>
      </w:r>
      <w:r w:rsidR="00970B2E" w:rsidRPr="00D44D33">
        <w:rPr>
          <w:rFonts w:ascii="Times New Roman" w:eastAsia="Times New Roman" w:hAnsi="Times New Roman" w:cs="Times New Roman"/>
          <w:sz w:val="24"/>
          <w:szCs w:val="24"/>
        </w:rPr>
        <w:t xml:space="preserve"> </w:t>
      </w:r>
      <w:r w:rsidR="4AA74A04"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730B2D0A" w:rsidRPr="00D44D33">
        <w:rPr>
          <w:rFonts w:ascii="Times New Roman" w:eastAsia="Times New Roman" w:hAnsi="Times New Roman" w:cs="Times New Roman"/>
          <w:sz w:val="24"/>
          <w:szCs w:val="24"/>
        </w:rPr>
        <w:t>posiadanych</w:t>
      </w:r>
      <w:r w:rsidR="00970B2E" w:rsidRPr="00D44D33">
        <w:rPr>
          <w:rFonts w:ascii="Times New Roman" w:eastAsia="Times New Roman" w:hAnsi="Times New Roman" w:cs="Times New Roman"/>
          <w:sz w:val="24"/>
          <w:szCs w:val="24"/>
        </w:rPr>
        <w:t xml:space="preserve"> </w:t>
      </w:r>
      <w:r w:rsidR="730B2D0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30B2D0A" w:rsidRPr="00D44D33">
        <w:rPr>
          <w:rFonts w:ascii="Times New Roman" w:eastAsia="Times New Roman" w:hAnsi="Times New Roman" w:cs="Times New Roman"/>
          <w:sz w:val="24"/>
          <w:szCs w:val="24"/>
        </w:rPr>
        <w:t>nich</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lokalizacji,</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zapewniający</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bieżącą</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aktualną</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lokalizację</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terytorium</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Rzeczypospolitej</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Polskiej,</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technologię</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świadczonej</w:t>
      </w:r>
      <w:r w:rsidR="00970B2E" w:rsidRPr="00D44D33">
        <w:rPr>
          <w:rFonts w:ascii="Times New Roman" w:eastAsia="Times New Roman" w:hAnsi="Times New Roman" w:cs="Times New Roman"/>
          <w:sz w:val="24"/>
          <w:szCs w:val="24"/>
        </w:rPr>
        <w:t xml:space="preserve"> </w:t>
      </w:r>
      <w:r w:rsidR="6CD55C95"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zapewni</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pełniejsze</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wykonywanie</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2E39BBCB" w:rsidRPr="00D44D33">
        <w:rPr>
          <w:rFonts w:ascii="Times New Roman" w:eastAsia="Times New Roman" w:hAnsi="Times New Roman" w:cs="Times New Roman"/>
          <w:sz w:val="24"/>
          <w:szCs w:val="24"/>
        </w:rPr>
        <w:t>uprawnione</w:t>
      </w:r>
      <w:r w:rsidR="00970B2E" w:rsidRPr="00D44D33">
        <w:rPr>
          <w:rFonts w:ascii="Times New Roman" w:eastAsia="Times New Roman" w:hAnsi="Times New Roman" w:cs="Times New Roman"/>
          <w:sz w:val="24"/>
          <w:szCs w:val="24"/>
        </w:rPr>
        <w:t xml:space="preserve"> </w:t>
      </w:r>
      <w:r w:rsidR="7E18240B" w:rsidRPr="00D44D33">
        <w:rPr>
          <w:rFonts w:ascii="Times New Roman" w:eastAsia="Times New Roman" w:hAnsi="Times New Roman" w:cs="Times New Roman"/>
          <w:sz w:val="24"/>
          <w:szCs w:val="24"/>
        </w:rPr>
        <w:t>podmioty</w:t>
      </w:r>
      <w:r w:rsidR="7221EBD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Proponowana</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zmiana</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umożliwi</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uzyskiwanie</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uprawnione</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podczas</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kontroli</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operacyjnej</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lokalizacyjnych</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końcowego,</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działa</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innego</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roamingu</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krajowego</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zapewni</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aktualnej</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lokalizacji</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niezależnie</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zostało</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wykonane</w:t>
      </w:r>
      <w:r w:rsidR="00970B2E" w:rsidRPr="00D44D33">
        <w:rPr>
          <w:rFonts w:ascii="Times New Roman" w:eastAsia="Times New Roman" w:hAnsi="Times New Roman" w:cs="Times New Roman"/>
          <w:sz w:val="24"/>
          <w:szCs w:val="24"/>
        </w:rPr>
        <w:t xml:space="preserve"> </w:t>
      </w:r>
      <w:r w:rsidR="7221EBDC" w:rsidRPr="00D44D33">
        <w:rPr>
          <w:rFonts w:ascii="Times New Roman" w:eastAsia="Times New Roman" w:hAnsi="Times New Roman" w:cs="Times New Roman"/>
          <w:sz w:val="24"/>
          <w:szCs w:val="24"/>
        </w:rPr>
        <w:t>połączenie</w:t>
      </w:r>
      <w:r w:rsidR="0211EDB9"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4F68653C" w14:textId="5544784B" w:rsidR="052CB1C6" w:rsidRPr="00D44D33" w:rsidRDefault="008551B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2DA29565"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ust</w:t>
      </w:r>
      <w:r w:rsidR="00322CC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doprecyzowan</w:t>
      </w:r>
      <w:r w:rsidR="5880379E" w:rsidRPr="00D44D33">
        <w:rPr>
          <w:rFonts w:ascii="Times New Roman" w:eastAsia="Times New Roman" w:hAnsi="Times New Roman" w:cs="Times New Roman"/>
          <w:sz w:val="24"/>
          <w:szCs w:val="24"/>
        </w:rPr>
        <w:t>o</w:t>
      </w:r>
      <w:r w:rsidR="7A7BB1A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A7BB1A6"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121D146F"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07236634"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0984088" w:rsidRPr="00D44D33">
        <w:rPr>
          <w:rFonts w:ascii="Times New Roman" w:eastAsia="Times New Roman" w:hAnsi="Times New Roman" w:cs="Times New Roman"/>
          <w:sz w:val="24"/>
          <w:szCs w:val="24"/>
        </w:rPr>
        <w:t>„</w:t>
      </w:r>
      <w:r w:rsidR="07236634" w:rsidRPr="00D44D33">
        <w:rPr>
          <w:rFonts w:ascii="Times New Roman" w:eastAsia="Times New Roman" w:hAnsi="Times New Roman" w:cs="Times New Roman"/>
          <w:sz w:val="24"/>
          <w:szCs w:val="24"/>
        </w:rPr>
        <w:t>utrwala</w:t>
      </w:r>
      <w:r w:rsidR="00970B2E" w:rsidRPr="00D44D33">
        <w:rPr>
          <w:rFonts w:ascii="Times New Roman" w:eastAsia="Times New Roman" w:hAnsi="Times New Roman" w:cs="Times New Roman"/>
          <w:sz w:val="24"/>
          <w:szCs w:val="24"/>
        </w:rPr>
        <w:t xml:space="preserve"> </w:t>
      </w:r>
      <w:r w:rsidR="0723663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7236634" w:rsidRPr="00D44D33">
        <w:rPr>
          <w:rFonts w:ascii="Times New Roman" w:eastAsia="Times New Roman" w:hAnsi="Times New Roman" w:cs="Times New Roman"/>
          <w:sz w:val="24"/>
          <w:szCs w:val="24"/>
        </w:rPr>
        <w:t>udo</w:t>
      </w:r>
      <w:r w:rsidR="0013506C" w:rsidRPr="00D44D33">
        <w:rPr>
          <w:rFonts w:ascii="Times New Roman" w:eastAsia="Times New Roman" w:hAnsi="Times New Roman" w:cs="Times New Roman"/>
          <w:sz w:val="24"/>
          <w:szCs w:val="24"/>
        </w:rPr>
        <w:t>stępnia</w:t>
      </w:r>
      <w:r w:rsidR="00970B2E" w:rsidRPr="00D44D33">
        <w:rPr>
          <w:rFonts w:ascii="Times New Roman" w:eastAsia="Times New Roman" w:hAnsi="Times New Roman" w:cs="Times New Roman"/>
          <w:sz w:val="24"/>
          <w:szCs w:val="24"/>
        </w:rPr>
        <w:t xml:space="preserve"> </w:t>
      </w:r>
      <w:r w:rsidR="204284F1" w:rsidRPr="00D44D33">
        <w:rPr>
          <w:rFonts w:ascii="Times New Roman" w:eastAsia="Times New Roman" w:hAnsi="Times New Roman" w:cs="Times New Roman"/>
          <w:sz w:val="24"/>
          <w:szCs w:val="24"/>
        </w:rPr>
        <w:t>komunikaty</w:t>
      </w:r>
      <w:r w:rsidR="00970B2E" w:rsidRPr="00D44D33">
        <w:rPr>
          <w:rFonts w:ascii="Times New Roman" w:eastAsia="Times New Roman" w:hAnsi="Times New Roman" w:cs="Times New Roman"/>
          <w:sz w:val="24"/>
          <w:szCs w:val="24"/>
        </w:rPr>
        <w:t xml:space="preserve"> </w:t>
      </w:r>
      <w:r w:rsidR="204284F1"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204284F1"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204284F1" w:rsidRPr="00D44D33">
        <w:rPr>
          <w:rFonts w:ascii="Times New Roman" w:eastAsia="Times New Roman" w:hAnsi="Times New Roman" w:cs="Times New Roman"/>
          <w:sz w:val="24"/>
          <w:szCs w:val="24"/>
        </w:rPr>
        <w:t>lecz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 xml:space="preserve">jest obowiązany do </w:t>
      </w:r>
      <w:r w:rsidR="00984088" w:rsidRPr="00D44D33">
        <w:rPr>
          <w:rFonts w:ascii="Times New Roman" w:eastAsia="Times New Roman" w:hAnsi="Times New Roman" w:cs="Times New Roman"/>
          <w:sz w:val="24"/>
          <w:szCs w:val="24"/>
        </w:rPr>
        <w:t>„</w:t>
      </w:r>
      <w:r w:rsidR="4E942914"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4E942914" w:rsidRPr="00D44D33">
        <w:rPr>
          <w:rFonts w:ascii="Times New Roman" w:eastAsia="Times New Roman" w:hAnsi="Times New Roman" w:cs="Times New Roman"/>
          <w:sz w:val="24"/>
          <w:szCs w:val="24"/>
        </w:rPr>
        <w:t>warunk</w:t>
      </w:r>
      <w:r w:rsidRPr="00D44D33">
        <w:rPr>
          <w:rFonts w:ascii="Times New Roman" w:eastAsia="Times New Roman" w:hAnsi="Times New Roman" w:cs="Times New Roman"/>
          <w:sz w:val="24"/>
          <w:szCs w:val="24"/>
        </w:rPr>
        <w:t>ów</w:t>
      </w:r>
      <w:r w:rsidR="00970B2E" w:rsidRPr="00D44D33">
        <w:rPr>
          <w:rFonts w:ascii="Times New Roman" w:eastAsia="Times New Roman" w:hAnsi="Times New Roman" w:cs="Times New Roman"/>
          <w:sz w:val="24"/>
          <w:szCs w:val="24"/>
        </w:rPr>
        <w:t xml:space="preserve"> </w:t>
      </w:r>
      <w:r w:rsidR="4E942914" w:rsidRPr="00D44D33">
        <w:rPr>
          <w:rFonts w:ascii="Times New Roman" w:eastAsia="Times New Roman" w:hAnsi="Times New Roman" w:cs="Times New Roman"/>
          <w:sz w:val="24"/>
          <w:szCs w:val="24"/>
        </w:rPr>
        <w:t>techniczn</w:t>
      </w:r>
      <w:r w:rsidRPr="00D44D33">
        <w:rPr>
          <w:rFonts w:ascii="Times New Roman" w:eastAsia="Times New Roman" w:hAnsi="Times New Roman" w:cs="Times New Roman"/>
          <w:sz w:val="24"/>
          <w:szCs w:val="24"/>
        </w:rPr>
        <w:t>ych</w:t>
      </w:r>
      <w:r w:rsidR="00970B2E" w:rsidRPr="00D44D33">
        <w:rPr>
          <w:rFonts w:ascii="Times New Roman" w:eastAsia="Times New Roman" w:hAnsi="Times New Roman" w:cs="Times New Roman"/>
          <w:sz w:val="24"/>
          <w:szCs w:val="24"/>
        </w:rPr>
        <w:t xml:space="preserve"> </w:t>
      </w:r>
      <w:r w:rsidR="4E942914"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E942914"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4E94291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E942914"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 na własny koszt, na rzecz sądu i prokuratora, przez podmiot wskazany w postanowieniu sądu lub prokuratora, komunikatów elektronicznych i danych, o których mowa w pkt 1 lit. a i b</w:t>
      </w:r>
      <w:r w:rsidR="591A4A9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91A4A92"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591A4A92"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591A4A92" w:rsidRPr="00D44D33">
        <w:rPr>
          <w:rFonts w:ascii="Times New Roman" w:eastAsia="Times New Roman" w:hAnsi="Times New Roman" w:cs="Times New Roman"/>
          <w:sz w:val="24"/>
          <w:szCs w:val="24"/>
        </w:rPr>
        <w:t>zgodne</w:t>
      </w:r>
      <w:r w:rsidR="00970B2E" w:rsidRPr="00D44D33">
        <w:rPr>
          <w:rFonts w:ascii="Times New Roman" w:eastAsia="Times New Roman" w:hAnsi="Times New Roman" w:cs="Times New Roman"/>
          <w:sz w:val="24"/>
          <w:szCs w:val="24"/>
        </w:rPr>
        <w:t xml:space="preserve"> </w:t>
      </w:r>
      <w:r w:rsidR="591A4A9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91A4A92" w:rsidRPr="00D44D33">
        <w:rPr>
          <w:rFonts w:ascii="Times New Roman" w:eastAsia="Times New Roman" w:hAnsi="Times New Roman" w:cs="Times New Roman"/>
          <w:sz w:val="24"/>
          <w:szCs w:val="24"/>
        </w:rPr>
        <w:t>praktyką.</w:t>
      </w:r>
    </w:p>
    <w:p w14:paraId="730084BD" w14:textId="66EF33C4" w:rsidR="188A565E" w:rsidRPr="00D44D33" w:rsidRDefault="008551BC"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wskazano</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ogólną</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przesłankę</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zwolnienia</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007068D2"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która</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zostanie</w:t>
      </w:r>
      <w:r w:rsidR="00970B2E" w:rsidRPr="00D44D33">
        <w:rPr>
          <w:rFonts w:ascii="Times New Roman" w:eastAsia="Times New Roman" w:hAnsi="Times New Roman" w:cs="Times New Roman"/>
          <w:sz w:val="24"/>
          <w:szCs w:val="24"/>
        </w:rPr>
        <w:t xml:space="preserve"> </w:t>
      </w:r>
      <w:r w:rsidR="188A565E" w:rsidRPr="00D44D33">
        <w:rPr>
          <w:rFonts w:ascii="Times New Roman" w:eastAsia="Times New Roman" w:hAnsi="Times New Roman" w:cs="Times New Roman"/>
          <w:sz w:val="24"/>
          <w:szCs w:val="24"/>
        </w:rPr>
        <w:t>uszczegółowiona</w:t>
      </w:r>
      <w:r w:rsidR="4F63EED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F63EED3"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F63EED3" w:rsidRPr="00D44D33">
        <w:rPr>
          <w:rFonts w:ascii="Times New Roman" w:eastAsia="Times New Roman" w:hAnsi="Times New Roman" w:cs="Times New Roman"/>
          <w:sz w:val="24"/>
          <w:szCs w:val="24"/>
        </w:rPr>
        <w:t>wskazanie</w:t>
      </w:r>
      <w:r w:rsidR="00970B2E" w:rsidRPr="00D44D33">
        <w:rPr>
          <w:rFonts w:ascii="Times New Roman" w:eastAsia="Times New Roman" w:hAnsi="Times New Roman" w:cs="Times New Roman"/>
          <w:sz w:val="24"/>
          <w:szCs w:val="24"/>
        </w:rPr>
        <w:t xml:space="preserve"> </w:t>
      </w:r>
      <w:r w:rsidR="4F63EED3" w:rsidRPr="00D44D33">
        <w:rPr>
          <w:rFonts w:ascii="Times New Roman" w:eastAsia="Times New Roman" w:hAnsi="Times New Roman" w:cs="Times New Roman"/>
          <w:sz w:val="24"/>
          <w:szCs w:val="24"/>
        </w:rPr>
        <w:t>konkretnych</w:t>
      </w:r>
      <w:r w:rsidR="00970B2E" w:rsidRPr="00D44D33">
        <w:rPr>
          <w:rFonts w:ascii="Times New Roman" w:eastAsia="Times New Roman" w:hAnsi="Times New Roman" w:cs="Times New Roman"/>
          <w:sz w:val="24"/>
          <w:szCs w:val="24"/>
        </w:rPr>
        <w:t xml:space="preserve"> </w:t>
      </w:r>
      <w:r w:rsidR="4F63EED3"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4F63EED3"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4F63EED3" w:rsidRPr="00D44D33">
        <w:rPr>
          <w:rFonts w:ascii="Times New Roman" w:eastAsia="Times New Roman" w:hAnsi="Times New Roman" w:cs="Times New Roman"/>
          <w:sz w:val="24"/>
          <w:szCs w:val="24"/>
        </w:rPr>
        <w:t>.</w:t>
      </w:r>
    </w:p>
    <w:p w14:paraId="75F12D9C" w14:textId="554F8107" w:rsidR="208985FE" w:rsidRPr="00D44D33" w:rsidRDefault="008551B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W</w:t>
      </w:r>
      <w:r w:rsidR="00970B2E" w:rsidRPr="00D44D33">
        <w:rPr>
          <w:rFonts w:ascii="Times New Roman" w:eastAsia="Times New Roman" w:hAnsi="Times New Roman" w:cs="Times New Roman"/>
          <w:sz w:val="24"/>
          <w:szCs w:val="24"/>
        </w:rPr>
        <w:t xml:space="preserve"> </w:t>
      </w:r>
      <w:r w:rsidR="0D73036B"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DDED31A"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52349729"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6123504" w:rsidRPr="00D44D33">
        <w:rPr>
          <w:rFonts w:ascii="Times New Roman" w:eastAsia="Times New Roman" w:hAnsi="Times New Roman" w:cs="Times New Roman"/>
          <w:sz w:val="24"/>
          <w:szCs w:val="24"/>
        </w:rPr>
        <w:t>4</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t>
      </w:r>
      <w:r w:rsidR="523CC976" w:rsidRPr="00D44D33">
        <w:rPr>
          <w:rFonts w:ascii="Times New Roman" w:eastAsia="Times New Roman" w:hAnsi="Times New Roman" w:cs="Times New Roman"/>
          <w:sz w:val="24"/>
          <w:szCs w:val="24"/>
        </w:rPr>
        <w:t>precyz</w:t>
      </w:r>
      <w:r w:rsidRPr="00D44D33">
        <w:rPr>
          <w:rFonts w:ascii="Times New Roman" w:eastAsia="Times New Roman" w:hAnsi="Times New Roman" w:cs="Times New Roman"/>
          <w:sz w:val="24"/>
          <w:szCs w:val="24"/>
        </w:rPr>
        <w:t>owano</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tryb</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określenia</w:t>
      </w:r>
      <w:r w:rsidR="00970B2E" w:rsidRPr="00D44D33">
        <w:rPr>
          <w:rFonts w:ascii="Times New Roman" w:eastAsia="Times New Roman" w:hAnsi="Times New Roman" w:cs="Times New Roman"/>
          <w:sz w:val="24"/>
          <w:szCs w:val="24"/>
        </w:rPr>
        <w:t xml:space="preserve"> </w:t>
      </w:r>
      <w:r w:rsidR="4BF33179" w:rsidRPr="00D44D33">
        <w:rPr>
          <w:rFonts w:ascii="Times New Roman" w:eastAsia="Times New Roman" w:hAnsi="Times New Roman" w:cs="Times New Roman"/>
          <w:sz w:val="24"/>
          <w:szCs w:val="24"/>
        </w:rPr>
        <w:t>sposobu</w:t>
      </w:r>
      <w:r w:rsidR="00970B2E" w:rsidRPr="00D44D33">
        <w:rPr>
          <w:rFonts w:ascii="Times New Roman" w:eastAsia="Times New Roman" w:hAnsi="Times New Roman" w:cs="Times New Roman"/>
          <w:sz w:val="24"/>
          <w:szCs w:val="24"/>
        </w:rPr>
        <w:t xml:space="preserve"> </w:t>
      </w:r>
      <w:r w:rsidR="4BF33179"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739D4A30"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739D4A3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39D4A30" w:rsidRPr="00D44D33">
        <w:rPr>
          <w:rFonts w:ascii="Times New Roman" w:eastAsia="Times New Roman" w:hAnsi="Times New Roman" w:cs="Times New Roman"/>
          <w:sz w:val="24"/>
          <w:szCs w:val="24"/>
        </w:rPr>
        <w:t>wymogami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określony</w:t>
      </w:r>
      <w:r w:rsidR="4382338D" w:rsidRPr="00D44D33">
        <w:rPr>
          <w:rFonts w:ascii="Times New Roman" w:eastAsia="Times New Roman" w:hAnsi="Times New Roman" w:cs="Times New Roman"/>
          <w:sz w:val="24"/>
          <w:szCs w:val="24"/>
        </w:rPr>
        <w:t>mi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201F1D1E"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stwarza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możliwości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wskazywania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nowych</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sposobów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Dotychczasowa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praktyka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pokazuje,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pomimo</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obowiązywania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regulującego</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tę</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problematykę,</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niejednokrotnie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zwracają</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pytaniami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znajdzie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zastosowanie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szczególności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 przypadku</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małych</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czynności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związane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zapewnieniem</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prowadzone</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523CC976" w:rsidRPr="00D44D33">
        <w:rPr>
          <w:rFonts w:ascii="Times New Roman" w:eastAsia="Times New Roman" w:hAnsi="Times New Roman" w:cs="Times New Roman"/>
          <w:sz w:val="24"/>
          <w:szCs w:val="24"/>
        </w:rPr>
        <w:t>uprawnionych</w:t>
      </w:r>
      <w:r w:rsidR="1939A295"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D756A5D"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1D756A5D" w:rsidRPr="00D44D33">
        <w:rPr>
          <w:rFonts w:ascii="Times New Roman" w:eastAsia="Times New Roman" w:hAnsi="Times New Roman" w:cs="Times New Roman"/>
          <w:sz w:val="24"/>
          <w:szCs w:val="24"/>
        </w:rPr>
        <w:t>podkreślić,</w:t>
      </w:r>
      <w:r w:rsidR="00970B2E" w:rsidRPr="00D44D33">
        <w:rPr>
          <w:rFonts w:ascii="Times New Roman" w:eastAsia="Times New Roman" w:hAnsi="Times New Roman" w:cs="Times New Roman"/>
          <w:sz w:val="24"/>
          <w:szCs w:val="24"/>
        </w:rPr>
        <w:t xml:space="preserve"> </w:t>
      </w:r>
      <w:r w:rsidR="1D756A5D"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1D756A5D" w:rsidRPr="00D44D33">
        <w:rPr>
          <w:rFonts w:ascii="Times New Roman" w:eastAsia="Times New Roman" w:hAnsi="Times New Roman" w:cs="Times New Roman"/>
          <w:sz w:val="24"/>
          <w:szCs w:val="24"/>
        </w:rPr>
        <w:t>termin</w:t>
      </w:r>
      <w:r w:rsidR="00970B2E" w:rsidRPr="00D44D33">
        <w:rPr>
          <w:rFonts w:ascii="Times New Roman" w:eastAsia="Times New Roman" w:hAnsi="Times New Roman" w:cs="Times New Roman"/>
          <w:sz w:val="24"/>
          <w:szCs w:val="24"/>
        </w:rPr>
        <w:t xml:space="preserve"> </w:t>
      </w:r>
      <w:r w:rsidR="1D756A5D" w:rsidRPr="00D44D33">
        <w:rPr>
          <w:rFonts w:ascii="Times New Roman" w:eastAsia="Times New Roman" w:hAnsi="Times New Roman" w:cs="Times New Roman"/>
          <w:sz w:val="24"/>
          <w:szCs w:val="24"/>
        </w:rPr>
        <w:t>24</w:t>
      </w:r>
      <w:r w:rsidR="3742B5DF" w:rsidRPr="00D44D33">
        <w:rPr>
          <w:rFonts w:ascii="Times New Roman" w:eastAsia="Times New Roman" w:hAnsi="Times New Roman" w:cs="Times New Roman"/>
          <w:sz w:val="24"/>
          <w:szCs w:val="24"/>
        </w:rPr>
        <w:t>-</w:t>
      </w:r>
      <w:r w:rsidR="1D756A5D" w:rsidRPr="00D44D33">
        <w:rPr>
          <w:rFonts w:ascii="Times New Roman" w:eastAsia="Times New Roman" w:hAnsi="Times New Roman" w:cs="Times New Roman"/>
          <w:sz w:val="24"/>
          <w:szCs w:val="24"/>
        </w:rPr>
        <w:t>godzinny</w:t>
      </w:r>
      <w:r w:rsidR="00970B2E" w:rsidRPr="00D44D33">
        <w:rPr>
          <w:rFonts w:ascii="Times New Roman" w:eastAsia="Times New Roman" w:hAnsi="Times New Roman" w:cs="Times New Roman"/>
          <w:sz w:val="24"/>
          <w:szCs w:val="24"/>
        </w:rPr>
        <w:t xml:space="preserve"> </w:t>
      </w:r>
      <w:r w:rsidR="1D756A5D" w:rsidRPr="00D44D33">
        <w:rPr>
          <w:rFonts w:ascii="Times New Roman" w:eastAsia="Times New Roman" w:hAnsi="Times New Roman" w:cs="Times New Roman"/>
          <w:sz w:val="24"/>
          <w:szCs w:val="24"/>
        </w:rPr>
        <w:t>dotyczy</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wzajemnego</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określenia</w:t>
      </w:r>
      <w:r w:rsidR="00970B2E" w:rsidRPr="00D44D33">
        <w:rPr>
          <w:rFonts w:ascii="Times New Roman" w:eastAsia="Times New Roman" w:hAnsi="Times New Roman" w:cs="Times New Roman"/>
          <w:sz w:val="24"/>
          <w:szCs w:val="24"/>
        </w:rPr>
        <w:t xml:space="preserve"> </w:t>
      </w:r>
      <w:r w:rsidR="33C4510D" w:rsidRPr="00D44D33">
        <w:rPr>
          <w:rFonts w:ascii="Times New Roman" w:eastAsia="Times New Roman" w:hAnsi="Times New Roman" w:cs="Times New Roman"/>
          <w:sz w:val="24"/>
          <w:szCs w:val="24"/>
        </w:rPr>
        <w:t>sposobu</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5478F9AF"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5CD38CF3"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03A30E2C"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74E2D4A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4E2D4AA"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74E2D4AA" w:rsidRPr="00D44D33">
        <w:rPr>
          <w:rFonts w:ascii="Times New Roman" w:eastAsia="Times New Roman" w:hAnsi="Times New Roman" w:cs="Times New Roman"/>
          <w:sz w:val="24"/>
          <w:szCs w:val="24"/>
        </w:rPr>
        <w:t>.</w:t>
      </w:r>
    </w:p>
    <w:p w14:paraId="3802FB9A" w14:textId="7F497A7F" w:rsidR="00152BFF" w:rsidRPr="00D44D33" w:rsidRDefault="008551BC"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152BFF" w:rsidRPr="00D44D33">
        <w:rPr>
          <w:rFonts w:ascii="Times New Roman" w:eastAsia="Times New Roman" w:hAnsi="Times New Roman" w:cs="Times New Roman"/>
          <w:sz w:val="24"/>
          <w:szCs w:val="24"/>
        </w:rPr>
        <w:t xml:space="preserve"> art. 43 ust. 5 zastosowano liczbę mnogą odnoszącą się do „umów”, z uwagi na konieczność precyzyjnego odzwierciedlenia praktyki zawierania umów. Każdy uprawniony podmiot zawiera oddzielną umowę z zainteresowanym przedsiębiorcą </w:t>
      </w:r>
      <w:r w:rsidR="00884159" w:rsidRPr="00D44D33">
        <w:rPr>
          <w:rFonts w:ascii="Times New Roman" w:eastAsia="Times New Roman" w:hAnsi="Times New Roman" w:cs="Times New Roman"/>
          <w:sz w:val="24"/>
          <w:szCs w:val="24"/>
        </w:rPr>
        <w:t>komunikacji elektronicznej</w:t>
      </w:r>
      <w:r w:rsidR="00152BFF" w:rsidRPr="00D44D33">
        <w:rPr>
          <w:rFonts w:ascii="Times New Roman" w:eastAsia="Times New Roman" w:hAnsi="Times New Roman" w:cs="Times New Roman"/>
          <w:sz w:val="24"/>
          <w:szCs w:val="24"/>
        </w:rPr>
        <w:t xml:space="preserve">. Zastosowanie liczby pojedynczej mogłoby prowadzić do interpretacji, że uprawnione podmioty zawierają jedną umowę z przedsiębiorcą </w:t>
      </w:r>
      <w:r w:rsidR="00884159" w:rsidRPr="00D44D33">
        <w:rPr>
          <w:rFonts w:ascii="Times New Roman" w:eastAsia="Times New Roman" w:hAnsi="Times New Roman" w:cs="Times New Roman"/>
          <w:sz w:val="24"/>
          <w:szCs w:val="24"/>
        </w:rPr>
        <w:t>komunikacji elektronicznej</w:t>
      </w:r>
      <w:r w:rsidR="00152BFF" w:rsidRPr="00D44D33">
        <w:rPr>
          <w:rFonts w:ascii="Times New Roman" w:eastAsia="Times New Roman" w:hAnsi="Times New Roman" w:cs="Times New Roman"/>
          <w:sz w:val="24"/>
          <w:szCs w:val="24"/>
        </w:rPr>
        <w:t xml:space="preserve">. Natomiast w ust. 6 zastosowano liczbę pojedynczą odnoszącą się do „umowy”, mając na uwadze, że reguluje on zawartość każdej takiej umowy. Powyższy zabieg </w:t>
      </w:r>
      <w:r w:rsidRPr="00D44D33">
        <w:rPr>
          <w:rFonts w:ascii="Times New Roman" w:eastAsia="Times New Roman" w:hAnsi="Times New Roman" w:cs="Times New Roman"/>
          <w:sz w:val="24"/>
          <w:szCs w:val="24"/>
        </w:rPr>
        <w:t xml:space="preserve">powiela w tym zakresie </w:t>
      </w:r>
      <w:r w:rsidR="00152BFF" w:rsidRPr="00D44D33">
        <w:rPr>
          <w:rFonts w:ascii="Times New Roman" w:eastAsia="Times New Roman" w:hAnsi="Times New Roman" w:cs="Times New Roman"/>
          <w:sz w:val="24"/>
          <w:szCs w:val="24"/>
        </w:rPr>
        <w:t>przepis</w:t>
      </w:r>
      <w:r w:rsidRPr="00D44D33">
        <w:rPr>
          <w:rFonts w:ascii="Times New Roman" w:eastAsia="Times New Roman" w:hAnsi="Times New Roman" w:cs="Times New Roman"/>
          <w:sz w:val="24"/>
          <w:szCs w:val="24"/>
        </w:rPr>
        <w:t>y</w:t>
      </w:r>
      <w:r w:rsidR="00152BFF" w:rsidRPr="00D44D33">
        <w:rPr>
          <w:rFonts w:ascii="Times New Roman" w:eastAsia="Times New Roman" w:hAnsi="Times New Roman" w:cs="Times New Roman"/>
          <w:sz w:val="24"/>
          <w:szCs w:val="24"/>
        </w:rPr>
        <w:t xml:space="preserve"> ustawy P</w:t>
      </w:r>
      <w:r w:rsidRPr="00D44D33">
        <w:rPr>
          <w:rFonts w:ascii="Times New Roman" w:eastAsia="Times New Roman" w:hAnsi="Times New Roman" w:cs="Times New Roman"/>
          <w:sz w:val="24"/>
          <w:szCs w:val="24"/>
        </w:rPr>
        <w:t xml:space="preserve">t </w:t>
      </w:r>
      <w:r w:rsidR="00152BFF" w:rsidRPr="00D44D33">
        <w:rPr>
          <w:rFonts w:ascii="Times New Roman" w:eastAsia="Times New Roman" w:hAnsi="Times New Roman" w:cs="Times New Roman"/>
          <w:sz w:val="24"/>
          <w:szCs w:val="24"/>
        </w:rPr>
        <w:t>(art. 179 ust. 4a).</w:t>
      </w:r>
    </w:p>
    <w:p w14:paraId="406FA9B1" w14:textId="5DAA1B69" w:rsidR="6BE1AF4B" w:rsidRPr="00D44D33" w:rsidRDefault="008551B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W</w:t>
      </w:r>
      <w:r w:rsidR="00970B2E" w:rsidRPr="00D44D33">
        <w:rPr>
          <w:rFonts w:ascii="Times New Roman" w:eastAsia="Times New Roman" w:hAnsi="Times New Roman" w:cs="Times New Roman"/>
          <w:sz w:val="24"/>
          <w:szCs w:val="24"/>
        </w:rPr>
        <w:t xml:space="preserve"> </w:t>
      </w:r>
      <w:r w:rsidR="10577156"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2D948B0"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10577156" w:rsidRPr="00D44D33">
        <w:rPr>
          <w:rFonts w:ascii="Times New Roman" w:eastAsia="Times New Roman" w:hAnsi="Times New Roman" w:cs="Times New Roman"/>
          <w:sz w:val="24"/>
          <w:szCs w:val="24"/>
        </w:rPr>
        <w:t>ust</w:t>
      </w:r>
      <w:r w:rsidR="7178DD9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D051F52" w:rsidRPr="00D44D33">
        <w:rPr>
          <w:rFonts w:ascii="Times New Roman" w:eastAsia="Times New Roman" w:hAnsi="Times New Roman" w:cs="Times New Roman"/>
          <w:sz w:val="24"/>
          <w:szCs w:val="24"/>
        </w:rPr>
        <w:t>6</w:t>
      </w:r>
      <w:r w:rsidRPr="00D44D33">
        <w:rPr>
          <w:rFonts w:ascii="Times New Roman" w:eastAsia="Times New Roman" w:hAnsi="Times New Roman" w:cs="Times New Roman"/>
          <w:sz w:val="24"/>
          <w:szCs w:val="24"/>
        </w:rPr>
        <w:t xml:space="preserve"> określono</w:t>
      </w:r>
      <w:r w:rsidR="7A6B416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umow</w:t>
      </w:r>
      <w:r w:rsidR="00152BFF" w:rsidRPr="00D44D33">
        <w:rPr>
          <w:rFonts w:ascii="Times New Roman" w:eastAsia="Times New Roman" w:hAnsi="Times New Roman" w:cs="Times New Roman"/>
          <w:sz w:val="24"/>
          <w:szCs w:val="24"/>
        </w:rPr>
        <w:t>ie</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dotycząc</w:t>
      </w:r>
      <w:r w:rsidR="00152BFF" w:rsidRPr="00D44D33">
        <w:rPr>
          <w:rFonts w:ascii="Times New Roman" w:eastAsia="Times New Roman" w:hAnsi="Times New Roman" w:cs="Times New Roman"/>
          <w:sz w:val="24"/>
          <w:szCs w:val="24"/>
        </w:rPr>
        <w:t>ej</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interfejsów</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reguluje</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najmniej</w:t>
      </w:r>
      <w:r w:rsidR="00970B2E" w:rsidRPr="00D44D33">
        <w:rPr>
          <w:rFonts w:ascii="Times New Roman" w:eastAsia="Times New Roman" w:hAnsi="Times New Roman" w:cs="Times New Roman"/>
          <w:sz w:val="24"/>
          <w:szCs w:val="24"/>
        </w:rPr>
        <w:t xml:space="preserve"> </w:t>
      </w:r>
      <w:r w:rsidR="7A6B4160"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2729CDEE"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2729CDEE" w:rsidRPr="00D44D33">
        <w:rPr>
          <w:rFonts w:ascii="Times New Roman" w:eastAsia="Times New Roman" w:hAnsi="Times New Roman" w:cs="Times New Roman"/>
          <w:sz w:val="24"/>
          <w:szCs w:val="24"/>
        </w:rPr>
        <w:t>finansowania</w:t>
      </w:r>
      <w:r w:rsidR="00970B2E" w:rsidRPr="00D44D33">
        <w:rPr>
          <w:rFonts w:ascii="Times New Roman" w:eastAsia="Times New Roman" w:hAnsi="Times New Roman" w:cs="Times New Roman"/>
          <w:sz w:val="24"/>
          <w:szCs w:val="24"/>
        </w:rPr>
        <w:t xml:space="preserve"> </w:t>
      </w:r>
      <w:r w:rsidR="2729CDE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0577156"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34B097D5" w:rsidRPr="00D44D33">
        <w:rPr>
          <w:rFonts w:ascii="Times New Roman" w:eastAsia="Times New Roman" w:hAnsi="Times New Roman" w:cs="Times New Roman"/>
          <w:sz w:val="24"/>
          <w:szCs w:val="24"/>
        </w:rPr>
        <w:t>współpracy</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awarii</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interfejsu</w:t>
      </w:r>
      <w:r w:rsidR="7DD6590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DD6590A"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7A591979" w:rsidRPr="00D44D33">
        <w:rPr>
          <w:rFonts w:ascii="Times New Roman" w:eastAsia="Times New Roman" w:hAnsi="Times New Roman" w:cs="Times New Roman"/>
          <w:sz w:val="24"/>
          <w:szCs w:val="24"/>
        </w:rPr>
        <w:t>gwarant</w:t>
      </w:r>
      <w:r w:rsidR="1A6162A2" w:rsidRPr="00D44D33">
        <w:rPr>
          <w:rFonts w:ascii="Times New Roman" w:eastAsia="Times New Roman" w:hAnsi="Times New Roman" w:cs="Times New Roman"/>
          <w:sz w:val="24"/>
          <w:szCs w:val="24"/>
        </w:rPr>
        <w:t>owałoby</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ciągłość</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treści</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FBF2254" w:rsidRPr="00D44D33">
        <w:rPr>
          <w:rFonts w:ascii="Times New Roman" w:eastAsia="Times New Roman" w:hAnsi="Times New Roman" w:cs="Times New Roman"/>
          <w:sz w:val="24"/>
          <w:szCs w:val="24"/>
        </w:rPr>
        <w:t>danych</w:t>
      </w:r>
      <w:r w:rsidR="7521C412" w:rsidRPr="00D44D33">
        <w:rPr>
          <w:rFonts w:ascii="Times New Roman" w:eastAsia="Times New Roman" w:hAnsi="Times New Roman" w:cs="Times New Roman"/>
          <w:sz w:val="24"/>
          <w:szCs w:val="24"/>
        </w:rPr>
        <w:t>.</w:t>
      </w:r>
    </w:p>
    <w:p w14:paraId="3B159B12" w14:textId="29B80406" w:rsidR="2CB8DF85" w:rsidRPr="00D44D33" w:rsidRDefault="008551B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3EB14E03"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3EB14E03"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6127B56F" w:rsidRPr="00D44D33">
        <w:rPr>
          <w:rFonts w:ascii="Times New Roman" w:eastAsia="Times New Roman" w:hAnsi="Times New Roman" w:cs="Times New Roman"/>
          <w:sz w:val="24"/>
          <w:szCs w:val="24"/>
        </w:rPr>
        <w:t>10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mający</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złagodzenie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przygotowania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mikro-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małych</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wskazuje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bezpośrednio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zrealizowania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podmiotu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uprawnionego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904B945"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powierzenia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innemu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posiadającemu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interfejs.</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tak</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sformułowanym</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zapisie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możliwa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każda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inna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forma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zależności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uwarunkowań</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posiadanej</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infrastruktury,</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przekazanie</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kontrolowanych</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treści</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przekazów</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9FEC685" w:rsidRPr="00D44D33">
        <w:rPr>
          <w:rFonts w:ascii="Times New Roman" w:eastAsia="Times New Roman" w:hAnsi="Times New Roman" w:cs="Times New Roman"/>
          <w:sz w:val="24"/>
          <w:szCs w:val="24"/>
        </w:rPr>
        <w:t>nośnikach</w:t>
      </w:r>
      <w:r w:rsidR="6EFCD68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EFCD682" w:rsidRPr="00D44D33">
        <w:rPr>
          <w:rFonts w:ascii="Times New Roman" w:eastAsia="Times New Roman" w:hAnsi="Times New Roman" w:cs="Times New Roman"/>
          <w:sz w:val="24"/>
          <w:szCs w:val="24"/>
        </w:rPr>
        <w:t>Jednocześnie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 xml:space="preserve">nie powielono regulacji </w:t>
      </w:r>
      <w:r w:rsidR="6EFCD682" w:rsidRPr="00D44D33">
        <w:rPr>
          <w:rFonts w:ascii="Times New Roman" w:eastAsia="Times New Roman" w:hAnsi="Times New Roman" w:cs="Times New Roman"/>
          <w:sz w:val="24"/>
          <w:szCs w:val="24"/>
        </w:rPr>
        <w:t>obecnego</w:t>
      </w:r>
      <w:r w:rsidR="00970B2E" w:rsidRPr="00D44D33">
        <w:rPr>
          <w:rFonts w:ascii="Times New Roman" w:eastAsia="Times New Roman" w:hAnsi="Times New Roman" w:cs="Times New Roman"/>
          <w:sz w:val="24"/>
          <w:szCs w:val="24"/>
        </w:rPr>
        <w:t xml:space="preserve"> </w:t>
      </w:r>
      <w:r w:rsidR="6EFCD682" w:rsidRPr="00D44D33">
        <w:rPr>
          <w:rFonts w:ascii="Times New Roman" w:eastAsia="Times New Roman" w:hAnsi="Times New Roman" w:cs="Times New Roman"/>
          <w:sz w:val="24"/>
          <w:szCs w:val="24"/>
        </w:rPr>
        <w:t>przepisu</w:t>
      </w:r>
      <w:r w:rsidR="00970B2E" w:rsidRPr="00D44D33">
        <w:rPr>
          <w:rFonts w:ascii="Times New Roman" w:eastAsia="Times New Roman" w:hAnsi="Times New Roman" w:cs="Times New Roman"/>
          <w:sz w:val="24"/>
          <w:szCs w:val="24"/>
        </w:rPr>
        <w:t xml:space="preserve"> </w:t>
      </w:r>
      <w:r w:rsidR="6EFCD682"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EFCD682" w:rsidRPr="00D44D33">
        <w:rPr>
          <w:rFonts w:ascii="Times New Roman" w:eastAsia="Times New Roman" w:hAnsi="Times New Roman" w:cs="Times New Roman"/>
          <w:sz w:val="24"/>
          <w:szCs w:val="24"/>
        </w:rPr>
        <w:t>179</w:t>
      </w:r>
      <w:r w:rsidR="00970B2E" w:rsidRPr="00D44D33">
        <w:rPr>
          <w:rFonts w:ascii="Times New Roman" w:eastAsia="Times New Roman" w:hAnsi="Times New Roman" w:cs="Times New Roman"/>
          <w:sz w:val="24"/>
          <w:szCs w:val="24"/>
        </w:rPr>
        <w:t xml:space="preserve"> </w:t>
      </w:r>
      <w:r w:rsidR="6EFCD682"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6EFCD682" w:rsidRPr="00D44D33">
        <w:rPr>
          <w:rFonts w:ascii="Times New Roman" w:eastAsia="Times New Roman" w:hAnsi="Times New Roman" w:cs="Times New Roman"/>
          <w:sz w:val="24"/>
          <w:szCs w:val="24"/>
        </w:rPr>
        <w:t>4d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 xml:space="preserve">Pt </w:t>
      </w:r>
      <w:r w:rsidR="6753F075"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6753F075"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6753F07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753F075" w:rsidRPr="00D44D33">
        <w:rPr>
          <w:rFonts w:ascii="Times New Roman" w:eastAsia="Times New Roman" w:hAnsi="Times New Roman" w:cs="Times New Roman"/>
          <w:sz w:val="24"/>
          <w:szCs w:val="24"/>
        </w:rPr>
        <w:t>fakt</w:t>
      </w:r>
      <w:r w:rsidR="404EFEC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stosowanie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interfejsu</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obligatoryjne,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więc</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niezasadne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wskazywanie,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stosowanie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dotyczy</w:t>
      </w:r>
      <w:r w:rsidR="00970B2E" w:rsidRPr="00D44D33">
        <w:rPr>
          <w:rFonts w:ascii="Times New Roman" w:eastAsia="Times New Roman" w:hAnsi="Times New Roman" w:cs="Times New Roman"/>
          <w:sz w:val="24"/>
          <w:szCs w:val="24"/>
        </w:rPr>
        <w:t xml:space="preserve"> </w:t>
      </w:r>
      <w:r w:rsidR="404EFEC0" w:rsidRPr="00D44D33">
        <w:rPr>
          <w:rFonts w:ascii="Times New Roman" w:eastAsia="Times New Roman" w:hAnsi="Times New Roman" w:cs="Times New Roman"/>
          <w:sz w:val="24"/>
          <w:szCs w:val="24"/>
        </w:rPr>
        <w:t>mik</w:t>
      </w:r>
      <w:r w:rsidR="5F3DDEA5" w:rsidRPr="00D44D33">
        <w:rPr>
          <w:rFonts w:ascii="Times New Roman" w:eastAsia="Times New Roman" w:hAnsi="Times New Roman" w:cs="Times New Roman"/>
          <w:sz w:val="24"/>
          <w:szCs w:val="24"/>
        </w:rPr>
        <w:t>ro-</w:t>
      </w:r>
      <w:r w:rsidR="00970B2E" w:rsidRPr="00D44D33">
        <w:rPr>
          <w:rFonts w:ascii="Times New Roman" w:eastAsia="Times New Roman" w:hAnsi="Times New Roman" w:cs="Times New Roman"/>
          <w:sz w:val="24"/>
          <w:szCs w:val="24"/>
        </w:rPr>
        <w:t xml:space="preserve"> </w:t>
      </w:r>
      <w:r w:rsidR="5F3DDEA5"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F3DDEA5" w:rsidRPr="00D44D33">
        <w:rPr>
          <w:rFonts w:ascii="Times New Roman" w:eastAsia="Times New Roman" w:hAnsi="Times New Roman" w:cs="Times New Roman"/>
          <w:sz w:val="24"/>
          <w:szCs w:val="24"/>
        </w:rPr>
        <w:t>małych</w:t>
      </w:r>
      <w:r w:rsidR="00970B2E" w:rsidRPr="00D44D33">
        <w:rPr>
          <w:rFonts w:ascii="Times New Roman" w:eastAsia="Times New Roman" w:hAnsi="Times New Roman" w:cs="Times New Roman"/>
          <w:sz w:val="24"/>
          <w:szCs w:val="24"/>
        </w:rPr>
        <w:t xml:space="preserve"> </w:t>
      </w:r>
      <w:r w:rsidR="5F3DDEA5" w:rsidRPr="00D44D33">
        <w:rPr>
          <w:rFonts w:ascii="Times New Roman" w:eastAsia="Times New Roman" w:hAnsi="Times New Roman" w:cs="Times New Roman"/>
          <w:sz w:val="24"/>
          <w:szCs w:val="24"/>
        </w:rPr>
        <w:t>przedsiębiorców</w:t>
      </w:r>
      <w:r w:rsidR="3A68C048" w:rsidRPr="00D44D33">
        <w:rPr>
          <w:rFonts w:ascii="Times New Roman" w:eastAsia="Times New Roman" w:hAnsi="Times New Roman" w:cs="Times New Roman"/>
          <w:sz w:val="24"/>
          <w:szCs w:val="24"/>
        </w:rPr>
        <w:t>.</w:t>
      </w:r>
    </w:p>
    <w:p w14:paraId="37E6CCD4" w14:textId="702A24DE" w:rsidR="2CB8DF85" w:rsidRPr="00D44D33" w:rsidRDefault="1CFEDE8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projekcie</w:t>
      </w:r>
      <w:r w:rsidR="00970B2E" w:rsidRPr="00D44D33">
        <w:rPr>
          <w:rFonts w:ascii="Times New Roman" w:eastAsia="Times New Roman" w:hAnsi="Times New Roman" w:cs="Times New Roman"/>
          <w:sz w:val="24"/>
          <w:szCs w:val="24"/>
        </w:rPr>
        <w:t xml:space="preserve"> </w:t>
      </w:r>
      <w:r w:rsidR="253CD082"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 xml:space="preserve">Pt </w:t>
      </w:r>
      <w:r w:rsidR="253CD082"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253CD082" w:rsidRPr="00D44D33">
        <w:rPr>
          <w:rFonts w:ascii="Times New Roman" w:eastAsia="Times New Roman" w:hAnsi="Times New Roman" w:cs="Times New Roman"/>
          <w:sz w:val="24"/>
          <w:szCs w:val="24"/>
        </w:rPr>
        <w:t>kontynuuje</w:t>
      </w:r>
      <w:r w:rsidR="00970B2E" w:rsidRPr="00D44D33">
        <w:rPr>
          <w:rFonts w:ascii="Times New Roman" w:eastAsia="Times New Roman" w:hAnsi="Times New Roman" w:cs="Times New Roman"/>
          <w:sz w:val="24"/>
          <w:szCs w:val="24"/>
        </w:rPr>
        <w:t xml:space="preserve"> </w:t>
      </w:r>
      <w:r w:rsidR="253CD082"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obowiązując</w:t>
      </w:r>
      <w:r w:rsidR="3E309E09" w:rsidRPr="00D44D33">
        <w:rPr>
          <w:rFonts w:ascii="Times New Roman" w:eastAsia="Times New Roman" w:hAnsi="Times New Roman" w:cs="Times New Roman"/>
          <w:sz w:val="24"/>
          <w:szCs w:val="24"/>
        </w:rPr>
        <w:t>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179</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9</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w:t>
      </w:r>
      <w:r w:rsidR="008551BC" w:rsidRPr="00D44D33">
        <w:rPr>
          <w:rFonts w:ascii="Times New Roman" w:eastAsia="Times New Roman" w:hAnsi="Times New Roman" w:cs="Times New Roman"/>
          <w:sz w:val="24"/>
          <w:szCs w:val="24"/>
        </w:rPr>
        <w:t>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nadmiarow</w:t>
      </w:r>
      <w:r w:rsidR="631C11CC" w:rsidRPr="00D44D33">
        <w:rPr>
          <w:rFonts w:ascii="Times New Roman" w:eastAsia="Times New Roman" w:hAnsi="Times New Roman" w:cs="Times New Roman"/>
          <w:sz w:val="24"/>
          <w:szCs w:val="24"/>
        </w:rPr>
        <w:t>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obowiąz</w:t>
      </w:r>
      <w:r w:rsidR="20777E47" w:rsidRPr="00D44D33">
        <w:rPr>
          <w:rFonts w:ascii="Times New Roman" w:eastAsia="Times New Roman" w:hAnsi="Times New Roman" w:cs="Times New Roman"/>
          <w:sz w:val="24"/>
          <w:szCs w:val="24"/>
        </w:rPr>
        <w:t>ku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posiadania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elektronicznego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swoich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zawierając</w:t>
      </w:r>
      <w:r w:rsidR="7940FF41" w:rsidRPr="00D44D33">
        <w:rPr>
          <w:rFonts w:ascii="Times New Roman" w:eastAsia="Times New Roman" w:hAnsi="Times New Roman" w:cs="Times New Roman"/>
          <w:sz w:val="24"/>
          <w:szCs w:val="24"/>
        </w:rPr>
        <w:t>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ujmowane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umowie,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sporządzany</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wyłącznie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sądu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prokuratora,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kontroli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operacyjnej</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procesowej.</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sądu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prokuratora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jednak</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konieczne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posiadanie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lastRenderedPageBreak/>
        <w:t>przedsiębiorcę</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takiego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specjalnego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Wystarczającym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rozwiązaniem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bowiem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nałożenie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udostępnienia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wskazywania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ustawie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temu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służyć</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(czyli</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przeznaczonego do tego celu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elektronicznego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sądu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prokuratora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istotne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bowiem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fakt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ujęcia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wykazie.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konsekwencji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rezygnacja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prowadzenia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wiąże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uzupełnieniem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43</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45</w:t>
      </w:r>
      <w:r w:rsidR="00970B2E" w:rsidRPr="00D44D33">
        <w:rPr>
          <w:rFonts w:ascii="Times New Roman" w:eastAsia="Times New Roman" w:hAnsi="Times New Roman" w:cs="Times New Roman"/>
          <w:sz w:val="24"/>
          <w:szCs w:val="24"/>
        </w:rPr>
        <w:t xml:space="preserve"> </w:t>
      </w:r>
      <w:r w:rsidR="47BC32B4" w:rsidRPr="00D44D33">
        <w:rPr>
          <w:rFonts w:ascii="Times New Roman" w:eastAsia="Times New Roman" w:hAnsi="Times New Roman" w:cs="Times New Roman"/>
          <w:sz w:val="24"/>
          <w:szCs w:val="24"/>
        </w:rPr>
        <w:t>projektu</w:t>
      </w:r>
      <w:r w:rsidR="00970B2E" w:rsidRPr="00D44D33">
        <w:rPr>
          <w:rFonts w:ascii="Times New Roman" w:eastAsia="Times New Roman" w:hAnsi="Times New Roman" w:cs="Times New Roman"/>
          <w:sz w:val="24"/>
          <w:szCs w:val="24"/>
        </w:rPr>
        <w:t xml:space="preserve"> </w:t>
      </w:r>
      <w:r w:rsidR="47BC32B4" w:rsidRPr="00D44D33">
        <w:rPr>
          <w:rFonts w:ascii="Times New Roman" w:eastAsia="Times New Roman" w:hAnsi="Times New Roman" w:cs="Times New Roman"/>
          <w:sz w:val="24"/>
          <w:szCs w:val="24"/>
        </w:rPr>
        <w:t>ustawy</w:t>
      </w:r>
      <w:r w:rsidR="008551BC" w:rsidRPr="00D44D33">
        <w:rPr>
          <w:rFonts w:ascii="Times New Roman" w:eastAsia="Times New Roman" w:hAnsi="Times New Roman" w:cs="Times New Roman"/>
          <w:sz w:val="24"/>
          <w:szCs w:val="24"/>
        </w:rPr>
        <w:t xml:space="preserve"> Pke</w:t>
      </w:r>
      <w:r w:rsidR="44FECCB9"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udostępnić</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sądowi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prokuratorowi,</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wynikające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zawartej</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abonentem,</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wskazane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enumeratywnie.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Powyższa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zmiana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redukuje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funkcjonujące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obciążenie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administracyjne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nałożone</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4FECCB9" w:rsidRPr="00D44D33">
        <w:rPr>
          <w:rFonts w:ascii="Times New Roman" w:eastAsia="Times New Roman" w:hAnsi="Times New Roman" w:cs="Times New Roman"/>
          <w:sz w:val="24"/>
          <w:szCs w:val="24"/>
        </w:rPr>
        <w:t>przedsiębiorców.</w:t>
      </w:r>
    </w:p>
    <w:p w14:paraId="2C4CBA8E" w14:textId="6B222F6A" w:rsidR="73BC236B" w:rsidRPr="00D44D33" w:rsidRDefault="73BC236B"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45</w:t>
      </w:r>
    </w:p>
    <w:p w14:paraId="169DB5C0" w14:textId="6ED15091" w:rsidR="67C72CB0" w:rsidRPr="00D44D33" w:rsidRDefault="093D741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7C72CB0"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840AC62" w:rsidRPr="00D44D33">
        <w:rPr>
          <w:rFonts w:ascii="Times New Roman" w:eastAsia="Times New Roman" w:hAnsi="Times New Roman" w:cs="Times New Roman"/>
          <w:sz w:val="24"/>
          <w:szCs w:val="24"/>
        </w:rPr>
        <w:t>45</w:t>
      </w:r>
      <w:r w:rsidR="00970B2E" w:rsidRPr="00D44D33">
        <w:rPr>
          <w:rFonts w:ascii="Times New Roman" w:eastAsia="Times New Roman" w:hAnsi="Times New Roman" w:cs="Times New Roman"/>
          <w:sz w:val="24"/>
          <w:szCs w:val="24"/>
        </w:rPr>
        <w:t xml:space="preserve"> </w:t>
      </w:r>
      <w:r w:rsidR="67C72CB0" w:rsidRPr="00D44D33">
        <w:rPr>
          <w:rFonts w:ascii="Times New Roman" w:eastAsia="Times New Roman" w:hAnsi="Times New Roman" w:cs="Times New Roman"/>
          <w:sz w:val="24"/>
          <w:szCs w:val="24"/>
        </w:rPr>
        <w:t>doprecyzowano</w:t>
      </w:r>
      <w:r w:rsidR="00970B2E" w:rsidRPr="00D44D33">
        <w:rPr>
          <w:rFonts w:ascii="Times New Roman" w:eastAsia="Times New Roman" w:hAnsi="Times New Roman" w:cs="Times New Roman"/>
          <w:sz w:val="24"/>
          <w:szCs w:val="24"/>
        </w:rPr>
        <w:t xml:space="preserve"> </w:t>
      </w:r>
      <w:r w:rsidR="67C72CB0"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 xml:space="preserve">przedsiębiorcy telekomunikacyjnego </w:t>
      </w:r>
      <w:r w:rsidR="67C72CB0" w:rsidRPr="00D44D33">
        <w:rPr>
          <w:rFonts w:ascii="Times New Roman" w:eastAsia="Times New Roman" w:hAnsi="Times New Roman" w:cs="Times New Roman"/>
          <w:sz w:val="24"/>
          <w:szCs w:val="24"/>
        </w:rPr>
        <w:t>polegający</w:t>
      </w:r>
      <w:r w:rsidR="00970B2E" w:rsidRPr="00D44D33">
        <w:rPr>
          <w:rFonts w:ascii="Times New Roman" w:eastAsia="Times New Roman" w:hAnsi="Times New Roman" w:cs="Times New Roman"/>
          <w:sz w:val="24"/>
          <w:szCs w:val="24"/>
        </w:rPr>
        <w:t xml:space="preserve"> </w:t>
      </w:r>
      <w:r w:rsidR="67C72CB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przygotowaniu</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technicznych</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organizacyjnych</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udostępnianiu</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przetwarzanych</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sądowi</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2539118" w:rsidRPr="00D44D33">
        <w:rPr>
          <w:rFonts w:ascii="Times New Roman" w:eastAsia="Times New Roman" w:hAnsi="Times New Roman" w:cs="Times New Roman"/>
          <w:sz w:val="24"/>
          <w:szCs w:val="24"/>
        </w:rPr>
        <w:t>prokuratorowi</w:t>
      </w:r>
      <w:r w:rsidR="6F911AF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objęte</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aktualnie</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180d</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ustawy</w:t>
      </w:r>
      <w:r w:rsidR="008551BC" w:rsidRPr="00D44D33">
        <w:rPr>
          <w:rFonts w:ascii="Times New Roman" w:eastAsia="Times New Roman" w:hAnsi="Times New Roman" w:cs="Times New Roman"/>
          <w:sz w:val="24"/>
          <w:szCs w:val="24"/>
        </w:rPr>
        <w:t xml:space="preserve"> Pt</w:t>
      </w:r>
      <w:r w:rsidR="40CBBF9B"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BFF64D1" w:rsidRPr="00D44D33">
        <w:rPr>
          <w:rFonts w:ascii="Times New Roman" w:eastAsia="Times New Roman" w:hAnsi="Times New Roman" w:cs="Times New Roman"/>
          <w:sz w:val="24"/>
          <w:szCs w:val="24"/>
        </w:rPr>
        <w:t>m.in.</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usunięcie</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odniesienia</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984088" w:rsidRPr="00D44D33">
        <w:rPr>
          <w:rFonts w:ascii="Times New Roman" w:eastAsia="Times New Roman" w:hAnsi="Times New Roman" w:cs="Times New Roman"/>
          <w:sz w:val="24"/>
          <w:szCs w:val="24"/>
        </w:rPr>
        <w:t>„</w:t>
      </w:r>
      <w:r w:rsidR="40CBBF9B"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40CBBF9B" w:rsidRPr="00D44D33">
        <w:rPr>
          <w:rFonts w:ascii="Times New Roman" w:eastAsia="Times New Roman" w:hAnsi="Times New Roman" w:cs="Times New Roman"/>
          <w:sz w:val="24"/>
          <w:szCs w:val="24"/>
        </w:rPr>
        <w:t>dost</w:t>
      </w:r>
      <w:r w:rsidR="580E69CE" w:rsidRPr="00D44D33">
        <w:rPr>
          <w:rFonts w:ascii="Times New Roman" w:eastAsia="Times New Roman" w:hAnsi="Times New Roman" w:cs="Times New Roman"/>
          <w:sz w:val="24"/>
          <w:szCs w:val="24"/>
        </w:rPr>
        <w:t>ępu</w:t>
      </w:r>
      <w:r w:rsidR="00970B2E" w:rsidRPr="00D44D33">
        <w:rPr>
          <w:rFonts w:ascii="Times New Roman" w:eastAsia="Times New Roman" w:hAnsi="Times New Roman" w:cs="Times New Roman"/>
          <w:sz w:val="24"/>
          <w:szCs w:val="24"/>
        </w:rPr>
        <w:t xml:space="preserve"> </w:t>
      </w:r>
      <w:r w:rsidR="580E69C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80E69CE"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on</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podstawę</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prawną</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przygotowania</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odpowiednich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technicznych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organizacyjnych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umożliwiających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udostępnianie</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realizowanych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tzw.</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ustaleń</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4675E11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675E11E" w:rsidRPr="00D44D33">
        <w:rPr>
          <w:rFonts w:ascii="Times New Roman" w:eastAsia="Times New Roman" w:hAnsi="Times New Roman" w:cs="Times New Roman"/>
          <w:sz w:val="24"/>
          <w:szCs w:val="24"/>
        </w:rPr>
        <w:t>d</w:t>
      </w:r>
      <w:r w:rsidR="5DD1005E"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określenia</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sposobu</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5DD1005E" w:rsidRPr="00D44D33">
        <w:rPr>
          <w:rFonts w:ascii="Times New Roman" w:eastAsia="Times New Roman" w:hAnsi="Times New Roman" w:cs="Times New Roman"/>
          <w:sz w:val="24"/>
          <w:szCs w:val="24"/>
        </w:rPr>
        <w:t>danych</w:t>
      </w:r>
      <w:r w:rsidR="008551B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Uzupełniono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konieczność</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przekazania</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identyfikujących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sieć</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kraj</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przypadku</w:t>
      </w:r>
      <w:r w:rsidR="1DD3780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końcowe</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znajduje</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poza</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granicami</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Rzeczypospolitej</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Polskiej.</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lastRenderedPageBreak/>
        <w:t>Jest</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analogiczny</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przepisu</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zawartego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obowiązującym</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Infrastruktury</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28</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grudnia</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2009</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sprawie</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szczegółowego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operatorów</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dostawców</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publicznie</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dostępnych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obowiązanych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zatrzymywania</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28BB143" w:rsidRPr="00D44D33">
        <w:rPr>
          <w:rFonts w:ascii="Times New Roman" w:eastAsia="Times New Roman" w:hAnsi="Times New Roman" w:cs="Times New Roman"/>
          <w:sz w:val="24"/>
          <w:szCs w:val="24"/>
        </w:rPr>
        <w:t>przechowywania</w:t>
      </w:r>
      <w:r w:rsidR="00984088" w:rsidRPr="00D44D33">
        <w:rPr>
          <w:rFonts w:ascii="Times New Roman" w:eastAsia="Times New Roman" w:hAnsi="Times New Roman" w:cs="Times New Roman"/>
          <w:sz w:val="24"/>
          <w:szCs w:val="24"/>
        </w:rPr>
        <w:t xml:space="preserve"> (Dz. U. poz. 1828)</w:t>
      </w:r>
      <w:r w:rsidR="3D9CF05D" w:rsidRPr="00D44D33">
        <w:rPr>
          <w:rFonts w:ascii="Times New Roman" w:eastAsia="Times New Roman" w:hAnsi="Times New Roman" w:cs="Times New Roman"/>
          <w:sz w:val="24"/>
          <w:szCs w:val="24"/>
        </w:rPr>
        <w:t>.</w:t>
      </w:r>
    </w:p>
    <w:p w14:paraId="3B524A43" w14:textId="49319867" w:rsidR="67C72CB0" w:rsidRPr="00D44D33" w:rsidRDefault="3D9CF05D"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46</w:t>
      </w:r>
    </w:p>
    <w:p w14:paraId="5EF7B911" w14:textId="420A2D93" w:rsidR="2E54A8F1" w:rsidRPr="00D44D33" w:rsidRDefault="32813D2F"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46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zawiera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niezmienione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12ACF21" w:rsidRPr="00D44D33">
        <w:rPr>
          <w:rFonts w:ascii="Times New Roman" w:eastAsia="Times New Roman" w:hAnsi="Times New Roman" w:cs="Times New Roman"/>
          <w:sz w:val="24"/>
          <w:szCs w:val="24"/>
        </w:rPr>
        <w:t>stosunku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 xml:space="preserve">Pt </w:t>
      </w:r>
      <w:r w:rsidR="0EFE8AF7" w:rsidRPr="00D44D33">
        <w:rPr>
          <w:rFonts w:ascii="Times New Roman" w:eastAsia="Times New Roman" w:hAnsi="Times New Roman" w:cs="Times New Roman"/>
          <w:sz w:val="24"/>
          <w:szCs w:val="24"/>
        </w:rPr>
        <w:t>upoważnienia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ujęt</w:t>
      </w:r>
      <w:r w:rsidR="2A68C374"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2A68C37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A68C374"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2A68C374" w:rsidRPr="00D44D33">
        <w:rPr>
          <w:rFonts w:ascii="Times New Roman" w:eastAsia="Times New Roman" w:hAnsi="Times New Roman" w:cs="Times New Roman"/>
          <w:sz w:val="24"/>
          <w:szCs w:val="24"/>
        </w:rPr>
        <w:t>179</w:t>
      </w:r>
      <w:r w:rsidR="00970B2E" w:rsidRPr="00D44D33">
        <w:rPr>
          <w:rFonts w:ascii="Times New Roman" w:eastAsia="Times New Roman" w:hAnsi="Times New Roman" w:cs="Times New Roman"/>
          <w:sz w:val="24"/>
          <w:szCs w:val="24"/>
        </w:rPr>
        <w:t xml:space="preserve"> </w:t>
      </w:r>
      <w:r w:rsidR="2A68C374"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2A68C374" w:rsidRPr="00D44D33">
        <w:rPr>
          <w:rFonts w:ascii="Times New Roman" w:eastAsia="Times New Roman" w:hAnsi="Times New Roman" w:cs="Times New Roman"/>
          <w:sz w:val="24"/>
          <w:szCs w:val="24"/>
        </w:rPr>
        <w:t>12</w:t>
      </w:r>
      <w:r w:rsidR="00970B2E" w:rsidRPr="00D44D33">
        <w:rPr>
          <w:rFonts w:ascii="Times New Roman" w:eastAsia="Times New Roman" w:hAnsi="Times New Roman" w:cs="Times New Roman"/>
          <w:sz w:val="24"/>
          <w:szCs w:val="24"/>
        </w:rPr>
        <w:t xml:space="preserve"> </w:t>
      </w:r>
      <w:r w:rsidR="2A68C374"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7A28E9F" w:rsidRPr="00D44D33">
        <w:rPr>
          <w:rFonts w:ascii="Times New Roman" w:eastAsia="Times New Roman" w:hAnsi="Times New Roman" w:cs="Times New Roman"/>
          <w:sz w:val="24"/>
          <w:szCs w:val="24"/>
        </w:rPr>
        <w:t>art.</w:t>
      </w:r>
      <w:r w:rsidR="2A68C374" w:rsidRPr="00D44D33">
        <w:rPr>
          <w:rFonts w:ascii="Times New Roman" w:eastAsia="Times New Roman" w:hAnsi="Times New Roman" w:cs="Times New Roman"/>
          <w:sz w:val="24"/>
          <w:szCs w:val="24"/>
        </w:rPr>
        <w:t>18</w:t>
      </w:r>
      <w:r w:rsidR="3DBCF85D"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565435AA"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Pt</w:t>
      </w:r>
      <w:r w:rsidR="3DBCF85D"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87579EC" w:rsidRPr="00D44D33">
        <w:rPr>
          <w:rFonts w:ascii="Times New Roman" w:eastAsia="Times New Roman" w:hAnsi="Times New Roman" w:cs="Times New Roman"/>
          <w:sz w:val="24"/>
          <w:szCs w:val="24"/>
        </w:rPr>
        <w:t>P</w:t>
      </w:r>
      <w:r w:rsidR="3CA81D7F" w:rsidRPr="00D44D33">
        <w:rPr>
          <w:rFonts w:ascii="Times New Roman" w:eastAsia="Times New Roman" w:hAnsi="Times New Roman" w:cs="Times New Roman"/>
          <w:sz w:val="24"/>
          <w:szCs w:val="24"/>
        </w:rPr>
        <w:t>odkreślić</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5BB57BD1" w:rsidRPr="00D44D33">
        <w:rPr>
          <w:rFonts w:ascii="Times New Roman" w:eastAsia="Times New Roman" w:hAnsi="Times New Roman" w:cs="Times New Roman"/>
          <w:sz w:val="24"/>
          <w:szCs w:val="24"/>
        </w:rPr>
        <w:t>ż</w:t>
      </w:r>
      <w:r w:rsidR="3CA81D7F"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wskazanie</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rozporządzeniu</w:t>
      </w:r>
      <w:r w:rsidR="2415A66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wydawan</w:t>
      </w:r>
      <w:r w:rsidR="00C640FD" w:rsidRPr="00D44D33">
        <w:rPr>
          <w:rFonts w:ascii="Times New Roman" w:eastAsia="Times New Roman" w:hAnsi="Times New Roman" w:cs="Times New Roman"/>
          <w:sz w:val="24"/>
          <w:szCs w:val="24"/>
        </w:rPr>
        <w:t>ym</w:t>
      </w:r>
      <w:r w:rsidR="00884159"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46</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2415A660" w:rsidRPr="00D44D33">
        <w:rPr>
          <w:rFonts w:ascii="Times New Roman" w:eastAsia="Times New Roman" w:hAnsi="Times New Roman" w:cs="Times New Roman"/>
          <w:sz w:val="24"/>
          <w:szCs w:val="24"/>
        </w:rPr>
        <w:t>2</w:t>
      </w:r>
      <w:r w:rsidR="18B5E49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1AFE714" w:rsidRPr="00D44D33">
        <w:rPr>
          <w:rFonts w:ascii="Times New Roman" w:eastAsia="Times New Roman" w:hAnsi="Times New Roman" w:cs="Times New Roman"/>
          <w:sz w:val="24"/>
          <w:szCs w:val="24"/>
        </w:rPr>
        <w:t>szczegółowych</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niepodlegających</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obowiązkowi</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1ED6BCC0"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zabieg</w:t>
      </w:r>
      <w:r w:rsidR="665BE232" w:rsidRPr="00D44D33">
        <w:rPr>
          <w:rFonts w:ascii="Times New Roman" w:eastAsia="Times New Roman" w:hAnsi="Times New Roman" w:cs="Times New Roman"/>
          <w:sz w:val="24"/>
          <w:szCs w:val="24"/>
        </w:rPr>
        <w:t>iem</w:t>
      </w:r>
      <w:r w:rsidR="00970B2E" w:rsidRPr="00D44D33">
        <w:rPr>
          <w:rFonts w:ascii="Times New Roman" w:eastAsia="Times New Roman" w:hAnsi="Times New Roman" w:cs="Times New Roman"/>
          <w:sz w:val="24"/>
          <w:szCs w:val="24"/>
        </w:rPr>
        <w:t xml:space="preserve"> </w:t>
      </w:r>
      <w:r w:rsidR="665BE232" w:rsidRPr="00D44D33">
        <w:rPr>
          <w:rFonts w:ascii="Times New Roman" w:eastAsia="Times New Roman" w:hAnsi="Times New Roman" w:cs="Times New Roman"/>
          <w:sz w:val="24"/>
          <w:szCs w:val="24"/>
        </w:rPr>
        <w:t>niezbędnym</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prawidłowego</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określenia</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rodzaju</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działalności/usług</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podlegających</w:t>
      </w:r>
      <w:r w:rsidR="00970B2E" w:rsidRPr="00D44D33">
        <w:rPr>
          <w:rFonts w:ascii="Times New Roman" w:eastAsia="Times New Roman" w:hAnsi="Times New Roman" w:cs="Times New Roman"/>
          <w:sz w:val="24"/>
          <w:szCs w:val="24"/>
        </w:rPr>
        <w:t xml:space="preserve"> </w:t>
      </w:r>
      <w:r w:rsidR="46024A0B" w:rsidRPr="00D44D33">
        <w:rPr>
          <w:rFonts w:ascii="Times New Roman" w:eastAsia="Times New Roman" w:hAnsi="Times New Roman" w:cs="Times New Roman"/>
          <w:sz w:val="24"/>
          <w:szCs w:val="24"/>
        </w:rPr>
        <w:t>temu</w:t>
      </w:r>
      <w:r w:rsidR="00970B2E" w:rsidRPr="00D44D33">
        <w:rPr>
          <w:rFonts w:ascii="Times New Roman" w:eastAsia="Times New Roman" w:hAnsi="Times New Roman" w:cs="Times New Roman"/>
          <w:sz w:val="24"/>
          <w:szCs w:val="24"/>
        </w:rPr>
        <w:t xml:space="preserve"> </w:t>
      </w:r>
      <w:r w:rsidR="3CA81D7F" w:rsidRPr="00D44D33">
        <w:rPr>
          <w:rFonts w:ascii="Times New Roman" w:eastAsia="Times New Roman" w:hAnsi="Times New Roman" w:cs="Times New Roman"/>
          <w:sz w:val="24"/>
          <w:szCs w:val="24"/>
        </w:rPr>
        <w:t>obowiązkowi.</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Trudno</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byłoby</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ustawie</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wobec</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elastycznie</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zmieniających</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397B2D76" w:rsidRPr="00D44D33">
        <w:rPr>
          <w:rFonts w:ascii="Times New Roman" w:eastAsia="Times New Roman" w:hAnsi="Times New Roman" w:cs="Times New Roman"/>
          <w:sz w:val="24"/>
          <w:szCs w:val="24"/>
        </w:rPr>
        <w:t>rynkowych,</w:t>
      </w:r>
      <w:r w:rsidR="00970B2E" w:rsidRPr="00D44D33">
        <w:rPr>
          <w:rFonts w:ascii="Times New Roman" w:eastAsia="Times New Roman" w:hAnsi="Times New Roman" w:cs="Times New Roman"/>
          <w:sz w:val="24"/>
          <w:szCs w:val="24"/>
        </w:rPr>
        <w:t xml:space="preserve"> </w:t>
      </w:r>
      <w:r w:rsidR="251C75F2"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251C75F2"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251C75F2"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76EAC723"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wynikających</w:t>
      </w:r>
      <w:r w:rsidR="00970B2E" w:rsidRPr="00D44D33">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potrzeb</w:t>
      </w:r>
      <w:r w:rsidR="00970B2E" w:rsidRPr="00D44D33">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4510B3FB"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76EAC72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6EAC723" w:rsidRPr="00D44D33">
        <w:rPr>
          <w:rFonts w:ascii="Times New Roman" w:eastAsia="Times New Roman" w:hAnsi="Times New Roman" w:cs="Times New Roman"/>
          <w:sz w:val="24"/>
          <w:szCs w:val="24"/>
        </w:rPr>
        <w:t>ustalić,</w:t>
      </w:r>
      <w:r w:rsidR="00970B2E" w:rsidRPr="00D44D33">
        <w:rPr>
          <w:rFonts w:ascii="Times New Roman" w:eastAsia="Times New Roman" w:hAnsi="Times New Roman" w:cs="Times New Roman"/>
          <w:sz w:val="24"/>
          <w:szCs w:val="24"/>
        </w:rPr>
        <w:t xml:space="preserve"> </w:t>
      </w:r>
      <w:r w:rsidR="76EAC723"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26C227A1" w:rsidRPr="00D44D33">
        <w:rPr>
          <w:rFonts w:ascii="Times New Roman" w:eastAsia="Times New Roman" w:hAnsi="Times New Roman" w:cs="Times New Roman"/>
          <w:sz w:val="24"/>
          <w:szCs w:val="24"/>
        </w:rPr>
        <w:t>rodzaje</w:t>
      </w:r>
      <w:r w:rsidR="00970B2E" w:rsidRPr="00D44D33">
        <w:rPr>
          <w:rFonts w:ascii="Times New Roman" w:eastAsia="Times New Roman" w:hAnsi="Times New Roman" w:cs="Times New Roman"/>
          <w:sz w:val="24"/>
          <w:szCs w:val="24"/>
        </w:rPr>
        <w:t xml:space="preserve"> </w:t>
      </w:r>
      <w:r w:rsidR="26C227A1"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26C227A1" w:rsidRPr="00D44D33">
        <w:rPr>
          <w:rFonts w:ascii="Times New Roman" w:eastAsia="Times New Roman" w:hAnsi="Times New Roman" w:cs="Times New Roman"/>
          <w:sz w:val="24"/>
          <w:szCs w:val="24"/>
        </w:rPr>
        <w:t>podlegałyby</w:t>
      </w:r>
      <w:r w:rsidR="00970B2E" w:rsidRPr="00D44D33">
        <w:rPr>
          <w:rFonts w:ascii="Times New Roman" w:eastAsia="Times New Roman" w:hAnsi="Times New Roman" w:cs="Times New Roman"/>
          <w:sz w:val="24"/>
          <w:szCs w:val="24"/>
        </w:rPr>
        <w:t xml:space="preserve"> </w:t>
      </w:r>
      <w:r w:rsidR="26C227A1" w:rsidRPr="00D44D33">
        <w:rPr>
          <w:rFonts w:ascii="Times New Roman" w:eastAsia="Times New Roman" w:hAnsi="Times New Roman" w:cs="Times New Roman"/>
          <w:sz w:val="24"/>
          <w:szCs w:val="24"/>
        </w:rPr>
        <w:t>zwolnieniu</w:t>
      </w:r>
      <w:r w:rsidR="00970B2E" w:rsidRPr="00D44D33">
        <w:rPr>
          <w:rFonts w:ascii="Times New Roman" w:eastAsia="Times New Roman" w:hAnsi="Times New Roman" w:cs="Times New Roman"/>
          <w:sz w:val="24"/>
          <w:szCs w:val="24"/>
        </w:rPr>
        <w:t xml:space="preserve"> </w:t>
      </w:r>
      <w:r w:rsidR="26C227A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26C227A1"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47C36144" w:rsidRPr="00D44D33">
        <w:rPr>
          <w:rFonts w:ascii="Times New Roman" w:eastAsia="Times New Roman" w:hAnsi="Times New Roman" w:cs="Times New Roman"/>
          <w:sz w:val="24"/>
          <w:szCs w:val="24"/>
        </w:rPr>
        <w:t>Zrezygnowano</w:t>
      </w:r>
      <w:r w:rsidR="5BA7A98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porównaniu</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obecnymi</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 xml:space="preserve">Pt, </w:t>
      </w:r>
      <w:r w:rsidR="5BA7A980"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wskazywania</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prowadzonej</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tele</w:t>
      </w:r>
      <w:r w:rsidR="0563C9CF" w:rsidRPr="00D44D33">
        <w:rPr>
          <w:rFonts w:ascii="Times New Roman" w:eastAsia="Times New Roman" w:hAnsi="Times New Roman" w:cs="Times New Roman"/>
          <w:sz w:val="24"/>
          <w:szCs w:val="24"/>
        </w:rPr>
        <w:t>komunikacyjnych</w:t>
      </w:r>
      <w:r w:rsidR="00970B2E" w:rsidRPr="00D44D33">
        <w:rPr>
          <w:rFonts w:ascii="Times New Roman" w:eastAsia="Times New Roman" w:hAnsi="Times New Roman" w:cs="Times New Roman"/>
          <w:sz w:val="24"/>
          <w:szCs w:val="24"/>
        </w:rPr>
        <w:t xml:space="preserve"> </w:t>
      </w:r>
      <w:r w:rsidR="0563C9CF" w:rsidRPr="00D44D33">
        <w:rPr>
          <w:rFonts w:ascii="Times New Roman" w:eastAsia="Times New Roman" w:hAnsi="Times New Roman" w:cs="Times New Roman"/>
          <w:sz w:val="24"/>
          <w:szCs w:val="24"/>
        </w:rPr>
        <w:t>zwolnionych</w:t>
      </w:r>
      <w:r w:rsidR="00970B2E" w:rsidRPr="00D44D33">
        <w:rPr>
          <w:rFonts w:ascii="Times New Roman" w:eastAsia="Times New Roman" w:hAnsi="Times New Roman" w:cs="Times New Roman"/>
          <w:sz w:val="24"/>
          <w:szCs w:val="24"/>
        </w:rPr>
        <w:t xml:space="preserve"> </w:t>
      </w:r>
      <w:r w:rsidR="0563C9CF"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563C9CF" w:rsidRPr="00D44D33">
        <w:rPr>
          <w:rFonts w:ascii="Times New Roman" w:eastAsia="Times New Roman" w:hAnsi="Times New Roman" w:cs="Times New Roman"/>
          <w:sz w:val="24"/>
          <w:szCs w:val="24"/>
        </w:rPr>
        <w:t>obowiązku</w:t>
      </w:r>
      <w:r w:rsidR="5BA7A98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BA7A980" w:rsidRPr="00D44D33">
        <w:rPr>
          <w:rFonts w:ascii="Times New Roman" w:eastAsia="Times New Roman" w:hAnsi="Times New Roman" w:cs="Times New Roman"/>
          <w:sz w:val="24"/>
          <w:szCs w:val="24"/>
        </w:rPr>
        <w:t>gdyż</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zwolnienia</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odnosić</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19EE8793" w:rsidRPr="00D44D33">
        <w:rPr>
          <w:rFonts w:ascii="Times New Roman" w:eastAsia="Times New Roman" w:hAnsi="Times New Roman" w:cs="Times New Roman"/>
          <w:sz w:val="24"/>
          <w:szCs w:val="24"/>
        </w:rPr>
        <w:t>wz</w:t>
      </w:r>
      <w:r w:rsidR="4408AF00" w:rsidRPr="00D44D33">
        <w:rPr>
          <w:rFonts w:ascii="Times New Roman" w:eastAsia="Times New Roman" w:hAnsi="Times New Roman" w:cs="Times New Roman"/>
          <w:sz w:val="24"/>
          <w:szCs w:val="24"/>
        </w:rPr>
        <w:t>ględu</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prowadzoną</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działalność.</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Zrezygnowano</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mając</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uwadze</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treść</w:t>
      </w:r>
      <w:r w:rsidR="00970B2E" w:rsidRPr="00D44D33">
        <w:rPr>
          <w:rFonts w:ascii="Times New Roman" w:eastAsia="Times New Roman" w:hAnsi="Times New Roman" w:cs="Times New Roman"/>
          <w:sz w:val="24"/>
          <w:szCs w:val="24"/>
        </w:rPr>
        <w:t xml:space="preserve"> </w:t>
      </w:r>
      <w:r w:rsidR="4408AF00" w:rsidRPr="00D44D33">
        <w:rPr>
          <w:rFonts w:ascii="Times New Roman" w:eastAsia="Times New Roman" w:hAnsi="Times New Roman" w:cs="Times New Roman"/>
          <w:sz w:val="24"/>
          <w:szCs w:val="24"/>
        </w:rPr>
        <w:t>przyszłego</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5C5FAF7" w:rsidRPr="00D44D33">
        <w:rPr>
          <w:rFonts w:ascii="Times New Roman" w:eastAsia="Times New Roman" w:hAnsi="Times New Roman" w:cs="Times New Roman"/>
          <w:sz w:val="24"/>
          <w:szCs w:val="24"/>
        </w:rPr>
        <w:t>wytycznej</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odnoszącej</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lastRenderedPageBreak/>
        <w:t>do</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zakresu</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publicznie</w:t>
      </w:r>
      <w:r w:rsidR="00970B2E" w:rsidRPr="00D44D33">
        <w:rPr>
          <w:rFonts w:ascii="Times New Roman" w:eastAsia="Times New Roman" w:hAnsi="Times New Roman" w:cs="Times New Roman"/>
          <w:sz w:val="24"/>
          <w:szCs w:val="24"/>
        </w:rPr>
        <w:t xml:space="preserve"> </w:t>
      </w:r>
      <w:r w:rsidR="3AEBE2FF" w:rsidRPr="00D44D33">
        <w:rPr>
          <w:rFonts w:ascii="Times New Roman" w:eastAsia="Times New Roman" w:hAnsi="Times New Roman" w:cs="Times New Roman"/>
          <w:sz w:val="24"/>
          <w:szCs w:val="24"/>
        </w:rPr>
        <w:t>dostępnych</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wielkości</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2BFAEBD6" w:rsidRPr="00D44D33">
        <w:rPr>
          <w:rFonts w:ascii="Times New Roman" w:eastAsia="Times New Roman" w:hAnsi="Times New Roman" w:cs="Times New Roman"/>
          <w:sz w:val="24"/>
          <w:szCs w:val="24"/>
        </w:rPr>
        <w:t>telekomunikacyjnych</w:t>
      </w:r>
      <w:r w:rsidR="0B88674F" w:rsidRPr="00D44D33">
        <w:rPr>
          <w:rFonts w:ascii="Times New Roman" w:eastAsia="Times New Roman" w:hAnsi="Times New Roman" w:cs="Times New Roman"/>
          <w:sz w:val="24"/>
          <w:szCs w:val="24"/>
        </w:rPr>
        <w:t>.</w:t>
      </w:r>
    </w:p>
    <w:p w14:paraId="60839B03" w14:textId="39394853" w:rsidR="6A1D1830" w:rsidRPr="00D44D33" w:rsidRDefault="6A1D1830"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47</w:t>
      </w:r>
    </w:p>
    <w:p w14:paraId="33DEBA20" w14:textId="7A9ED93A" w:rsidR="6F412A00" w:rsidRPr="00D44D33" w:rsidRDefault="3973DDB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97CC11F"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5E138C48" w:rsidRPr="00D44D33">
        <w:rPr>
          <w:rFonts w:ascii="Times New Roman" w:eastAsia="Times New Roman" w:hAnsi="Times New Roman" w:cs="Times New Roman"/>
          <w:sz w:val="24"/>
          <w:szCs w:val="24"/>
        </w:rPr>
        <w:t>47</w:t>
      </w:r>
      <w:r w:rsidR="00970B2E" w:rsidRPr="00D44D33">
        <w:rPr>
          <w:rFonts w:ascii="Times New Roman" w:eastAsia="Times New Roman" w:hAnsi="Times New Roman" w:cs="Times New Roman"/>
          <w:sz w:val="24"/>
          <w:szCs w:val="24"/>
        </w:rPr>
        <w:t xml:space="preserve"> </w:t>
      </w:r>
      <w:r w:rsidR="097CC11F"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97CC11F"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59720905"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59720905"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nałoż</w:t>
      </w:r>
      <w:r w:rsidR="21207870" w:rsidRPr="00D44D33">
        <w:rPr>
          <w:rFonts w:ascii="Times New Roman" w:eastAsia="Times New Roman" w:hAnsi="Times New Roman" w:cs="Times New Roman"/>
          <w:sz w:val="24"/>
          <w:szCs w:val="24"/>
        </w:rPr>
        <w:t>ono</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884159" w:rsidRPr="00D44D33">
        <w:rPr>
          <w:rFonts w:ascii="Times New Roman" w:eastAsia="Times New Roman" w:hAnsi="Times New Roman" w:cs="Times New Roman"/>
          <w:sz w:val="24"/>
          <w:szCs w:val="24"/>
        </w:rPr>
        <w:t>komunikacji elektronicznej</w:t>
      </w:r>
      <w:r w:rsidR="00884159" w:rsidRPr="00D44D33" w:rsidDel="00884159">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obowiąz</w:t>
      </w:r>
      <w:r w:rsidR="4380650C" w:rsidRPr="00D44D33">
        <w:rPr>
          <w:rFonts w:ascii="Times New Roman" w:eastAsia="Times New Roman" w:hAnsi="Times New Roman" w:cs="Times New Roman"/>
          <w:sz w:val="24"/>
          <w:szCs w:val="24"/>
        </w:rPr>
        <w:t>e</w:t>
      </w:r>
      <w:r w:rsidR="1FC1F951" w:rsidRPr="00D44D33">
        <w:rPr>
          <w:rFonts w:ascii="Times New Roman" w:eastAsia="Times New Roman" w:hAnsi="Times New Roman" w:cs="Times New Roman"/>
          <w:sz w:val="24"/>
          <w:szCs w:val="24"/>
        </w:rPr>
        <w:t>k</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sądowi</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prokuratorowi</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retencyjny</w:t>
      </w:r>
      <w:r w:rsidR="6F6698B6" w:rsidRPr="00D44D33">
        <w:rPr>
          <w:rFonts w:ascii="Times New Roman" w:eastAsia="Times New Roman" w:hAnsi="Times New Roman" w:cs="Times New Roman"/>
          <w:sz w:val="24"/>
          <w:szCs w:val="24"/>
        </w:rPr>
        <w:t>ch</w:t>
      </w:r>
      <w:r w:rsidR="1FC1F95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określonym</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jednolitym</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elektronicznym</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formacie</w:t>
      </w:r>
      <w:r w:rsidR="5BF2ABAB"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brak</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takich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zasad</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skutkuje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każdy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udostępnia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retencyjne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odmienny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powoduje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trudności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procesie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przetwarzania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uprawnione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sąd</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prokuratora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udostępnionych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Zasadne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zatem,</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 xml:space="preserve">w </w:t>
      </w:r>
      <w:r w:rsidR="5BF2ABAB" w:rsidRPr="00D44D33">
        <w:rPr>
          <w:rFonts w:ascii="Times New Roman" w:eastAsia="Times New Roman" w:hAnsi="Times New Roman" w:cs="Times New Roman"/>
          <w:sz w:val="24"/>
          <w:szCs w:val="24"/>
        </w:rPr>
        <w:t>cel</w:t>
      </w:r>
      <w:r w:rsidR="008551BC"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znacznego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przyśpieszenia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czynności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operacyjnych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procesowych,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zwłaszcza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wymagających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przetworzenia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dużej</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licz</w:t>
      </w:r>
      <w:r w:rsidR="008551BC" w:rsidRPr="00D44D33">
        <w:rPr>
          <w:rFonts w:ascii="Times New Roman" w:eastAsia="Times New Roman" w:hAnsi="Times New Roman" w:cs="Times New Roman"/>
          <w:sz w:val="24"/>
          <w:szCs w:val="24"/>
        </w:rPr>
        <w:t>b</w:t>
      </w:r>
      <w:r w:rsidR="5BF2ABAB" w:rsidRPr="00D44D33">
        <w:rPr>
          <w:rFonts w:ascii="Times New Roman" w:eastAsia="Times New Roman" w:hAnsi="Times New Roman" w:cs="Times New Roman"/>
          <w:sz w:val="24"/>
          <w:szCs w:val="24"/>
        </w:rPr>
        <w:t>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ustalenie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jednolitych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struktur</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udostępnianych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Powyższy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stosowania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ujednoliconego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formatu</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udostępnianych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proponuje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wprowadzić</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wydanego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8E4037F" w:rsidRPr="00D44D33">
        <w:rPr>
          <w:rFonts w:ascii="Times New Roman" w:eastAsia="Times New Roman" w:hAnsi="Times New Roman" w:cs="Times New Roman"/>
          <w:sz w:val="24"/>
          <w:szCs w:val="24"/>
        </w:rPr>
        <w:t>49</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Propozycja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wynika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treści</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d</w:t>
      </w:r>
      <w:r w:rsidR="5BF2ABAB" w:rsidRPr="00D44D33">
        <w:rPr>
          <w:rFonts w:ascii="Times New Roman" w:eastAsia="Times New Roman" w:hAnsi="Times New Roman" w:cs="Times New Roman"/>
          <w:sz w:val="24"/>
          <w:szCs w:val="24"/>
        </w:rPr>
        <w:t>ezyderatu</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nr</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7</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Komisji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Służb</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Specjalnych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nr</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KSS/VIII/Z‑819/2018</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28</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października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2018</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vertAlign w:val="superscript"/>
        </w:rPr>
        <w:t xml:space="preserve"> </w:t>
      </w:r>
      <w:r w:rsidR="5BF2ABAB" w:rsidRPr="00D44D33">
        <w:rPr>
          <w:rFonts w:ascii="Times New Roman" w:eastAsia="Times New Roman" w:hAnsi="Times New Roman" w:cs="Times New Roman"/>
          <w:sz w:val="24"/>
          <w:szCs w:val="24"/>
        </w:rPr>
        <w:t>dotyczącego</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ujednolicenia</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formatów</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bankowych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pozyskiwanych</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służby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5BF2ABAB" w:rsidRPr="00D44D33">
        <w:rPr>
          <w:rFonts w:ascii="Times New Roman" w:eastAsia="Times New Roman" w:hAnsi="Times New Roman" w:cs="Times New Roman"/>
          <w:sz w:val="24"/>
          <w:szCs w:val="24"/>
        </w:rPr>
        <w:t>ścigania</w:t>
      </w:r>
      <w:r w:rsidR="16DCF47E" w:rsidRPr="00D44D33">
        <w:rPr>
          <w:rFonts w:ascii="Times New Roman" w:eastAsia="Times New Roman" w:hAnsi="Times New Roman" w:cs="Times New Roman"/>
          <w:sz w:val="24"/>
          <w:szCs w:val="24"/>
        </w:rPr>
        <w:t>.</w:t>
      </w:r>
    </w:p>
    <w:p w14:paraId="02973705" w14:textId="14F454DE" w:rsidR="250F4AF9" w:rsidRPr="00D44D33" w:rsidRDefault="250F4AF9"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48</w:t>
      </w:r>
    </w:p>
    <w:p w14:paraId="7E2662AD" w14:textId="5716179B" w:rsidR="70DD0A5F" w:rsidRPr="00D44D33" w:rsidRDefault="008551BC" w:rsidP="00D44D33">
      <w:pPr>
        <w:tabs>
          <w:tab w:val="center" w:pos="4536"/>
          <w:tab w:val="right" w:pos="9072"/>
        </w:tabs>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Zgodnie z</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343BC48C" w:rsidRPr="00D44D33">
        <w:rPr>
          <w:rFonts w:ascii="Times New Roman" w:eastAsia="Times New Roman" w:hAnsi="Times New Roman" w:cs="Times New Roman"/>
          <w:sz w:val="24"/>
          <w:szCs w:val="24"/>
        </w:rPr>
        <w:t>4</w:t>
      </w:r>
      <w:r w:rsidR="148F331F" w:rsidRPr="00D44D33">
        <w:rPr>
          <w:rFonts w:ascii="Times New Roman" w:eastAsia="Times New Roman" w:hAnsi="Times New Roman" w:cs="Times New Roman"/>
          <w:sz w:val="24"/>
          <w:szCs w:val="24"/>
        </w:rPr>
        <w:t>8</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59D797EB"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nałożono</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00E102CA" w:rsidRPr="00D44D33" w:rsidDel="00E102CA">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prz</w:t>
      </w:r>
      <w:r w:rsidR="354EB621" w:rsidRPr="00D44D33">
        <w:rPr>
          <w:rFonts w:ascii="Times New Roman" w:eastAsia="Times New Roman" w:hAnsi="Times New Roman" w:cs="Times New Roman"/>
          <w:sz w:val="24"/>
          <w:szCs w:val="24"/>
        </w:rPr>
        <w:t>e</w:t>
      </w:r>
      <w:r w:rsidR="35D42014" w:rsidRPr="00D44D33">
        <w:rPr>
          <w:rFonts w:ascii="Times New Roman" w:eastAsia="Times New Roman" w:hAnsi="Times New Roman" w:cs="Times New Roman"/>
          <w:sz w:val="24"/>
          <w:szCs w:val="24"/>
        </w:rPr>
        <w:t>jmującego</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3A53E1D4"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3A53E1D4"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3A53E1D4" w:rsidRPr="00D44D33">
        <w:rPr>
          <w:rFonts w:ascii="Times New Roman" w:eastAsia="Times New Roman" w:hAnsi="Times New Roman" w:cs="Times New Roman"/>
          <w:sz w:val="24"/>
          <w:szCs w:val="24"/>
        </w:rPr>
        <w:t>zaprzestaje</w:t>
      </w:r>
      <w:r w:rsidR="00970B2E" w:rsidRPr="00D44D33">
        <w:rPr>
          <w:rFonts w:ascii="Times New Roman" w:eastAsia="Times New Roman" w:hAnsi="Times New Roman" w:cs="Times New Roman"/>
          <w:sz w:val="24"/>
          <w:szCs w:val="24"/>
        </w:rPr>
        <w:t xml:space="preserve"> </w:t>
      </w:r>
      <w:r w:rsidR="2FD093C8"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708A5C7A"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35D42014" w:rsidRPr="00D44D33">
        <w:rPr>
          <w:rFonts w:ascii="Times New Roman" w:eastAsia="Times New Roman" w:hAnsi="Times New Roman" w:cs="Times New Roman"/>
          <w:sz w:val="24"/>
          <w:szCs w:val="24"/>
        </w:rPr>
        <w:lastRenderedPageBreak/>
        <w:t>prz</w:t>
      </w:r>
      <w:r w:rsidR="7AB28522" w:rsidRPr="00D44D33">
        <w:rPr>
          <w:rFonts w:ascii="Times New Roman" w:eastAsia="Times New Roman" w:hAnsi="Times New Roman" w:cs="Times New Roman"/>
          <w:sz w:val="24"/>
          <w:szCs w:val="24"/>
        </w:rPr>
        <w:t>yjęcia</w:t>
      </w:r>
      <w:r w:rsidR="00970B2E" w:rsidRPr="00D44D33">
        <w:rPr>
          <w:rFonts w:ascii="Times New Roman" w:eastAsia="Times New Roman" w:hAnsi="Times New Roman" w:cs="Times New Roman"/>
          <w:sz w:val="24"/>
          <w:szCs w:val="24"/>
        </w:rPr>
        <w:t xml:space="preserve"> </w:t>
      </w:r>
      <w:r w:rsidR="7AB28522"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AB28522"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7AB28522"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22114D32"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68B68C54" w:rsidRPr="00D44D33">
        <w:rPr>
          <w:rFonts w:ascii="Times New Roman" w:eastAsia="Times New Roman" w:hAnsi="Times New Roman" w:cs="Times New Roman"/>
          <w:sz w:val="24"/>
          <w:szCs w:val="24"/>
        </w:rPr>
        <w:t>przedsiębiorcy</w:t>
      </w:r>
      <w:r w:rsidR="3219287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7688A8D"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braku</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przyjmującego</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22564A54" w:rsidRPr="00D44D33">
        <w:rPr>
          <w:rFonts w:ascii="Times New Roman" w:eastAsia="Times New Roman" w:hAnsi="Times New Roman" w:cs="Times New Roman"/>
          <w:sz w:val="24"/>
          <w:szCs w:val="24"/>
        </w:rPr>
        <w:t>upadłości</w:t>
      </w:r>
      <w:r w:rsidR="00970B2E" w:rsidRPr="00D44D33">
        <w:rPr>
          <w:rFonts w:ascii="Times New Roman" w:eastAsia="Times New Roman" w:hAnsi="Times New Roman" w:cs="Times New Roman"/>
          <w:sz w:val="24"/>
          <w:szCs w:val="24"/>
        </w:rPr>
        <w:t xml:space="preserve"> </w:t>
      </w:r>
      <w:r w:rsidR="151A780E" w:rsidRPr="00D44D33">
        <w:rPr>
          <w:rFonts w:ascii="Times New Roman" w:eastAsia="Times New Roman" w:hAnsi="Times New Roman" w:cs="Times New Roman"/>
          <w:sz w:val="24"/>
          <w:szCs w:val="24"/>
        </w:rPr>
        <w:t>przedsiębiorcy</w:t>
      </w:r>
      <w:r w:rsidR="3219287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przyjmuje</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32192871"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5D05A92"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73268E6D" w:rsidRPr="00D44D33">
        <w:rPr>
          <w:rFonts w:ascii="Times New Roman" w:eastAsia="Times New Roman" w:hAnsi="Times New Roman" w:cs="Times New Roman"/>
          <w:sz w:val="24"/>
          <w:szCs w:val="24"/>
        </w:rPr>
        <w:t>2</w:t>
      </w:r>
      <w:r w:rsidR="45D05A92" w:rsidRPr="00D44D33">
        <w:rPr>
          <w:rFonts w:ascii="Times New Roman" w:eastAsia="Times New Roman" w:hAnsi="Times New Roman" w:cs="Times New Roman"/>
          <w:sz w:val="24"/>
          <w:szCs w:val="24"/>
        </w:rPr>
        <w:t>)</w:t>
      </w:r>
      <w:r w:rsidR="12CB2E0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Wprowadzon</w:t>
      </w:r>
      <w:r w:rsidR="047E8CE2"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termin</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90</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dni</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przekazanie</w:t>
      </w:r>
      <w:r w:rsidR="00970B2E" w:rsidRPr="00D44D33">
        <w:rPr>
          <w:rFonts w:ascii="Times New Roman" w:eastAsia="Times New Roman" w:hAnsi="Times New Roman" w:cs="Times New Roman"/>
          <w:sz w:val="24"/>
          <w:szCs w:val="24"/>
        </w:rPr>
        <w:t xml:space="preserve"> </w:t>
      </w:r>
      <w:r w:rsidR="1099B416" w:rsidRPr="00D44D33">
        <w:rPr>
          <w:rFonts w:ascii="Times New Roman" w:eastAsia="Times New Roman" w:hAnsi="Times New Roman" w:cs="Times New Roman"/>
          <w:sz w:val="24"/>
          <w:szCs w:val="24"/>
        </w:rPr>
        <w:t>Prezesowi</w:t>
      </w:r>
      <w:r w:rsidR="00970B2E" w:rsidRPr="00D44D33">
        <w:rPr>
          <w:rFonts w:ascii="Times New Roman" w:eastAsia="Times New Roman" w:hAnsi="Times New Roman" w:cs="Times New Roman"/>
          <w:sz w:val="24"/>
          <w:szCs w:val="24"/>
        </w:rPr>
        <w:t xml:space="preserve"> </w:t>
      </w:r>
      <w:r w:rsidR="1099B416"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E2D85BC" w:rsidRPr="00D44D33">
        <w:rPr>
          <w:rFonts w:ascii="Times New Roman" w:eastAsia="Times New Roman" w:hAnsi="Times New Roman" w:cs="Times New Roman"/>
          <w:sz w:val="24"/>
          <w:szCs w:val="24"/>
        </w:rPr>
        <w:t>retencyjnych</w:t>
      </w:r>
      <w:r w:rsidR="129A49E5"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 c</w:t>
      </w:r>
      <w:r w:rsidR="48D802E3" w:rsidRPr="00D44D33">
        <w:rPr>
          <w:rFonts w:ascii="Times New Roman" w:eastAsia="Times New Roman" w:hAnsi="Times New Roman" w:cs="Times New Roman"/>
          <w:sz w:val="24"/>
          <w:szCs w:val="24"/>
        </w:rPr>
        <w:t>el</w:t>
      </w:r>
      <w:r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48D802E3" w:rsidRPr="00D44D33">
        <w:rPr>
          <w:rFonts w:ascii="Times New Roman" w:eastAsia="Times New Roman" w:hAnsi="Times New Roman" w:cs="Times New Roman"/>
          <w:sz w:val="24"/>
          <w:szCs w:val="24"/>
        </w:rPr>
        <w:t>zachowania</w:t>
      </w:r>
      <w:r w:rsidR="00970B2E" w:rsidRPr="00D44D33">
        <w:rPr>
          <w:rFonts w:ascii="Times New Roman" w:eastAsia="Times New Roman" w:hAnsi="Times New Roman" w:cs="Times New Roman"/>
          <w:sz w:val="24"/>
          <w:szCs w:val="24"/>
        </w:rPr>
        <w:t xml:space="preserve"> </w:t>
      </w:r>
      <w:r w:rsidR="48D802E3"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48D802E3" w:rsidRPr="00D44D33">
        <w:rPr>
          <w:rFonts w:ascii="Times New Roman" w:eastAsia="Times New Roman" w:hAnsi="Times New Roman" w:cs="Times New Roman"/>
          <w:sz w:val="24"/>
          <w:szCs w:val="24"/>
        </w:rPr>
        <w:t>niszczenia</w:t>
      </w:r>
      <w:r w:rsidR="00970B2E" w:rsidRPr="00D44D33">
        <w:rPr>
          <w:rFonts w:ascii="Times New Roman" w:eastAsia="Times New Roman" w:hAnsi="Times New Roman" w:cs="Times New Roman"/>
          <w:sz w:val="24"/>
          <w:szCs w:val="24"/>
        </w:rPr>
        <w:t xml:space="preserve"> </w:t>
      </w:r>
      <w:r w:rsidR="48D802E3"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8D802E3"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4904A498" w:rsidRPr="00D44D33">
        <w:rPr>
          <w:rFonts w:ascii="Times New Roman" w:eastAsia="Times New Roman" w:hAnsi="Times New Roman" w:cs="Times New Roman"/>
          <w:sz w:val="24"/>
          <w:szCs w:val="24"/>
        </w:rPr>
        <w:t>nałożono</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niszczenia</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upły</w:t>
      </w:r>
      <w:r w:rsidRPr="00D44D33">
        <w:rPr>
          <w:rFonts w:ascii="Times New Roman" w:eastAsia="Times New Roman" w:hAnsi="Times New Roman" w:cs="Times New Roman"/>
          <w:sz w:val="24"/>
          <w:szCs w:val="24"/>
        </w:rPr>
        <w:t>wie</w:t>
      </w:r>
      <w:r w:rsidR="00970B2E" w:rsidRPr="00D44D33">
        <w:rPr>
          <w:rFonts w:ascii="Times New Roman" w:eastAsia="Times New Roman" w:hAnsi="Times New Roman" w:cs="Times New Roman"/>
          <w:sz w:val="24"/>
          <w:szCs w:val="24"/>
        </w:rPr>
        <w:t xml:space="preserve"> </w:t>
      </w:r>
      <w:r w:rsidR="2025A2D1" w:rsidRPr="00D44D33">
        <w:rPr>
          <w:rFonts w:ascii="Times New Roman" w:eastAsia="Times New Roman" w:hAnsi="Times New Roman" w:cs="Times New Roman"/>
          <w:sz w:val="24"/>
          <w:szCs w:val="24"/>
        </w:rPr>
        <w:t>12</w:t>
      </w:r>
      <w:r w:rsidR="00970B2E" w:rsidRPr="00D44D33">
        <w:rPr>
          <w:rFonts w:ascii="Times New Roman" w:eastAsia="Times New Roman" w:hAnsi="Times New Roman" w:cs="Times New Roman"/>
          <w:sz w:val="24"/>
          <w:szCs w:val="24"/>
        </w:rPr>
        <w:t xml:space="preserve"> </w:t>
      </w:r>
      <w:r w:rsidR="3D3D4A6D" w:rsidRPr="00D44D33">
        <w:rPr>
          <w:rFonts w:ascii="Times New Roman" w:eastAsia="Times New Roman" w:hAnsi="Times New Roman" w:cs="Times New Roman"/>
          <w:sz w:val="24"/>
          <w:szCs w:val="24"/>
        </w:rPr>
        <w:t>miesięcy</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12272B1A" w:rsidRPr="00D44D33">
        <w:rPr>
          <w:rFonts w:ascii="Times New Roman" w:eastAsia="Times New Roman" w:hAnsi="Times New Roman" w:cs="Times New Roman"/>
          <w:sz w:val="24"/>
          <w:szCs w:val="24"/>
        </w:rPr>
        <w:t>przejęcia</w:t>
      </w:r>
      <w:r w:rsidR="00970B2E" w:rsidRPr="00D44D33">
        <w:rPr>
          <w:rFonts w:ascii="Times New Roman" w:eastAsia="Times New Roman" w:hAnsi="Times New Roman" w:cs="Times New Roman"/>
          <w:sz w:val="24"/>
          <w:szCs w:val="24"/>
        </w:rPr>
        <w:t xml:space="preserve"> </w:t>
      </w:r>
      <w:r w:rsidR="495C3505"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080609F" w:rsidRPr="00D44D33">
        <w:rPr>
          <w:rFonts w:ascii="Times New Roman" w:eastAsia="Times New Roman" w:hAnsi="Times New Roman" w:cs="Times New Roman"/>
          <w:sz w:val="24"/>
          <w:szCs w:val="24"/>
        </w:rPr>
        <w:t>W</w:t>
      </w:r>
      <w:r w:rsidR="4080609F" w:rsidRPr="00D44D33">
        <w:rPr>
          <w:rStyle w:val="normaltextrun"/>
          <w:rFonts w:ascii="Times New Roman" w:eastAsia="Times New Roman" w:hAnsi="Times New Roman" w:cs="Times New Roman"/>
          <w:sz w:val="24"/>
          <w:szCs w:val="24"/>
        </w:rPr>
        <w:t>prowadzono</w:t>
      </w:r>
      <w:r w:rsidR="00970B2E" w:rsidRPr="00D44D33">
        <w:rPr>
          <w:rStyle w:val="normaltextrun"/>
          <w:rFonts w:ascii="Times New Roman" w:eastAsia="Times New Roman" w:hAnsi="Times New Roman" w:cs="Times New Roman"/>
          <w:sz w:val="24"/>
          <w:szCs w:val="24"/>
        </w:rPr>
        <w:t xml:space="preserve"> </w:t>
      </w:r>
      <w:r w:rsidR="52829CC9" w:rsidRPr="00D44D33">
        <w:rPr>
          <w:rStyle w:val="normaltextrun"/>
          <w:rFonts w:ascii="Times New Roman" w:eastAsia="Times New Roman" w:hAnsi="Times New Roman" w:cs="Times New Roman"/>
          <w:sz w:val="24"/>
          <w:szCs w:val="24"/>
        </w:rPr>
        <w:t>też</w:t>
      </w:r>
      <w:r w:rsidR="00970B2E" w:rsidRPr="00D44D33">
        <w:rPr>
          <w:rStyle w:val="normaltextrun"/>
          <w:rFonts w:ascii="Times New Roman" w:eastAsia="Times New Roman" w:hAnsi="Times New Roman" w:cs="Times New Roman"/>
          <w:sz w:val="24"/>
          <w:szCs w:val="24"/>
        </w:rPr>
        <w:t xml:space="preserve"> </w:t>
      </w:r>
      <w:r w:rsidR="52829CC9" w:rsidRPr="00D44D33">
        <w:rPr>
          <w:rStyle w:val="normaltextrun"/>
          <w:rFonts w:ascii="Times New Roman" w:eastAsia="Times New Roman" w:hAnsi="Times New Roman" w:cs="Times New Roman"/>
          <w:sz w:val="24"/>
          <w:szCs w:val="24"/>
        </w:rPr>
        <w:t>przepis</w:t>
      </w:r>
      <w:r w:rsidR="4080609F" w:rsidRPr="00D44D33">
        <w:rPr>
          <w:rStyle w:val="normaltextrun"/>
          <w:rFonts w:ascii="Times New Roman" w:eastAsia="Times New Roman" w:hAnsi="Times New Roman" w:cs="Times New Roman"/>
          <w:sz w:val="24"/>
          <w:szCs w:val="24"/>
        </w:rPr>
        <w:t>,</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który</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umożliwia</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skorzystanie</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przez</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właściwe</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organy</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z</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danych</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zretencjonowanych</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wyłącznie</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w</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terminie</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12</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miesięcy</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od</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ich</w:t>
      </w:r>
      <w:r w:rsidR="00970B2E" w:rsidRPr="00D44D33">
        <w:rPr>
          <w:rStyle w:val="normaltextrun"/>
          <w:rFonts w:ascii="Times New Roman" w:eastAsia="Times New Roman" w:hAnsi="Times New Roman" w:cs="Times New Roman"/>
          <w:sz w:val="24"/>
          <w:szCs w:val="24"/>
        </w:rPr>
        <w:t xml:space="preserve"> </w:t>
      </w:r>
      <w:r w:rsidR="4080609F" w:rsidRPr="00D44D33">
        <w:rPr>
          <w:rStyle w:val="normaltextrun"/>
          <w:rFonts w:ascii="Times New Roman" w:eastAsia="Times New Roman" w:hAnsi="Times New Roman" w:cs="Times New Roman"/>
          <w:sz w:val="24"/>
          <w:szCs w:val="24"/>
        </w:rPr>
        <w:t>zatrzymania.</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Odpowiednio</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rozszerzono</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upoważnienia</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ustawowego</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0ED64B9"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33FAD844" w:rsidRPr="00D44D33">
        <w:rPr>
          <w:rFonts w:ascii="Times New Roman" w:eastAsia="Times New Roman" w:hAnsi="Times New Roman" w:cs="Times New Roman"/>
          <w:sz w:val="24"/>
          <w:szCs w:val="24"/>
        </w:rPr>
        <w:t>5</w:t>
      </w:r>
      <w:r w:rsidR="60ED64B9" w:rsidRPr="00D44D33">
        <w:rPr>
          <w:rFonts w:ascii="Times New Roman" w:eastAsia="Times New Roman" w:hAnsi="Times New Roman" w:cs="Times New Roman"/>
          <w:sz w:val="24"/>
          <w:szCs w:val="24"/>
        </w:rPr>
        <w:t>.</w:t>
      </w:r>
    </w:p>
    <w:p w14:paraId="21A478F8" w14:textId="03A341DC" w:rsidR="43211A9A" w:rsidRPr="00D44D33" w:rsidRDefault="05B27CE6"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4</w:t>
      </w:r>
      <w:r w:rsidR="1DD34CC8" w:rsidRPr="00D44D33">
        <w:rPr>
          <w:rFonts w:ascii="Times New Roman" w:eastAsia="Times New Roman" w:hAnsi="Times New Roman" w:cs="Times New Roman"/>
          <w:b/>
          <w:bCs/>
          <w:sz w:val="24"/>
          <w:szCs w:val="24"/>
        </w:rPr>
        <w:t>9</w:t>
      </w:r>
    </w:p>
    <w:p w14:paraId="4AE9C450" w14:textId="5C710C25" w:rsidR="5EC14F01" w:rsidRPr="00D44D33" w:rsidRDefault="3F366AC8"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49</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rozszerzono</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objętych</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obowiązkiem</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retencji</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niezbędne</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jednoznacznej</w:t>
      </w:r>
      <w:r w:rsidR="00970B2E" w:rsidRPr="00D44D33">
        <w:rPr>
          <w:rFonts w:ascii="Times New Roman" w:eastAsia="Times New Roman" w:hAnsi="Times New Roman" w:cs="Times New Roman"/>
          <w:sz w:val="24"/>
          <w:szCs w:val="24"/>
        </w:rPr>
        <w:t xml:space="preserve"> </w:t>
      </w:r>
      <w:r w:rsidR="38D704C2"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4A939B00" w:rsidRPr="00D44D33">
        <w:rPr>
          <w:rFonts w:ascii="Times New Roman" w:eastAsia="Times New Roman" w:hAnsi="Times New Roman" w:cs="Times New Roman"/>
          <w:sz w:val="24"/>
          <w:szCs w:val="24"/>
        </w:rPr>
        <w:t>użytkowni</w:t>
      </w:r>
      <w:r w:rsidR="32706E5E" w:rsidRPr="00D44D33">
        <w:rPr>
          <w:rFonts w:ascii="Times New Roman" w:eastAsia="Times New Roman" w:hAnsi="Times New Roman" w:cs="Times New Roman"/>
          <w:sz w:val="24"/>
          <w:szCs w:val="24"/>
        </w:rPr>
        <w:t>ka</w:t>
      </w:r>
      <w:r w:rsidR="00970B2E" w:rsidRPr="00D44D33">
        <w:rPr>
          <w:rFonts w:ascii="Times New Roman" w:eastAsia="Times New Roman" w:hAnsi="Times New Roman" w:cs="Times New Roman"/>
          <w:sz w:val="24"/>
          <w:szCs w:val="24"/>
        </w:rPr>
        <w:t xml:space="preserve"> </w:t>
      </w:r>
      <w:r w:rsidR="32706E5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8AF8CB9"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32706E5E"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562A46E8" w:rsidRPr="00D44D33">
        <w:rPr>
          <w:rFonts w:ascii="Times New Roman" w:eastAsia="Times New Roman" w:hAnsi="Times New Roman" w:cs="Times New Roman"/>
          <w:sz w:val="24"/>
          <w:szCs w:val="24"/>
        </w:rPr>
        <w:t>telekomunikacyjnej</w:t>
      </w:r>
      <w:r w:rsidR="32706E5E"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601120B" w:rsidRPr="00D44D33">
        <w:rPr>
          <w:rFonts w:ascii="Times New Roman" w:eastAsia="Times New Roman" w:hAnsi="Times New Roman" w:cs="Times New Roman"/>
          <w:sz w:val="24"/>
          <w:szCs w:val="24"/>
        </w:rPr>
        <w:t>Takimi</w:t>
      </w:r>
      <w:r w:rsidR="00970B2E" w:rsidRPr="00D44D33">
        <w:rPr>
          <w:rFonts w:ascii="Times New Roman" w:eastAsia="Times New Roman" w:hAnsi="Times New Roman" w:cs="Times New Roman"/>
          <w:sz w:val="24"/>
          <w:szCs w:val="24"/>
        </w:rPr>
        <w:t xml:space="preserve"> </w:t>
      </w:r>
      <w:r w:rsidR="5601120B" w:rsidRPr="00D44D33">
        <w:rPr>
          <w:rFonts w:ascii="Times New Roman" w:eastAsia="Times New Roman" w:hAnsi="Times New Roman" w:cs="Times New Roman"/>
          <w:sz w:val="24"/>
          <w:szCs w:val="24"/>
        </w:rPr>
        <w:t>danymi</w:t>
      </w:r>
      <w:r w:rsidR="00970B2E" w:rsidRPr="00D44D33">
        <w:rPr>
          <w:rFonts w:ascii="Times New Roman" w:eastAsia="Times New Roman" w:hAnsi="Times New Roman" w:cs="Times New Roman"/>
          <w:sz w:val="24"/>
          <w:szCs w:val="24"/>
        </w:rPr>
        <w:t xml:space="preserve"> </w:t>
      </w:r>
      <w:r w:rsidR="598EDFF5"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598EDFF5"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5601120B"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numer</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portu</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komunikacyjnego</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4CDD37" w:rsidRPr="00D44D33">
        <w:rPr>
          <w:rFonts w:ascii="Times New Roman" w:eastAsia="Times New Roman" w:hAnsi="Times New Roman" w:cs="Times New Roman"/>
          <w:sz w:val="24"/>
          <w:szCs w:val="24"/>
        </w:rPr>
        <w:t>adres</w:t>
      </w:r>
      <w:r w:rsidR="00970B2E" w:rsidRPr="00D44D33">
        <w:rPr>
          <w:rFonts w:ascii="Times New Roman" w:eastAsia="Times New Roman" w:hAnsi="Times New Roman" w:cs="Times New Roman"/>
          <w:sz w:val="24"/>
          <w:szCs w:val="24"/>
        </w:rPr>
        <w:t xml:space="preserve"> </w:t>
      </w:r>
      <w:r w:rsidR="454CDD37" w:rsidRPr="00D44D33">
        <w:rPr>
          <w:rFonts w:ascii="Times New Roman" w:eastAsia="Times New Roman" w:hAnsi="Times New Roman" w:cs="Times New Roman"/>
          <w:sz w:val="24"/>
          <w:szCs w:val="24"/>
        </w:rPr>
        <w:t>IP</w:t>
      </w:r>
      <w:r w:rsidR="222B050E"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0394E77" w:rsidRPr="00D44D33">
        <w:rPr>
          <w:rFonts w:ascii="Times New Roman" w:eastAsia="Times New Roman" w:hAnsi="Times New Roman" w:cs="Times New Roman"/>
          <w:sz w:val="24"/>
          <w:szCs w:val="24"/>
        </w:rPr>
        <w:t>Powyższe</w:t>
      </w:r>
      <w:r w:rsidR="00970B2E" w:rsidRPr="00D44D33">
        <w:rPr>
          <w:rFonts w:ascii="Times New Roman" w:eastAsia="Times New Roman" w:hAnsi="Times New Roman" w:cs="Times New Roman"/>
          <w:sz w:val="24"/>
          <w:szCs w:val="24"/>
        </w:rPr>
        <w:t xml:space="preserve"> </w:t>
      </w:r>
      <w:r w:rsidR="60394E77" w:rsidRPr="00D44D33">
        <w:rPr>
          <w:rFonts w:ascii="Times New Roman" w:eastAsia="Times New Roman" w:hAnsi="Times New Roman" w:cs="Times New Roman"/>
          <w:sz w:val="24"/>
          <w:szCs w:val="24"/>
        </w:rPr>
        <w:t>r</w:t>
      </w:r>
      <w:r w:rsidR="222B050E" w:rsidRPr="00D44D33">
        <w:rPr>
          <w:rFonts w:ascii="Times New Roman" w:eastAsia="Times New Roman" w:hAnsi="Times New Roman" w:cs="Times New Roman"/>
          <w:sz w:val="24"/>
          <w:szCs w:val="24"/>
        </w:rPr>
        <w:t>ozszerzenie</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gromadzonych</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istotne</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narzędzie</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wsparcia</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procesów</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wykrywania,</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zwalczania</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zagrożeń</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pojawiających</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22B050E" w:rsidRPr="00D44D33">
        <w:rPr>
          <w:rFonts w:ascii="Times New Roman" w:eastAsia="Times New Roman" w:hAnsi="Times New Roman" w:cs="Times New Roman"/>
          <w:sz w:val="24"/>
          <w:szCs w:val="24"/>
        </w:rPr>
        <w:t>cyberprzestrzeni.</w:t>
      </w:r>
    </w:p>
    <w:p w14:paraId="3DC17EB6" w14:textId="248FAAF2" w:rsidR="5EC14F01" w:rsidRPr="00D44D33" w:rsidRDefault="61731D1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A</w:t>
      </w:r>
      <w:r w:rsidR="3ABD0823" w:rsidRPr="00D44D33">
        <w:rPr>
          <w:rFonts w:ascii="Times New Roman" w:eastAsia="Times New Roman" w:hAnsi="Times New Roman" w:cs="Times New Roman"/>
          <w:sz w:val="24"/>
          <w:szCs w:val="24"/>
        </w:rPr>
        <w:t>rt.</w:t>
      </w:r>
      <w:r w:rsidR="00970B2E" w:rsidRPr="00D44D33">
        <w:rPr>
          <w:rFonts w:ascii="Times New Roman" w:eastAsia="Times New Roman" w:hAnsi="Times New Roman" w:cs="Times New Roman"/>
          <w:sz w:val="24"/>
          <w:szCs w:val="24"/>
        </w:rPr>
        <w:t xml:space="preserve"> </w:t>
      </w:r>
      <w:r w:rsidR="2BB57796" w:rsidRPr="00D44D33">
        <w:rPr>
          <w:rFonts w:ascii="Times New Roman" w:eastAsia="Times New Roman" w:hAnsi="Times New Roman" w:cs="Times New Roman"/>
          <w:sz w:val="24"/>
          <w:szCs w:val="24"/>
        </w:rPr>
        <w:t>4</w:t>
      </w:r>
      <w:r w:rsidR="6FE97F96" w:rsidRPr="00D44D33">
        <w:rPr>
          <w:rFonts w:ascii="Times New Roman" w:eastAsia="Times New Roman" w:hAnsi="Times New Roman" w:cs="Times New Roman"/>
          <w:sz w:val="24"/>
          <w:szCs w:val="24"/>
        </w:rPr>
        <w:t>9</w:t>
      </w:r>
      <w:r w:rsidR="00970B2E" w:rsidRPr="00D44D33">
        <w:rPr>
          <w:rFonts w:ascii="Times New Roman" w:eastAsia="Times New Roman" w:hAnsi="Times New Roman" w:cs="Times New Roman"/>
          <w:sz w:val="24"/>
          <w:szCs w:val="24"/>
        </w:rPr>
        <w:t xml:space="preserve"> </w:t>
      </w:r>
      <w:r w:rsidR="3ABD0823"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nowe</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upoważnienie</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wydania</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19099661" w:rsidRPr="00D44D33">
        <w:rPr>
          <w:rFonts w:ascii="Times New Roman" w:eastAsia="Times New Roman" w:hAnsi="Times New Roman" w:cs="Times New Roman"/>
          <w:sz w:val="24"/>
          <w:szCs w:val="24"/>
        </w:rPr>
        <w:t>regulującego</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szczegółowy</w:t>
      </w:r>
      <w:r w:rsidR="00970B2E" w:rsidRPr="00D44D33">
        <w:rPr>
          <w:rFonts w:ascii="Times New Roman" w:eastAsia="Times New Roman" w:hAnsi="Times New Roman" w:cs="Times New Roman"/>
          <w:sz w:val="24"/>
          <w:szCs w:val="24"/>
        </w:rPr>
        <w:t xml:space="preserve"> </w:t>
      </w:r>
      <w:r w:rsidR="008551BC" w:rsidRPr="00D44D33">
        <w:rPr>
          <w:rFonts w:ascii="Times New Roman" w:eastAsia="Times New Roman" w:hAnsi="Times New Roman" w:cs="Times New Roman"/>
          <w:sz w:val="24"/>
          <w:szCs w:val="24"/>
        </w:rPr>
        <w:t xml:space="preserve">wymagania dotyczące </w:t>
      </w:r>
      <w:r w:rsidR="2CC5B79A" w:rsidRPr="00D44D33">
        <w:rPr>
          <w:rFonts w:ascii="Times New Roman" w:eastAsia="Times New Roman" w:hAnsi="Times New Roman" w:cs="Times New Roman"/>
          <w:sz w:val="24"/>
          <w:szCs w:val="24"/>
        </w:rPr>
        <w:t>rodzaj</w:t>
      </w:r>
      <w:r w:rsidR="008551BC" w:rsidRPr="00D44D33">
        <w:rPr>
          <w:rFonts w:ascii="Times New Roman" w:eastAsia="Times New Roman" w:hAnsi="Times New Roman" w:cs="Times New Roman"/>
          <w:sz w:val="24"/>
          <w:szCs w:val="24"/>
        </w:rPr>
        <w:t>u</w:t>
      </w:r>
      <w:r w:rsidR="2CC5B79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struktur</w:t>
      </w:r>
      <w:r w:rsidR="008551BC" w:rsidRPr="00D44D33">
        <w:rPr>
          <w:rFonts w:ascii="Times New Roman" w:eastAsia="Times New Roman" w:hAnsi="Times New Roman" w:cs="Times New Roman"/>
          <w:sz w:val="24"/>
          <w:szCs w:val="24"/>
        </w:rPr>
        <w:t>y</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spos</w:t>
      </w:r>
      <w:r w:rsidR="008551BC" w:rsidRPr="00D44D33">
        <w:rPr>
          <w:rFonts w:ascii="Times New Roman" w:eastAsia="Times New Roman" w:hAnsi="Times New Roman" w:cs="Times New Roman"/>
          <w:sz w:val="24"/>
          <w:szCs w:val="24"/>
        </w:rPr>
        <w:t>o</w:t>
      </w:r>
      <w:r w:rsidR="2CC5B79A" w:rsidRPr="00D44D33">
        <w:rPr>
          <w:rFonts w:ascii="Times New Roman" w:eastAsia="Times New Roman" w:hAnsi="Times New Roman" w:cs="Times New Roman"/>
          <w:sz w:val="24"/>
          <w:szCs w:val="24"/>
        </w:rPr>
        <w:t>b</w:t>
      </w:r>
      <w:r w:rsidR="008551BC"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zapisu</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2CC5B79A"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udostępnianych</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sądowi</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prokuratorowi,</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przedsiębior</w:t>
      </w:r>
      <w:r w:rsidR="38A2A44A" w:rsidRPr="00D44D33">
        <w:rPr>
          <w:rFonts w:ascii="Times New Roman" w:eastAsia="Times New Roman" w:hAnsi="Times New Roman" w:cs="Times New Roman"/>
          <w:sz w:val="24"/>
          <w:szCs w:val="24"/>
        </w:rPr>
        <w:lastRenderedPageBreak/>
        <w:t>ców</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38A2A44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D0B9837" w:rsidRPr="00D44D33">
        <w:rPr>
          <w:rFonts w:ascii="Times New Roman" w:eastAsia="Times New Roman" w:hAnsi="Times New Roman" w:cs="Times New Roman"/>
          <w:sz w:val="24"/>
          <w:szCs w:val="24"/>
        </w:rPr>
        <w:t>Proponuje</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38A2A44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76D3425C"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76D3425C"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76D3425C"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6D3425C" w:rsidRPr="00D44D33">
        <w:rPr>
          <w:rFonts w:ascii="Times New Roman" w:eastAsia="Times New Roman" w:hAnsi="Times New Roman" w:cs="Times New Roman"/>
          <w:sz w:val="24"/>
          <w:szCs w:val="24"/>
        </w:rPr>
        <w:t>specyfikę</w:t>
      </w:r>
      <w:r w:rsidR="00970B2E" w:rsidRPr="00D44D33">
        <w:rPr>
          <w:rFonts w:ascii="Times New Roman" w:eastAsia="Times New Roman" w:hAnsi="Times New Roman" w:cs="Times New Roman"/>
          <w:sz w:val="24"/>
          <w:szCs w:val="24"/>
        </w:rPr>
        <w:t xml:space="preserve"> </w:t>
      </w:r>
      <w:r w:rsidR="76D3425C" w:rsidRPr="00D44D33">
        <w:rPr>
          <w:rFonts w:ascii="Times New Roman" w:eastAsia="Times New Roman" w:hAnsi="Times New Roman" w:cs="Times New Roman"/>
          <w:sz w:val="24"/>
          <w:szCs w:val="24"/>
        </w:rPr>
        <w:t>regulacji</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dotyczącą</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szczegółowego</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formatu</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udostępniane</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użytek</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54ADCD44"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566BF34F" w:rsidRPr="00D44D33">
        <w:rPr>
          <w:rFonts w:ascii="Times New Roman" w:eastAsia="Times New Roman" w:hAnsi="Times New Roman" w:cs="Times New Roman"/>
          <w:sz w:val="24"/>
          <w:szCs w:val="24"/>
        </w:rPr>
        <w:t>projekt</w:t>
      </w:r>
      <w:r w:rsidR="00970B2E" w:rsidRPr="00D44D33">
        <w:rPr>
          <w:rFonts w:ascii="Times New Roman" w:eastAsia="Times New Roman" w:hAnsi="Times New Roman" w:cs="Times New Roman"/>
          <w:sz w:val="24"/>
          <w:szCs w:val="24"/>
        </w:rPr>
        <w:t xml:space="preserve"> </w:t>
      </w:r>
      <w:r w:rsidR="566BF34F"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566BF34F" w:rsidRPr="00D44D33">
        <w:rPr>
          <w:rFonts w:ascii="Times New Roman" w:eastAsia="Times New Roman" w:hAnsi="Times New Roman" w:cs="Times New Roman"/>
          <w:sz w:val="24"/>
          <w:szCs w:val="24"/>
        </w:rPr>
        <w:t>zosta</w:t>
      </w:r>
      <w:r w:rsidR="00556DCD" w:rsidRPr="00D44D33">
        <w:rPr>
          <w:rFonts w:ascii="Times New Roman" w:eastAsia="Times New Roman" w:hAnsi="Times New Roman" w:cs="Times New Roman"/>
          <w:sz w:val="24"/>
          <w:szCs w:val="24"/>
        </w:rPr>
        <w:t>ł</w:t>
      </w:r>
      <w:r w:rsidR="00970B2E" w:rsidRPr="00D44D33">
        <w:rPr>
          <w:rFonts w:ascii="Times New Roman" w:eastAsia="Times New Roman" w:hAnsi="Times New Roman" w:cs="Times New Roman"/>
          <w:sz w:val="24"/>
          <w:szCs w:val="24"/>
        </w:rPr>
        <w:t xml:space="preserve"> </w:t>
      </w:r>
      <w:r w:rsidR="6098BDE2" w:rsidRPr="00D44D33">
        <w:rPr>
          <w:rFonts w:ascii="Times New Roman" w:eastAsia="Times New Roman" w:hAnsi="Times New Roman" w:cs="Times New Roman"/>
          <w:sz w:val="24"/>
          <w:szCs w:val="24"/>
        </w:rPr>
        <w:t>sporządzony</w:t>
      </w:r>
      <w:r w:rsidR="00970B2E" w:rsidRPr="00D44D33">
        <w:rPr>
          <w:rFonts w:ascii="Times New Roman" w:eastAsia="Times New Roman" w:hAnsi="Times New Roman" w:cs="Times New Roman"/>
          <w:sz w:val="24"/>
          <w:szCs w:val="24"/>
        </w:rPr>
        <w:t xml:space="preserve"> </w:t>
      </w:r>
      <w:r w:rsidR="6098BDE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098BDE2" w:rsidRPr="00D44D33">
        <w:rPr>
          <w:rFonts w:ascii="Times New Roman" w:eastAsia="Times New Roman" w:hAnsi="Times New Roman" w:cs="Times New Roman"/>
          <w:sz w:val="24"/>
          <w:szCs w:val="24"/>
        </w:rPr>
        <w:t>wydany</w:t>
      </w:r>
      <w:r w:rsidR="00970B2E" w:rsidRPr="00D44D33">
        <w:rPr>
          <w:rFonts w:ascii="Times New Roman" w:eastAsia="Times New Roman" w:hAnsi="Times New Roman" w:cs="Times New Roman"/>
          <w:sz w:val="24"/>
          <w:szCs w:val="24"/>
        </w:rPr>
        <w:t xml:space="preserve"> </w:t>
      </w:r>
      <w:r w:rsidR="5720191D"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3D976C81"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00556DCD" w:rsidRPr="00D44D33">
        <w:rPr>
          <w:rFonts w:ascii="Times New Roman" w:eastAsia="Times New Roman" w:hAnsi="Times New Roman" w:cs="Times New Roman"/>
          <w:sz w:val="24"/>
          <w:szCs w:val="24"/>
        </w:rPr>
        <w:t>R</w:t>
      </w:r>
      <w:r w:rsidR="3D976C81" w:rsidRPr="00D44D33">
        <w:rPr>
          <w:rFonts w:ascii="Times New Roman" w:eastAsia="Times New Roman" w:hAnsi="Times New Roman" w:cs="Times New Roman"/>
          <w:sz w:val="24"/>
          <w:szCs w:val="24"/>
        </w:rPr>
        <w:t>ady</w:t>
      </w:r>
      <w:r w:rsidR="00970B2E" w:rsidRPr="00D44D33">
        <w:rPr>
          <w:rFonts w:ascii="Times New Roman" w:eastAsia="Times New Roman" w:hAnsi="Times New Roman" w:cs="Times New Roman"/>
          <w:sz w:val="24"/>
          <w:szCs w:val="24"/>
        </w:rPr>
        <w:t xml:space="preserve"> </w:t>
      </w:r>
      <w:r w:rsidR="3D976C81" w:rsidRPr="00D44D33">
        <w:rPr>
          <w:rFonts w:ascii="Times New Roman" w:eastAsia="Times New Roman" w:hAnsi="Times New Roman" w:cs="Times New Roman"/>
          <w:sz w:val="24"/>
          <w:szCs w:val="24"/>
        </w:rPr>
        <w:t>Ministrów</w:t>
      </w:r>
      <w:r w:rsidR="5014BF8E" w:rsidRPr="00D44D33">
        <w:rPr>
          <w:rFonts w:ascii="Times New Roman" w:eastAsia="Calibri" w:hAnsi="Times New Roman" w:cs="Times New Roman"/>
          <w:sz w:val="24"/>
          <w:szCs w:val="24"/>
        </w:rPr>
        <w:t>.</w:t>
      </w:r>
    </w:p>
    <w:p w14:paraId="4326E3EF" w14:textId="3B961DC4" w:rsidR="660D657E" w:rsidRPr="00D44D33" w:rsidRDefault="5F298511" w:rsidP="00D44D33">
      <w:pPr>
        <w:spacing w:before="120" w:after="120" w:line="360" w:lineRule="auto"/>
        <w:jc w:val="center"/>
        <w:rPr>
          <w:rFonts w:ascii="Times New Roman" w:eastAsia="Calibri" w:hAnsi="Times New Roman" w:cs="Times New Roman"/>
          <w:b/>
          <w:bCs/>
          <w:sz w:val="24"/>
          <w:szCs w:val="24"/>
        </w:rPr>
      </w:pPr>
      <w:r w:rsidRPr="00D44D33">
        <w:rPr>
          <w:rFonts w:ascii="Times New Roman" w:eastAsia="Calibri" w:hAnsi="Times New Roman" w:cs="Times New Roman"/>
          <w:b/>
          <w:bCs/>
          <w:sz w:val="24"/>
          <w:szCs w:val="24"/>
        </w:rPr>
        <w:t>Art.</w:t>
      </w:r>
      <w:r w:rsidR="00970B2E" w:rsidRPr="00D44D33">
        <w:rPr>
          <w:rFonts w:ascii="Times New Roman" w:eastAsia="Calibri" w:hAnsi="Times New Roman" w:cs="Times New Roman"/>
          <w:b/>
          <w:bCs/>
          <w:sz w:val="24"/>
          <w:szCs w:val="24"/>
        </w:rPr>
        <w:t xml:space="preserve"> </w:t>
      </w:r>
      <w:r w:rsidRPr="00D44D33">
        <w:rPr>
          <w:rFonts w:ascii="Times New Roman" w:eastAsia="Calibri" w:hAnsi="Times New Roman" w:cs="Times New Roman"/>
          <w:b/>
          <w:bCs/>
          <w:sz w:val="24"/>
          <w:szCs w:val="24"/>
        </w:rPr>
        <w:t>50</w:t>
      </w:r>
      <w:r w:rsidR="00970B2E" w:rsidRPr="00D44D33">
        <w:rPr>
          <w:rFonts w:ascii="Times New Roman" w:eastAsia="Calibri" w:hAnsi="Times New Roman" w:cs="Times New Roman"/>
          <w:b/>
          <w:bCs/>
          <w:sz w:val="24"/>
          <w:szCs w:val="24"/>
        </w:rPr>
        <w:t xml:space="preserve"> </w:t>
      </w:r>
      <w:r w:rsidR="651A58F6" w:rsidRPr="00D44D33">
        <w:rPr>
          <w:rFonts w:ascii="Times New Roman" w:eastAsia="Calibri" w:hAnsi="Times New Roman" w:cs="Times New Roman"/>
          <w:b/>
          <w:bCs/>
          <w:sz w:val="24"/>
          <w:szCs w:val="24"/>
        </w:rPr>
        <w:t>i</w:t>
      </w:r>
      <w:r w:rsidR="00970B2E" w:rsidRPr="00D44D33">
        <w:rPr>
          <w:rFonts w:ascii="Times New Roman" w:eastAsia="Calibri" w:hAnsi="Times New Roman" w:cs="Times New Roman"/>
          <w:b/>
          <w:bCs/>
          <w:sz w:val="24"/>
          <w:szCs w:val="24"/>
        </w:rPr>
        <w:t xml:space="preserve"> </w:t>
      </w:r>
      <w:r w:rsidR="00556DCD" w:rsidRPr="00D44D33">
        <w:rPr>
          <w:rFonts w:ascii="Times New Roman" w:eastAsia="Calibri" w:hAnsi="Times New Roman" w:cs="Times New Roman"/>
          <w:b/>
          <w:bCs/>
          <w:sz w:val="24"/>
          <w:szCs w:val="24"/>
        </w:rPr>
        <w:t xml:space="preserve">art. </w:t>
      </w:r>
      <w:r w:rsidR="651A58F6" w:rsidRPr="00D44D33">
        <w:rPr>
          <w:rFonts w:ascii="Times New Roman" w:eastAsia="Calibri" w:hAnsi="Times New Roman" w:cs="Times New Roman"/>
          <w:b/>
          <w:bCs/>
          <w:sz w:val="24"/>
          <w:szCs w:val="24"/>
        </w:rPr>
        <w:t>51</w:t>
      </w:r>
    </w:p>
    <w:p w14:paraId="46031D2B" w14:textId="055F7AF2" w:rsidR="6F412A00" w:rsidRPr="00D44D33" w:rsidRDefault="5F29851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42D688C"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8CD42E4" w:rsidRPr="00D44D33">
        <w:rPr>
          <w:rFonts w:ascii="Times New Roman" w:eastAsia="Times New Roman" w:hAnsi="Times New Roman" w:cs="Times New Roman"/>
          <w:sz w:val="24"/>
          <w:szCs w:val="24"/>
        </w:rPr>
        <w:t>5</w:t>
      </w:r>
      <w:r w:rsidR="7FE2642C" w:rsidRPr="00D44D33">
        <w:rPr>
          <w:rFonts w:ascii="Times New Roman" w:eastAsia="Times New Roman" w:hAnsi="Times New Roman" w:cs="Times New Roman"/>
          <w:sz w:val="24"/>
          <w:szCs w:val="24"/>
        </w:rPr>
        <w:t>0</w:t>
      </w:r>
      <w:r w:rsidR="00970B2E" w:rsidRPr="00D44D33">
        <w:rPr>
          <w:rFonts w:ascii="Times New Roman" w:eastAsia="Times New Roman" w:hAnsi="Times New Roman" w:cs="Times New Roman"/>
          <w:sz w:val="24"/>
          <w:szCs w:val="24"/>
        </w:rPr>
        <w:t xml:space="preserve"> </w:t>
      </w:r>
      <w:r w:rsidR="5D08B7DD"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556DCD" w:rsidRPr="00D44D33">
        <w:rPr>
          <w:rFonts w:ascii="Times New Roman" w:eastAsia="Times New Roman" w:hAnsi="Times New Roman" w:cs="Times New Roman"/>
          <w:sz w:val="24"/>
          <w:szCs w:val="24"/>
        </w:rPr>
        <w:t xml:space="preserve">art. </w:t>
      </w:r>
      <w:r w:rsidR="5D08B7DD" w:rsidRPr="00D44D33">
        <w:rPr>
          <w:rFonts w:ascii="Times New Roman" w:eastAsia="Times New Roman" w:hAnsi="Times New Roman" w:cs="Times New Roman"/>
          <w:sz w:val="24"/>
          <w:szCs w:val="24"/>
        </w:rPr>
        <w:t>51</w:t>
      </w:r>
      <w:r w:rsidR="00970B2E" w:rsidRPr="00D44D33">
        <w:rPr>
          <w:rFonts w:ascii="Times New Roman" w:eastAsia="Times New Roman" w:hAnsi="Times New Roman" w:cs="Times New Roman"/>
          <w:sz w:val="24"/>
          <w:szCs w:val="24"/>
        </w:rPr>
        <w:t xml:space="preserve"> </w:t>
      </w:r>
      <w:r w:rsidR="0770DBB7" w:rsidRPr="00D44D33">
        <w:rPr>
          <w:rFonts w:ascii="Times New Roman" w:eastAsia="Times New Roman" w:hAnsi="Times New Roman" w:cs="Times New Roman"/>
          <w:sz w:val="24"/>
          <w:szCs w:val="24"/>
        </w:rPr>
        <w:t>przeredagowano</w:t>
      </w:r>
      <w:r w:rsidR="00970B2E" w:rsidRPr="00D44D33">
        <w:rPr>
          <w:rFonts w:ascii="Times New Roman" w:eastAsia="Times New Roman" w:hAnsi="Times New Roman" w:cs="Times New Roman"/>
          <w:sz w:val="24"/>
          <w:szCs w:val="24"/>
        </w:rPr>
        <w:t xml:space="preserve"> </w:t>
      </w:r>
      <w:r w:rsidR="0770DBB7"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uzupełni</w:t>
      </w:r>
      <w:r w:rsidR="3C85A67C" w:rsidRPr="00D44D33">
        <w:rPr>
          <w:rFonts w:ascii="Times New Roman" w:eastAsia="Times New Roman" w:hAnsi="Times New Roman" w:cs="Times New Roman"/>
          <w:sz w:val="24"/>
          <w:szCs w:val="24"/>
        </w:rPr>
        <w:t>ono</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przepis</w:t>
      </w:r>
      <w:r w:rsidR="661B472A" w:rsidRPr="00D44D33">
        <w:rPr>
          <w:rFonts w:ascii="Times New Roman" w:eastAsia="Times New Roman" w:hAnsi="Times New Roman" w:cs="Times New Roman"/>
          <w:sz w:val="24"/>
          <w:szCs w:val="24"/>
        </w:rPr>
        <w:t>y</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wspólnej</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1FC1F95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przekazywania</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innemu</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00E102CA" w:rsidRPr="00D44D33" w:rsidDel="00E102CA">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informacyjnych</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wobec</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1FC1F951"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p>
    <w:p w14:paraId="0082D032" w14:textId="7D250126" w:rsidR="6F412A00" w:rsidRPr="00D44D33" w:rsidRDefault="00556DCD" w:rsidP="00D44D33">
      <w:pPr>
        <w:spacing w:before="120" w:after="120" w:line="360" w:lineRule="auto"/>
        <w:jc w:val="both"/>
        <w:rPr>
          <w:rFonts w:ascii="Times New Roman" w:eastAsia="Times New Roman" w:hAnsi="Times New Roman" w:cs="Times New Roman"/>
          <w:sz w:val="24"/>
          <w:szCs w:val="24"/>
          <w:u w:val="single"/>
        </w:rPr>
      </w:pPr>
      <w:r w:rsidRPr="00D44D33">
        <w:rPr>
          <w:rFonts w:ascii="Times New Roman" w:eastAsia="Times New Roman" w:hAnsi="Times New Roman" w:cs="Times New Roman"/>
          <w:sz w:val="24"/>
          <w:szCs w:val="24"/>
          <w:u w:val="single"/>
        </w:rPr>
        <w:t xml:space="preserve">1. </w:t>
      </w:r>
      <w:r w:rsidR="6F412A00" w:rsidRPr="00D44D33">
        <w:rPr>
          <w:rFonts w:ascii="Times New Roman" w:eastAsia="Times New Roman" w:hAnsi="Times New Roman" w:cs="Times New Roman"/>
          <w:sz w:val="24"/>
          <w:szCs w:val="24"/>
          <w:u w:val="single"/>
        </w:rPr>
        <w:t>Wspólne</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wykonywanie</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obowiązków</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przez</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przedsiębiorców</w:t>
      </w:r>
      <w:r w:rsidR="00970B2E" w:rsidRPr="00D44D33">
        <w:rPr>
          <w:rFonts w:ascii="Times New Roman" w:eastAsia="Times New Roman" w:hAnsi="Times New Roman" w:cs="Times New Roman"/>
          <w:sz w:val="24"/>
          <w:szCs w:val="24"/>
          <w:u w:val="single"/>
        </w:rPr>
        <w:t xml:space="preserve"> </w:t>
      </w:r>
      <w:r w:rsidR="00E102CA" w:rsidRPr="00D44D33">
        <w:rPr>
          <w:rFonts w:ascii="Times New Roman" w:eastAsia="Times New Roman" w:hAnsi="Times New Roman" w:cs="Times New Roman"/>
          <w:sz w:val="24"/>
          <w:szCs w:val="24"/>
          <w:u w:val="single"/>
        </w:rPr>
        <w:t>komunikacji elektronicznej</w:t>
      </w:r>
    </w:p>
    <w:p w14:paraId="3579ABE9" w14:textId="0B00069D" w:rsidR="6F412A00" w:rsidRPr="00D44D33" w:rsidRDefault="00544AC6"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Treść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projektowanego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739BB44F" w:rsidRPr="00D44D33">
        <w:rPr>
          <w:rFonts w:ascii="Times New Roman" w:eastAsia="Times New Roman" w:hAnsi="Times New Roman" w:cs="Times New Roman"/>
          <w:sz w:val="24"/>
          <w:szCs w:val="24"/>
        </w:rPr>
        <w:t>50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wynika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00E102CA" w:rsidRPr="00D44D33" w:rsidDel="00E102CA">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wspólnego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powierzenia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innemu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rozwiązania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przewidziane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ustawie</w:t>
      </w:r>
      <w:r w:rsidR="00970B2E" w:rsidRPr="00D44D33">
        <w:rPr>
          <w:rFonts w:ascii="Times New Roman" w:eastAsia="Times New Roman" w:hAnsi="Times New Roman" w:cs="Times New Roman"/>
          <w:sz w:val="24"/>
          <w:szCs w:val="24"/>
        </w:rPr>
        <w:t xml:space="preserve"> </w:t>
      </w:r>
      <w:r w:rsidR="00556DCD" w:rsidRPr="00D44D33">
        <w:rPr>
          <w:rFonts w:ascii="Times New Roman" w:eastAsia="Times New Roman" w:hAnsi="Times New Roman" w:cs="Times New Roman"/>
          <w:sz w:val="24"/>
          <w:szCs w:val="24"/>
        </w:rPr>
        <w:t xml:space="preserve">Pke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zatrzymywania,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przechowywania,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180d</w:t>
      </w:r>
      <w:r w:rsidR="00970B2E" w:rsidRPr="00D44D33">
        <w:rPr>
          <w:rFonts w:ascii="Times New Roman" w:eastAsia="Times New Roman" w:hAnsi="Times New Roman" w:cs="Times New Roman"/>
          <w:sz w:val="24"/>
          <w:szCs w:val="24"/>
        </w:rPr>
        <w:t xml:space="preserve"> </w:t>
      </w:r>
      <w:r w:rsidR="0AC8304A" w:rsidRPr="00D44D33">
        <w:rPr>
          <w:rFonts w:ascii="Times New Roman" w:eastAsia="Times New Roman" w:hAnsi="Times New Roman" w:cs="Times New Roman"/>
          <w:sz w:val="24"/>
          <w:szCs w:val="24"/>
        </w:rPr>
        <w:t>Pt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00E102CA" w:rsidRPr="00D44D33" w:rsidDel="00E102CA">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istnieją.</w:t>
      </w:r>
      <w:r w:rsidR="00970B2E" w:rsidRPr="00D44D33">
        <w:rPr>
          <w:rFonts w:ascii="Times New Roman" w:eastAsia="Times New Roman" w:hAnsi="Times New Roman" w:cs="Times New Roman"/>
          <w:sz w:val="24"/>
          <w:szCs w:val="24"/>
        </w:rPr>
        <w:t xml:space="preserve"> </w:t>
      </w:r>
    </w:p>
    <w:p w14:paraId="17C4E7C2" w14:textId="17875888" w:rsidR="6F412A00" w:rsidRPr="00D44D33" w:rsidRDefault="6F412A0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odróżnieniu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regulacji</w:t>
      </w:r>
      <w:r w:rsidR="00556DCD" w:rsidRPr="00D44D33">
        <w:rPr>
          <w:rFonts w:ascii="Times New Roman" w:eastAsia="Times New Roman" w:hAnsi="Times New Roman" w:cs="Times New Roman"/>
          <w:sz w:val="24"/>
          <w:szCs w:val="24"/>
        </w:rPr>
        <w:t xml:space="preserve"> Pt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powyższe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umiejscowiono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jednostce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redakcyjnej,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ujęciem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operacyjnych.</w:t>
      </w:r>
    </w:p>
    <w:p w14:paraId="77FBC1CF" w14:textId="3E5C1D5E" w:rsidR="6F412A00" w:rsidRPr="00D44D33" w:rsidRDefault="00556DCD" w:rsidP="00D44D33">
      <w:pPr>
        <w:spacing w:before="120" w:after="120" w:line="360" w:lineRule="auto"/>
        <w:jc w:val="both"/>
        <w:rPr>
          <w:rFonts w:ascii="Times New Roman" w:eastAsia="Times New Roman" w:hAnsi="Times New Roman" w:cs="Times New Roman"/>
          <w:sz w:val="24"/>
          <w:szCs w:val="24"/>
          <w:u w:val="single"/>
        </w:rPr>
      </w:pPr>
      <w:r w:rsidRPr="00D44D33">
        <w:rPr>
          <w:rFonts w:ascii="Times New Roman" w:eastAsia="Times New Roman" w:hAnsi="Times New Roman" w:cs="Times New Roman"/>
          <w:sz w:val="24"/>
          <w:szCs w:val="24"/>
          <w:u w:val="single"/>
        </w:rPr>
        <w:t xml:space="preserve">2. </w:t>
      </w:r>
      <w:r w:rsidR="6F412A00" w:rsidRPr="00D44D33">
        <w:rPr>
          <w:rFonts w:ascii="Times New Roman" w:eastAsia="Times New Roman" w:hAnsi="Times New Roman" w:cs="Times New Roman"/>
          <w:sz w:val="24"/>
          <w:szCs w:val="24"/>
          <w:u w:val="single"/>
        </w:rPr>
        <w:t>Zmiany</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dotyczące</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wprowadzenia</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obowiązku</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informacyjnego</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wobec</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Prezesa</w:t>
      </w:r>
      <w:r w:rsidR="00970B2E" w:rsidRPr="00D44D33">
        <w:rPr>
          <w:rFonts w:ascii="Times New Roman" w:eastAsia="Times New Roman" w:hAnsi="Times New Roman" w:cs="Times New Roman"/>
          <w:sz w:val="24"/>
          <w:szCs w:val="24"/>
          <w:u w:val="single"/>
        </w:rPr>
        <w:t xml:space="preserve"> </w:t>
      </w:r>
      <w:r w:rsidR="6F412A00" w:rsidRPr="00D44D33">
        <w:rPr>
          <w:rFonts w:ascii="Times New Roman" w:eastAsia="Times New Roman" w:hAnsi="Times New Roman" w:cs="Times New Roman"/>
          <w:sz w:val="24"/>
          <w:szCs w:val="24"/>
          <w:u w:val="single"/>
        </w:rPr>
        <w:t>UKE</w:t>
      </w:r>
    </w:p>
    <w:p w14:paraId="10471538" w14:textId="513403A6" w:rsidR="6F412A00" w:rsidRPr="00D44D33" w:rsidRDefault="00544AC6"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lastRenderedPageBreak/>
        <w:t>Aktualne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tylko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informacyjny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wobec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wspólnego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utrwalania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powierzenia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jednostki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reprezentującej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Brak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natomiast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analogicznych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zatrzymywania,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przechowywania,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retencyjnych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sądowi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prokuratorowi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180d</w:t>
      </w:r>
      <w:r w:rsidR="00970B2E" w:rsidRPr="00D44D33">
        <w:rPr>
          <w:rFonts w:ascii="Times New Roman" w:eastAsia="Times New Roman" w:hAnsi="Times New Roman" w:cs="Times New Roman"/>
          <w:sz w:val="24"/>
          <w:szCs w:val="24"/>
        </w:rPr>
        <w:t xml:space="preserve"> </w:t>
      </w:r>
      <w:r w:rsidR="5C53CB08" w:rsidRPr="00D44D33">
        <w:rPr>
          <w:rFonts w:ascii="Times New Roman" w:eastAsia="Times New Roman" w:hAnsi="Times New Roman" w:cs="Times New Roman"/>
          <w:sz w:val="24"/>
          <w:szCs w:val="24"/>
        </w:rPr>
        <w:t>Pt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świadczoną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telekomunikacyjną.</w:t>
      </w:r>
    </w:p>
    <w:p w14:paraId="1205B1EE" w14:textId="03E4F8B4" w:rsidR="6F412A00" w:rsidRPr="00D44D33" w:rsidRDefault="1FC1F95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Proponuje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uregulowanie</w:t>
      </w:r>
      <w:r w:rsidR="00556DCD"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27D1A368" w:rsidRPr="00D44D33">
        <w:rPr>
          <w:rFonts w:ascii="Times New Roman" w:eastAsia="Times New Roman" w:hAnsi="Times New Roman" w:cs="Times New Roman"/>
          <w:sz w:val="24"/>
          <w:szCs w:val="24"/>
        </w:rPr>
        <w:t>5</w:t>
      </w:r>
      <w:r w:rsidR="34E0680A"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ujęciem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rodzajów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p>
    <w:p w14:paraId="7F87ADDB" w14:textId="5B24D7AA" w:rsidR="6F412A00" w:rsidRPr="00D44D33" w:rsidRDefault="6F412A00" w:rsidP="00D44D33">
      <w:pPr>
        <w:pStyle w:val="Akapitzlist"/>
        <w:numPr>
          <w:ilvl w:val="0"/>
          <w:numId w:val="12"/>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jednostki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organizacyjnej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siedzibę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miejsce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zamieszkania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terytorium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Rzeczypospolitej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uprawnionej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reprezentowania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przedmiotowych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obowiązków,</w:t>
      </w:r>
    </w:p>
    <w:p w14:paraId="1325A5D2" w14:textId="43AFD3EF" w:rsidR="6F412A00" w:rsidRPr="00D44D33" w:rsidRDefault="6F412A00" w:rsidP="00D44D33">
      <w:pPr>
        <w:pStyle w:val="Akapitzlist"/>
        <w:numPr>
          <w:ilvl w:val="0"/>
          <w:numId w:val="12"/>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niezwłocznie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zawarciu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imieniu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przedmiotowe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obowiązki,</w:t>
      </w:r>
    </w:p>
    <w:p w14:paraId="26571520" w14:textId="4B62613F" w:rsidR="6F412A00" w:rsidRPr="00D44D33" w:rsidRDefault="6F412A00" w:rsidP="00D44D33">
      <w:pPr>
        <w:pStyle w:val="Akapitzlist"/>
        <w:numPr>
          <w:ilvl w:val="0"/>
          <w:numId w:val="12"/>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niezwłocznie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zawarciu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00E102CA" w:rsidRPr="00D44D33">
        <w:rPr>
          <w:rFonts w:ascii="Times New Roman" w:eastAsia="Times New Roman" w:hAnsi="Times New Roman" w:cs="Times New Roman"/>
          <w:sz w:val="24"/>
          <w:szCs w:val="24"/>
        </w:rPr>
        <w:t>komunikacji elektronicznej</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wspólnie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przedmiotowe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obowiązki.</w:t>
      </w:r>
      <w:r w:rsidR="00970B2E" w:rsidRPr="00D44D33">
        <w:rPr>
          <w:rFonts w:ascii="Times New Roman" w:eastAsia="Times New Roman" w:hAnsi="Times New Roman" w:cs="Times New Roman"/>
          <w:sz w:val="24"/>
          <w:szCs w:val="24"/>
        </w:rPr>
        <w:t xml:space="preserve"> </w:t>
      </w:r>
    </w:p>
    <w:p w14:paraId="1AA4A5EB" w14:textId="18F6F1FC" w:rsidR="2CB8DF85" w:rsidRPr="00D44D33" w:rsidRDefault="1FC1F95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A04D123" w:rsidRPr="00D44D33">
        <w:rPr>
          <w:rFonts w:ascii="Times New Roman" w:eastAsia="Times New Roman" w:hAnsi="Times New Roman" w:cs="Times New Roman"/>
          <w:sz w:val="24"/>
          <w:szCs w:val="24"/>
        </w:rPr>
        <w:t>5</w:t>
      </w:r>
      <w:r w:rsidR="1EA1A032"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nałożono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każdej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522019C"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522019C" w:rsidRPr="00D44D33">
        <w:rPr>
          <w:rFonts w:ascii="Times New Roman" w:eastAsia="Times New Roman" w:hAnsi="Times New Roman" w:cs="Times New Roman"/>
          <w:sz w:val="24"/>
          <w:szCs w:val="24"/>
        </w:rPr>
        <w:t>1</w:t>
      </w:r>
      <w:r w:rsidR="00556DCD" w:rsidRPr="00D44D33">
        <w:rPr>
          <w:rFonts w:ascii="Times New Roman" w:eastAsia="Times New Roman" w:hAnsi="Times New Roman" w:cs="Times New Roman"/>
          <w:sz w:val="24"/>
          <w:szCs w:val="24"/>
        </w:rPr>
        <w:t>.</w:t>
      </w:r>
    </w:p>
    <w:p w14:paraId="397DF6D2" w14:textId="4ACCAABD" w:rsidR="1C55498F" w:rsidRPr="00D44D33" w:rsidRDefault="1C55498F"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lastRenderedPageBreak/>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52</w:t>
      </w:r>
    </w:p>
    <w:p w14:paraId="3FBB8C92" w14:textId="76F078C1" w:rsidR="3F54F8A5" w:rsidRPr="00D44D33" w:rsidRDefault="00032F1E" w:rsidP="00D44D33">
      <w:pPr>
        <w:spacing w:before="120" w:after="120" w:line="360" w:lineRule="auto"/>
        <w:jc w:val="both"/>
        <w:rPr>
          <w:rFonts w:ascii="Times New Roman" w:eastAsia="Times New Roman" w:hAnsi="Times New Roman" w:cs="Times New Roman"/>
          <w:b/>
          <w:bCs/>
          <w:sz w:val="24"/>
          <w:szCs w:val="24"/>
        </w:rPr>
      </w:pP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uprawnionym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przeniesionych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zasadach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trybie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odrębnych.</w:t>
      </w:r>
    </w:p>
    <w:p w14:paraId="3BE147E4" w14:textId="02556BBE" w:rsidR="3F54F8A5" w:rsidRPr="00D44D33" w:rsidRDefault="3F54F8A5"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53</w:t>
      </w:r>
    </w:p>
    <w:p w14:paraId="0A74B4C3" w14:textId="0A90837A" w:rsidR="634FD99C" w:rsidRPr="00D44D33" w:rsidRDefault="634FD99C"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mechanizm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blokowania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połączeń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żądanie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Uznano,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bloko</w:t>
      </w:r>
      <w:r w:rsidR="4714B3E7" w:rsidRPr="00D44D33">
        <w:rPr>
          <w:rFonts w:ascii="Times New Roman" w:eastAsia="Times New Roman" w:hAnsi="Times New Roman" w:cs="Times New Roman"/>
          <w:sz w:val="24"/>
          <w:szCs w:val="24"/>
        </w:rPr>
        <w:t>wanie</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powinno</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następować</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wskutek</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administracyjnej</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wydawanej</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4714B3E7" w:rsidRPr="00D44D33">
        <w:rPr>
          <w:rFonts w:ascii="Times New Roman" w:eastAsia="Times New Roman" w:hAnsi="Times New Roman" w:cs="Times New Roman"/>
          <w:sz w:val="24"/>
          <w:szCs w:val="24"/>
        </w:rPr>
        <w:t>UKE</w:t>
      </w:r>
      <w:r w:rsidR="0FC95FE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bezpośrednio</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uprawnione</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F29A76F"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niesprecyzowanego</w:t>
      </w:r>
      <w:r w:rsidR="00970B2E" w:rsidRPr="00D44D33">
        <w:rPr>
          <w:rFonts w:ascii="Times New Roman" w:eastAsia="Times New Roman" w:hAnsi="Times New Roman" w:cs="Times New Roman"/>
          <w:sz w:val="24"/>
          <w:szCs w:val="24"/>
        </w:rPr>
        <w:t xml:space="preserve"> </w:t>
      </w:r>
      <w:r w:rsidR="0FC95FE6" w:rsidRPr="00D44D33">
        <w:rPr>
          <w:rFonts w:ascii="Times New Roman" w:eastAsia="Times New Roman" w:hAnsi="Times New Roman" w:cs="Times New Roman"/>
          <w:sz w:val="24"/>
          <w:szCs w:val="24"/>
        </w:rPr>
        <w:t>trybu</w:t>
      </w:r>
      <w:r w:rsidR="00970B2E" w:rsidRPr="00D44D33">
        <w:rPr>
          <w:rFonts w:ascii="Times New Roman" w:eastAsia="Times New Roman" w:hAnsi="Times New Roman" w:cs="Times New Roman"/>
          <w:sz w:val="24"/>
          <w:szCs w:val="24"/>
        </w:rPr>
        <w:t xml:space="preserve"> </w:t>
      </w:r>
      <w:r w:rsidR="511641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116419A" w:rsidRPr="00D44D33">
        <w:rPr>
          <w:rFonts w:ascii="Times New Roman" w:eastAsia="Times New Roman" w:hAnsi="Times New Roman" w:cs="Times New Roman"/>
          <w:sz w:val="24"/>
          <w:szCs w:val="24"/>
        </w:rPr>
        <w:t>sposobu</w:t>
      </w:r>
      <w:r w:rsidR="0FC95FE6"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Proponowany</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mechanizm</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analogiczny</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wskazanych</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72CC7B6A" w:rsidRPr="00D44D33">
        <w:rPr>
          <w:rFonts w:ascii="Times New Roman" w:eastAsia="Times New Roman" w:hAnsi="Times New Roman" w:cs="Times New Roman"/>
          <w:sz w:val="24"/>
          <w:szCs w:val="24"/>
        </w:rPr>
        <w:t>40</w:t>
      </w:r>
      <w:r w:rsidR="00556DCD" w:rsidRPr="00D44D33">
        <w:rPr>
          <w:rFonts w:ascii="Times New Roman" w:eastAsia="Times New Roman" w:hAnsi="Times New Roman" w:cs="Times New Roman"/>
          <w:sz w:val="24"/>
          <w:szCs w:val="24"/>
        </w:rPr>
        <w:t xml:space="preserve"> Pke</w:t>
      </w:r>
      <w:r w:rsidR="72CC7B6A" w:rsidRPr="00D44D33">
        <w:rPr>
          <w:rFonts w:ascii="Times New Roman" w:eastAsia="Times New Roman" w:hAnsi="Times New Roman" w:cs="Times New Roman"/>
          <w:sz w:val="24"/>
          <w:szCs w:val="24"/>
        </w:rPr>
        <w:t>.</w:t>
      </w:r>
    </w:p>
    <w:p w14:paraId="4C8FD7D5" w14:textId="7DE017BB" w:rsidR="3F54F8A5" w:rsidRPr="00D44D33" w:rsidRDefault="32C76DDB"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rozszerzono</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wskazanie</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6-godzinnego</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terminu</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blokowania</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połączeń</w:t>
      </w:r>
      <w:r w:rsidR="00970B2E" w:rsidRPr="00D44D33">
        <w:rPr>
          <w:rFonts w:ascii="Times New Roman" w:eastAsia="Times New Roman" w:hAnsi="Times New Roman" w:cs="Times New Roman"/>
          <w:sz w:val="24"/>
          <w:szCs w:val="24"/>
        </w:rPr>
        <w:t xml:space="preserve"> </w:t>
      </w:r>
      <w:r w:rsidR="62B8BBA9"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62B8BBA9" w:rsidRPr="00D44D33">
        <w:rPr>
          <w:rFonts w:ascii="Times New Roman" w:eastAsia="Times New Roman" w:hAnsi="Times New Roman" w:cs="Times New Roman"/>
          <w:sz w:val="24"/>
          <w:szCs w:val="24"/>
        </w:rPr>
        <w:t>komunikatów</w:t>
      </w:r>
      <w:r w:rsidR="00970B2E" w:rsidRPr="00D44D33">
        <w:rPr>
          <w:rFonts w:ascii="Times New Roman" w:eastAsia="Times New Roman" w:hAnsi="Times New Roman" w:cs="Times New Roman"/>
          <w:sz w:val="24"/>
          <w:szCs w:val="24"/>
        </w:rPr>
        <w:t xml:space="preserve"> </w:t>
      </w:r>
      <w:r w:rsidR="62B8BBA9" w:rsidRPr="00D44D33">
        <w:rPr>
          <w:rFonts w:ascii="Times New Roman" w:eastAsia="Times New Roman" w:hAnsi="Times New Roman" w:cs="Times New Roman"/>
          <w:sz w:val="24"/>
          <w:szCs w:val="24"/>
        </w:rPr>
        <w:t>elektronicznych</w:t>
      </w:r>
      <w:r w:rsidR="00970B2E" w:rsidRPr="00D44D33">
        <w:rPr>
          <w:rFonts w:ascii="Times New Roman" w:eastAsia="Times New Roman" w:hAnsi="Times New Roman" w:cs="Times New Roman"/>
          <w:sz w:val="24"/>
          <w:szCs w:val="24"/>
        </w:rPr>
        <w:t xml:space="preserve"> </w:t>
      </w:r>
      <w:r w:rsidR="402477ED" w:rsidRPr="00D44D33">
        <w:rPr>
          <w:rFonts w:ascii="Times New Roman" w:eastAsia="Times New Roman" w:hAnsi="Times New Roman" w:cs="Times New Roman"/>
          <w:sz w:val="24"/>
          <w:szCs w:val="24"/>
        </w:rPr>
        <w:t>liczony</w:t>
      </w:r>
      <w:r w:rsidR="00970B2E" w:rsidRPr="00D44D33">
        <w:rPr>
          <w:rFonts w:ascii="Times New Roman" w:eastAsia="Times New Roman" w:hAnsi="Times New Roman" w:cs="Times New Roman"/>
          <w:sz w:val="24"/>
          <w:szCs w:val="24"/>
        </w:rPr>
        <w:t xml:space="preserve"> </w:t>
      </w:r>
      <w:r w:rsidR="402477ED"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402477ED" w:rsidRPr="00D44D33">
        <w:rPr>
          <w:rFonts w:ascii="Times New Roman" w:eastAsia="Times New Roman" w:hAnsi="Times New Roman" w:cs="Times New Roman"/>
          <w:sz w:val="24"/>
          <w:szCs w:val="24"/>
        </w:rPr>
        <w:t>chwili</w:t>
      </w:r>
      <w:r w:rsidR="00970B2E" w:rsidRPr="00D44D33">
        <w:rPr>
          <w:rFonts w:ascii="Times New Roman" w:eastAsia="Times New Roman" w:hAnsi="Times New Roman" w:cs="Times New Roman"/>
          <w:sz w:val="24"/>
          <w:szCs w:val="24"/>
        </w:rPr>
        <w:t xml:space="preserve"> </w:t>
      </w:r>
      <w:r w:rsidR="402477ED" w:rsidRPr="00D44D33">
        <w:rPr>
          <w:rFonts w:ascii="Times New Roman" w:eastAsia="Times New Roman" w:hAnsi="Times New Roman" w:cs="Times New Roman"/>
          <w:sz w:val="24"/>
          <w:szCs w:val="24"/>
        </w:rPr>
        <w:t>otrzymania</w:t>
      </w:r>
      <w:r w:rsidR="00970B2E" w:rsidRPr="00D44D33">
        <w:rPr>
          <w:rFonts w:ascii="Times New Roman" w:eastAsia="Times New Roman" w:hAnsi="Times New Roman" w:cs="Times New Roman"/>
          <w:sz w:val="24"/>
          <w:szCs w:val="24"/>
        </w:rPr>
        <w:t xml:space="preserve"> </w:t>
      </w:r>
      <w:r w:rsidR="402477ED"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mając</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uwadze,</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szybkość</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takiego</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blokowania</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mieć</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bardzo</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istotne</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3F54F8A5"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6C088C76"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78104936" w:rsidRPr="00D44D33">
        <w:rPr>
          <w:rFonts w:ascii="Times New Roman" w:eastAsia="Times New Roman" w:hAnsi="Times New Roman" w:cs="Times New Roman"/>
          <w:sz w:val="24"/>
          <w:szCs w:val="24"/>
        </w:rPr>
        <w:t>państwa</w:t>
      </w:r>
      <w:r w:rsidR="54B0DAE6" w:rsidRPr="00D44D33">
        <w:rPr>
          <w:rFonts w:ascii="Times New Roman" w:eastAsia="Times New Roman" w:hAnsi="Times New Roman" w:cs="Times New Roman"/>
          <w:sz w:val="24"/>
          <w:szCs w:val="24"/>
        </w:rPr>
        <w:t>.</w:t>
      </w:r>
    </w:p>
    <w:p w14:paraId="4557F6B2" w14:textId="18FB5081" w:rsidR="54B0DAE6" w:rsidRPr="00D44D33" w:rsidRDefault="54B0DAE6"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54</w:t>
      </w:r>
    </w:p>
    <w:p w14:paraId="5A9FEF37" w14:textId="7E9306B5" w:rsidR="6592583B" w:rsidRPr="00D44D33" w:rsidRDefault="6592583B"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54</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doprecyzowano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infrastrukturze.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Wskazano,</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przekazywane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postaci</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udostępniane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przekazywane</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Ministrowi</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Obrony</w:t>
      </w:r>
      <w:r w:rsidR="00970B2E" w:rsidRPr="00D44D33">
        <w:rPr>
          <w:rFonts w:ascii="Times New Roman" w:eastAsia="Times New Roman" w:hAnsi="Times New Roman" w:cs="Times New Roman"/>
          <w:sz w:val="24"/>
          <w:szCs w:val="24"/>
        </w:rPr>
        <w:t xml:space="preserve"> </w:t>
      </w:r>
      <w:r w:rsidR="5BFF9332" w:rsidRPr="00D44D33">
        <w:rPr>
          <w:rFonts w:ascii="Times New Roman" w:eastAsia="Times New Roman" w:hAnsi="Times New Roman" w:cs="Times New Roman"/>
          <w:sz w:val="24"/>
          <w:szCs w:val="24"/>
        </w:rPr>
        <w:t>Narodowej</w:t>
      </w:r>
      <w:r w:rsidR="00970B2E" w:rsidRPr="00D44D33">
        <w:rPr>
          <w:rFonts w:ascii="Times New Roman" w:eastAsia="Times New Roman" w:hAnsi="Times New Roman" w:cs="Times New Roman"/>
          <w:sz w:val="24"/>
          <w:szCs w:val="24"/>
        </w:rPr>
        <w:t xml:space="preserve"> </w:t>
      </w:r>
      <w:r w:rsidR="503ACAAE" w:rsidRPr="00D44D33">
        <w:rPr>
          <w:rFonts w:ascii="Times New Roman" w:eastAsia="Times New Roman" w:hAnsi="Times New Roman" w:cs="Times New Roman"/>
          <w:sz w:val="24"/>
          <w:szCs w:val="24"/>
        </w:rPr>
        <w:t>ora</w:t>
      </w:r>
      <w:r w:rsidR="3F80828B"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F80828B" w:rsidRPr="00D44D33">
        <w:rPr>
          <w:rFonts w:ascii="Times New Roman" w:eastAsia="Times New Roman" w:hAnsi="Times New Roman" w:cs="Times New Roman"/>
          <w:sz w:val="24"/>
          <w:szCs w:val="24"/>
        </w:rPr>
        <w:t>minist</w:t>
      </w:r>
      <w:r w:rsidR="680BA750" w:rsidRPr="00D44D33">
        <w:rPr>
          <w:rFonts w:ascii="Times New Roman" w:eastAsia="Times New Roman" w:hAnsi="Times New Roman" w:cs="Times New Roman"/>
          <w:sz w:val="24"/>
          <w:szCs w:val="24"/>
        </w:rPr>
        <w:t>rowi</w:t>
      </w:r>
      <w:r w:rsidR="00970B2E" w:rsidRPr="00D44D33">
        <w:rPr>
          <w:rFonts w:ascii="Times New Roman" w:eastAsia="Times New Roman" w:hAnsi="Times New Roman" w:cs="Times New Roman"/>
          <w:sz w:val="24"/>
          <w:szCs w:val="24"/>
        </w:rPr>
        <w:t xml:space="preserve"> </w:t>
      </w:r>
      <w:r w:rsidR="3F80828B" w:rsidRPr="00D44D33">
        <w:rPr>
          <w:rFonts w:ascii="Times New Roman" w:eastAsia="Times New Roman" w:hAnsi="Times New Roman" w:cs="Times New Roman"/>
          <w:sz w:val="24"/>
          <w:szCs w:val="24"/>
        </w:rPr>
        <w:t>właściwemu</w:t>
      </w:r>
      <w:r w:rsidR="00970B2E" w:rsidRPr="00D44D33">
        <w:rPr>
          <w:rFonts w:ascii="Times New Roman" w:eastAsia="Times New Roman" w:hAnsi="Times New Roman" w:cs="Times New Roman"/>
          <w:sz w:val="24"/>
          <w:szCs w:val="24"/>
        </w:rPr>
        <w:t xml:space="preserve"> </w:t>
      </w:r>
      <w:r w:rsidR="3F80828B"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F80828B"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3F80828B" w:rsidRPr="00D44D33">
        <w:rPr>
          <w:rFonts w:ascii="Times New Roman" w:eastAsia="Times New Roman" w:hAnsi="Times New Roman" w:cs="Times New Roman"/>
          <w:sz w:val="24"/>
          <w:szCs w:val="24"/>
        </w:rPr>
        <w:t>wewnętrznych.</w:t>
      </w:r>
      <w:r w:rsidR="00371EEA">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lastRenderedPageBreak/>
        <w:t>udostępniane</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przekazywane,</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zależności</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6A113636"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2115E53"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12115E53" w:rsidRPr="00D44D33">
        <w:rPr>
          <w:rFonts w:ascii="Times New Roman" w:eastAsia="Times New Roman" w:hAnsi="Times New Roman" w:cs="Times New Roman"/>
          <w:sz w:val="24"/>
          <w:szCs w:val="24"/>
        </w:rPr>
        <w:t>rozumieć</w:t>
      </w:r>
      <w:r w:rsidR="00970B2E" w:rsidRPr="00D44D33">
        <w:rPr>
          <w:rFonts w:ascii="Times New Roman" w:eastAsia="Times New Roman" w:hAnsi="Times New Roman" w:cs="Times New Roman"/>
          <w:sz w:val="24"/>
          <w:szCs w:val="24"/>
        </w:rPr>
        <w:t xml:space="preserve"> </w:t>
      </w:r>
      <w:r w:rsidR="00223C42" w:rsidRPr="00D44D33">
        <w:rPr>
          <w:rFonts w:ascii="Times New Roman" w:eastAsia="Times New Roman" w:hAnsi="Times New Roman" w:cs="Times New Roman"/>
          <w:sz w:val="24"/>
          <w:szCs w:val="24"/>
        </w:rPr>
        <w:t>„</w:t>
      </w:r>
      <w:r w:rsidR="12115E53" w:rsidRPr="00D44D33">
        <w:rPr>
          <w:rFonts w:ascii="Times New Roman" w:eastAsia="Times New Roman" w:hAnsi="Times New Roman" w:cs="Times New Roman"/>
          <w:sz w:val="24"/>
          <w:szCs w:val="24"/>
        </w:rPr>
        <w:t>udost</w:t>
      </w:r>
      <w:r w:rsidR="4948A2F5" w:rsidRPr="00D44D33">
        <w:rPr>
          <w:rFonts w:ascii="Times New Roman" w:eastAsia="Times New Roman" w:hAnsi="Times New Roman" w:cs="Times New Roman"/>
          <w:sz w:val="24"/>
          <w:szCs w:val="24"/>
        </w:rPr>
        <w:t>ę</w:t>
      </w:r>
      <w:r w:rsidR="12115E53" w:rsidRPr="00D44D33">
        <w:rPr>
          <w:rFonts w:ascii="Times New Roman" w:eastAsia="Times New Roman" w:hAnsi="Times New Roman" w:cs="Times New Roman"/>
          <w:sz w:val="24"/>
          <w:szCs w:val="24"/>
        </w:rPr>
        <w:t>pnieni</w:t>
      </w:r>
      <w:r w:rsidR="35F2F0E3" w:rsidRPr="00D44D33">
        <w:rPr>
          <w:rFonts w:ascii="Times New Roman" w:eastAsia="Times New Roman" w:hAnsi="Times New Roman" w:cs="Times New Roman"/>
          <w:sz w:val="24"/>
          <w:szCs w:val="24"/>
        </w:rPr>
        <w:t>e</w:t>
      </w:r>
      <w:r w:rsidR="12115E5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2115E53" w:rsidRPr="00D44D33">
        <w:rPr>
          <w:rFonts w:ascii="Times New Roman" w:eastAsia="Times New Roman" w:hAnsi="Times New Roman" w:cs="Times New Roman"/>
          <w:sz w:val="24"/>
          <w:szCs w:val="24"/>
        </w:rPr>
        <w:t>czyli</w:t>
      </w:r>
      <w:r w:rsidR="00970B2E" w:rsidRPr="00D44D33">
        <w:rPr>
          <w:rFonts w:ascii="Times New Roman" w:eastAsia="Times New Roman" w:hAnsi="Times New Roman" w:cs="Times New Roman"/>
          <w:sz w:val="24"/>
          <w:szCs w:val="24"/>
        </w:rPr>
        <w:t xml:space="preserve"> </w:t>
      </w:r>
      <w:r w:rsidR="7F27DF35"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12115E53" w:rsidRPr="00D44D33">
        <w:rPr>
          <w:rFonts w:ascii="Times New Roman" w:eastAsia="Times New Roman" w:hAnsi="Times New Roman" w:cs="Times New Roman"/>
          <w:sz w:val="24"/>
          <w:szCs w:val="24"/>
        </w:rPr>
        <w:t>wglądu</w:t>
      </w:r>
      <w:r w:rsidR="00970B2E" w:rsidRPr="00D44D33">
        <w:rPr>
          <w:rFonts w:ascii="Times New Roman" w:eastAsia="Times New Roman" w:hAnsi="Times New Roman" w:cs="Times New Roman"/>
          <w:sz w:val="24"/>
          <w:szCs w:val="24"/>
        </w:rPr>
        <w:t xml:space="preserve"> </w:t>
      </w:r>
      <w:r w:rsidR="12115E5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2072895F"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2072895F"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2C6536FA"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2C6536FA"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online,</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00223C42" w:rsidRPr="00D44D33">
        <w:rPr>
          <w:rFonts w:ascii="Times New Roman" w:eastAsia="Times New Roman" w:hAnsi="Times New Roman" w:cs="Times New Roman"/>
          <w:sz w:val="24"/>
          <w:szCs w:val="24"/>
        </w:rPr>
        <w:t>„</w:t>
      </w:r>
      <w:r w:rsidR="1AAB5549" w:rsidRPr="00D44D33">
        <w:rPr>
          <w:rFonts w:ascii="Times New Roman" w:eastAsia="Times New Roman" w:hAnsi="Times New Roman" w:cs="Times New Roman"/>
          <w:sz w:val="24"/>
          <w:szCs w:val="24"/>
        </w:rPr>
        <w:t>przekazywanie”</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rozumiane</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przekazanie</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00223C42" w:rsidRPr="00D44D33">
        <w:rPr>
          <w:rFonts w:ascii="Times New Roman" w:eastAsia="Times New Roman" w:hAnsi="Times New Roman" w:cs="Times New Roman"/>
          <w:sz w:val="24"/>
          <w:szCs w:val="24"/>
        </w:rPr>
        <w:t>„</w:t>
      </w:r>
      <w:r w:rsidR="1AAB554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AAB5549" w:rsidRPr="00D44D33">
        <w:rPr>
          <w:rFonts w:ascii="Times New Roman" w:eastAsia="Times New Roman" w:hAnsi="Times New Roman" w:cs="Times New Roman"/>
          <w:sz w:val="24"/>
          <w:szCs w:val="24"/>
        </w:rPr>
        <w:t>całości</w:t>
      </w:r>
      <w:r w:rsidR="6B23BD82" w:rsidRPr="00D44D33">
        <w:rPr>
          <w:rFonts w:ascii="Times New Roman" w:eastAsia="Times New Roman" w:hAnsi="Times New Roman" w:cs="Times New Roman"/>
          <w:sz w:val="24"/>
          <w:szCs w:val="24"/>
        </w:rPr>
        <w:t>”</w:t>
      </w:r>
      <w:r w:rsidR="7821CB1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821CB1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821CB1A" w:rsidRPr="00D44D33">
        <w:rPr>
          <w:rFonts w:ascii="Times New Roman" w:eastAsia="Times New Roman" w:hAnsi="Times New Roman" w:cs="Times New Roman"/>
          <w:sz w:val="24"/>
          <w:szCs w:val="24"/>
        </w:rPr>
        <w:t>postaci</w:t>
      </w:r>
      <w:r w:rsidR="00970B2E" w:rsidRPr="00D44D33">
        <w:rPr>
          <w:rFonts w:ascii="Times New Roman" w:eastAsia="Times New Roman" w:hAnsi="Times New Roman" w:cs="Times New Roman"/>
          <w:sz w:val="24"/>
          <w:szCs w:val="24"/>
        </w:rPr>
        <w:t xml:space="preserve"> </w:t>
      </w:r>
      <w:r w:rsidR="7821CB1A" w:rsidRPr="00D44D33">
        <w:rPr>
          <w:rFonts w:ascii="Times New Roman" w:eastAsia="Times New Roman" w:hAnsi="Times New Roman" w:cs="Times New Roman"/>
          <w:sz w:val="24"/>
          <w:szCs w:val="24"/>
        </w:rPr>
        <w:t>papierowej</w:t>
      </w:r>
      <w:r w:rsidR="00970B2E" w:rsidRPr="00D44D33">
        <w:rPr>
          <w:rFonts w:ascii="Times New Roman" w:eastAsia="Times New Roman" w:hAnsi="Times New Roman" w:cs="Times New Roman"/>
          <w:sz w:val="24"/>
          <w:szCs w:val="24"/>
        </w:rPr>
        <w:t xml:space="preserve"> </w:t>
      </w:r>
      <w:r w:rsidR="7821CB1A"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7821CB1A"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upoważnienie</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556DCD" w:rsidRPr="00D44D33">
        <w:rPr>
          <w:rFonts w:ascii="Times New Roman" w:eastAsia="Times New Roman" w:hAnsi="Times New Roman" w:cs="Times New Roman"/>
          <w:sz w:val="24"/>
          <w:szCs w:val="24"/>
        </w:rPr>
        <w:t xml:space="preserve">wydania </w:t>
      </w:r>
      <w:r w:rsidR="6D97FC11" w:rsidRPr="00D44D33">
        <w:rPr>
          <w:rFonts w:ascii="Times New Roman" w:eastAsia="Times New Roman" w:hAnsi="Times New Roman" w:cs="Times New Roman"/>
          <w:sz w:val="24"/>
          <w:szCs w:val="24"/>
        </w:rPr>
        <w:t>rozporządzenia</w:t>
      </w:r>
      <w:r w:rsidR="00556DCD" w:rsidRPr="00D44D33">
        <w:rPr>
          <w:rFonts w:ascii="Times New Roman" w:eastAsia="Times New Roman" w:hAnsi="Times New Roman" w:cs="Times New Roman"/>
          <w:sz w:val="24"/>
          <w:szCs w:val="24"/>
        </w:rPr>
        <w:t>, określone w ust. 6,</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przewiduje,</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wskazany</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zostanie</w:t>
      </w:r>
      <w:r w:rsidR="00970B2E" w:rsidRPr="00D44D33">
        <w:rPr>
          <w:rFonts w:ascii="Times New Roman" w:eastAsia="Times New Roman" w:hAnsi="Times New Roman" w:cs="Times New Roman"/>
          <w:sz w:val="24"/>
          <w:szCs w:val="24"/>
        </w:rPr>
        <w:t xml:space="preserve"> </w:t>
      </w:r>
      <w:r w:rsidR="0D030DDB"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D030DDB" w:rsidRPr="00D44D33">
        <w:rPr>
          <w:rFonts w:ascii="Times New Roman" w:eastAsia="Times New Roman" w:hAnsi="Times New Roman" w:cs="Times New Roman"/>
          <w:sz w:val="24"/>
          <w:szCs w:val="24"/>
        </w:rPr>
        <w:t>tylko</w:t>
      </w:r>
      <w:r w:rsidR="00970B2E" w:rsidRPr="00D44D33">
        <w:rPr>
          <w:rFonts w:ascii="Times New Roman" w:eastAsia="Times New Roman" w:hAnsi="Times New Roman" w:cs="Times New Roman"/>
          <w:sz w:val="24"/>
          <w:szCs w:val="24"/>
        </w:rPr>
        <w:t xml:space="preserve"> </w:t>
      </w:r>
      <w:r w:rsidR="0D030DDB"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0D030DDB" w:rsidRPr="00D44D33">
        <w:rPr>
          <w:rFonts w:ascii="Times New Roman" w:eastAsia="Times New Roman" w:hAnsi="Times New Roman" w:cs="Times New Roman"/>
          <w:sz w:val="24"/>
          <w:szCs w:val="24"/>
        </w:rPr>
        <w:t>ale</w:t>
      </w:r>
      <w:r w:rsidR="00970B2E" w:rsidRPr="00D44D33">
        <w:rPr>
          <w:rFonts w:ascii="Times New Roman" w:eastAsia="Times New Roman" w:hAnsi="Times New Roman" w:cs="Times New Roman"/>
          <w:sz w:val="24"/>
          <w:szCs w:val="24"/>
        </w:rPr>
        <w:t xml:space="preserve"> </w:t>
      </w:r>
      <w:r w:rsidR="0D030DDB"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rodzaj</w:t>
      </w:r>
      <w:r w:rsidR="00970B2E" w:rsidRPr="00D44D33">
        <w:rPr>
          <w:rFonts w:ascii="Times New Roman" w:eastAsia="Times New Roman" w:hAnsi="Times New Roman" w:cs="Times New Roman"/>
          <w:sz w:val="24"/>
          <w:szCs w:val="24"/>
        </w:rPr>
        <w:t xml:space="preserve"> </w:t>
      </w:r>
      <w:r w:rsidR="12182659"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6D97FC11"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którzy</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podlegali</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obowiązkowi</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przekazywania</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3CCFF8F3" w:rsidRPr="00D44D33">
        <w:rPr>
          <w:rFonts w:ascii="Times New Roman" w:eastAsia="Times New Roman" w:hAnsi="Times New Roman" w:cs="Times New Roman"/>
          <w:sz w:val="24"/>
          <w:szCs w:val="24"/>
        </w:rPr>
        <w:t>infrastrukturze.</w:t>
      </w:r>
    </w:p>
    <w:p w14:paraId="23A65987" w14:textId="6F0F153D" w:rsidR="4A64CC57" w:rsidRPr="00D44D33" w:rsidRDefault="4A64CC57"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R</w:t>
      </w:r>
      <w:r w:rsidR="00754575" w:rsidRPr="00D44D33">
        <w:rPr>
          <w:rFonts w:ascii="Times New Roman" w:eastAsia="Times New Roman" w:hAnsi="Times New Roman" w:cs="Times New Roman"/>
          <w:b/>
          <w:bCs/>
          <w:sz w:val="24"/>
          <w:szCs w:val="24"/>
        </w:rPr>
        <w:t>ozdział</w:t>
      </w:r>
      <w:r w:rsidR="00970B2E" w:rsidRPr="00D44D33">
        <w:rPr>
          <w:rFonts w:ascii="Times New Roman" w:eastAsia="Times New Roman" w:hAnsi="Times New Roman" w:cs="Times New Roman"/>
          <w:b/>
          <w:bCs/>
          <w:sz w:val="24"/>
          <w:szCs w:val="24"/>
        </w:rPr>
        <w:t xml:space="preserve"> </w:t>
      </w:r>
      <w:r w:rsidR="006A1E30" w:rsidRPr="00D44D33">
        <w:rPr>
          <w:rFonts w:ascii="Times New Roman" w:eastAsia="Times New Roman" w:hAnsi="Times New Roman" w:cs="Times New Roman"/>
          <w:b/>
          <w:bCs/>
          <w:sz w:val="24"/>
          <w:szCs w:val="24"/>
        </w:rPr>
        <w:t>6</w:t>
      </w:r>
    </w:p>
    <w:p w14:paraId="3FC5471E" w14:textId="0E47F109" w:rsidR="4A64CC57" w:rsidRPr="00D44D33" w:rsidRDefault="00832F4D"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Satelitarna</w:t>
      </w:r>
      <w:r w:rsidR="00970B2E" w:rsidRPr="00D44D33">
        <w:rPr>
          <w:rFonts w:ascii="Times New Roman" w:eastAsia="Times New Roman" w:hAnsi="Times New Roman" w:cs="Times New Roman"/>
          <w:b/>
          <w:bCs/>
          <w:sz w:val="24"/>
          <w:szCs w:val="24"/>
        </w:rPr>
        <w:t xml:space="preserve"> </w:t>
      </w:r>
      <w:r w:rsidRPr="00D44D33">
        <w:rPr>
          <w:rFonts w:ascii="Times New Roman" w:eastAsia="Times New Roman" w:hAnsi="Times New Roman" w:cs="Times New Roman"/>
          <w:b/>
          <w:bCs/>
          <w:sz w:val="24"/>
          <w:szCs w:val="24"/>
        </w:rPr>
        <w:t>u</w:t>
      </w:r>
      <w:r w:rsidR="4A64CC57" w:rsidRPr="00D44D33">
        <w:rPr>
          <w:rFonts w:ascii="Times New Roman" w:eastAsia="Times New Roman" w:hAnsi="Times New Roman" w:cs="Times New Roman"/>
          <w:b/>
          <w:bCs/>
          <w:sz w:val="24"/>
          <w:szCs w:val="24"/>
        </w:rPr>
        <w:t>sługa</w:t>
      </w:r>
      <w:r w:rsidR="00970B2E" w:rsidRPr="00D44D33">
        <w:rPr>
          <w:rFonts w:ascii="Times New Roman" w:eastAsia="Times New Roman" w:hAnsi="Times New Roman" w:cs="Times New Roman"/>
          <w:b/>
          <w:bCs/>
          <w:sz w:val="24"/>
          <w:szCs w:val="24"/>
        </w:rPr>
        <w:t xml:space="preserve"> </w:t>
      </w:r>
      <w:r w:rsidR="4A64CC57" w:rsidRPr="00D44D33">
        <w:rPr>
          <w:rFonts w:ascii="Times New Roman" w:eastAsia="Times New Roman" w:hAnsi="Times New Roman" w:cs="Times New Roman"/>
          <w:b/>
          <w:bCs/>
          <w:sz w:val="24"/>
          <w:szCs w:val="24"/>
        </w:rPr>
        <w:t>publiczna</w:t>
      </w:r>
      <w:r w:rsidR="00970B2E" w:rsidRPr="00D44D33">
        <w:rPr>
          <w:rFonts w:ascii="Times New Roman" w:eastAsia="Times New Roman" w:hAnsi="Times New Roman" w:cs="Times New Roman"/>
          <w:b/>
          <w:bCs/>
          <w:sz w:val="24"/>
          <w:szCs w:val="24"/>
        </w:rPr>
        <w:t xml:space="preserve"> </w:t>
      </w:r>
      <w:r w:rsidR="4A64CC57" w:rsidRPr="00D44D33">
        <w:rPr>
          <w:rFonts w:ascii="Times New Roman" w:eastAsia="Times New Roman" w:hAnsi="Times New Roman" w:cs="Times New Roman"/>
          <w:b/>
          <w:bCs/>
          <w:sz w:val="24"/>
          <w:szCs w:val="24"/>
        </w:rPr>
        <w:t>o</w:t>
      </w:r>
      <w:r w:rsidR="00970B2E" w:rsidRPr="00D44D33">
        <w:rPr>
          <w:rFonts w:ascii="Times New Roman" w:eastAsia="Times New Roman" w:hAnsi="Times New Roman" w:cs="Times New Roman"/>
          <w:b/>
          <w:bCs/>
          <w:sz w:val="24"/>
          <w:szCs w:val="24"/>
        </w:rPr>
        <w:t xml:space="preserve"> </w:t>
      </w:r>
      <w:r w:rsidR="4A64CC57" w:rsidRPr="00D44D33">
        <w:rPr>
          <w:rFonts w:ascii="Times New Roman" w:eastAsia="Times New Roman" w:hAnsi="Times New Roman" w:cs="Times New Roman"/>
          <w:b/>
          <w:bCs/>
          <w:sz w:val="24"/>
          <w:szCs w:val="24"/>
        </w:rPr>
        <w:t>regulowanym</w:t>
      </w:r>
      <w:r w:rsidR="00970B2E" w:rsidRPr="00D44D33">
        <w:rPr>
          <w:rFonts w:ascii="Times New Roman" w:eastAsia="Times New Roman" w:hAnsi="Times New Roman" w:cs="Times New Roman"/>
          <w:b/>
          <w:bCs/>
          <w:sz w:val="24"/>
          <w:szCs w:val="24"/>
        </w:rPr>
        <w:t xml:space="preserve"> </w:t>
      </w:r>
      <w:r w:rsidR="4A64CC57" w:rsidRPr="00D44D33">
        <w:rPr>
          <w:rFonts w:ascii="Times New Roman" w:eastAsia="Times New Roman" w:hAnsi="Times New Roman" w:cs="Times New Roman"/>
          <w:b/>
          <w:bCs/>
          <w:sz w:val="24"/>
          <w:szCs w:val="24"/>
        </w:rPr>
        <w:t>dostępie</w:t>
      </w:r>
    </w:p>
    <w:p w14:paraId="0E4610C9" w14:textId="78F68C7B" w:rsidR="7240063B" w:rsidRPr="00D44D33" w:rsidRDefault="7240063B"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00FF5FB8" w:rsidRPr="00D44D33">
        <w:rPr>
          <w:rFonts w:ascii="Times New Roman" w:eastAsia="Times New Roman" w:hAnsi="Times New Roman" w:cs="Times New Roman"/>
          <w:b/>
          <w:bCs/>
          <w:sz w:val="24"/>
          <w:szCs w:val="24"/>
        </w:rPr>
        <w:t>55</w:t>
      </w:r>
    </w:p>
    <w:p w14:paraId="30FE9C0D" w14:textId="2A869F8D" w:rsidR="203E0F58" w:rsidRPr="00D44D33" w:rsidRDefault="203E0F58"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Celem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wprowadzenia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FF5FB8" w:rsidRPr="00D44D33">
        <w:rPr>
          <w:rFonts w:ascii="Times New Roman" w:eastAsia="Times New Roman" w:hAnsi="Times New Roman" w:cs="Times New Roman"/>
          <w:sz w:val="24"/>
          <w:szCs w:val="24"/>
        </w:rPr>
        <w:t>55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odpowiedzialnego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Szefa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Agencji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Wewnętrznego</w:t>
      </w:r>
      <w:r w:rsidR="008C1280" w:rsidRPr="00D44D33">
        <w:rPr>
          <w:rFonts w:ascii="Times New Roman" w:eastAsia="Times New Roman" w:hAnsi="Times New Roman" w:cs="Times New Roman"/>
          <w:sz w:val="24"/>
          <w:szCs w:val="24"/>
        </w:rPr>
        <w:t xml:space="preserve">, </w:t>
      </w:r>
      <w:r w:rsidR="005A0519" w:rsidRPr="00D44D33">
        <w:rPr>
          <w:rFonts w:ascii="Times New Roman" w:eastAsia="Times New Roman" w:hAnsi="Times New Roman" w:cs="Times New Roman"/>
          <w:sz w:val="24"/>
          <w:szCs w:val="24"/>
        </w:rPr>
        <w:t xml:space="preserve">zwanego </w:t>
      </w:r>
      <w:r w:rsidR="008C1280" w:rsidRPr="00D44D33">
        <w:rPr>
          <w:rFonts w:ascii="Times New Roman" w:eastAsia="Times New Roman" w:hAnsi="Times New Roman" w:cs="Times New Roman"/>
          <w:sz w:val="24"/>
          <w:szCs w:val="24"/>
        </w:rPr>
        <w:t>dalej „Szef</w:t>
      </w:r>
      <w:r w:rsidR="005A0519" w:rsidRPr="00D44D33">
        <w:rPr>
          <w:rFonts w:ascii="Times New Roman" w:eastAsia="Times New Roman" w:hAnsi="Times New Roman" w:cs="Times New Roman"/>
          <w:sz w:val="24"/>
          <w:szCs w:val="24"/>
        </w:rPr>
        <w:t>em</w:t>
      </w:r>
      <w:r w:rsidR="008C1280" w:rsidRPr="00D44D33">
        <w:rPr>
          <w:rFonts w:ascii="Times New Roman" w:eastAsia="Times New Roman" w:hAnsi="Times New Roman" w:cs="Times New Roman"/>
          <w:sz w:val="24"/>
          <w:szCs w:val="24"/>
        </w:rPr>
        <w:t xml:space="preserve"> ABW”,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współpracującego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umocowanie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jednostki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zarządzającej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(CPA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Competent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Authority).</w:t>
      </w:r>
      <w:r w:rsidR="00970B2E" w:rsidRPr="00D44D33">
        <w:rPr>
          <w:rFonts w:ascii="Times New Roman" w:eastAsia="Times New Roman" w:hAnsi="Times New Roman" w:cs="Times New Roman"/>
          <w:sz w:val="24"/>
          <w:szCs w:val="24"/>
        </w:rPr>
        <w:t xml:space="preserve"> </w:t>
      </w:r>
      <w:r w:rsidR="00F35274" w:rsidRPr="00D44D33">
        <w:rPr>
          <w:rFonts w:ascii="Times New Roman" w:eastAsia="Times New Roman" w:hAnsi="Times New Roman" w:cs="Times New Roman"/>
          <w:sz w:val="24"/>
          <w:szCs w:val="24"/>
        </w:rPr>
        <w:t>Dodatkowo</w:t>
      </w:r>
      <w:r w:rsidR="00970B2E" w:rsidRPr="00D44D33">
        <w:rPr>
          <w:rFonts w:ascii="Times New Roman" w:eastAsia="Times New Roman" w:hAnsi="Times New Roman" w:cs="Times New Roman"/>
          <w:sz w:val="24"/>
          <w:szCs w:val="24"/>
        </w:rPr>
        <w:t xml:space="preserve"> </w:t>
      </w:r>
      <w:r w:rsidR="00F35274" w:rsidRPr="00D44D33">
        <w:rPr>
          <w:rFonts w:ascii="Times New Roman" w:eastAsia="Times New Roman" w:hAnsi="Times New Roman" w:cs="Times New Roman"/>
          <w:sz w:val="24"/>
          <w:szCs w:val="24"/>
        </w:rPr>
        <w:t>prze</w:t>
      </w:r>
      <w:r w:rsidR="008C1280" w:rsidRPr="00D44D33">
        <w:rPr>
          <w:rFonts w:ascii="Times New Roman" w:eastAsia="Times New Roman" w:hAnsi="Times New Roman" w:cs="Times New Roman"/>
          <w:sz w:val="24"/>
          <w:szCs w:val="24"/>
        </w:rPr>
        <w:t>pis</w:t>
      </w:r>
      <w:r w:rsidR="00970B2E" w:rsidRPr="00D44D33">
        <w:rPr>
          <w:rFonts w:ascii="Times New Roman" w:eastAsia="Times New Roman" w:hAnsi="Times New Roman" w:cs="Times New Roman"/>
          <w:sz w:val="24"/>
          <w:szCs w:val="24"/>
        </w:rPr>
        <w:t xml:space="preserve"> </w:t>
      </w:r>
      <w:r w:rsidR="00F35274" w:rsidRPr="00D44D33">
        <w:rPr>
          <w:rFonts w:ascii="Times New Roman" w:eastAsia="Times New Roman" w:hAnsi="Times New Roman" w:cs="Times New Roman"/>
          <w:sz w:val="24"/>
          <w:szCs w:val="24"/>
        </w:rPr>
        <w:t>określa</w:t>
      </w:r>
      <w:r w:rsidR="00970B2E" w:rsidRPr="00D44D33">
        <w:rPr>
          <w:rFonts w:ascii="Times New Roman" w:eastAsia="Times New Roman" w:hAnsi="Times New Roman" w:cs="Times New Roman"/>
          <w:sz w:val="24"/>
          <w:szCs w:val="24"/>
        </w:rPr>
        <w:t xml:space="preserve"> </w:t>
      </w:r>
      <w:r w:rsidR="00F35274"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00F35274"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00F46C42" w:rsidRPr="00D44D33">
        <w:rPr>
          <w:rFonts w:ascii="Times New Roman" w:eastAsia="Times New Roman" w:hAnsi="Times New Roman" w:cs="Times New Roman"/>
          <w:sz w:val="24"/>
          <w:szCs w:val="24"/>
        </w:rPr>
        <w:t>realizowanych</w:t>
      </w:r>
      <w:r w:rsidR="00970B2E" w:rsidRPr="00D44D33">
        <w:rPr>
          <w:rFonts w:ascii="Times New Roman" w:eastAsia="Times New Roman" w:hAnsi="Times New Roman" w:cs="Times New Roman"/>
          <w:sz w:val="24"/>
          <w:szCs w:val="24"/>
        </w:rPr>
        <w:t xml:space="preserve"> </w:t>
      </w:r>
      <w:r w:rsidR="002334FB"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ds.</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02334FB" w:rsidRPr="00D44D33">
        <w:rPr>
          <w:rFonts w:ascii="Times New Roman" w:eastAsia="Times New Roman" w:hAnsi="Times New Roman" w:cs="Times New Roman"/>
          <w:sz w:val="24"/>
          <w:szCs w:val="24"/>
        </w:rPr>
        <w:t>Szefa</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ABW</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zarządzania</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usługą</w:t>
      </w:r>
      <w:r w:rsidR="00970B2E" w:rsidRPr="00D44D33">
        <w:rPr>
          <w:rFonts w:ascii="Times New Roman" w:eastAsia="Times New Roman" w:hAnsi="Times New Roman" w:cs="Times New Roman"/>
          <w:sz w:val="24"/>
          <w:szCs w:val="24"/>
        </w:rPr>
        <w:t xml:space="preserve"> </w:t>
      </w:r>
      <w:r w:rsidR="002618B2"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002334F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334FB" w:rsidRPr="00D44D33">
        <w:rPr>
          <w:rFonts w:ascii="Times New Roman" w:eastAsia="Times New Roman" w:hAnsi="Times New Roman" w:cs="Times New Roman"/>
          <w:sz w:val="24"/>
          <w:szCs w:val="24"/>
        </w:rPr>
        <w:t>Polsce</w:t>
      </w:r>
      <w:r w:rsidR="002618B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wskazania</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jednostki</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zarządzającej</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wynika</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008C1280" w:rsidRPr="00D44D33">
        <w:rPr>
          <w:rFonts w:ascii="Times New Roman" w:eastAsia="Times New Roman" w:hAnsi="Times New Roman" w:cs="Times New Roman"/>
          <w:sz w:val="24"/>
          <w:szCs w:val="24"/>
        </w:rPr>
        <w:t>d</w:t>
      </w:r>
      <w:r w:rsidR="7420ECA5" w:rsidRPr="00D44D33">
        <w:rPr>
          <w:rFonts w:ascii="Times New Roman" w:eastAsia="Times New Roman" w:hAnsi="Times New Roman" w:cs="Times New Roman"/>
          <w:sz w:val="24"/>
          <w:szCs w:val="24"/>
        </w:rPr>
        <w:t>ecyzji</w:t>
      </w:r>
      <w:r w:rsidR="00970B2E" w:rsidRPr="00D44D33">
        <w:rPr>
          <w:rFonts w:ascii="Times New Roman" w:eastAsia="Times New Roman" w:hAnsi="Times New Roman" w:cs="Times New Roman"/>
          <w:sz w:val="24"/>
          <w:szCs w:val="24"/>
        </w:rPr>
        <w:t xml:space="preserve"> </w:t>
      </w:r>
      <w:r w:rsidR="7420ECA5" w:rsidRPr="00D44D33">
        <w:rPr>
          <w:rFonts w:ascii="Times New Roman" w:eastAsia="Times New Roman" w:hAnsi="Times New Roman" w:cs="Times New Roman"/>
          <w:sz w:val="24"/>
          <w:szCs w:val="24"/>
        </w:rPr>
        <w:t>1104/2011/UE.</w:t>
      </w:r>
    </w:p>
    <w:p w14:paraId="32B57EEF" w14:textId="618A260C" w:rsidR="203E0F58" w:rsidRPr="00D44D33" w:rsidRDefault="203E0F58"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Podstawę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działania</w:t>
      </w:r>
      <w:r w:rsidR="00970B2E" w:rsidRPr="00D44D33">
        <w:rPr>
          <w:rFonts w:ascii="Times New Roman" w:eastAsia="Times New Roman" w:hAnsi="Times New Roman" w:cs="Times New Roman"/>
          <w:sz w:val="24"/>
          <w:szCs w:val="24"/>
        </w:rPr>
        <w:t xml:space="preserve"> </w:t>
      </w:r>
      <w:r w:rsidR="008C1280" w:rsidRPr="00D44D33">
        <w:rPr>
          <w:rFonts w:ascii="Times New Roman" w:eastAsia="Times New Roman" w:hAnsi="Times New Roman" w:cs="Times New Roman"/>
          <w:sz w:val="24"/>
          <w:szCs w:val="24"/>
        </w:rPr>
        <w:t xml:space="preserve">jednostki zarządzającej w Polsce PRS (CPA Polska – Competent PRS Authority), </w:t>
      </w:r>
      <w:r w:rsidR="005A0519" w:rsidRPr="00D44D33">
        <w:rPr>
          <w:rFonts w:ascii="Times New Roman" w:eastAsia="Times New Roman" w:hAnsi="Times New Roman" w:cs="Times New Roman"/>
          <w:sz w:val="24"/>
          <w:szCs w:val="24"/>
        </w:rPr>
        <w:t xml:space="preserve">zwanej </w:t>
      </w:r>
      <w:r w:rsidR="008C1280" w:rsidRPr="00D44D33">
        <w:rPr>
          <w:rFonts w:ascii="Times New Roman" w:eastAsia="Times New Roman" w:hAnsi="Times New Roman" w:cs="Times New Roman"/>
          <w:sz w:val="24"/>
          <w:szCs w:val="24"/>
        </w:rPr>
        <w:t>dalej „</w:t>
      </w:r>
      <w:r w:rsidRPr="00D44D33">
        <w:rPr>
          <w:rFonts w:ascii="Times New Roman" w:eastAsia="Times New Roman" w:hAnsi="Times New Roman" w:cs="Times New Roman"/>
          <w:sz w:val="24"/>
          <w:szCs w:val="24"/>
        </w:rPr>
        <w:t>CPA</w:t>
      </w:r>
      <w:r w:rsidR="008C128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stanowią:</w:t>
      </w:r>
      <w:r w:rsidR="00970B2E" w:rsidRPr="00D44D33">
        <w:rPr>
          <w:rFonts w:ascii="Times New Roman" w:eastAsia="Times New Roman" w:hAnsi="Times New Roman" w:cs="Times New Roman"/>
          <w:sz w:val="24"/>
          <w:szCs w:val="24"/>
        </w:rPr>
        <w:t xml:space="preserve"> </w:t>
      </w:r>
    </w:p>
    <w:p w14:paraId="77D352FD" w14:textId="26431AF3" w:rsidR="203E0F58" w:rsidRPr="00D44D33" w:rsidRDefault="008C1280" w:rsidP="00D44D33">
      <w:pPr>
        <w:pStyle w:val="Akapitzlist"/>
        <w:numPr>
          <w:ilvl w:val="0"/>
          <w:numId w:val="101"/>
        </w:numPr>
        <w:spacing w:before="120" w:after="120" w:line="360" w:lineRule="auto"/>
        <w:ind w:left="709"/>
        <w:jc w:val="both"/>
        <w:rPr>
          <w:rFonts w:ascii="Times New Roman" w:hAnsi="Times New Roman" w:cs="Times New Roman"/>
          <w:sz w:val="24"/>
          <w:szCs w:val="24"/>
        </w:rPr>
      </w:pPr>
      <w:r w:rsidRPr="00D44D33">
        <w:rPr>
          <w:rFonts w:ascii="Times New Roman" w:eastAsia="Times New Roman" w:hAnsi="Times New Roman" w:cs="Times New Roman"/>
          <w:sz w:val="24"/>
          <w:szCs w:val="24"/>
        </w:rPr>
        <w:t>r</w:t>
      </w:r>
      <w:r w:rsidR="203E0F58" w:rsidRPr="00D44D33">
        <w:rPr>
          <w:rFonts w:ascii="Times New Roman" w:eastAsia="Times New Roman" w:hAnsi="Times New Roman" w:cs="Times New Roman"/>
          <w:sz w:val="24"/>
          <w:szCs w:val="24"/>
        </w:rPr>
        <w:t>ozporządzenie</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nr</w:t>
      </w:r>
      <w:r w:rsidR="00970B2E" w:rsidRPr="00D44D33">
        <w:rPr>
          <w:rFonts w:ascii="Times New Roman" w:eastAsia="Times New Roman" w:hAnsi="Times New Roman" w:cs="Times New Roman"/>
          <w:sz w:val="24"/>
          <w:szCs w:val="24"/>
        </w:rPr>
        <w:t xml:space="preserve"> </w:t>
      </w:r>
      <w:r w:rsidR="00EE1595" w:rsidRPr="00D44D33">
        <w:rPr>
          <w:rFonts w:ascii="Times New Roman" w:eastAsia="Times New Roman" w:hAnsi="Times New Roman" w:cs="Times New Roman"/>
          <w:sz w:val="24"/>
          <w:szCs w:val="24"/>
        </w:rPr>
        <w:t>2021/696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p>
    <w:p w14:paraId="0123AEA6" w14:textId="4607ABCD" w:rsidR="203E0F58" w:rsidRPr="00D44D33" w:rsidRDefault="008C1280" w:rsidP="00D44D33">
      <w:pPr>
        <w:pStyle w:val="Akapitzlist"/>
        <w:numPr>
          <w:ilvl w:val="0"/>
          <w:numId w:val="102"/>
        </w:numPr>
        <w:spacing w:before="120" w:after="120" w:line="360" w:lineRule="auto"/>
        <w:ind w:left="709"/>
        <w:jc w:val="both"/>
        <w:rPr>
          <w:rFonts w:ascii="Times New Roman" w:hAnsi="Times New Roman" w:cs="Times New Roman"/>
          <w:sz w:val="24"/>
          <w:szCs w:val="24"/>
        </w:rPr>
      </w:pPr>
      <w:r w:rsidRPr="00D44D33">
        <w:rPr>
          <w:rFonts w:ascii="Times New Roman" w:eastAsia="Times New Roman" w:hAnsi="Times New Roman" w:cs="Times New Roman"/>
          <w:sz w:val="24"/>
          <w:szCs w:val="24"/>
        </w:rPr>
        <w:lastRenderedPageBreak/>
        <w:t>d</w:t>
      </w:r>
      <w:r w:rsidR="203E0F58" w:rsidRPr="00D44D33">
        <w:rPr>
          <w:rFonts w:ascii="Times New Roman" w:eastAsia="Times New Roman" w:hAnsi="Times New Roman" w:cs="Times New Roman"/>
          <w:sz w:val="24"/>
          <w:szCs w:val="24"/>
        </w:rPr>
        <w:t>ecyzja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1104/2011/</w:t>
      </w:r>
      <w:r w:rsidRPr="00D44D33">
        <w:rPr>
          <w:rFonts w:ascii="Times New Roman" w:eastAsia="Times New Roman" w:hAnsi="Times New Roman" w:cs="Times New Roman"/>
          <w:sz w:val="24"/>
          <w:szCs w:val="24"/>
        </w:rPr>
        <w:t>,</w:t>
      </w:r>
    </w:p>
    <w:p w14:paraId="50EFB7CC" w14:textId="2DC85F04" w:rsidR="203E0F58" w:rsidRPr="00D44D33" w:rsidRDefault="008C1280" w:rsidP="00D44D33">
      <w:pPr>
        <w:pStyle w:val="Akapitzlist"/>
        <w:numPr>
          <w:ilvl w:val="0"/>
          <w:numId w:val="102"/>
        </w:numPr>
        <w:spacing w:before="120" w:after="120" w:line="360" w:lineRule="auto"/>
        <w:ind w:left="709"/>
        <w:jc w:val="both"/>
        <w:rPr>
          <w:rFonts w:ascii="Times New Roman" w:hAnsi="Times New Roman" w:cs="Times New Roman"/>
          <w:sz w:val="24"/>
          <w:szCs w:val="24"/>
        </w:rPr>
      </w:pPr>
      <w:r w:rsidRPr="00D44D33">
        <w:rPr>
          <w:rFonts w:ascii="Times New Roman" w:eastAsia="Times New Roman" w:hAnsi="Times New Roman" w:cs="Times New Roman"/>
          <w:sz w:val="24"/>
          <w:szCs w:val="24"/>
        </w:rPr>
        <w:t>d</w:t>
      </w:r>
      <w:r w:rsidR="203E0F58" w:rsidRPr="00D44D33">
        <w:rPr>
          <w:rFonts w:ascii="Times New Roman" w:eastAsia="Times New Roman" w:hAnsi="Times New Roman" w:cs="Times New Roman"/>
          <w:sz w:val="24"/>
          <w:szCs w:val="24"/>
        </w:rPr>
        <w:t>ecyzja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delegowana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Komisji</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15</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września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2015</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uzupełniająca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decyzję</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Parlamentu</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Europejskiego</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Rady</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nr</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1104/2011/UE</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wspólnych</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minimalnych</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norm,</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muszą</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przestrzegać</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organy</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odpowiedzialne</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(tzw.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Common</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Minimum</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Standards,</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zwan</w:t>
      </w:r>
      <w:r w:rsidR="005A0519"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dalej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203E0F58"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203E0F58" w:rsidRPr="00D44D33">
        <w:rPr>
          <w:rFonts w:ascii="Times New Roman" w:eastAsia="Times New Roman" w:hAnsi="Times New Roman" w:cs="Times New Roman"/>
          <w:sz w:val="24"/>
          <w:szCs w:val="24"/>
        </w:rPr>
        <w:t>wspólnymi</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minimalnymi</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normami</w:t>
      </w:r>
      <w:r w:rsidRPr="00D44D33">
        <w:rPr>
          <w:rFonts w:ascii="Times New Roman" w:eastAsia="Times New Roman" w:hAnsi="Times New Roman" w:cs="Times New Roman"/>
          <w:sz w:val="24"/>
          <w:szCs w:val="24"/>
        </w:rPr>
        <w:t>”</w:t>
      </w:r>
      <w:r w:rsidR="203E0F5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176AEE5F" w14:textId="67E18F0D" w:rsidR="203E0F58" w:rsidRPr="00D44D33" w:rsidRDefault="203E0F58"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2D752B" w:rsidRPr="00D44D33">
        <w:rPr>
          <w:rFonts w:ascii="Times New Roman" w:eastAsia="Times New Roman" w:hAnsi="Times New Roman" w:cs="Times New Roman"/>
          <w:sz w:val="24"/>
          <w:szCs w:val="24"/>
        </w:rPr>
        <w:t>d</w:t>
      </w:r>
      <w:r w:rsidRPr="00D44D33">
        <w:rPr>
          <w:rFonts w:ascii="Times New Roman" w:eastAsia="Times New Roman" w:hAnsi="Times New Roman" w:cs="Times New Roman"/>
          <w:sz w:val="24"/>
          <w:szCs w:val="24"/>
        </w:rPr>
        <w:t>ecyzją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CPA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prawidłowym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ułatwianie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relacji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odpowiedzialnymi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stałej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kontroli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wspólnymi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minimalnymi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normami.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Decyzja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pozostawia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członkowskim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pewien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stopień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elastyczności,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skutecznie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odpowiedzialności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poszczególnych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p>
    <w:p w14:paraId="7C47689B" w14:textId="45D6E568" w:rsidR="45A9F59A" w:rsidRPr="00D44D33" w:rsidRDefault="45A9F59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p>
    <w:p w14:paraId="5A85080E" w14:textId="6F1F2D96" w:rsidR="45A9F59A" w:rsidRPr="00D44D33" w:rsidRDefault="002D752B" w:rsidP="00D44D33">
      <w:pPr>
        <w:pStyle w:val="Akapitzlist"/>
        <w:numPr>
          <w:ilvl w:val="0"/>
          <w:numId w:val="11"/>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45A9F59A"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niejawne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wrażliwe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klucze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kryptograficzne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stosowane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4A5C6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5A0519" w:rsidRPr="00D44D33">
        <w:rPr>
          <w:rFonts w:ascii="Times New Roman" w:eastAsia="Times New Roman" w:hAnsi="Times New Roman" w:cs="Times New Roman"/>
          <w:sz w:val="24"/>
          <w:szCs w:val="24"/>
        </w:rPr>
        <w:t xml:space="preserve">zwane </w:t>
      </w:r>
      <w:r w:rsidR="45A9F59A" w:rsidRPr="00D44D33">
        <w:rPr>
          <w:rFonts w:ascii="Times New Roman" w:eastAsia="Times New Roman" w:hAnsi="Times New Roman" w:cs="Times New Roman"/>
          <w:sz w:val="24"/>
          <w:szCs w:val="24"/>
        </w:rPr>
        <w:t>dalej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45A9F59A" w:rsidRPr="00D44D33">
        <w:rPr>
          <w:rFonts w:ascii="Times New Roman" w:eastAsia="Times New Roman" w:hAnsi="Times New Roman" w:cs="Times New Roman"/>
          <w:sz w:val="24"/>
          <w:szCs w:val="24"/>
        </w:rPr>
        <w:t>klucz</w:t>
      </w:r>
      <w:r w:rsidR="005A0519" w:rsidRPr="00D44D33">
        <w:rPr>
          <w:rFonts w:ascii="Times New Roman" w:eastAsia="Times New Roman" w:hAnsi="Times New Roman" w:cs="Times New Roman"/>
          <w:sz w:val="24"/>
          <w:szCs w:val="24"/>
        </w:rPr>
        <w:t>ami</w:t>
      </w:r>
      <w:r w:rsidRPr="00D44D33">
        <w:rPr>
          <w:rFonts w:ascii="Times New Roman" w:eastAsia="Times New Roman" w:hAnsi="Times New Roman" w:cs="Times New Roman"/>
          <w:sz w:val="24"/>
          <w:szCs w:val="24"/>
        </w:rPr>
        <w:t>”</w:t>
      </w:r>
      <w:r w:rsidR="004A5C6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były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zarządzane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instrukcjami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programu,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wytycznymi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dotyczącymi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klasyfikacji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instrukcjami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COMSEC</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4</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3C92E3C4" w14:textId="3D0E5775" w:rsidR="45A9F59A" w:rsidRPr="00D44D33" w:rsidRDefault="002D752B" w:rsidP="00D44D33">
      <w:pPr>
        <w:pStyle w:val="Akapitzlist"/>
        <w:numPr>
          <w:ilvl w:val="0"/>
          <w:numId w:val="11"/>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p</w:t>
      </w:r>
      <w:r w:rsidR="45A9F59A" w:rsidRPr="00D44D33">
        <w:rPr>
          <w:rFonts w:ascii="Times New Roman" w:eastAsia="Times New Roman" w:hAnsi="Times New Roman" w:cs="Times New Roman"/>
          <w:sz w:val="24"/>
          <w:szCs w:val="24"/>
        </w:rPr>
        <w:t>rzyznawanie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niejawnych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wrażliwych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będących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posiadaniu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CPA,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odpowiednimi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ustawowymi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wykonawczymi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dotyczącymi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niejawnych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punktami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załącznika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6A38B882" w14:textId="56166F23" w:rsidR="45A9F59A" w:rsidRPr="00D44D33" w:rsidRDefault="002D752B" w:rsidP="00D44D33">
      <w:pPr>
        <w:pStyle w:val="Akapitzlist"/>
        <w:numPr>
          <w:ilvl w:val="0"/>
          <w:numId w:val="11"/>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45A9F59A" w:rsidRPr="00D44D33">
        <w:rPr>
          <w:rFonts w:ascii="Times New Roman" w:eastAsia="Times New Roman" w:hAnsi="Times New Roman" w:cs="Times New Roman"/>
          <w:sz w:val="24"/>
          <w:szCs w:val="24"/>
        </w:rPr>
        <w:t>apewnianie,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działania,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procedury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operacyjne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decyzje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związane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stanowiły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systemu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państw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członkowskich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celu:</w:t>
      </w:r>
    </w:p>
    <w:p w14:paraId="1D0B390E" w14:textId="799EB767" w:rsidR="45A9F59A" w:rsidRPr="00D44D33" w:rsidRDefault="45A9F59A" w:rsidP="00D44D33">
      <w:pPr>
        <w:pStyle w:val="Akapitzlist"/>
        <w:numPr>
          <w:ilvl w:val="1"/>
          <w:numId w:val="103"/>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zapewnienie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utworzenia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odpowiedniego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gromadzenia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w:t>
      </w:r>
      <w:r w:rsidR="002D752B" w:rsidRPr="00D44D33">
        <w:rPr>
          <w:rFonts w:ascii="Times New Roman" w:eastAsia="Times New Roman" w:hAnsi="Times New Roman" w:cs="Times New Roman"/>
          <w:sz w:val="24"/>
          <w:szCs w:val="24"/>
        </w:rPr>
        <w:t xml:space="preserve">a </w:t>
      </w:r>
      <w:r w:rsidRPr="00D44D33">
        <w:rPr>
          <w:rFonts w:ascii="Times New Roman" w:eastAsia="Times New Roman" w:hAnsi="Times New Roman" w:cs="Times New Roman"/>
          <w:sz w:val="24"/>
          <w:szCs w:val="24"/>
        </w:rPr>
        <w:t>t</w:t>
      </w:r>
      <w:r w:rsidR="002D752B" w:rsidRPr="00D44D33">
        <w:rPr>
          <w:rFonts w:ascii="Times New Roman" w:eastAsia="Times New Roman" w:hAnsi="Times New Roman" w:cs="Times New Roman"/>
          <w:sz w:val="24"/>
          <w:szCs w:val="24"/>
        </w:rPr>
        <w:t>emat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naruszeń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narażenia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szwank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niejawnych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naruszeń)</w:t>
      </w:r>
      <w:r w:rsidR="00485E0D">
        <w:rPr>
          <w:rFonts w:ascii="Times New Roman" w:eastAsia="Times New Roman" w:hAnsi="Times New Roman" w:cs="Times New Roman"/>
          <w:sz w:val="24"/>
          <w:szCs w:val="24"/>
        </w:rPr>
        <w:t>,</w:t>
      </w:r>
    </w:p>
    <w:p w14:paraId="5298A228" w14:textId="58EEF017" w:rsidR="45A9F59A" w:rsidRPr="00D44D33" w:rsidRDefault="45A9F59A" w:rsidP="00D44D33">
      <w:pPr>
        <w:pStyle w:val="Akapitzlist"/>
        <w:numPr>
          <w:ilvl w:val="1"/>
          <w:numId w:val="103"/>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zapewnienie,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każdy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elementami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któremu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niejawne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485E0D">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wyznaczył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strukturze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punkt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kontaktowy</w:t>
      </w:r>
      <w:r w:rsidR="00485E0D">
        <w:rPr>
          <w:rFonts w:ascii="Times New Roman" w:eastAsia="Times New Roman" w:hAnsi="Times New Roman" w:cs="Times New Roman"/>
          <w:sz w:val="24"/>
          <w:szCs w:val="24"/>
        </w:rPr>
        <w:t>,</w:t>
      </w:r>
    </w:p>
    <w:p w14:paraId="4491AABA" w14:textId="627E04F8" w:rsidR="45A9F59A" w:rsidRPr="00D44D33" w:rsidRDefault="45A9F59A" w:rsidP="00D44D33">
      <w:pPr>
        <w:pStyle w:val="Akapitzlist"/>
        <w:numPr>
          <w:ilvl w:val="1"/>
          <w:numId w:val="103"/>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przeprowadzanie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inspekcji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elementami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2D752B" w:rsidRPr="00D44D33">
        <w:rPr>
          <w:rFonts w:ascii="Times New Roman" w:eastAsia="Times New Roman" w:hAnsi="Times New Roman" w:cs="Times New Roman"/>
          <w:sz w:val="24"/>
          <w:szCs w:val="24"/>
        </w:rPr>
        <w:t>,</w:t>
      </w:r>
    </w:p>
    <w:p w14:paraId="234F8560" w14:textId="2D247A9D" w:rsidR="45A9F59A" w:rsidRPr="00D44D33" w:rsidRDefault="45A9F59A" w:rsidP="00D44D33">
      <w:pPr>
        <w:pStyle w:val="Akapitzlist"/>
        <w:numPr>
          <w:ilvl w:val="1"/>
          <w:numId w:val="103"/>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tworzenie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aktualizowanie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określającego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zasady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CMS)</w:t>
      </w:r>
      <w:r w:rsidR="002D752B" w:rsidRPr="00D44D33">
        <w:rPr>
          <w:rFonts w:ascii="Times New Roman" w:eastAsia="Times New Roman" w:hAnsi="Times New Roman" w:cs="Times New Roman"/>
          <w:sz w:val="24"/>
          <w:szCs w:val="24"/>
        </w:rPr>
        <w:t>,</w:t>
      </w:r>
    </w:p>
    <w:p w14:paraId="3CBC8B9E" w14:textId="646170CB" w:rsidR="45A9F59A" w:rsidRPr="00D44D33" w:rsidRDefault="002D752B" w:rsidP="00D44D33">
      <w:pPr>
        <w:pStyle w:val="Akapitzlist"/>
        <w:numPr>
          <w:ilvl w:val="0"/>
          <w:numId w:val="9"/>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s</w:t>
      </w:r>
      <w:r w:rsidR="45A9F59A" w:rsidRPr="00D44D33">
        <w:rPr>
          <w:rFonts w:ascii="Times New Roman" w:eastAsia="Times New Roman" w:hAnsi="Times New Roman" w:cs="Times New Roman"/>
          <w:sz w:val="24"/>
          <w:szCs w:val="24"/>
        </w:rPr>
        <w:t>prawowanie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nadzoru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nad</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użytkownikami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mającymi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miejsce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zamieszkania/siedzibę</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terytorium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p>
    <w:p w14:paraId="2844FAC6" w14:textId="46A740D5" w:rsidR="45A9F59A" w:rsidRPr="00D44D33" w:rsidRDefault="45A9F59A" w:rsidP="00D44D33">
      <w:pPr>
        <w:pStyle w:val="Akapitzlist"/>
        <w:numPr>
          <w:ilvl w:val="0"/>
          <w:numId w:val="104"/>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tworzenie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początkowej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fazie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rozwoju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pośrednictwem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Komisji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Europejskiej,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późniejszym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pośrednictwem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Centrum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Monitorowania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Galileo</w:t>
      </w:r>
      <w:r w:rsidR="00970B2E" w:rsidRPr="00D44D33">
        <w:rPr>
          <w:rFonts w:ascii="Times New Roman" w:eastAsia="Times New Roman" w:hAnsi="Times New Roman" w:cs="Times New Roman"/>
          <w:sz w:val="24"/>
          <w:szCs w:val="24"/>
        </w:rPr>
        <w:t xml:space="preserve"> </w:t>
      </w:r>
      <w:r w:rsidR="0056271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Galileo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Security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Monitoring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Centre</w:t>
      </w:r>
      <w:r w:rsidR="00970B2E" w:rsidRPr="00D44D33">
        <w:rPr>
          <w:rFonts w:ascii="Times New Roman" w:eastAsia="Times New Roman" w:hAnsi="Times New Roman" w:cs="Times New Roman"/>
          <w:sz w:val="24"/>
          <w:szCs w:val="24"/>
        </w:rPr>
        <w:t xml:space="preserve"> </w:t>
      </w:r>
      <w:r w:rsidR="0056271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GSMC)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CMS)</w:t>
      </w:r>
      <w:r w:rsidR="002D752B" w:rsidRPr="00D44D33">
        <w:rPr>
          <w:rFonts w:ascii="Times New Roman" w:eastAsia="Times New Roman" w:hAnsi="Times New Roman" w:cs="Times New Roman"/>
          <w:sz w:val="24"/>
          <w:szCs w:val="24"/>
        </w:rPr>
        <w:t>,</w:t>
      </w:r>
    </w:p>
    <w:p w14:paraId="7955579E" w14:textId="1C8A4029" w:rsidR="45A9F59A" w:rsidRPr="00D44D33" w:rsidRDefault="45A9F59A" w:rsidP="00D44D33">
      <w:pPr>
        <w:pStyle w:val="Akapitzlist"/>
        <w:numPr>
          <w:ilvl w:val="0"/>
          <w:numId w:val="104"/>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określanie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poszczególnych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prawami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CMS,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002D752B" w:rsidRPr="00D44D33">
        <w:rPr>
          <w:rFonts w:ascii="Times New Roman" w:eastAsia="Times New Roman" w:hAnsi="Times New Roman" w:cs="Times New Roman"/>
          <w:sz w:val="24"/>
          <w:szCs w:val="24"/>
        </w:rPr>
        <w:t>d</w:t>
      </w:r>
      <w:r w:rsidRPr="00D44D33">
        <w:rPr>
          <w:rFonts w:ascii="Times New Roman" w:eastAsia="Times New Roman" w:hAnsi="Times New Roman" w:cs="Times New Roman"/>
          <w:sz w:val="24"/>
          <w:szCs w:val="24"/>
        </w:rPr>
        <w:t>ecyzji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2D752B" w:rsidRPr="00D44D33">
        <w:rPr>
          <w:rFonts w:ascii="Times New Roman" w:eastAsia="Times New Roman" w:hAnsi="Times New Roman" w:cs="Times New Roman"/>
          <w:sz w:val="24"/>
          <w:szCs w:val="24"/>
        </w:rPr>
        <w:t>,</w:t>
      </w:r>
    </w:p>
    <w:p w14:paraId="5A0F327F" w14:textId="43FC0871" w:rsidR="45A9F59A" w:rsidRPr="00D44D33" w:rsidRDefault="002D752B" w:rsidP="00D44D33">
      <w:pPr>
        <w:pStyle w:val="Akapitzlist"/>
        <w:numPr>
          <w:ilvl w:val="0"/>
          <w:numId w:val="7"/>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t</w:t>
      </w:r>
      <w:r w:rsidR="45A9F59A" w:rsidRPr="00D44D33">
        <w:rPr>
          <w:rFonts w:ascii="Times New Roman" w:eastAsia="Times New Roman" w:hAnsi="Times New Roman" w:cs="Times New Roman"/>
          <w:sz w:val="24"/>
          <w:szCs w:val="24"/>
        </w:rPr>
        <w:t>worzenie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aktualizowanie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planu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zarządzania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określającego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procedury,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którymi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postępować</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dystrybucji,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produkcji,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testowaniu,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używaniu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wycofywaniu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użycia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kluczy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nimi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klucze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dostępne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były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wyłącznie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9</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141113C5" w14:textId="11D85B43" w:rsidR="45A9F59A" w:rsidRPr="00D44D33" w:rsidRDefault="002D752B" w:rsidP="00D44D33">
      <w:pPr>
        <w:pStyle w:val="Akapitzlist"/>
        <w:numPr>
          <w:ilvl w:val="0"/>
          <w:numId w:val="7"/>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45A9F59A"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utworzenia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stosowania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wspólnoty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koncepcji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procedur</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operacyjnych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korzystania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10</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6E303A0A" w14:textId="117D63C6" w:rsidR="45A9F59A" w:rsidRPr="00D44D33" w:rsidRDefault="008E0C30" w:rsidP="00D44D33">
      <w:pPr>
        <w:pStyle w:val="Akapitzlist"/>
        <w:numPr>
          <w:ilvl w:val="0"/>
          <w:numId w:val="7"/>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45A9F59A" w:rsidRPr="00D44D33">
        <w:rPr>
          <w:rFonts w:ascii="Times New Roman" w:eastAsia="Times New Roman" w:hAnsi="Times New Roman" w:cs="Times New Roman"/>
          <w:sz w:val="24"/>
          <w:szCs w:val="24"/>
        </w:rPr>
        <w:t>nioskowanie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wydanie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akredytacji/zezwolenia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Rady</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ds.</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Akredytacji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(Security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Accreditation</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Board</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SAB)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zlecone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opracowania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produkcji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warunkiem,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te:</w:t>
      </w:r>
    </w:p>
    <w:p w14:paraId="4B2F8ACB" w14:textId="7EEEC43B" w:rsidR="45A9F59A" w:rsidRPr="00D44D33" w:rsidRDefault="45A9F59A" w:rsidP="00D44D33">
      <w:pPr>
        <w:pStyle w:val="Akapitzlist"/>
        <w:numPr>
          <w:ilvl w:val="0"/>
          <w:numId w:val="10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zapewniają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poziom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niejawnych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podczas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negocjacji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poprzedzających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odpowiednich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etapach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cyklu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życia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umów</w:t>
      </w:r>
      <w:r w:rsidR="008E0C30" w:rsidRPr="00D44D33">
        <w:rPr>
          <w:rFonts w:ascii="Times New Roman" w:eastAsia="Times New Roman" w:hAnsi="Times New Roman" w:cs="Times New Roman"/>
          <w:sz w:val="24"/>
          <w:szCs w:val="24"/>
        </w:rPr>
        <w:t>,</w:t>
      </w:r>
    </w:p>
    <w:p w14:paraId="79EC5CA4" w14:textId="7E79D930" w:rsidR="45A9F59A" w:rsidRPr="00D44D33" w:rsidRDefault="45A9F59A" w:rsidP="00D44D33">
      <w:pPr>
        <w:pStyle w:val="Akapitzlist"/>
        <w:numPr>
          <w:ilvl w:val="0"/>
          <w:numId w:val="10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posiadają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stosowne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świadectwa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przemysłowego,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46D246B"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w:t>
      </w:r>
      <w:r w:rsidR="008E0C30"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elementów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operować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obrębie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swojego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zakładu,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oznaczone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klauzulą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niejawności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CONFIDENTIEL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UE/EU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CONFIDENTIAL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wyższą</w:t>
      </w:r>
      <w:r w:rsidR="008E0C30" w:rsidRPr="00D44D33">
        <w:rPr>
          <w:rFonts w:ascii="Times New Roman" w:eastAsia="Times New Roman" w:hAnsi="Times New Roman" w:cs="Times New Roman"/>
          <w:sz w:val="24"/>
          <w:szCs w:val="24"/>
        </w:rPr>
        <w:t>,</w:t>
      </w:r>
    </w:p>
    <w:p w14:paraId="7BAB0A0B" w14:textId="0FF19CB1" w:rsidR="45A9F59A" w:rsidRPr="00D44D33" w:rsidRDefault="45A9F59A" w:rsidP="00D44D33">
      <w:pPr>
        <w:pStyle w:val="Akapitzlist"/>
        <w:numPr>
          <w:ilvl w:val="0"/>
          <w:numId w:val="10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oficjalnie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zobowiązały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prowadzenia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wymagającej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niejawnych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opracowaniem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8E0C30" w:rsidRPr="00D44D33">
        <w:rPr>
          <w:rFonts w:ascii="Times New Roman" w:eastAsia="Times New Roman" w:hAnsi="Times New Roman" w:cs="Times New Roman"/>
          <w:sz w:val="24"/>
          <w:szCs w:val="24"/>
        </w:rPr>
        <w:t>,</w:t>
      </w:r>
    </w:p>
    <w:p w14:paraId="6BAD3B9C" w14:textId="3BE35DF3" w:rsidR="45A9F59A" w:rsidRPr="00D44D33" w:rsidRDefault="45A9F59A" w:rsidP="00D44D33">
      <w:pPr>
        <w:pStyle w:val="Akapitzlist"/>
        <w:numPr>
          <w:ilvl w:val="0"/>
          <w:numId w:val="10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oficjalnie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zobowiązały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zatrudnienia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powyższej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jedynie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posiadających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stosowne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poświadczenie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A527763"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oznaczone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klauzulą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niejawności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CONFIDENTIEL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UE/EU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CONFIDENTIAL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wyższą</w:t>
      </w:r>
      <w:r w:rsidR="008E0C30" w:rsidRPr="00D44D33">
        <w:rPr>
          <w:rFonts w:ascii="Times New Roman" w:eastAsia="Times New Roman" w:hAnsi="Times New Roman" w:cs="Times New Roman"/>
          <w:sz w:val="24"/>
          <w:szCs w:val="24"/>
        </w:rPr>
        <w:t>,</w:t>
      </w:r>
    </w:p>
    <w:p w14:paraId="6FD4B400" w14:textId="463DEAA6" w:rsidR="45A9F59A" w:rsidRPr="00D44D33" w:rsidRDefault="45A9F59A" w:rsidP="00D44D33">
      <w:pPr>
        <w:pStyle w:val="Akapitzlist"/>
        <w:numPr>
          <w:ilvl w:val="0"/>
          <w:numId w:val="10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modułów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kryptograficznych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własność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bądź</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udział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większościowy)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członkowskiego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posiadają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członkowskich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posiadającymi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poświadczenie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przyznane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członkowskie,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podejmowania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CMS)</w:t>
      </w:r>
      <w:r w:rsidR="008E0C30" w:rsidRPr="00D44D33">
        <w:rPr>
          <w:rFonts w:ascii="Times New Roman" w:eastAsia="Times New Roman" w:hAnsi="Times New Roman" w:cs="Times New Roman"/>
          <w:sz w:val="24"/>
          <w:szCs w:val="24"/>
        </w:rPr>
        <w:t>,</w:t>
      </w:r>
    </w:p>
    <w:p w14:paraId="4E0A463B" w14:textId="5B0FAED6" w:rsidR="45A9F59A"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45A9F59A"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każdy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uzyskaniu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akredytacji/zezwolenia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SAB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opracowywał</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produkował</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sprzęt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jedynie,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spełnione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określone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11</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11</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7B35245D" w14:textId="6BAC9787" w:rsidR="45A9F59A"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lastRenderedPageBreak/>
        <w:t>p</w:t>
      </w:r>
      <w:r w:rsidR="45A9F59A" w:rsidRPr="00D44D33">
        <w:rPr>
          <w:rFonts w:ascii="Times New Roman" w:eastAsia="Times New Roman" w:hAnsi="Times New Roman" w:cs="Times New Roman"/>
          <w:sz w:val="24"/>
          <w:szCs w:val="24"/>
        </w:rPr>
        <w:t>rzeprowadzanie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kontroli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inspekcji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opracowujących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produkujących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technologie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11</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40C1094F" w14:textId="3D3E7934" w:rsidR="15FD37F0"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15FD37F0"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pierwsze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wprowadzenie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klucza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szyfrującego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modułów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(tzw.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„kluczowanie”),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wyprodukowanych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zostało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przeprowadzone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wyznaczenie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przeprowadzić</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powyższą</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operację</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obiektu,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zostać</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wykonana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12</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488EE98D" w14:textId="5B484243" w:rsidR="478B1CD9"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478B1CD9"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opracowujące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produkujące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moduły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działały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profilem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modułów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13</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2DA29580" w14:textId="205C0D80" w:rsidR="3D802465"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3D802465"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integrujące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moduły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innym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sprzętem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stosowały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odpowiednie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środki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14</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514E09B8" w14:textId="04D4ADCB" w:rsidR="45A9F59A"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o</w:t>
      </w:r>
      <w:r w:rsidR="45A9F59A" w:rsidRPr="00D44D33">
        <w:rPr>
          <w:rFonts w:ascii="Times New Roman" w:eastAsia="Times New Roman" w:hAnsi="Times New Roman" w:cs="Times New Roman"/>
          <w:sz w:val="24"/>
          <w:szCs w:val="24"/>
        </w:rPr>
        <w:t>cena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wywóz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poza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w:t>
      </w:r>
      <w:r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transfer</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wewnątrzunijny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elementów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dokonywany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obowiązującymi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notyfikacja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swojej</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oceny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odpowiednim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organom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krajowym</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15</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17</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Pr="00D44D33">
        <w:rPr>
          <w:rFonts w:ascii="Times New Roman" w:eastAsia="Times New Roman" w:hAnsi="Times New Roman" w:cs="Times New Roman"/>
          <w:sz w:val="24"/>
          <w:szCs w:val="24"/>
        </w:rPr>
        <w:t>,</w:t>
      </w:r>
    </w:p>
    <w:p w14:paraId="238EAF53" w14:textId="0FE09A9C" w:rsidR="7F18E6D1" w:rsidRPr="00D44D33" w:rsidRDefault="008E0C30" w:rsidP="00D44D33">
      <w:pPr>
        <w:pStyle w:val="Akapitzlist"/>
        <w:numPr>
          <w:ilvl w:val="0"/>
          <w:numId w:val="5"/>
        </w:num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w:t>
      </w:r>
      <w:r w:rsidR="45A9F59A" w:rsidRPr="00D44D33">
        <w:rPr>
          <w:rFonts w:ascii="Times New Roman" w:eastAsia="Times New Roman" w:hAnsi="Times New Roman" w:cs="Times New Roman"/>
          <w:sz w:val="24"/>
          <w:szCs w:val="24"/>
        </w:rPr>
        <w:t>apewnienie</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akredytacji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połączeń</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głosowych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łączy</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transmisji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łączących</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CPA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GSMC</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krajowego</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organu</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ds.</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akredytacji</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(ABW)</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16</w:t>
      </w:r>
      <w:r w:rsidR="00970B2E" w:rsidRPr="00D44D33">
        <w:rPr>
          <w:rFonts w:ascii="Times New Roman" w:eastAsia="Times New Roman" w:hAnsi="Times New Roman" w:cs="Times New Roman"/>
          <w:sz w:val="24"/>
          <w:szCs w:val="24"/>
        </w:rPr>
        <w:t xml:space="preserve"> </w:t>
      </w:r>
      <w:r w:rsidR="45A9F59A" w:rsidRPr="00D44D33">
        <w:rPr>
          <w:rFonts w:ascii="Times New Roman" w:eastAsia="Times New Roman" w:hAnsi="Times New Roman" w:cs="Times New Roman"/>
          <w:sz w:val="24"/>
          <w:szCs w:val="24"/>
        </w:rPr>
        <w:t>CMS).</w:t>
      </w:r>
      <w:r w:rsidR="00970B2E" w:rsidRPr="00D44D33">
        <w:rPr>
          <w:rFonts w:ascii="Times New Roman" w:eastAsia="Times New Roman" w:hAnsi="Times New Roman" w:cs="Times New Roman"/>
          <w:sz w:val="24"/>
          <w:szCs w:val="24"/>
        </w:rPr>
        <w:t xml:space="preserve"> </w:t>
      </w:r>
    </w:p>
    <w:p w14:paraId="33E8CCBC" w14:textId="20D2AB37" w:rsidR="203E0F58" w:rsidRPr="00D44D33" w:rsidRDefault="203E0F58"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Komitet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Ekonomiczny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posiedzeniu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14</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lipca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2006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podjął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decyzję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wyznaczeniu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MSWiA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koordynującego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sygnału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rządowych.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CPA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funkcjonuje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obsługującym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września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2014</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223C4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05030A03" w14:textId="7BBEF573" w:rsidR="1A3CEF4E" w:rsidRPr="00D44D33" w:rsidRDefault="002D7566"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Część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CPA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powinna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wykonywana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współpracy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władzy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(National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Security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Authority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dystrybucji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kryptograficznych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(Crypto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Distribution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Authority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CDA).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Polsce</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funkcję</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obu</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organów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pełni</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Agencja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Wewnętrznego</w:t>
      </w:r>
      <w:r w:rsidR="008E0C3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5A0519" w:rsidRPr="00D44D33">
        <w:rPr>
          <w:rFonts w:ascii="Times New Roman" w:eastAsia="Times New Roman" w:hAnsi="Times New Roman" w:cs="Times New Roman"/>
          <w:sz w:val="24"/>
          <w:szCs w:val="24"/>
        </w:rPr>
        <w:t xml:space="preserve">zwana </w:t>
      </w:r>
      <w:r w:rsidR="008E0C30" w:rsidRPr="00D44D33">
        <w:rPr>
          <w:rFonts w:ascii="Times New Roman" w:eastAsia="Times New Roman" w:hAnsi="Times New Roman" w:cs="Times New Roman"/>
          <w:sz w:val="24"/>
          <w:szCs w:val="24"/>
        </w:rPr>
        <w:t>dalej</w:t>
      </w:r>
      <w:r w:rsidR="00371EEA">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w:t>
      </w:r>
      <w:r w:rsidR="203E0F58" w:rsidRPr="00D44D33">
        <w:rPr>
          <w:rFonts w:ascii="Times New Roman" w:eastAsia="Times New Roman" w:hAnsi="Times New Roman" w:cs="Times New Roman"/>
          <w:sz w:val="24"/>
          <w:szCs w:val="24"/>
        </w:rPr>
        <w:t>ABW</w:t>
      </w:r>
      <w:r w:rsidR="008E0C30" w:rsidRPr="00D44D33">
        <w:rPr>
          <w:rFonts w:ascii="Times New Roman" w:eastAsia="Times New Roman" w:hAnsi="Times New Roman" w:cs="Times New Roman"/>
          <w:sz w:val="24"/>
          <w:szCs w:val="24"/>
        </w:rPr>
        <w:t>”</w:t>
      </w:r>
      <w:r w:rsidR="203E0F5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stąd</w:t>
      </w:r>
      <w:r w:rsidR="00970B2E" w:rsidRPr="00D44D33">
        <w:rPr>
          <w:rFonts w:ascii="Times New Roman" w:eastAsia="Times New Roman" w:hAnsi="Times New Roman" w:cs="Times New Roman"/>
          <w:sz w:val="24"/>
          <w:szCs w:val="24"/>
        </w:rPr>
        <w:t xml:space="preserve"> </w:t>
      </w:r>
      <w:r w:rsidR="00E2335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0B5313" w:rsidRPr="00D44D33">
        <w:rPr>
          <w:rFonts w:ascii="Times New Roman" w:eastAsia="Times New Roman" w:hAnsi="Times New Roman" w:cs="Times New Roman"/>
          <w:sz w:val="24"/>
          <w:szCs w:val="24"/>
        </w:rPr>
        <w:t>projektowanej</w:t>
      </w:r>
      <w:r w:rsidR="00970B2E" w:rsidRPr="00D44D33">
        <w:rPr>
          <w:rFonts w:ascii="Times New Roman" w:eastAsia="Times New Roman" w:hAnsi="Times New Roman" w:cs="Times New Roman"/>
          <w:sz w:val="24"/>
          <w:szCs w:val="24"/>
        </w:rPr>
        <w:t xml:space="preserve"> </w:t>
      </w:r>
      <w:r w:rsidR="000B5313"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Pke</w:t>
      </w:r>
      <w:r w:rsidR="00970B2E" w:rsidRPr="00D44D33">
        <w:rPr>
          <w:rFonts w:ascii="Times New Roman" w:eastAsia="Times New Roman" w:hAnsi="Times New Roman" w:cs="Times New Roman"/>
          <w:sz w:val="24"/>
          <w:szCs w:val="24"/>
        </w:rPr>
        <w:t xml:space="preserve"> </w:t>
      </w:r>
      <w:r w:rsidR="000B5313" w:rsidRPr="00D44D33">
        <w:rPr>
          <w:rFonts w:ascii="Times New Roman" w:eastAsia="Times New Roman" w:hAnsi="Times New Roman" w:cs="Times New Roman"/>
          <w:sz w:val="24"/>
          <w:szCs w:val="24"/>
        </w:rPr>
        <w:t>wprowadzono</w:t>
      </w:r>
      <w:r w:rsidR="00970B2E" w:rsidRPr="00D44D33">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regulacje</w:t>
      </w:r>
      <w:r w:rsidR="00970B2E" w:rsidRPr="00D44D33">
        <w:rPr>
          <w:rFonts w:ascii="Times New Roman" w:eastAsia="Times New Roman" w:hAnsi="Times New Roman" w:cs="Times New Roman"/>
          <w:sz w:val="24"/>
          <w:szCs w:val="24"/>
        </w:rPr>
        <w:t xml:space="preserve"> </w:t>
      </w:r>
      <w:r w:rsidR="00EA67F6" w:rsidRPr="00D44D33">
        <w:rPr>
          <w:rFonts w:ascii="Times New Roman" w:eastAsia="Times New Roman" w:hAnsi="Times New Roman" w:cs="Times New Roman"/>
          <w:sz w:val="24"/>
          <w:szCs w:val="24"/>
        </w:rPr>
        <w:t>określające</w:t>
      </w:r>
      <w:r w:rsidR="00970B2E" w:rsidRPr="00D44D33">
        <w:rPr>
          <w:rFonts w:ascii="Times New Roman" w:eastAsia="Times New Roman" w:hAnsi="Times New Roman" w:cs="Times New Roman"/>
          <w:sz w:val="24"/>
          <w:szCs w:val="24"/>
        </w:rPr>
        <w:t xml:space="preserve"> </w:t>
      </w:r>
      <w:r w:rsidR="00EA67F6" w:rsidRPr="00D44D33">
        <w:rPr>
          <w:rFonts w:ascii="Times New Roman" w:eastAsia="Times New Roman" w:hAnsi="Times New Roman" w:cs="Times New Roman"/>
          <w:sz w:val="24"/>
          <w:szCs w:val="24"/>
        </w:rPr>
        <w:t>zasady</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współpracy</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Szefa</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ABW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ministrem</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d</w:t>
      </w:r>
      <w:r w:rsidR="008E0C30" w:rsidRPr="00D44D33">
        <w:rPr>
          <w:rFonts w:ascii="Times New Roman" w:eastAsia="Times New Roman" w:hAnsi="Times New Roman" w:cs="Times New Roman"/>
          <w:sz w:val="24"/>
          <w:szCs w:val="24"/>
        </w:rPr>
        <w:t xml:space="preserve">o </w:t>
      </w:r>
      <w:r w:rsidR="203E0F58" w:rsidRPr="00D44D33">
        <w:rPr>
          <w:rFonts w:ascii="Times New Roman" w:eastAsia="Times New Roman" w:hAnsi="Times New Roman" w:cs="Times New Roman"/>
          <w:sz w:val="24"/>
          <w:szCs w:val="24"/>
        </w:rPr>
        <w:t>s</w:t>
      </w:r>
      <w:r w:rsidR="008E0C30" w:rsidRPr="00D44D33">
        <w:rPr>
          <w:rFonts w:ascii="Times New Roman" w:eastAsia="Times New Roman" w:hAnsi="Times New Roman" w:cs="Times New Roman"/>
          <w:sz w:val="24"/>
          <w:szCs w:val="24"/>
        </w:rPr>
        <w:t>praw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203E0F58" w:rsidRPr="00D44D33">
        <w:rPr>
          <w:rFonts w:ascii="Times New Roman" w:eastAsia="Times New Roman" w:hAnsi="Times New Roman" w:cs="Times New Roman"/>
          <w:sz w:val="24"/>
          <w:szCs w:val="24"/>
        </w:rPr>
        <w:t>PRS.</w:t>
      </w:r>
    </w:p>
    <w:p w14:paraId="60A3D407" w14:textId="0B44B1DB" w:rsidR="20141F9D" w:rsidRPr="00D44D33" w:rsidRDefault="20141F9D"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008A2D17" w:rsidRPr="00D44D33">
        <w:rPr>
          <w:rFonts w:ascii="Times New Roman" w:eastAsia="Times New Roman" w:hAnsi="Times New Roman" w:cs="Times New Roman"/>
          <w:b/>
          <w:bCs/>
          <w:sz w:val="24"/>
          <w:szCs w:val="24"/>
        </w:rPr>
        <w:t>56</w:t>
      </w:r>
    </w:p>
    <w:p w14:paraId="080A0091" w14:textId="69E0A37A" w:rsidR="20141F9D" w:rsidRPr="00D44D33" w:rsidRDefault="20141F9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definicją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45</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d</w:t>
      </w:r>
      <w:r w:rsidR="00970B2E" w:rsidRPr="00D44D33">
        <w:rPr>
          <w:rFonts w:ascii="Times New Roman" w:eastAsia="Times New Roman" w:hAnsi="Times New Roman" w:cs="Times New Roman"/>
          <w:sz w:val="24"/>
          <w:szCs w:val="24"/>
        </w:rPr>
        <w:t xml:space="preserve"> </w:t>
      </w:r>
      <w:r w:rsidR="002868AE"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zarezerwowana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upoważnionych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władze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przeznaczona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zastosowań,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wymagają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poziomu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ciągłości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zastosowano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otwarty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katalog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 xml:space="preserve">satelitarnej usługi o regulowanym dostępie, zwanych dalej „użytkownikami </w:t>
      </w:r>
      <w:r w:rsidRPr="00D44D33">
        <w:rPr>
          <w:rFonts w:ascii="Times New Roman" w:eastAsia="Times New Roman" w:hAnsi="Times New Roman" w:cs="Times New Roman"/>
          <w:sz w:val="24"/>
          <w:szCs w:val="24"/>
        </w:rPr>
        <w:t>PRS</w:t>
      </w:r>
      <w:r w:rsidR="008E0C30" w:rsidRPr="00D44D33">
        <w:rPr>
          <w:rFonts w:ascii="Times New Roman" w:eastAsia="Times New Roman" w:hAnsi="Times New Roman" w:cs="Times New Roman"/>
          <w:sz w:val="24"/>
          <w:szCs w:val="24"/>
        </w:rPr>
        <w:t>”</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42305D75" w14:textId="226EE3FC" w:rsidR="7F18E6D1" w:rsidRPr="00D44D33" w:rsidRDefault="31A59C5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efektywnego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tworzyć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zbiorem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sam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obszar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ustalić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punkt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charakter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tworzone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hoc.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planujący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przedziałach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czasu,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swój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punkt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zgłaszają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zapotrzebowanie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punktu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punkt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występuje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371EEA">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 xml:space="preserve">CPA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przydział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kluczy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kryptograficznych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pośrednictwem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przekazywane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klucze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kryptograficzne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Grupowe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punkty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przekazują</w:t>
      </w:r>
      <w:r w:rsidR="00371EEA">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 xml:space="preserve">CPA </w:t>
      </w:r>
      <w:r w:rsidRPr="00D44D33">
        <w:rPr>
          <w:rFonts w:ascii="Times New Roman" w:eastAsia="Times New Roman" w:hAnsi="Times New Roman" w:cs="Times New Roman"/>
          <w:sz w:val="24"/>
          <w:szCs w:val="24"/>
        </w:rPr>
        <w:t>uzyskane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zakłóceń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problemów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funkcjonowaniem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p>
    <w:p w14:paraId="547E1B89" w14:textId="4B79FF18" w:rsidR="1A3CEF4E" w:rsidRPr="00D44D33" w:rsidRDefault="20141F9D"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009E4CE6" w:rsidRPr="00D44D33">
        <w:rPr>
          <w:rFonts w:ascii="Times New Roman" w:eastAsia="Times New Roman" w:hAnsi="Times New Roman" w:cs="Times New Roman"/>
          <w:b/>
          <w:bCs/>
          <w:sz w:val="24"/>
          <w:szCs w:val="24"/>
        </w:rPr>
        <w:t>57</w:t>
      </w:r>
    </w:p>
    <w:p w14:paraId="04F332EF" w14:textId="14BDA349" w:rsidR="0D63388D" w:rsidRPr="00D44D33" w:rsidRDefault="0D63388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Minister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przyznawał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udzielał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B4252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B4252A"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opracowywanie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prowadzenie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badawczo-rozwojowych,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p>
    <w:p w14:paraId="00F5BE57" w14:textId="1AE1C11A"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Ustawa</w:t>
      </w:r>
      <w:r w:rsidR="00970B2E" w:rsidRPr="00D44D33">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 xml:space="preserve">Pke </w:t>
      </w:r>
      <w:r w:rsidRPr="00D44D33">
        <w:rPr>
          <w:rFonts w:ascii="Times New Roman" w:eastAsia="Times New Roman" w:hAnsi="Times New Roman" w:cs="Times New Roman"/>
          <w:sz w:val="24"/>
          <w:szCs w:val="24"/>
        </w:rPr>
        <w:t>określa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musiały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spełnić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wnioskujące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chciały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musiały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obronnością,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porządkiem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granic,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ratownictwem,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ratownictwem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morskim,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zarządzaniem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kryzysowym,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imigracją,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ratownictwem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medycznym,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przewozów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kolejowych,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cywilną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działaniami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istotnymi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społeczeństwa.</w:t>
      </w:r>
    </w:p>
    <w:p w14:paraId="6E93B5F7" w14:textId="05775F31"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ubiegające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74526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745266"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opracowywanie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badawczo-rozwojowe,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musiały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posiadać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akredytację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Akredytacji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(SAB)</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Agencji</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Unii</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Europejskiej</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ds.</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Programu</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lastRenderedPageBreak/>
        <w:t>Kosmicznego</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(EUSPA).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musiały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posiadać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odpowiednie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świadectwo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przemysłowego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zatrudniać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pracowników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stosownych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poświadczeniach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element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(sprzęt</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technologia</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PRS)</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operować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obrębie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swojego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zakładu,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oznaczono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klauzulą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tajności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CONFIDENTIEL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UE/EU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CONFIDENTIAL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wyższą.</w:t>
      </w:r>
      <w:r w:rsidR="00970B2E" w:rsidRPr="00D44D33">
        <w:rPr>
          <w:rFonts w:ascii="Times New Roman" w:eastAsia="Times New Roman" w:hAnsi="Times New Roman" w:cs="Times New Roman"/>
          <w:sz w:val="24"/>
          <w:szCs w:val="24"/>
        </w:rPr>
        <w:t xml:space="preserve"> </w:t>
      </w:r>
      <w:r w:rsidR="001716C9" w:rsidRPr="00D44D33">
        <w:rPr>
          <w:rFonts w:ascii="Times New Roman" w:eastAsia="Times New Roman" w:hAnsi="Times New Roman" w:cs="Times New Roman"/>
          <w:sz w:val="24"/>
          <w:szCs w:val="24"/>
        </w:rPr>
        <w:t>Podmioty te będą również zobowiązane do sporządzania imiennej listy osób zaangażowanych w prace nad opracowaniem lub produkcją odbiorników lub modułów bezpieczeństwa, a także prowadzenia rejestru sprzętu na potrzeby PRS lub technologii PRS będących w posiadaniu tego podmiotu oraz rejestru osób mających dostęp do sprzętu na potrzeby PRS lub technologii PRS będących w posiadaniu tego podmiotu.</w:t>
      </w:r>
    </w:p>
    <w:p w14:paraId="33B8C4EF" w14:textId="5BF2B114"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Pozwolenie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czas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dłuższy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lat.</w:t>
      </w:r>
      <w:r w:rsidR="00970B2E" w:rsidRPr="00D44D33">
        <w:rPr>
          <w:rFonts w:ascii="Times New Roman" w:eastAsia="Times New Roman" w:hAnsi="Times New Roman" w:cs="Times New Roman"/>
          <w:sz w:val="24"/>
          <w:szCs w:val="24"/>
        </w:rPr>
        <w:t xml:space="preserve"> </w:t>
      </w:r>
    </w:p>
    <w:p w14:paraId="5267E21C" w14:textId="25FCD299"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Pozwolenie</w:t>
      </w:r>
      <w:r w:rsidR="00970B2E" w:rsidRPr="00D44D33">
        <w:rPr>
          <w:rFonts w:ascii="Times New Roman" w:eastAsia="Times New Roman" w:hAnsi="Times New Roman" w:cs="Times New Roman"/>
          <w:sz w:val="24"/>
          <w:szCs w:val="24"/>
        </w:rPr>
        <w:t xml:space="preserve"> </w:t>
      </w:r>
      <w:r w:rsidR="00740B86" w:rsidRPr="00D44D33">
        <w:rPr>
          <w:rFonts w:ascii="Times New Roman" w:eastAsia="Times New Roman" w:hAnsi="Times New Roman" w:cs="Times New Roman"/>
          <w:sz w:val="24"/>
          <w:szCs w:val="24"/>
        </w:rPr>
        <w:t>PRS</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7E51A5" w:rsidRPr="00D44D33">
        <w:rPr>
          <w:rFonts w:ascii="Times New Roman" w:eastAsia="Times New Roman" w:hAnsi="Times New Roman" w:cs="Times New Roman"/>
          <w:sz w:val="24"/>
          <w:szCs w:val="24"/>
        </w:rPr>
        <w:t>określało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parametrów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zaprojektowanych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zastosowania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końcowego</w:t>
      </w:r>
      <w:r w:rsidR="001716C9" w:rsidRPr="00D44D33">
        <w:rPr>
          <w:rFonts w:ascii="Times New Roman" w:eastAsia="Times New Roman" w:hAnsi="Times New Roman" w:cs="Times New Roman"/>
          <w:sz w:val="24"/>
          <w:szCs w:val="24"/>
        </w:rPr>
        <w:t xml:space="preserve"> oraz ich dystrybucji</w:t>
      </w:r>
      <w:r w:rsidRPr="00D44D33">
        <w:rPr>
          <w:rFonts w:ascii="Times New Roman" w:eastAsia="Times New Roman" w:hAnsi="Times New Roman" w:cs="Times New Roman"/>
          <w:sz w:val="24"/>
          <w:szCs w:val="24"/>
        </w:rPr>
        <w:t>.</w:t>
      </w:r>
    </w:p>
    <w:p w14:paraId="765A2B7A" w14:textId="1434B6CD"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Dopuszcza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odmowy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12184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12184A"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opracowywanie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tytułu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porządku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przestrzegania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zobowiązań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międzynarodowych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wspólnych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minimalnych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norm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przyjętych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podstawie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8</w:t>
      </w:r>
      <w:r w:rsidR="00970B2E" w:rsidRPr="00D44D33">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d</w:t>
      </w:r>
      <w:r w:rsidRPr="00D44D33">
        <w:rPr>
          <w:rFonts w:ascii="Times New Roman" w:eastAsia="Times New Roman" w:hAnsi="Times New Roman" w:cs="Times New Roman"/>
          <w:sz w:val="24"/>
          <w:szCs w:val="24"/>
        </w:rPr>
        <w:t>ecyzji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1104/2011/UE,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371EEA">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regulowanym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p>
    <w:p w14:paraId="7C42E951" w14:textId="3315FA34"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niespełniania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wyszczególnionych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pozwoleniu</w:t>
      </w:r>
      <w:r w:rsidR="00970B2E" w:rsidRPr="00D44D33">
        <w:rPr>
          <w:rFonts w:ascii="Times New Roman" w:eastAsia="Times New Roman" w:hAnsi="Times New Roman" w:cs="Times New Roman"/>
          <w:sz w:val="24"/>
          <w:szCs w:val="24"/>
        </w:rPr>
        <w:t xml:space="preserve"> </w:t>
      </w:r>
      <w:r w:rsidR="0053048C"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uzasadnione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koniecznością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wywiązania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zobowiązań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międzynarodowych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zaciągniętych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Rzeczpospolitą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Polską,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porządku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uchylone,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cofnięte,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zmienione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zawieszone.</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przysługuje</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wniosek</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ponowne</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rozpatrzenie</w:t>
      </w:r>
      <w:r w:rsidR="00970B2E" w:rsidRPr="00D44D33">
        <w:rPr>
          <w:rFonts w:ascii="Times New Roman" w:eastAsia="Times New Roman" w:hAnsi="Times New Roman" w:cs="Times New Roman"/>
          <w:sz w:val="24"/>
          <w:szCs w:val="24"/>
        </w:rPr>
        <w:t xml:space="preserve"> </w:t>
      </w:r>
      <w:r w:rsidR="009C4E49" w:rsidRPr="00D44D33">
        <w:rPr>
          <w:rFonts w:ascii="Times New Roman" w:eastAsia="Times New Roman" w:hAnsi="Times New Roman" w:cs="Times New Roman"/>
          <w:sz w:val="24"/>
          <w:szCs w:val="24"/>
        </w:rPr>
        <w:t>sprawy.</w:t>
      </w:r>
    </w:p>
    <w:p w14:paraId="2DFDCE53" w14:textId="0F9C5324" w:rsidR="0D63388D" w:rsidRPr="00D44D33" w:rsidRDefault="0D63388D" w:rsidP="00D44D33">
      <w:pPr>
        <w:spacing w:before="120" w:after="120"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Szczegółowy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DD231D" w:rsidRPr="00D44D33">
        <w:rPr>
          <w:rFonts w:ascii="Times New Roman" w:eastAsia="Times New Roman" w:hAnsi="Times New Roman" w:cs="Times New Roman"/>
          <w:sz w:val="24"/>
          <w:szCs w:val="24"/>
        </w:rPr>
        <w:t>60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8E0C30" w:rsidRPr="00D44D33">
        <w:rPr>
          <w:rFonts w:ascii="Times New Roman" w:eastAsia="Times New Roman" w:hAnsi="Times New Roman" w:cs="Times New Roman"/>
          <w:sz w:val="24"/>
          <w:szCs w:val="24"/>
        </w:rPr>
        <w:t xml:space="preserve"> Pke</w:t>
      </w:r>
      <w:r w:rsidRPr="00D44D33">
        <w:rPr>
          <w:rFonts w:ascii="Times New Roman" w:eastAsia="Times New Roman" w:hAnsi="Times New Roman" w:cs="Times New Roman"/>
          <w:sz w:val="24"/>
          <w:szCs w:val="24"/>
        </w:rPr>
        <w:t>.</w:t>
      </w:r>
    </w:p>
    <w:p w14:paraId="7CE11067" w14:textId="3EE9AD54" w:rsidR="20141F9D" w:rsidRPr="00D44D33" w:rsidRDefault="20141F9D" w:rsidP="00D44D33">
      <w:pPr>
        <w:spacing w:before="120" w:after="120" w:line="360" w:lineRule="auto"/>
        <w:jc w:val="center"/>
        <w:rPr>
          <w:rFonts w:ascii="Times New Roman" w:eastAsia="Times New Roman" w:hAnsi="Times New Roman" w:cs="Times New Roman"/>
          <w:b/>
          <w:bCs/>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0035599A" w:rsidRPr="00D44D33">
        <w:rPr>
          <w:rFonts w:ascii="Times New Roman" w:eastAsia="Times New Roman" w:hAnsi="Times New Roman" w:cs="Times New Roman"/>
          <w:b/>
          <w:bCs/>
          <w:sz w:val="24"/>
          <w:szCs w:val="24"/>
        </w:rPr>
        <w:t>58</w:t>
      </w:r>
    </w:p>
    <w:p w14:paraId="613F3FD8" w14:textId="7A77A87A" w:rsidR="20141F9D" w:rsidRPr="00D44D33" w:rsidRDefault="20141F9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Wywóz</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poza</w:t>
      </w:r>
      <w:r w:rsidR="00970B2E" w:rsidRPr="00D44D33">
        <w:rPr>
          <w:rFonts w:ascii="Times New Roman" w:eastAsia="Times New Roman" w:hAnsi="Times New Roman" w:cs="Times New Roman"/>
          <w:sz w:val="24"/>
          <w:szCs w:val="24"/>
        </w:rPr>
        <w:t xml:space="preserve"> </w:t>
      </w:r>
      <w:r w:rsidR="002D7566" w:rsidRPr="00D44D33">
        <w:rPr>
          <w:rFonts w:ascii="Times New Roman" w:eastAsia="Times New Roman" w:hAnsi="Times New Roman" w:cs="Times New Roman"/>
          <w:sz w:val="24"/>
          <w:szCs w:val="24"/>
        </w:rPr>
        <w:t>U</w:t>
      </w:r>
      <w:r w:rsidR="008E0C30"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transfer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wewnątrzunijny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4A69FD"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4A69FD"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004A69FD"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uwarunkowany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uzyskaniem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gospodarki,</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podlegało</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zaopiniowaniu</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00D37720"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p>
    <w:p w14:paraId="52812832" w14:textId="21BA864C" w:rsidR="007453B4" w:rsidRPr="00D44D33" w:rsidRDefault="75C43E0C"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Ustawa</w:t>
      </w:r>
      <w:r w:rsidR="00970B2E" w:rsidRPr="00D44D33">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 xml:space="preserve">Pke </w:t>
      </w:r>
      <w:r w:rsidRPr="00D44D33">
        <w:rPr>
          <w:rFonts w:ascii="Times New Roman" w:eastAsia="Times New Roman" w:hAnsi="Times New Roman" w:cs="Times New Roman"/>
          <w:sz w:val="24"/>
          <w:szCs w:val="24"/>
        </w:rPr>
        <w:t>określa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uzyskania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wywóz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t>
      </w:r>
      <w:r w:rsidR="008E0C30"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transfer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wewnątrzunijny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elementy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Szczegółowy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lastRenderedPageBreak/>
        <w:t>wniosku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wywóz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t>
      </w:r>
      <w:r w:rsidR="008E0C30"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zezwolenia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transfer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wewnątrzunijny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wzór,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wydanym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0006C5" w:rsidRPr="00D44D33">
        <w:rPr>
          <w:rFonts w:ascii="Times New Roman" w:eastAsia="Times New Roman" w:hAnsi="Times New Roman" w:cs="Times New Roman"/>
          <w:sz w:val="24"/>
          <w:szCs w:val="24"/>
        </w:rPr>
        <w:t>60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8E0C30" w:rsidRPr="00D44D33">
        <w:rPr>
          <w:rFonts w:ascii="Times New Roman" w:eastAsia="Times New Roman" w:hAnsi="Times New Roman" w:cs="Times New Roman"/>
          <w:sz w:val="24"/>
          <w:szCs w:val="24"/>
        </w:rPr>
        <w:t xml:space="preserve"> Pke</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3FEFE121" w14:textId="2A53D27C" w:rsidR="1A3CEF4E" w:rsidRPr="00D44D33" w:rsidRDefault="20141F9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Transfer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opracowywania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produkcji</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sprzętu</w:t>
      </w:r>
      <w:r w:rsidR="00970B2E" w:rsidRPr="00D44D33">
        <w:rPr>
          <w:rFonts w:ascii="Times New Roman" w:eastAsia="Times New Roman" w:hAnsi="Times New Roman" w:cs="Times New Roman"/>
          <w:sz w:val="24"/>
          <w:szCs w:val="24"/>
        </w:rPr>
        <w:t xml:space="preserve"> </w:t>
      </w:r>
      <w:r w:rsidR="003E6FDB"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3E6FDB"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003E6FDB"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3D2296" w:rsidRPr="00D44D33">
        <w:rPr>
          <w:rFonts w:ascii="Times New Roman" w:eastAsia="Times New Roman" w:hAnsi="Times New Roman" w:cs="Times New Roman"/>
          <w:sz w:val="24"/>
          <w:szCs w:val="24"/>
        </w:rPr>
        <w:t>technologii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członkowskich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dozwolony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7453B4"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008E0C30" w:rsidRPr="00D44D33">
        <w:rPr>
          <w:rFonts w:ascii="Times New Roman" w:eastAsia="Times New Roman" w:hAnsi="Times New Roman" w:cs="Times New Roman"/>
          <w:sz w:val="24"/>
          <w:szCs w:val="24"/>
        </w:rPr>
        <w:t xml:space="preserve">Parlamentu Europejskiego i </w:t>
      </w:r>
      <w:r w:rsidRPr="00D44D33">
        <w:rPr>
          <w:rFonts w:ascii="Times New Roman" w:eastAsia="Times New Roman" w:hAnsi="Times New Roman" w:cs="Times New Roman"/>
          <w:sz w:val="24"/>
          <w:szCs w:val="24"/>
        </w:rPr>
        <w:t>Rady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8E0C30" w:rsidRPr="00D44D33">
        <w:rPr>
          <w:rFonts w:ascii="Times New Roman" w:eastAsia="Times New Roman" w:hAnsi="Times New Roman" w:cs="Times New Roman"/>
          <w:sz w:val="24"/>
          <w:szCs w:val="24"/>
        </w:rPr>
        <w:t>U</w:t>
      </w:r>
      <w:r w:rsidRPr="00D44D33">
        <w:rPr>
          <w:rFonts w:ascii="Times New Roman" w:eastAsia="Times New Roman" w:hAnsi="Times New Roman" w:cs="Times New Roman"/>
          <w:sz w:val="24"/>
          <w:szCs w:val="24"/>
        </w:rPr>
        <w:t>E)</w:t>
      </w:r>
      <w:r w:rsidR="005B16EE" w:rsidRPr="00D44D33">
        <w:rPr>
          <w:rFonts w:ascii="Times New Roman" w:eastAsia="Times New Roman" w:hAnsi="Times New Roman" w:cs="Times New Roman"/>
          <w:sz w:val="24"/>
          <w:szCs w:val="24"/>
        </w:rPr>
        <w:t xml:space="preserve"> 2021/821 z dnia 20 maja 2021 r. ustanawiającego unijny system kontroli wywozu, pośrednictwa, pomocy technicznej,</w:t>
      </w:r>
      <w:r w:rsidR="00371EEA">
        <w:rPr>
          <w:rFonts w:ascii="Times New Roman" w:eastAsia="Times New Roman" w:hAnsi="Times New Roman" w:cs="Times New Roman"/>
          <w:sz w:val="24"/>
          <w:szCs w:val="24"/>
        </w:rPr>
        <w:t xml:space="preserve"> </w:t>
      </w:r>
      <w:r w:rsidR="005B16EE" w:rsidRPr="00D44D33">
        <w:rPr>
          <w:rFonts w:ascii="Times New Roman" w:eastAsia="Times New Roman" w:hAnsi="Times New Roman" w:cs="Times New Roman"/>
          <w:sz w:val="24"/>
          <w:szCs w:val="24"/>
        </w:rPr>
        <w:t>tranzytu i transferu produktów podwójnego zastosowania</w:t>
      </w:r>
      <w:r w:rsidR="008E0C30" w:rsidRPr="00D44D33">
        <w:rPr>
          <w:rFonts w:ascii="Times New Roman" w:eastAsia="Times New Roman" w:hAnsi="Times New Roman" w:cs="Times New Roman"/>
          <w:sz w:val="24"/>
          <w:szCs w:val="24"/>
        </w:rPr>
        <w:t xml:space="preserve"> (Dz. Urz. UE L 206 z 11.06.2021, str. 1, z późn. zm.)</w:t>
      </w:r>
      <w:r w:rsidR="005B16EE" w:rsidRPr="00D44D33">
        <w:rPr>
          <w:rFonts w:ascii="Times New Roman" w:eastAsia="Times New Roman" w:hAnsi="Times New Roman" w:cs="Times New Roman"/>
          <w:sz w:val="24"/>
          <w:szCs w:val="24"/>
        </w:rPr>
        <w:t>.</w:t>
      </w:r>
    </w:p>
    <w:p w14:paraId="709C7618" w14:textId="31FB9E49" w:rsidR="00696205" w:rsidRPr="00D44D33" w:rsidRDefault="20141F9D"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Art.</w:t>
      </w:r>
      <w:r w:rsidR="00970B2E" w:rsidRPr="00D44D33">
        <w:rPr>
          <w:rFonts w:ascii="Times New Roman" w:hAnsi="Times New Roman"/>
          <w:lang w:eastAsia="en-US"/>
        </w:rPr>
        <w:t xml:space="preserve"> </w:t>
      </w:r>
      <w:r w:rsidR="00215185" w:rsidRPr="00D44D33">
        <w:rPr>
          <w:rFonts w:ascii="Times New Roman" w:hAnsi="Times New Roman"/>
          <w:lang w:eastAsia="en-US"/>
        </w:rPr>
        <w:t>59</w:t>
      </w:r>
    </w:p>
    <w:p w14:paraId="3D6B5F05" w14:textId="696355E8" w:rsidR="20141F9D" w:rsidRPr="00D44D33" w:rsidRDefault="20141F9D" w:rsidP="00D44D33">
      <w:pPr>
        <w:pStyle w:val="ARTartustawynprozporzdzenia"/>
        <w:spacing w:after="120"/>
        <w:ind w:firstLine="0"/>
        <w:rPr>
          <w:rFonts w:ascii="Times New Roman" w:eastAsia="Times New Roman" w:hAnsi="Times New Roman" w:cs="Times New Roman"/>
          <w:szCs w:val="24"/>
        </w:rPr>
      </w:pPr>
      <w:r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celu</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nadzorowania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przestrzegania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obowiązków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nałożonych</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mocy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prawa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dotyczącego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ustawy</w:t>
      </w:r>
      <w:r w:rsidR="00970B2E" w:rsidRPr="00D44D33">
        <w:rPr>
          <w:rFonts w:ascii="Times New Roman" w:eastAsia="Times New Roman" w:hAnsi="Times New Roman" w:cs="Times New Roman"/>
          <w:szCs w:val="24"/>
        </w:rPr>
        <w:t xml:space="preserve"> </w:t>
      </w:r>
      <w:r w:rsidR="00182C68" w:rsidRPr="00D44D33">
        <w:rPr>
          <w:rFonts w:ascii="Times New Roman" w:eastAsia="Times New Roman" w:hAnsi="Times New Roman" w:cs="Times New Roman"/>
          <w:szCs w:val="24"/>
        </w:rPr>
        <w:t>Pke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oraz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rozporządzenia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wydanego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podstawie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006E044C" w:rsidRPr="00D44D33">
        <w:rPr>
          <w:rFonts w:ascii="Times New Roman" w:eastAsia="Times New Roman" w:hAnsi="Times New Roman" w:cs="Times New Roman"/>
          <w:szCs w:val="24"/>
        </w:rPr>
        <w:t>60</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ustawy</w:t>
      </w:r>
      <w:r w:rsidR="00970B2E" w:rsidRPr="00D44D33">
        <w:rPr>
          <w:rFonts w:ascii="Times New Roman" w:eastAsia="Times New Roman" w:hAnsi="Times New Roman" w:cs="Times New Roman"/>
          <w:szCs w:val="24"/>
        </w:rPr>
        <w:t xml:space="preserve"> </w:t>
      </w:r>
      <w:r w:rsidR="008E0C30" w:rsidRPr="00D44D33">
        <w:rPr>
          <w:rFonts w:ascii="Times New Roman" w:eastAsia="Times New Roman" w:hAnsi="Times New Roman" w:cs="Times New Roman"/>
          <w:szCs w:val="24"/>
        </w:rPr>
        <w:t xml:space="preserve">Pke </w:t>
      </w:r>
      <w:r w:rsidRPr="00D44D33">
        <w:rPr>
          <w:rFonts w:ascii="Times New Roman" w:eastAsia="Times New Roman" w:hAnsi="Times New Roman" w:cs="Times New Roman"/>
          <w:szCs w:val="24"/>
        </w:rPr>
        <w:t>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wydanych</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ich</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podstawie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decyzji,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producenci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sprzętu</w:t>
      </w:r>
      <w:r w:rsidR="00970B2E" w:rsidRPr="00D44D33">
        <w:rPr>
          <w:rFonts w:ascii="Times New Roman" w:eastAsia="Times New Roman" w:hAnsi="Times New Roman" w:cs="Times New Roman"/>
          <w:szCs w:val="24"/>
        </w:rPr>
        <w:t xml:space="preserve"> </w:t>
      </w:r>
      <w:r w:rsidR="00182C68"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00182C68" w:rsidRPr="00D44D33">
        <w:rPr>
          <w:rFonts w:ascii="Times New Roman" w:eastAsia="Times New Roman" w:hAnsi="Times New Roman" w:cs="Times New Roman"/>
          <w:szCs w:val="24"/>
        </w:rPr>
        <w:t>potrzeby</w:t>
      </w:r>
      <w:r w:rsidR="00970B2E" w:rsidRPr="00D44D33">
        <w:rPr>
          <w:rFonts w:ascii="Times New Roman" w:eastAsia="Times New Roman" w:hAnsi="Times New Roman" w:cs="Times New Roman"/>
          <w:szCs w:val="24"/>
        </w:rPr>
        <w:t xml:space="preserve"> </w:t>
      </w:r>
      <w:r w:rsidR="00182C68"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lub</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technologii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podmioty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zaangażowane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rozwój</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technologiczny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oraz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użytkownicy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mogą</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zostać</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poddani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kontroli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strony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CPA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oraz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w:t>
      </w:r>
      <w:r w:rsidR="008E0C30" w:rsidRPr="00D44D33">
        <w:rPr>
          <w:rFonts w:ascii="Times New Roman" w:eastAsia="Times New Roman" w:hAnsi="Times New Roman" w:cs="Times New Roman"/>
          <w:szCs w:val="24"/>
        </w:rPr>
        <w:t>BW</w:t>
      </w:r>
      <w:r w:rsidRPr="00D44D33">
        <w:rPr>
          <w:rFonts w:ascii="Times New Roman" w:eastAsia="Times New Roman" w:hAnsi="Times New Roman" w:cs="Times New Roman"/>
          <w:szCs w:val="24"/>
        </w:rPr>
        <w:t>.</w:t>
      </w:r>
    </w:p>
    <w:p w14:paraId="5B2916A9" w14:textId="52D7A222" w:rsidR="20141F9D" w:rsidRPr="00D44D33" w:rsidRDefault="20141F9D" w:rsidP="00D44D33">
      <w:pPr>
        <w:pStyle w:val="ARTartustawynprozporzdzenia"/>
        <w:spacing w:after="120"/>
        <w:ind w:firstLine="0"/>
        <w:rPr>
          <w:rFonts w:ascii="Times New Roman" w:eastAsia="Times New Roman" w:hAnsi="Times New Roman" w:cs="Times New Roman"/>
          <w:szCs w:val="24"/>
        </w:rPr>
      </w:pPr>
      <w:r w:rsidRPr="00D44D33">
        <w:rPr>
          <w:rFonts w:ascii="Times New Roman" w:eastAsia="Times New Roman" w:hAnsi="Times New Roman" w:cs="Times New Roman"/>
          <w:szCs w:val="24"/>
        </w:rPr>
        <w:t>Część</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zadań</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CPA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powinna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być</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wykonywana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współpracy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krajową</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władzą</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bezpieczeństwa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(National</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Security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Authority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NSA),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której</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funkcję</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pełni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Polsce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w:t>
      </w:r>
      <w:r w:rsidR="008E0C30" w:rsidRPr="00D44D33">
        <w:rPr>
          <w:rFonts w:ascii="Times New Roman" w:eastAsia="Times New Roman" w:hAnsi="Times New Roman" w:cs="Times New Roman"/>
          <w:szCs w:val="24"/>
        </w:rPr>
        <w:t>BW</w:t>
      </w:r>
      <w:r w:rsidRPr="00D44D33">
        <w:rPr>
          <w:rFonts w:ascii="Times New Roman" w:eastAsia="Times New Roman" w:hAnsi="Times New Roman" w:cs="Times New Roman"/>
          <w:szCs w:val="24"/>
        </w:rPr>
        <w: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odniesieniu</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do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kwestii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związanych</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informacjami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niejawnymi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CPA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wykonuje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zadania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określone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4,</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lastRenderedPageBreak/>
        <w:t>5</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ust.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1,</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2</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3,</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6,</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9</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ust.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1,</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2</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5</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oraz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11</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ust.</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1,</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4</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5</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CMS,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jeżeli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zostało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do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tego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uprawnione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przez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krajową</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władzę</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bezpieczeństwa.</w:t>
      </w:r>
    </w:p>
    <w:p w14:paraId="5257350C" w14:textId="6033F263" w:rsidR="5DB67AE2" w:rsidRPr="00D44D33" w:rsidRDefault="5DB67AE2" w:rsidP="00D44D33">
      <w:pPr>
        <w:pStyle w:val="ARTartustawynprozporzdzenia"/>
        <w:spacing w:after="120"/>
        <w:ind w:firstLine="0"/>
        <w:jc w:val="center"/>
        <w:rPr>
          <w:rFonts w:ascii="Times New Roman" w:eastAsia="Times New Roman" w:hAnsi="Times New Roman" w:cs="Times New Roman"/>
          <w:b/>
          <w:bCs/>
          <w:szCs w:val="24"/>
        </w:rPr>
      </w:pPr>
      <w:r w:rsidRPr="00D44D33">
        <w:rPr>
          <w:rFonts w:ascii="Times New Roman" w:eastAsia="Times New Roman" w:hAnsi="Times New Roman" w:cs="Times New Roman"/>
          <w:b/>
          <w:bCs/>
          <w:szCs w:val="24"/>
        </w:rPr>
        <w:t>Art.</w:t>
      </w:r>
      <w:r w:rsidR="00970B2E" w:rsidRPr="00D44D33">
        <w:rPr>
          <w:rFonts w:ascii="Times New Roman" w:eastAsia="Times New Roman" w:hAnsi="Times New Roman" w:cs="Times New Roman"/>
          <w:b/>
          <w:bCs/>
          <w:szCs w:val="24"/>
        </w:rPr>
        <w:t xml:space="preserve"> </w:t>
      </w:r>
      <w:r w:rsidR="006E044C" w:rsidRPr="00D44D33">
        <w:rPr>
          <w:rFonts w:ascii="Times New Roman" w:eastAsia="Times New Roman" w:hAnsi="Times New Roman" w:cs="Times New Roman"/>
          <w:b/>
          <w:bCs/>
          <w:szCs w:val="24"/>
        </w:rPr>
        <w:t>60</w:t>
      </w:r>
    </w:p>
    <w:p w14:paraId="769AFD86" w14:textId="4C35CD81" w:rsidR="5DB67AE2" w:rsidRPr="00D44D33" w:rsidRDefault="5DB67AE2" w:rsidP="00D44D33">
      <w:pPr>
        <w:pStyle w:val="ARTartustawynprozporzdzenia"/>
        <w:spacing w:after="120"/>
        <w:ind w:firstLine="0"/>
        <w:rPr>
          <w:rFonts w:ascii="Times New Roman" w:eastAsia="Times New Roman" w:hAnsi="Times New Roman" w:cs="Times New Roman"/>
          <w:szCs w:val="24"/>
        </w:rPr>
      </w:pPr>
      <w:r w:rsidRPr="00D44D33">
        <w:rPr>
          <w:rFonts w:ascii="Times New Roman" w:eastAsia="Times New Roman" w:hAnsi="Times New Roman" w:cs="Times New Roman"/>
          <w:szCs w:val="24"/>
        </w:rPr>
        <w:t>Przewidziano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obligatoryjne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wydanie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aktu</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wykonawczego,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który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ureguluje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szczegółowe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informacje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dotyczące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wniosków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wydawanie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pozwoleń</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oraz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wniosków</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o</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wydanie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zezwoleń</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wywóz</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poza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w:t>
      </w:r>
      <w:r w:rsidR="007E53BF" w:rsidRPr="00D44D33">
        <w:rPr>
          <w:rFonts w:ascii="Times New Roman" w:eastAsia="Times New Roman" w:hAnsi="Times New Roman" w:cs="Times New Roman"/>
          <w:szCs w:val="24"/>
        </w:rPr>
        <w:t>E</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transfer</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wewnątrzunijny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sprzętu</w:t>
      </w:r>
      <w:r w:rsidR="00970B2E" w:rsidRPr="00D44D33">
        <w:rPr>
          <w:rFonts w:ascii="Times New Roman" w:eastAsia="Times New Roman" w:hAnsi="Times New Roman" w:cs="Times New Roman"/>
          <w:szCs w:val="24"/>
        </w:rPr>
        <w:t xml:space="preserve"> </w:t>
      </w:r>
      <w:r w:rsidR="009F4BA3"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009F4BA3" w:rsidRPr="00D44D33">
        <w:rPr>
          <w:rFonts w:ascii="Times New Roman" w:eastAsia="Times New Roman" w:hAnsi="Times New Roman" w:cs="Times New Roman"/>
          <w:szCs w:val="24"/>
        </w:rPr>
        <w:t>potrzeby</w:t>
      </w:r>
      <w:r w:rsidR="00970B2E" w:rsidRPr="00D44D33">
        <w:rPr>
          <w:rFonts w:ascii="Times New Roman" w:eastAsia="Times New Roman" w:hAnsi="Times New Roman" w:cs="Times New Roman"/>
          <w:szCs w:val="24"/>
        </w:rPr>
        <w:t xml:space="preserve"> </w:t>
      </w:r>
      <w:r w:rsidR="009F4BA3" w:rsidRPr="00D44D33">
        <w:rPr>
          <w:rFonts w:ascii="Times New Roman" w:eastAsia="Times New Roman" w:hAnsi="Times New Roman" w:cs="Times New Roman"/>
          <w:szCs w:val="24"/>
        </w:rPr>
        <w:t>PRS</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lub</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technologii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zaprojektowanych</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na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potrzeby</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tej</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usługi,</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jak</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również</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zarządzania</w:t>
      </w:r>
      <w:r w:rsidR="00970B2E" w:rsidRPr="00D44D33">
        <w:rPr>
          <w:rFonts w:ascii="Times New Roman" w:eastAsia="Times New Roman" w:hAnsi="Times New Roman" w:cs="Times New Roman"/>
          <w:szCs w:val="24"/>
        </w:rPr>
        <w:t xml:space="preserve"> </w:t>
      </w:r>
      <w:r w:rsidRPr="00D44D33">
        <w:rPr>
          <w:rFonts w:ascii="Times New Roman" w:eastAsia="Times New Roman" w:hAnsi="Times New Roman" w:cs="Times New Roman"/>
          <w:szCs w:val="24"/>
        </w:rPr>
        <w:t>PRS.</w:t>
      </w:r>
    </w:p>
    <w:p w14:paraId="3BFA25B2" w14:textId="1EF00D75" w:rsidR="00DD7F59" w:rsidRPr="00D44D33" w:rsidRDefault="00965779"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DZIAŁ</w:t>
      </w:r>
      <w:r w:rsidR="00970B2E" w:rsidRPr="00D44D33">
        <w:rPr>
          <w:rFonts w:ascii="Times New Roman" w:hAnsi="Times New Roman"/>
          <w:lang w:eastAsia="en-US"/>
        </w:rPr>
        <w:t xml:space="preserve"> </w:t>
      </w:r>
      <w:r w:rsidRPr="00D44D33">
        <w:rPr>
          <w:rFonts w:ascii="Times New Roman" w:hAnsi="Times New Roman"/>
          <w:lang w:eastAsia="en-US"/>
        </w:rPr>
        <w:t>I</w:t>
      </w:r>
      <w:r w:rsidRPr="00D44D33">
        <w:rPr>
          <w:rFonts w:ascii="Times New Roman" w:hAnsi="Times New Roman"/>
        </w:rPr>
        <w:t>I</w:t>
      </w:r>
      <w:r w:rsidR="00970B2E" w:rsidRPr="00D44D33">
        <w:rPr>
          <w:rFonts w:ascii="Times New Roman" w:hAnsi="Times New Roman"/>
          <w:lang w:eastAsia="en-US"/>
        </w:rPr>
        <w:t xml:space="preserve"> </w:t>
      </w:r>
    </w:p>
    <w:p w14:paraId="75B1F405" w14:textId="208F2D82" w:rsidR="00965779" w:rsidRPr="00D44D33" w:rsidRDefault="00965779"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Gospodarowanie</w:t>
      </w:r>
      <w:r w:rsidR="00970B2E" w:rsidRPr="00D44D33">
        <w:rPr>
          <w:rFonts w:ascii="Times New Roman" w:hAnsi="Times New Roman"/>
          <w:lang w:eastAsia="en-US"/>
        </w:rPr>
        <w:t xml:space="preserve"> </w:t>
      </w:r>
      <w:r w:rsidRPr="00D44D33">
        <w:rPr>
          <w:rFonts w:ascii="Times New Roman" w:hAnsi="Times New Roman"/>
          <w:lang w:eastAsia="en-US"/>
        </w:rPr>
        <w:t>częstotliwościami</w:t>
      </w:r>
      <w:r w:rsidR="00970B2E" w:rsidRPr="00D44D33">
        <w:rPr>
          <w:rFonts w:ascii="Times New Roman" w:hAnsi="Times New Roman"/>
          <w:lang w:eastAsia="en-US"/>
        </w:rPr>
        <w:t xml:space="preserve"> </w:t>
      </w:r>
      <w:r w:rsidRPr="00D44D33">
        <w:rPr>
          <w:rFonts w:ascii="Times New Roman" w:hAnsi="Times New Roman"/>
          <w:lang w:eastAsia="en-US"/>
        </w:rPr>
        <w:t>i</w:t>
      </w:r>
      <w:r w:rsidR="00970B2E" w:rsidRPr="00D44D33">
        <w:rPr>
          <w:rFonts w:ascii="Times New Roman" w:hAnsi="Times New Roman"/>
          <w:lang w:eastAsia="en-US"/>
        </w:rPr>
        <w:t xml:space="preserve"> </w:t>
      </w:r>
      <w:r w:rsidR="00FA15E4" w:rsidRPr="00D44D33">
        <w:rPr>
          <w:rFonts w:ascii="Times New Roman" w:hAnsi="Times New Roman"/>
          <w:lang w:eastAsia="en-US"/>
        </w:rPr>
        <w:t>zasobami</w:t>
      </w:r>
      <w:r w:rsidR="00970B2E" w:rsidRPr="00D44D33">
        <w:rPr>
          <w:rFonts w:ascii="Times New Roman" w:hAnsi="Times New Roman"/>
          <w:lang w:eastAsia="en-US"/>
        </w:rPr>
        <w:t xml:space="preserve"> </w:t>
      </w:r>
      <w:r w:rsidRPr="00D44D33">
        <w:rPr>
          <w:rFonts w:ascii="Times New Roman" w:hAnsi="Times New Roman"/>
          <w:lang w:eastAsia="en-US"/>
        </w:rPr>
        <w:t>numeracj</w:t>
      </w:r>
      <w:r w:rsidR="00FA15E4" w:rsidRPr="00D44D33">
        <w:rPr>
          <w:rFonts w:ascii="Times New Roman" w:hAnsi="Times New Roman"/>
          <w:lang w:eastAsia="en-US"/>
        </w:rPr>
        <w:t>i</w:t>
      </w:r>
    </w:p>
    <w:p w14:paraId="5780E0EA" w14:textId="4335C1A9" w:rsidR="0053061E" w:rsidRPr="00D44D33" w:rsidRDefault="0053061E"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Rozdział 1</w:t>
      </w:r>
    </w:p>
    <w:p w14:paraId="46EB484C" w14:textId="1B9A4D0D" w:rsidR="00D03005" w:rsidRPr="00D44D33" w:rsidRDefault="00D03005" w:rsidP="00D44D33">
      <w:pPr>
        <w:pStyle w:val="ROZDZODDZPRZEDMprzedmiotregulacjirozdziauluboddziau"/>
        <w:spacing w:after="120"/>
        <w:rPr>
          <w:rFonts w:ascii="Times New Roman" w:hAnsi="Times New Roman"/>
          <w:b w:val="0"/>
          <w:bCs w:val="0"/>
          <w:lang w:eastAsia="en-US"/>
        </w:rPr>
      </w:pPr>
      <w:r w:rsidRPr="00D44D33">
        <w:rPr>
          <w:rFonts w:ascii="Times New Roman" w:hAnsi="Times New Roman"/>
          <w:lang w:eastAsia="en-US"/>
        </w:rPr>
        <w:t>Gospodarowanie</w:t>
      </w:r>
      <w:r w:rsidR="00970B2E" w:rsidRPr="00D44D33">
        <w:rPr>
          <w:rFonts w:ascii="Times New Roman" w:hAnsi="Times New Roman"/>
          <w:lang w:eastAsia="en-US"/>
        </w:rPr>
        <w:t xml:space="preserve"> </w:t>
      </w:r>
      <w:r w:rsidRPr="00D44D33">
        <w:rPr>
          <w:rFonts w:ascii="Times New Roman" w:hAnsi="Times New Roman"/>
          <w:lang w:eastAsia="en-US"/>
        </w:rPr>
        <w:t>częstotliwościami</w:t>
      </w:r>
    </w:p>
    <w:p w14:paraId="4B41556A" w14:textId="6F5A4ED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Duża</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powiela,</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pewnymi</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modyfikacjami</w:t>
      </w:r>
      <w:r w:rsidR="007E53B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znane</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890EDC" w:rsidRPr="00D44D33">
        <w:rPr>
          <w:rFonts w:ascii="Times New Roman" w:eastAsiaTheme="minorEastAsia" w:hAnsi="Times New Roman" w:cs="Times New Roman"/>
          <w:sz w:val="24"/>
          <w:szCs w:val="24"/>
        </w:rPr>
        <w:t>P</w:t>
      </w:r>
      <w:r w:rsidR="075D5ECE"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przenosi</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75D5ECE"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0EAD5C4F"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EAD5C4F"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gospodarką</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regulowane</w:t>
      </w:r>
      <w:r w:rsidR="00970B2E" w:rsidRPr="00D44D33">
        <w:rPr>
          <w:rFonts w:ascii="Times New Roman" w:eastAsiaTheme="minorEastAsia" w:hAnsi="Times New Roman" w:cs="Times New Roman"/>
          <w:sz w:val="24"/>
          <w:szCs w:val="24"/>
        </w:rPr>
        <w:t xml:space="preserve"> </w:t>
      </w:r>
      <w:r w:rsidR="473E961F"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22543E2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d</w:t>
      </w:r>
      <w:r w:rsidR="22543E2F" w:rsidRPr="00D44D33">
        <w:rPr>
          <w:rFonts w:ascii="Times New Roman" w:eastAsiaTheme="minorEastAsia" w:hAnsi="Times New Roman" w:cs="Times New Roman"/>
          <w:sz w:val="24"/>
          <w:szCs w:val="24"/>
        </w:rPr>
        <w:t>ziale</w:t>
      </w:r>
      <w:r w:rsidR="00970B2E" w:rsidRPr="00D44D33">
        <w:rPr>
          <w:rFonts w:ascii="Times New Roman" w:eastAsiaTheme="minorEastAsia" w:hAnsi="Times New Roman" w:cs="Times New Roman"/>
          <w:sz w:val="24"/>
          <w:szCs w:val="24"/>
        </w:rPr>
        <w:t xml:space="preserve"> </w:t>
      </w:r>
      <w:r w:rsidR="22543E2F" w:rsidRPr="00D44D33">
        <w:rPr>
          <w:rFonts w:ascii="Times New Roman" w:eastAsiaTheme="minorEastAsia" w:hAnsi="Times New Roman" w:cs="Times New Roman"/>
          <w:sz w:val="24"/>
          <w:szCs w:val="24"/>
        </w:rPr>
        <w:t>IV</w:t>
      </w:r>
      <w:r w:rsidR="007E53BF" w:rsidRPr="00D44D33">
        <w:rPr>
          <w:rFonts w:ascii="Times New Roman" w:eastAsiaTheme="minorEastAsia" w:hAnsi="Times New Roman" w:cs="Times New Roman"/>
          <w:sz w:val="24"/>
          <w:szCs w:val="24"/>
        </w:rPr>
        <w:t xml:space="preserve"> –</w:t>
      </w:r>
      <w:r w:rsidR="00970B2E" w:rsidRPr="00D44D33">
        <w:rPr>
          <w:rFonts w:ascii="Times New Roman" w:eastAsiaTheme="minorEastAsia" w:hAnsi="Times New Roman" w:cs="Times New Roman"/>
          <w:sz w:val="24"/>
          <w:szCs w:val="24"/>
        </w:rPr>
        <w:t xml:space="preserve"> </w:t>
      </w:r>
      <w:r w:rsidR="22543E2F" w:rsidRPr="00D44D33">
        <w:rPr>
          <w:rFonts w:ascii="Times New Roman" w:eastAsiaTheme="minorEastAsia" w:hAnsi="Times New Roman" w:cs="Times New Roman"/>
          <w:sz w:val="24"/>
          <w:szCs w:val="24"/>
        </w:rPr>
        <w:t>Gospodarowanie</w:t>
      </w:r>
      <w:r w:rsidR="00970B2E" w:rsidRPr="00D44D33">
        <w:rPr>
          <w:rFonts w:ascii="Times New Roman" w:eastAsiaTheme="minorEastAsia" w:hAnsi="Times New Roman" w:cs="Times New Roman"/>
          <w:sz w:val="24"/>
          <w:szCs w:val="24"/>
        </w:rPr>
        <w:t xml:space="preserve"> </w:t>
      </w:r>
      <w:r w:rsidR="22543E2F"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22543E2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2543E2F" w:rsidRPr="00D44D33">
        <w:rPr>
          <w:rFonts w:ascii="Times New Roman" w:eastAsiaTheme="minorEastAsia" w:hAnsi="Times New Roman" w:cs="Times New Roman"/>
          <w:sz w:val="24"/>
          <w:szCs w:val="24"/>
        </w:rPr>
        <w:t>numeracją.</w:t>
      </w:r>
    </w:p>
    <w:p w14:paraId="24769A20" w14:textId="0088AAB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1C5A24C2"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5A8F8792"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01292FDA" w:rsidRPr="00D44D33">
        <w:rPr>
          <w:rFonts w:ascii="Times New Roman" w:eastAsiaTheme="minorEastAsia" w:hAnsi="Times New Roman" w:cs="Times New Roman"/>
          <w:sz w:val="24"/>
          <w:szCs w:val="24"/>
        </w:rPr>
        <w:t>uwzględnione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 xml:space="preserve">były </w:t>
      </w:r>
      <w:r w:rsidR="073DA508" w:rsidRPr="00D44D33">
        <w:rPr>
          <w:rFonts w:ascii="Times New Roman" w:eastAsiaTheme="minorEastAsia" w:hAnsi="Times New Roman" w:cs="Times New Roman"/>
          <w:sz w:val="24"/>
          <w:szCs w:val="24"/>
        </w:rPr>
        <w:t>zamieszczone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przepisach d</w:t>
      </w:r>
      <w:r w:rsidRPr="00D44D33">
        <w:rPr>
          <w:rFonts w:ascii="Times New Roman" w:eastAsiaTheme="minorEastAsia" w:hAnsi="Times New Roman" w:cs="Times New Roman"/>
          <w:sz w:val="24"/>
          <w:szCs w:val="24"/>
        </w:rPr>
        <w:t>zia</w:t>
      </w:r>
      <w:r w:rsidR="007E53BF" w:rsidRPr="00D44D33">
        <w:rPr>
          <w:rFonts w:ascii="Times New Roman" w:eastAsiaTheme="minorEastAsia" w:hAnsi="Times New Roman" w:cs="Times New Roman"/>
          <w:sz w:val="24"/>
          <w:szCs w:val="24"/>
        </w:rPr>
        <w:t>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VI</w:t>
      </w:r>
      <w:r w:rsidR="007E53BF" w:rsidRPr="00D44D33">
        <w:rPr>
          <w:rFonts w:ascii="Times New Roman" w:eastAsiaTheme="minorEastAsia" w:hAnsi="Times New Roman" w:cs="Times New Roman"/>
          <w:sz w:val="24"/>
          <w:szCs w:val="24"/>
        </w:rPr>
        <w:t xml:space="preserve"> –</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systematyka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spójność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bloków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tematycznych.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zagadnienia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podzielone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systematyzacyjne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usystematyzowane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czytelności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jasności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p>
    <w:p w14:paraId="75039690" w14:textId="47E506CB"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3DD106F" w:rsidRPr="00D44D33">
        <w:rPr>
          <w:rFonts w:ascii="Times New Roman" w:eastAsiaTheme="minorEastAsia" w:hAnsi="Times New Roman" w:cs="Times New Roman"/>
          <w:b/>
          <w:bCs/>
          <w:sz w:val="24"/>
          <w:szCs w:val="24"/>
        </w:rPr>
        <w:t>6</w:t>
      </w:r>
      <w:r w:rsidR="006239CB" w:rsidRPr="00D44D33">
        <w:rPr>
          <w:rFonts w:ascii="Times New Roman" w:eastAsiaTheme="minorEastAsia" w:hAnsi="Times New Roman" w:cs="Times New Roman"/>
          <w:b/>
          <w:bCs/>
          <w:sz w:val="24"/>
          <w:szCs w:val="24"/>
        </w:rPr>
        <w:t>1</w:t>
      </w:r>
    </w:p>
    <w:p w14:paraId="25B40375" w14:textId="160A429E" w:rsidR="00D03005" w:rsidRPr="00D44D33" w:rsidRDefault="00D03005"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8C35098" w:rsidRPr="00D44D33">
        <w:rPr>
          <w:rFonts w:ascii="Times New Roman" w:eastAsiaTheme="minorEastAsia" w:hAnsi="Times New Roman" w:cs="Times New Roman"/>
          <w:sz w:val="24"/>
          <w:szCs w:val="24"/>
        </w:rPr>
        <w:t>6</w:t>
      </w:r>
      <w:r w:rsidR="006239CB" w:rsidRPr="00D44D33">
        <w:rPr>
          <w:rFonts w:ascii="Times New Roman" w:eastAsiaTheme="minorEastAsia" w:hAnsi="Times New Roman" w:cs="Times New Roman"/>
          <w:sz w:val="24"/>
          <w:szCs w:val="24"/>
        </w:rPr>
        <w:t>1</w:t>
      </w:r>
      <w:r w:rsidR="7D4EC48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miało</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D4EC48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F2F0B8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F2F0B8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F2F0B88" w:rsidRPr="00D44D33">
        <w:rPr>
          <w:rFonts w:ascii="Times New Roman" w:eastAsiaTheme="minorEastAsia" w:hAnsi="Times New Roman" w:cs="Times New Roman"/>
          <w:sz w:val="24"/>
          <w:szCs w:val="24"/>
        </w:rPr>
        <w:t>110a</w:t>
      </w:r>
      <w:r w:rsidR="7D4EC48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utworzone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odesłanie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FA15E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E52F8" w:rsidRPr="00D44D33">
        <w:rPr>
          <w:rFonts w:ascii="Times New Roman" w:eastAsiaTheme="minorEastAsia" w:hAnsi="Times New Roman" w:cs="Times New Roman"/>
          <w:sz w:val="24"/>
          <w:szCs w:val="24"/>
        </w:rPr>
        <w:t>202</w:t>
      </w:r>
      <w:r w:rsidR="00223C4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E52F8"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BE52F8"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223C42" w:rsidRPr="00D44D33">
        <w:rPr>
          <w:rFonts w:ascii="Times New Roman" w:eastAsiaTheme="minorEastAsia" w:hAnsi="Times New Roman" w:cs="Times New Roman"/>
          <w:sz w:val="24"/>
          <w:szCs w:val="24"/>
        </w:rPr>
        <w:t>275</w:t>
      </w:r>
      <w:r w:rsidR="00BE52F8" w:rsidRPr="00D44D33">
        <w:rPr>
          <w:rFonts w:ascii="Times New Roman" w:eastAsiaTheme="minorEastAsia" w:hAnsi="Times New Roman" w:cs="Times New Roman"/>
          <w:sz w:val="24"/>
          <w:szCs w:val="24"/>
        </w:rPr>
        <w:t>)</w:t>
      </w:r>
      <w:r w:rsidR="004A5C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E52F8" w:rsidRPr="00D44D33">
        <w:rPr>
          <w:rFonts w:ascii="Times New Roman" w:eastAsiaTheme="minorEastAsia" w:hAnsi="Times New Roman" w:cs="Times New Roman"/>
          <w:sz w:val="24"/>
          <w:szCs w:val="24"/>
        </w:rPr>
        <w:t>zwaną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BE52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p>
    <w:p w14:paraId="05F55DC6" w14:textId="68B551E8" w:rsidR="00D03005" w:rsidRPr="00D44D33" w:rsidRDefault="00D03005"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przedsiębiorcą).</w:t>
      </w:r>
    </w:p>
    <w:p w14:paraId="311B263C" w14:textId="320408AF" w:rsidR="00D03005" w:rsidRPr="00D44D33" w:rsidRDefault="00D03005" w:rsidP="00D44D33">
      <w:pPr>
        <w:widowControl w:val="0"/>
        <w:tabs>
          <w:tab w:val="center" w:pos="4536"/>
          <w:tab w:val="right" w:pos="9072"/>
        </w:tabs>
        <w:suppressAutoHyphen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Intencją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zdefiniowanie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jakichkolwiek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interpretacyjnych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zaliczono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p>
    <w:p w14:paraId="79969333" w14:textId="475E2EF6" w:rsidR="00D03005" w:rsidRPr="00D44D33" w:rsidRDefault="3FF9F0D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7E53BF" w:rsidRPr="00D44D33">
        <w:rPr>
          <w:rFonts w:ascii="Times New Roman" w:eastAsiaTheme="minorEastAsia" w:hAnsi="Times New Roman" w:cs="Times New Roman"/>
          <w:sz w:val="24"/>
          <w:szCs w:val="24"/>
        </w:rPr>
        <w:t xml:space="preserve"> 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p>
    <w:p w14:paraId="209A0FB4" w14:textId="675209F1"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69F5412B" w:rsidRPr="00D44D33">
        <w:rPr>
          <w:rFonts w:ascii="Times New Roman" w:eastAsiaTheme="minorEastAsia" w:hAnsi="Times New Roman" w:cs="Times New Roman"/>
          <w:b/>
          <w:bCs/>
          <w:sz w:val="24"/>
          <w:szCs w:val="24"/>
        </w:rPr>
        <w:t>6</w:t>
      </w:r>
      <w:r w:rsidR="006239CB" w:rsidRPr="00D44D33">
        <w:rPr>
          <w:rFonts w:ascii="Times New Roman" w:eastAsiaTheme="minorEastAsia" w:hAnsi="Times New Roman" w:cs="Times New Roman"/>
          <w:b/>
          <w:bCs/>
          <w:sz w:val="24"/>
          <w:szCs w:val="24"/>
        </w:rPr>
        <w:t>2</w:t>
      </w:r>
    </w:p>
    <w:p w14:paraId="51592FC0" w14:textId="4C4AB5F0"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Tablicy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1A47839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A478390" w:rsidRPr="00D44D33">
        <w:rPr>
          <w:rFonts w:ascii="Times New Roman" w:eastAsiaTheme="minorEastAsia" w:hAnsi="Times New Roman" w:cs="Times New Roman"/>
          <w:sz w:val="24"/>
          <w:szCs w:val="24"/>
        </w:rPr>
        <w:t>zwaną</w:t>
      </w:r>
      <w:r w:rsidR="00970B2E" w:rsidRPr="00D44D33">
        <w:rPr>
          <w:rFonts w:ascii="Times New Roman" w:eastAsiaTheme="minorEastAsia" w:hAnsi="Times New Roman" w:cs="Times New Roman"/>
          <w:sz w:val="24"/>
          <w:szCs w:val="24"/>
        </w:rPr>
        <w:t xml:space="preserve"> </w:t>
      </w:r>
      <w:r w:rsidR="01B16FFA"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1A47839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KTPCz</w:t>
      </w:r>
      <w:r w:rsidR="1A47839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KTPCz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cywilno-rządowe.</w:t>
      </w:r>
      <w:r w:rsidR="00970B2E" w:rsidRPr="00D44D33">
        <w:rPr>
          <w:rFonts w:ascii="Times New Roman" w:eastAsiaTheme="minorEastAsia" w:hAnsi="Times New Roman" w:cs="Times New Roman"/>
          <w:sz w:val="24"/>
          <w:szCs w:val="24"/>
        </w:rPr>
        <w:t xml:space="preserve"> </w:t>
      </w:r>
    </w:p>
    <w:p w14:paraId="6589BDE7" w14:textId="22AA5ED9"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radionawigacja,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radiodyfuzja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7E53B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p>
    <w:p w14:paraId="704728FF" w14:textId="2C7231C3"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1648D649" w:rsidRPr="00D44D33">
        <w:rPr>
          <w:rFonts w:ascii="Times New Roman" w:eastAsiaTheme="minorEastAsia" w:hAnsi="Times New Roman" w:cs="Times New Roman"/>
          <w:sz w:val="24"/>
          <w:szCs w:val="24"/>
        </w:rPr>
        <w:t>T</w:t>
      </w:r>
      <w:r w:rsidRPr="00D44D33">
        <w:rPr>
          <w:rFonts w:ascii="Times New Roman" w:eastAsiaTheme="minorEastAsia" w:hAnsi="Times New Roman" w:cs="Times New Roman"/>
          <w:sz w:val="24"/>
          <w:szCs w:val="24"/>
        </w:rPr>
        <w:t>PCz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20FBB8A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0FBB8A7"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20FBB8A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0FBB8A7" w:rsidRPr="00D44D33">
        <w:rPr>
          <w:rFonts w:ascii="Times New Roman" w:eastAsiaTheme="minorEastAsia" w:hAnsi="Times New Roman" w:cs="Times New Roman"/>
          <w:sz w:val="24"/>
          <w:szCs w:val="24"/>
        </w:rPr>
        <w:t>111</w:t>
      </w:r>
      <w:r w:rsidR="00970B2E" w:rsidRPr="00D44D33">
        <w:rPr>
          <w:rFonts w:ascii="Times New Roman" w:eastAsiaTheme="minorEastAsia" w:hAnsi="Times New Roman" w:cs="Times New Roman"/>
          <w:sz w:val="24"/>
          <w:szCs w:val="24"/>
        </w:rPr>
        <w:t xml:space="preserve"> </w:t>
      </w:r>
      <w:r w:rsidR="20FBB8A7"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uchwalanego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4A5C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A0519" w:rsidRPr="00D44D33">
        <w:rPr>
          <w:rFonts w:ascii="Times New Roman" w:eastAsiaTheme="minorEastAsia" w:hAnsi="Times New Roman" w:cs="Times New Roman"/>
          <w:sz w:val="24"/>
          <w:szCs w:val="24"/>
        </w:rPr>
        <w:t xml:space="preserve">zwany dalej </w:t>
      </w:r>
      <w:r w:rsidR="007E53BF"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MZT</w:t>
      </w:r>
      <w:r w:rsidR="007E53BF" w:rsidRPr="00D44D33">
        <w:rPr>
          <w:rFonts w:ascii="Times New Roman" w:eastAsiaTheme="minorEastAsia" w:hAnsi="Times New Roman" w:cs="Times New Roman"/>
          <w:sz w:val="24"/>
          <w:szCs w:val="24"/>
        </w:rPr>
        <w:t>”</w:t>
      </w:r>
      <w:r w:rsidR="004A5C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Konferencji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Radiokomunikacyjnych</w:t>
      </w:r>
      <w:r w:rsidR="004A5C60" w:rsidRPr="00D44D33">
        <w:rPr>
          <w:rFonts w:ascii="Times New Roman" w:eastAsiaTheme="minorEastAsia" w:hAnsi="Times New Roman" w:cs="Times New Roman"/>
          <w:sz w:val="24"/>
          <w:szCs w:val="24"/>
        </w:rPr>
        <w:t>, zwanych dalej</w:t>
      </w:r>
      <w:r w:rsidR="00970B2E" w:rsidRPr="00D44D33">
        <w:rPr>
          <w:rFonts w:ascii="Times New Roman" w:eastAsiaTheme="minorEastAsia" w:hAnsi="Times New Roman" w:cs="Times New Roman"/>
          <w:sz w:val="24"/>
          <w:szCs w:val="24"/>
        </w:rPr>
        <w:t xml:space="preserve"> </w:t>
      </w:r>
      <w:r w:rsidR="004A5C6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WRC</w:t>
      </w:r>
      <w:r w:rsidR="004A5C6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uzupełnienie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Konwencji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MZT,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ratyfi</w:t>
      </w:r>
      <w:r w:rsidRPr="00D44D33">
        <w:rPr>
          <w:rFonts w:ascii="Times New Roman" w:eastAsiaTheme="minorEastAsia" w:hAnsi="Times New Roman" w:cs="Times New Roman"/>
          <w:sz w:val="24"/>
          <w:szCs w:val="24"/>
        </w:rPr>
        <w:lastRenderedPageBreak/>
        <w:t>kowane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7E53BF" w:rsidRPr="00D44D33">
        <w:rPr>
          <w:rFonts w:ascii="Times New Roman" w:eastAsiaTheme="minorEastAsia" w:hAnsi="Times New Roman" w:cs="Times New Roman"/>
          <w:sz w:val="24"/>
          <w:szCs w:val="24"/>
        </w:rPr>
        <w:t xml:space="preserve">zeczpospolitą </w:t>
      </w:r>
      <w:r w:rsidRPr="00D44D33">
        <w:rPr>
          <w:rFonts w:ascii="Times New Roman" w:eastAsiaTheme="minorEastAsia" w:hAnsi="Times New Roman" w:cs="Times New Roman"/>
          <w:sz w:val="24"/>
          <w:szCs w:val="24"/>
        </w:rPr>
        <w:t>P</w:t>
      </w:r>
      <w:r w:rsidR="007E53BF" w:rsidRPr="00D44D33">
        <w:rPr>
          <w:rFonts w:ascii="Times New Roman" w:eastAsiaTheme="minorEastAsia" w:hAnsi="Times New Roman" w:cs="Times New Roman"/>
          <w:sz w:val="24"/>
          <w:szCs w:val="24"/>
        </w:rPr>
        <w:t>olską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7E53BF" w:rsidRPr="00D44D33">
        <w:rPr>
          <w:rFonts w:ascii="Times New Roman" w:eastAsiaTheme="minorEastAsia" w:hAnsi="Times New Roman" w:cs="Times New Roman"/>
          <w:sz w:val="24"/>
          <w:szCs w:val="24"/>
        </w:rPr>
        <w:t>ienniku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7E53BF" w:rsidRPr="00D44D33">
        <w:rPr>
          <w:rFonts w:ascii="Times New Roman" w:eastAsiaTheme="minorEastAsia" w:hAnsi="Times New Roman" w:cs="Times New Roman"/>
          <w:sz w:val="24"/>
          <w:szCs w:val="24"/>
        </w:rPr>
        <w:t>staw Rzeczypospolitej 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wieloletnie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p>
    <w:p w14:paraId="74FCB5EB" w14:textId="6AB9F33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 xml:space="preserve">nr </w:t>
      </w:r>
      <w:r w:rsidRPr="00D44D33">
        <w:rPr>
          <w:rFonts w:ascii="Times New Roman" w:eastAsiaTheme="minorEastAsia" w:hAnsi="Times New Roman" w:cs="Times New Roman"/>
          <w:sz w:val="24"/>
          <w:szCs w:val="24"/>
        </w:rPr>
        <w:t>676/2002/WE.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Przepis a</w:t>
      </w:r>
      <w:r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skoordynowanego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007E53BF" w:rsidRPr="00D44D33">
        <w:rPr>
          <w:rFonts w:ascii="Times New Roman" w:eastAsiaTheme="minorEastAsia" w:hAnsi="Times New Roman" w:cs="Times New Roman"/>
          <w:sz w:val="24"/>
          <w:szCs w:val="24"/>
        </w:rPr>
        <w:t xml:space="preserve">nr </w:t>
      </w:r>
      <w:r w:rsidRPr="00D44D33">
        <w:rPr>
          <w:rFonts w:ascii="Times New Roman" w:eastAsiaTheme="minorEastAsia" w:hAnsi="Times New Roman" w:cs="Times New Roman"/>
          <w:sz w:val="24"/>
          <w:szCs w:val="24"/>
        </w:rPr>
        <w:t>676/2002/WE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najszybciej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opracowywaniu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KTPCz.</w:t>
      </w:r>
    </w:p>
    <w:p w14:paraId="1DDBFF2B" w14:textId="006794A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cywilno-rządowym.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strategicznych.</w:t>
      </w:r>
    </w:p>
    <w:p w14:paraId="1BD8E5C5" w14:textId="20BEB478" w:rsidR="00D03005" w:rsidRPr="00D44D33" w:rsidRDefault="00D03005"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7BDBA489" w:rsidRPr="00D44D33">
        <w:rPr>
          <w:rFonts w:ascii="Times New Roman" w:eastAsiaTheme="minorEastAsia" w:hAnsi="Times New Roman" w:cs="Times New Roman"/>
          <w:b/>
          <w:bCs/>
          <w:sz w:val="24"/>
          <w:szCs w:val="24"/>
        </w:rPr>
        <w:t>6</w:t>
      </w:r>
      <w:r w:rsidR="006239CB" w:rsidRPr="00D44D33">
        <w:rPr>
          <w:rFonts w:ascii="Times New Roman" w:eastAsiaTheme="minorEastAsia" w:hAnsi="Times New Roman" w:cs="Times New Roman"/>
          <w:b/>
          <w:bCs/>
          <w:sz w:val="24"/>
          <w:szCs w:val="24"/>
        </w:rPr>
        <w:t>3</w:t>
      </w:r>
    </w:p>
    <w:p w14:paraId="6AF3858A" w14:textId="2CA9619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Podstawową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7A01C0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A01C095" w:rsidRPr="00D44D33">
        <w:rPr>
          <w:rFonts w:ascii="Times New Roman" w:eastAsiaTheme="minorEastAsia" w:hAnsi="Times New Roman" w:cs="Times New Roman"/>
          <w:sz w:val="24"/>
          <w:szCs w:val="24"/>
        </w:rPr>
        <w:t>znanych</w:t>
      </w:r>
      <w:r w:rsidR="00970B2E" w:rsidRPr="00D44D33">
        <w:rPr>
          <w:rFonts w:ascii="Times New Roman" w:eastAsiaTheme="minorEastAsia" w:hAnsi="Times New Roman" w:cs="Times New Roman"/>
          <w:sz w:val="24"/>
          <w:szCs w:val="24"/>
        </w:rPr>
        <w:t xml:space="preserve"> </w:t>
      </w:r>
      <w:r w:rsidR="7A01C095"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7A01C09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A01C095"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7A01C09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216BD0C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16BD0C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16BD0C5" w:rsidRPr="00D44D33">
        <w:rPr>
          <w:rFonts w:ascii="Times New Roman" w:eastAsiaTheme="minorEastAsia" w:hAnsi="Times New Roman" w:cs="Times New Roman"/>
          <w:sz w:val="24"/>
          <w:szCs w:val="24"/>
        </w:rPr>
        <w:t>112</w:t>
      </w:r>
      <w:r w:rsidR="7A01C0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7E53BF" w:rsidRPr="00D44D33">
        <w:rPr>
          <w:rFonts w:ascii="Times New Roman" w:eastAsiaTheme="minorEastAsia" w:hAnsi="Times New Roman" w:cs="Times New Roman"/>
          <w:sz w:val="24"/>
          <w:szCs w:val="24"/>
        </w:rPr>
        <w:t>TPC</w:t>
      </w:r>
      <w:r w:rsidR="00C41BB2" w:rsidRPr="00D44D33">
        <w:rPr>
          <w:rFonts w:ascii="Times New Roman" w:eastAsiaTheme="minorEastAsia" w:hAnsi="Times New Roman" w:cs="Times New Roman"/>
          <w:sz w:val="24"/>
          <w:szCs w:val="24"/>
        </w:rPr>
        <w:t>z</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7E53BF" w:rsidRPr="00D44D33">
        <w:rPr>
          <w:rFonts w:ascii="Times New Roman" w:eastAsiaTheme="minorEastAsia" w:hAnsi="Times New Roman" w:cs="Times New Roman"/>
          <w:sz w:val="24"/>
          <w:szCs w:val="24"/>
        </w:rPr>
        <w:t xml:space="preserve">rajowej </w:t>
      </w:r>
      <w:r w:rsidRPr="00D44D33">
        <w:rPr>
          <w:rFonts w:ascii="Times New Roman" w:eastAsiaTheme="minorEastAsia" w:hAnsi="Times New Roman" w:cs="Times New Roman"/>
          <w:sz w:val="24"/>
          <w:szCs w:val="24"/>
        </w:rPr>
        <w:t>R</w:t>
      </w:r>
      <w:r w:rsidR="007E53BF" w:rsidRPr="00D44D33">
        <w:rPr>
          <w:rFonts w:ascii="Times New Roman" w:eastAsiaTheme="minorEastAsia" w:hAnsi="Times New Roman" w:cs="Times New Roman"/>
          <w:sz w:val="24"/>
          <w:szCs w:val="24"/>
        </w:rPr>
        <w:t xml:space="preserve">ady </w:t>
      </w:r>
      <w:r w:rsidRPr="00D44D33">
        <w:rPr>
          <w:rFonts w:ascii="Times New Roman" w:eastAsiaTheme="minorEastAsia" w:hAnsi="Times New Roman" w:cs="Times New Roman"/>
          <w:sz w:val="24"/>
          <w:szCs w:val="24"/>
        </w:rPr>
        <w:t>R</w:t>
      </w:r>
      <w:r w:rsidR="007E53BF" w:rsidRPr="00D44D33">
        <w:rPr>
          <w:rFonts w:ascii="Times New Roman" w:eastAsiaTheme="minorEastAsia" w:hAnsi="Times New Roman" w:cs="Times New Roman"/>
          <w:sz w:val="24"/>
          <w:szCs w:val="24"/>
        </w:rPr>
        <w:t xml:space="preserve">adiofonii </w:t>
      </w:r>
      <w:r w:rsidRPr="00D44D33">
        <w:rPr>
          <w:rFonts w:ascii="Times New Roman" w:eastAsiaTheme="minorEastAsia" w:hAnsi="Times New Roman" w:cs="Times New Roman"/>
          <w:sz w:val="24"/>
          <w:szCs w:val="24"/>
        </w:rPr>
        <w:t>i</w:t>
      </w:r>
      <w:r w:rsidR="007E53BF"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w:t>
      </w:r>
      <w:r w:rsidR="007E53BF" w:rsidRPr="00D44D33">
        <w:rPr>
          <w:rFonts w:ascii="Times New Roman" w:eastAsiaTheme="minorEastAsia" w:hAnsi="Times New Roman" w:cs="Times New Roman"/>
          <w:sz w:val="24"/>
          <w:szCs w:val="24"/>
        </w:rPr>
        <w:t>elewizji,</w:t>
      </w:r>
      <w:r w:rsidR="004A5C60" w:rsidRPr="00D44D33">
        <w:rPr>
          <w:rFonts w:ascii="Times New Roman" w:eastAsiaTheme="minorEastAsia" w:hAnsi="Times New Roman" w:cs="Times New Roman"/>
          <w:sz w:val="24"/>
          <w:szCs w:val="24"/>
        </w:rPr>
        <w:t xml:space="preserve"> zwanym</w:t>
      </w:r>
      <w:r w:rsidR="007E53BF" w:rsidRPr="00D44D33">
        <w:rPr>
          <w:rFonts w:ascii="Times New Roman" w:eastAsiaTheme="minorEastAsia" w:hAnsi="Times New Roman" w:cs="Times New Roman"/>
          <w:sz w:val="24"/>
          <w:szCs w:val="24"/>
        </w:rPr>
        <w:t xml:space="preserve"> dalej „Przewodniczący KRRiT”</w:t>
      </w:r>
      <w:r w:rsidR="00E02A1D"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inicjatywy.</w:t>
      </w:r>
    </w:p>
    <w:p w14:paraId="1B56EA35" w14:textId="22EEC97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Ustalając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politykę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neutralności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szeregu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p>
    <w:p w14:paraId="7063BC75" w14:textId="41C63CA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gwarantującym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nabytych,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05185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51854" w:rsidRPr="00D44D33">
        <w:rPr>
          <w:rFonts w:ascii="Times New Roman" w:eastAsiaTheme="minorEastAsia" w:hAnsi="Times New Roman" w:cs="Times New Roman"/>
          <w:sz w:val="24"/>
          <w:szCs w:val="24"/>
        </w:rPr>
        <w:t>dokonanych</w:t>
      </w:r>
      <w:r w:rsidR="00970B2E" w:rsidRPr="00D44D33">
        <w:rPr>
          <w:rFonts w:ascii="Times New Roman" w:eastAsiaTheme="minorEastAsia" w:hAnsi="Times New Roman" w:cs="Times New Roman"/>
          <w:sz w:val="24"/>
          <w:szCs w:val="24"/>
        </w:rPr>
        <w:t xml:space="preserve"> </w:t>
      </w:r>
      <w:r w:rsidR="00051854" w:rsidRPr="00D44D33">
        <w:rPr>
          <w:rFonts w:ascii="Times New Roman" w:eastAsiaTheme="minorEastAsia" w:hAnsi="Times New Roman" w:cs="Times New Roman"/>
          <w:sz w:val="24"/>
          <w:szCs w:val="24"/>
        </w:rPr>
        <w:t>przydziałów</w:t>
      </w:r>
      <w:r w:rsidR="00970B2E" w:rsidRPr="00D44D33">
        <w:rPr>
          <w:rFonts w:ascii="Times New Roman" w:eastAsiaTheme="minorEastAsia" w:hAnsi="Times New Roman" w:cs="Times New Roman"/>
          <w:sz w:val="24"/>
          <w:szCs w:val="24"/>
        </w:rPr>
        <w:t xml:space="preserve"> </w:t>
      </w:r>
      <w:r w:rsidR="00051854" w:rsidRPr="00D44D33">
        <w:rPr>
          <w:rFonts w:ascii="Times New Roman" w:eastAsiaTheme="minorEastAsia" w:hAnsi="Times New Roman" w:cs="Times New Roman"/>
          <w:sz w:val="24"/>
          <w:szCs w:val="24"/>
        </w:rPr>
        <w:t>częstotliwości</w:t>
      </w:r>
      <w:r w:rsidRPr="00D44D33">
        <w:rPr>
          <w:rFonts w:ascii="Times New Roman" w:eastAsiaTheme="minorEastAsia" w:hAnsi="Times New Roman" w:cs="Times New Roman"/>
          <w:sz w:val="24"/>
          <w:szCs w:val="24"/>
        </w:rPr>
        <w:t>.</w:t>
      </w:r>
    </w:p>
    <w:p w14:paraId="3D41C01A" w14:textId="18E9321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każdorazowo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przystąpieniu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opracowania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opracowania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planu</w:t>
      </w:r>
      <w:r w:rsidR="00970B2E" w:rsidRPr="00D44D33">
        <w:rPr>
          <w:rFonts w:ascii="Times New Roman" w:eastAsiaTheme="minorEastAsia" w:hAnsi="Times New Roman" w:cs="Times New Roman"/>
          <w:sz w:val="24"/>
          <w:szCs w:val="24"/>
        </w:rPr>
        <w:t xml:space="preserve"> </w:t>
      </w:r>
      <w:r w:rsidR="67A00EAF"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7A00EAF" w:rsidRPr="00D44D33">
        <w:rPr>
          <w:rFonts w:ascii="Times New Roman" w:eastAsiaTheme="minorEastAsia" w:hAnsi="Times New Roman" w:cs="Times New Roman"/>
          <w:sz w:val="24"/>
          <w:szCs w:val="24"/>
        </w:rPr>
        <w:t>uzasadnieniem</w:t>
      </w:r>
      <w:r w:rsidR="0F17551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rolę</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jaką</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odgrywa</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plan</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0F175515" w:rsidRPr="00D44D33">
        <w:rPr>
          <w:rFonts w:ascii="Times New Roman" w:eastAsiaTheme="minorEastAsia" w:hAnsi="Times New Roman" w:cs="Times New Roman"/>
          <w:sz w:val="24"/>
          <w:szCs w:val="24"/>
        </w:rPr>
        <w:t>częstotliwościa</w:t>
      </w:r>
      <w:r w:rsidR="137CA961" w:rsidRPr="00D44D33">
        <w:rPr>
          <w:rFonts w:ascii="Times New Roman" w:eastAsiaTheme="minorEastAsia" w:hAnsi="Times New Roman" w:cs="Times New Roman"/>
          <w:sz w:val="24"/>
          <w:szCs w:val="24"/>
        </w:rPr>
        <w:t>mi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t>
      </w:r>
      <w:r w:rsidR="00DB4AE2" w:rsidRPr="00D44D33">
        <w:rPr>
          <w:rFonts w:ascii="Times New Roman" w:eastAsiaTheme="minorEastAsia" w:hAnsi="Times New Roman" w:cs="Times New Roman"/>
          <w:sz w:val="24"/>
          <w:szCs w:val="24"/>
        </w:rPr>
        <w:t>wie</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postę</w:t>
      </w:r>
      <w:r w:rsidRPr="00D44D33">
        <w:rPr>
          <w:rFonts w:ascii="Times New Roman" w:eastAsiaTheme="minorEastAsia" w:hAnsi="Times New Roman" w:cs="Times New Roman"/>
          <w:sz w:val="24"/>
          <w:szCs w:val="24"/>
        </w:rPr>
        <w:t>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tydzień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w:t>
      </w:r>
    </w:p>
    <w:p w14:paraId="1E7378FE" w14:textId="7911BBD0" w:rsidR="7321C0BE" w:rsidRPr="00D44D33" w:rsidRDefault="7321C0B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udzielania</w:t>
      </w:r>
      <w:r w:rsidR="00970B2E" w:rsidRPr="00D44D33">
        <w:rPr>
          <w:rFonts w:ascii="Times New Roman" w:eastAsiaTheme="minorEastAsia" w:hAnsi="Times New Roman" w:cs="Times New Roman"/>
          <w:sz w:val="24"/>
          <w:szCs w:val="24"/>
        </w:rPr>
        <w:t xml:space="preserve"> </w:t>
      </w:r>
      <w:r w:rsidR="71A48BCC" w:rsidRPr="00D44D33">
        <w:rPr>
          <w:rFonts w:ascii="Times New Roman" w:eastAsiaTheme="minorEastAsia" w:hAnsi="Times New Roman" w:cs="Times New Roman"/>
          <w:sz w:val="24"/>
          <w:szCs w:val="24"/>
        </w:rPr>
        <w:t>nieodpłatnie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podstawowe,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będące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posiadaniu</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U</w:t>
      </w:r>
      <w:r w:rsidR="00E02A1D" w:rsidRPr="00D44D33">
        <w:rPr>
          <w:rFonts w:ascii="Times New Roman" w:eastAsiaTheme="minorEastAsia" w:hAnsi="Times New Roman" w:cs="Times New Roman"/>
          <w:sz w:val="24"/>
          <w:szCs w:val="24"/>
        </w:rPr>
        <w:t>KE</w:t>
      </w:r>
      <w:r w:rsidR="11D4A52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sporządzanie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analiz,</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zasadach</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komercyjnych</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pozyskać</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1D4A52C" w:rsidRPr="00D44D33">
        <w:rPr>
          <w:rFonts w:ascii="Times New Roman" w:eastAsiaTheme="minorEastAsia" w:hAnsi="Times New Roman" w:cs="Times New Roman"/>
          <w:sz w:val="24"/>
          <w:szCs w:val="24"/>
        </w:rPr>
        <w:t>r</w:t>
      </w:r>
      <w:r w:rsidR="3AEB71EA" w:rsidRPr="00D44D33">
        <w:rPr>
          <w:rFonts w:ascii="Times New Roman" w:eastAsiaTheme="minorEastAsia" w:hAnsi="Times New Roman" w:cs="Times New Roman"/>
          <w:sz w:val="24"/>
          <w:szCs w:val="24"/>
        </w:rPr>
        <w:t>ynku.</w:t>
      </w:r>
    </w:p>
    <w:p w14:paraId="4EF5700E" w14:textId="475543E7"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007A152" w:rsidRPr="00D44D33">
        <w:rPr>
          <w:rFonts w:ascii="Times New Roman" w:eastAsiaTheme="minorEastAsia" w:hAnsi="Times New Roman" w:cs="Times New Roman"/>
          <w:b/>
          <w:bCs/>
          <w:sz w:val="24"/>
          <w:szCs w:val="24"/>
        </w:rPr>
        <w:t>6</w:t>
      </w:r>
      <w:r w:rsidR="009A2D2A" w:rsidRPr="00D44D33">
        <w:rPr>
          <w:rFonts w:ascii="Times New Roman" w:eastAsiaTheme="minorEastAsia" w:hAnsi="Times New Roman" w:cs="Times New Roman"/>
          <w:b/>
          <w:bCs/>
          <w:sz w:val="24"/>
          <w:szCs w:val="24"/>
        </w:rPr>
        <w:t>4</w:t>
      </w:r>
    </w:p>
    <w:p w14:paraId="38D8A360" w14:textId="7299E56E"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371EEA">
        <w:rPr>
          <w:rFonts w:ascii="Times New Roman" w:eastAsiaTheme="minorEastAsia" w:hAnsi="Times New Roman" w:cs="Times New Roman"/>
          <w:sz w:val="24"/>
          <w:szCs w:val="24"/>
        </w:rPr>
        <w:t xml:space="preserve"> </w:t>
      </w:r>
      <w:r w:rsidR="47A3C267"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3888E3F"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skoordynowanego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decyzją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676/2002/WE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najszybciej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02A1D" w:rsidRPr="00D44D33">
        <w:rPr>
          <w:rFonts w:ascii="Times New Roman" w:eastAsiaTheme="minorEastAsia" w:hAnsi="Times New Roman" w:cs="Times New Roman"/>
          <w:sz w:val="24"/>
          <w:szCs w:val="24"/>
        </w:rPr>
        <w:t xml:space="preserve">art. 53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7EF830C2" w:rsidRPr="00D44D33">
        <w:rPr>
          <w:rFonts w:ascii="Times New Roman" w:eastAsiaTheme="minorEastAsia" w:hAnsi="Times New Roman" w:cs="Times New Roman"/>
          <w:sz w:val="24"/>
          <w:szCs w:val="24"/>
        </w:rPr>
        <w:t>dwa</w:t>
      </w:r>
      <w:r w:rsidR="00970B2E" w:rsidRPr="00D44D33">
        <w:rPr>
          <w:rFonts w:ascii="Times New Roman" w:eastAsiaTheme="minorEastAsia" w:hAnsi="Times New Roman" w:cs="Times New Roman"/>
          <w:sz w:val="24"/>
          <w:szCs w:val="24"/>
        </w:rPr>
        <w:t xml:space="preserve"> </w:t>
      </w:r>
      <w:r w:rsidR="7EF830C2"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7EF830C2" w:rsidRPr="00D44D33">
        <w:rPr>
          <w:rFonts w:ascii="Times New Roman" w:eastAsiaTheme="minorEastAsia" w:hAnsi="Times New Roman" w:cs="Times New Roman"/>
          <w:sz w:val="24"/>
          <w:szCs w:val="24"/>
        </w:rPr>
        <w:t>mechanizmy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E02A1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bezterminowy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przykładowo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w:t>
      </w:r>
      <w:r w:rsidR="00E02A1D"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leżącego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zdrowia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pluralizmu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mediów;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nierozstrzygniętych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transgranicznymi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koordynacjami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E02A1D" w:rsidRPr="00D44D33">
        <w:rPr>
          <w:rFonts w:ascii="Times New Roman" w:eastAsiaTheme="minorEastAsia" w:hAnsi="Times New Roman" w:cs="Times New Roman"/>
          <w:sz w:val="24"/>
          <w:szCs w:val="24"/>
        </w:rPr>
        <w:t>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powstaniem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00E575B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575BD"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00E575BD" w:rsidRPr="00D44D33">
        <w:rPr>
          <w:rFonts w:ascii="Times New Roman" w:eastAsiaTheme="minorEastAsia" w:hAnsi="Times New Roman" w:cs="Times New Roman"/>
          <w:sz w:val="24"/>
          <w:szCs w:val="24"/>
        </w:rPr>
        <w:t>państwa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E02A1D" w:rsidRPr="00D44D33">
        <w:rPr>
          <w:rFonts w:ascii="Times New Roman" w:eastAsiaTheme="minorEastAsia" w:hAnsi="Times New Roman" w:cs="Times New Roman"/>
          <w:sz w:val="24"/>
          <w:szCs w:val="24"/>
        </w:rPr>
        <w:t>Pke</w:t>
      </w:r>
      <w:r w:rsidR="6D6FEEC1"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przedłużenia</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D6FEEC1" w:rsidRPr="00D44D33">
        <w:rPr>
          <w:rFonts w:ascii="Times New Roman" w:eastAsiaTheme="minorEastAsia" w:hAnsi="Times New Roman" w:cs="Times New Roman"/>
          <w:sz w:val="24"/>
          <w:szCs w:val="24"/>
        </w:rPr>
        <w:t>przedłużenie</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7CA34122" w:rsidRPr="00D44D33">
        <w:rPr>
          <w:rFonts w:ascii="Times New Roman" w:eastAsiaTheme="minorEastAsia" w:hAnsi="Times New Roman" w:cs="Times New Roman"/>
          <w:sz w:val="24"/>
          <w:szCs w:val="24"/>
        </w:rPr>
        <w:t>miesięcy.</w:t>
      </w:r>
    </w:p>
    <w:p w14:paraId="42E0B6AB"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3748E101"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6A006EFE" w14:textId="7CD94C16"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63387AD0" w:rsidRPr="00D44D33">
        <w:rPr>
          <w:rFonts w:ascii="Times New Roman" w:eastAsiaTheme="minorEastAsia" w:hAnsi="Times New Roman" w:cs="Times New Roman"/>
          <w:b/>
          <w:bCs/>
          <w:sz w:val="24"/>
          <w:szCs w:val="24"/>
        </w:rPr>
        <w:t>6</w:t>
      </w:r>
      <w:r w:rsidR="009A2D2A" w:rsidRPr="00D44D33">
        <w:rPr>
          <w:rFonts w:ascii="Times New Roman" w:eastAsiaTheme="minorEastAsia" w:hAnsi="Times New Roman" w:cs="Times New Roman"/>
          <w:b/>
          <w:bCs/>
          <w:sz w:val="24"/>
          <w:szCs w:val="24"/>
        </w:rPr>
        <w:t>5</w:t>
      </w:r>
    </w:p>
    <w:p w14:paraId="2DAEED4D" w14:textId="3126D210"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środku</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wykonawczym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78CE293E" w:rsidRPr="00D44D33">
        <w:rPr>
          <w:rFonts w:ascii="Times New Roman" w:eastAsiaTheme="minorEastAsia" w:hAnsi="Times New Roman" w:cs="Times New Roman"/>
          <w:sz w:val="24"/>
          <w:szCs w:val="24"/>
        </w:rPr>
        <w:t>dopuścić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w:t>
      </w:r>
      <w:r w:rsidR="002873C7" w:rsidRPr="00D44D33">
        <w:rPr>
          <w:rFonts w:ascii="Times New Roman" w:eastAsiaTheme="minorEastAsia" w:hAnsi="Times New Roman" w:cs="Times New Roman"/>
          <w:sz w:val="24"/>
          <w:szCs w:val="24"/>
        </w:rPr>
        <w:t>obem</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57AB6A49" w:rsidRPr="00D44D33">
        <w:rPr>
          <w:rFonts w:ascii="Times New Roman" w:eastAsiaTheme="minorEastAsia" w:hAnsi="Times New Roman" w:cs="Times New Roman"/>
          <w:sz w:val="24"/>
          <w:szCs w:val="24"/>
        </w:rPr>
        <w:t>zezwolić</w:t>
      </w:r>
      <w:r w:rsidR="00970B2E" w:rsidRPr="00D44D33">
        <w:rPr>
          <w:rFonts w:ascii="Times New Roman" w:eastAsiaTheme="minorEastAsia" w:hAnsi="Times New Roman" w:cs="Times New Roman"/>
          <w:sz w:val="24"/>
          <w:szCs w:val="24"/>
        </w:rPr>
        <w:t xml:space="preserve"> </w:t>
      </w:r>
      <w:r w:rsidR="57AB6A4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pasma</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zharmonizowany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negatywnego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długoterminowe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w:t>
      </w:r>
      <w:r w:rsidR="00DB4AE2"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przeprowadzić</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postę</w:t>
      </w:r>
      <w:r w:rsidRPr="00D44D33">
        <w:rPr>
          <w:rFonts w:ascii="Times New Roman" w:eastAsiaTheme="minorEastAsia" w:hAnsi="Times New Roman" w:cs="Times New Roman"/>
          <w:sz w:val="24"/>
          <w:szCs w:val="24"/>
        </w:rPr>
        <w:t>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środkiem</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wykonawczym</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zharmonizowany</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UE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cyklicznych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przeglądów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najszybsze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środkiem</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wykonawczym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zharmonizowany</w:t>
      </w:r>
      <w:r w:rsidRPr="00D44D33">
        <w:rPr>
          <w:rFonts w:ascii="Times New Roman" w:eastAsiaTheme="minorEastAsia" w:hAnsi="Times New Roman" w:cs="Times New Roman"/>
          <w:sz w:val="24"/>
          <w:szCs w:val="24"/>
        </w:rPr>
        <w:t>.</w:t>
      </w:r>
    </w:p>
    <w:p w14:paraId="2AD27372" w14:textId="23F3276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2873C7" w:rsidRPr="00D44D33">
        <w:rPr>
          <w:rFonts w:ascii="Times New Roman" w:eastAsiaTheme="minorEastAsia" w:hAnsi="Times New Roman" w:cs="Times New Roman"/>
          <w:sz w:val="24"/>
          <w:szCs w:val="24"/>
        </w:rPr>
        <w:t>trzeby</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zharmonizowany</w:t>
      </w:r>
      <w:r w:rsidR="7FE8059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7FE80591" w:rsidRPr="00D44D33">
        <w:rPr>
          <w:rFonts w:ascii="Times New Roman" w:eastAsiaTheme="minorEastAsia" w:hAnsi="Times New Roman" w:cs="Times New Roman"/>
          <w:sz w:val="24"/>
          <w:szCs w:val="24"/>
        </w:rPr>
        <w:t>okres</w:t>
      </w:r>
      <w:r w:rsidRPr="00D44D33">
        <w:rPr>
          <w:rFonts w:ascii="Times New Roman" w:eastAsiaTheme="minorEastAsia" w:hAnsi="Times New Roman" w:cs="Times New Roman"/>
          <w:sz w:val="24"/>
          <w:szCs w:val="24"/>
        </w:rPr>
        <w:t>.</w:t>
      </w:r>
    </w:p>
    <w:p w14:paraId="66A3B966" w14:textId="423B1A32"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07F791F" w:rsidRPr="00D44D33">
        <w:rPr>
          <w:rFonts w:ascii="Times New Roman" w:eastAsiaTheme="minorEastAsia" w:hAnsi="Times New Roman" w:cs="Times New Roman"/>
          <w:b/>
          <w:bCs/>
          <w:sz w:val="24"/>
          <w:szCs w:val="24"/>
        </w:rPr>
        <w:t>6</w:t>
      </w:r>
      <w:r w:rsidR="009A2D2A" w:rsidRPr="00D44D33">
        <w:rPr>
          <w:rFonts w:ascii="Times New Roman" w:eastAsiaTheme="minorEastAsia" w:hAnsi="Times New Roman" w:cs="Times New Roman"/>
          <w:b/>
          <w:bCs/>
          <w:sz w:val="24"/>
          <w:szCs w:val="24"/>
        </w:rPr>
        <w:t>6</w:t>
      </w:r>
    </w:p>
    <w:p w14:paraId="320C67DB" w14:textId="06007DDC"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hyperlink r:id="rId18">
        <w:r w:rsidRPr="00D44D33">
          <w:rPr>
            <w:rStyle w:val="Hipercze"/>
            <w:rFonts w:ascii="Times New Roman" w:eastAsiaTheme="minorEastAsia" w:hAnsi="Times New Roman" w:cs="Times New Roman"/>
            <w:color w:val="auto"/>
            <w:sz w:val="24"/>
            <w:szCs w:val="24"/>
            <w:u w:val="none"/>
          </w:rPr>
          <w:t>2006/679/WE</w:t>
        </w:r>
      </w:hyperlink>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transeuropejskiego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konwencjonalnych.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komercjalizacji</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restrukturyzacji</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państwowego</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„Polskie</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Koleje</w:t>
      </w:r>
      <w:r w:rsidR="00970B2E" w:rsidRPr="00D44D33">
        <w:rPr>
          <w:rFonts w:ascii="Times New Roman" w:eastAsiaTheme="minorEastAsia" w:hAnsi="Times New Roman" w:cs="Times New Roman"/>
          <w:sz w:val="24"/>
          <w:szCs w:val="24"/>
        </w:rPr>
        <w:t xml:space="preserve"> </w:t>
      </w:r>
      <w:r w:rsidR="007A0C8A" w:rsidRPr="00D44D33">
        <w:rPr>
          <w:rFonts w:ascii="Times New Roman" w:eastAsiaTheme="minorEastAsia" w:hAnsi="Times New Roman" w:cs="Times New Roman"/>
          <w:sz w:val="24"/>
          <w:szCs w:val="24"/>
        </w:rPr>
        <w:t>Państwowe”</w:t>
      </w:r>
      <w:r w:rsidR="00DD7F59" w:rsidRPr="00D44D33">
        <w:rPr>
          <w:rFonts w:ascii="Times New Roman" w:eastAsiaTheme="minorEastAsia" w:hAnsi="Times New Roman" w:cs="Times New Roman"/>
          <w:sz w:val="24"/>
          <w:szCs w:val="24"/>
        </w:rPr>
        <w:t xml:space="preserve"> (Dz. U. z 20</w:t>
      </w:r>
      <w:r w:rsidR="00E02A1D" w:rsidRPr="00D44D33">
        <w:rPr>
          <w:rFonts w:ascii="Times New Roman" w:eastAsiaTheme="minorEastAsia" w:hAnsi="Times New Roman" w:cs="Times New Roman"/>
          <w:sz w:val="24"/>
          <w:szCs w:val="24"/>
        </w:rPr>
        <w:t>2</w:t>
      </w:r>
      <w:r w:rsidR="00DD7F59" w:rsidRPr="00D44D33">
        <w:rPr>
          <w:rFonts w:ascii="Times New Roman" w:eastAsiaTheme="minorEastAsia" w:hAnsi="Times New Roman" w:cs="Times New Roman"/>
          <w:sz w:val="24"/>
          <w:szCs w:val="24"/>
        </w:rPr>
        <w:t xml:space="preserve">1 r. poz. </w:t>
      </w:r>
      <w:r w:rsidR="00DD7F59" w:rsidRPr="00D44D33">
        <w:rPr>
          <w:rFonts w:ascii="Times New Roman" w:hAnsi="Times New Roman" w:cs="Times New Roman"/>
          <w:sz w:val="24"/>
          <w:szCs w:val="24"/>
        </w:rPr>
        <w:t>146</w:t>
      </w:r>
      <w:r w:rsidR="00862484" w:rsidRPr="00D44D33">
        <w:rPr>
          <w:rFonts w:ascii="Times New Roman" w:hAnsi="Times New Roman" w:cs="Times New Roman"/>
          <w:sz w:val="24"/>
          <w:szCs w:val="24"/>
        </w:rPr>
        <w:t>,</w:t>
      </w:r>
      <w:r w:rsidR="00DD7F59" w:rsidRPr="00D44D33">
        <w:rPr>
          <w:rFonts w:ascii="Times New Roman" w:hAnsi="Times New Roman" w:cs="Times New Roman"/>
          <w:sz w:val="24"/>
          <w:szCs w:val="24"/>
        </w:rPr>
        <w:t xml:space="preserve"> </w:t>
      </w:r>
      <w:r w:rsidR="00862484" w:rsidRPr="00D44D33">
        <w:rPr>
          <w:rFonts w:ascii="Times New Roman" w:eastAsiaTheme="minorEastAsia" w:hAnsi="Times New Roman" w:cs="Times New Roman"/>
          <w:sz w:val="24"/>
          <w:szCs w:val="24"/>
        </w:rPr>
        <w:t>z późn. zm.)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GSM-R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spółka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powołana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działająca</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firmą</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PKP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w:t>
      </w:r>
      <w:r w:rsidR="00DE19F2"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Linie</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Kolejowe</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Spółka</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Akcyjna”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GSM-R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transportu.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GSM-R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przetargowej.</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66AA074" w:rsidRPr="00D44D33">
        <w:rPr>
          <w:rFonts w:ascii="Times New Roman" w:eastAsiaTheme="minorEastAsia" w:hAnsi="Times New Roman" w:cs="Times New Roman"/>
          <w:sz w:val="24"/>
          <w:szCs w:val="24"/>
        </w:rPr>
        <w:t>115</w:t>
      </w:r>
      <w:r w:rsidR="466AA074" w:rsidRPr="00D44D33">
        <w:rPr>
          <w:rFonts w:ascii="Times New Roman" w:eastAsiaTheme="minorEastAsia" w:hAnsi="Times New Roman" w:cs="Times New Roman"/>
          <w:sz w:val="24"/>
          <w:szCs w:val="24"/>
          <w:vertAlign w:val="superscript"/>
        </w:rPr>
        <w:t>2</w:t>
      </w:r>
      <w:r w:rsidR="466AA074" w:rsidRPr="00D44D33">
        <w:rPr>
          <w:rFonts w:ascii="Times New Roman" w:eastAsiaTheme="minorEastAsia" w:hAnsi="Times New Roman" w:cs="Times New Roman"/>
          <w:sz w:val="24"/>
          <w:szCs w:val="24"/>
        </w:rPr>
        <w:t>.</w:t>
      </w:r>
    </w:p>
    <w:p w14:paraId="20F90252" w14:textId="315F1927"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8D54740" w:rsidRPr="00D44D33">
        <w:rPr>
          <w:rFonts w:ascii="Times New Roman" w:eastAsiaTheme="minorEastAsia" w:hAnsi="Times New Roman" w:cs="Times New Roman"/>
          <w:b/>
          <w:bCs/>
          <w:sz w:val="24"/>
          <w:szCs w:val="24"/>
        </w:rPr>
        <w:t>6</w:t>
      </w:r>
      <w:r w:rsidR="009A2D2A" w:rsidRPr="00D44D33">
        <w:rPr>
          <w:rFonts w:ascii="Times New Roman" w:eastAsiaTheme="minorEastAsia" w:hAnsi="Times New Roman" w:cs="Times New Roman"/>
          <w:b/>
          <w:bCs/>
          <w:sz w:val="24"/>
          <w:szCs w:val="24"/>
        </w:rPr>
        <w:t>7</w:t>
      </w:r>
    </w:p>
    <w:p w14:paraId="0BDABB64" w14:textId="22FC24D4"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energetycznymi</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D7FD24D" w:rsidRPr="00D44D33">
        <w:rPr>
          <w:rFonts w:ascii="Times New Roman" w:eastAsiaTheme="minorEastAsia" w:hAnsi="Times New Roman" w:cs="Times New Roman"/>
          <w:sz w:val="24"/>
          <w:szCs w:val="24"/>
        </w:rPr>
        <w:t>obecnie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nowelizacją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E02A1D"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hyperlink r:id="rId19">
        <w:r w:rsidRPr="00D44D33">
          <w:rPr>
            <w:rStyle w:val="Hipercze"/>
            <w:rFonts w:ascii="Times New Roman" w:eastAsiaTheme="minorEastAsia" w:hAnsi="Times New Roman" w:cs="Times New Roman"/>
            <w:color w:val="auto"/>
            <w:sz w:val="24"/>
            <w:szCs w:val="24"/>
            <w:u w:val="none"/>
          </w:rPr>
          <w:t>art.</w:t>
        </w:r>
      </w:hyperlink>
      <w:r w:rsidR="00970B2E" w:rsidRPr="00D44D33">
        <w:rPr>
          <w:rStyle w:val="Hipercze"/>
          <w:rFonts w:ascii="Times New Roman" w:eastAsiaTheme="minorEastAsia" w:hAnsi="Times New Roman" w:cs="Times New Roman"/>
          <w:color w:val="auto"/>
          <w:sz w:val="24"/>
          <w:szCs w:val="24"/>
          <w:u w:val="none"/>
        </w:rPr>
        <w:t xml:space="preserve"> </w:t>
      </w:r>
      <w:r w:rsidR="00A5279B" w:rsidRPr="00D44D33">
        <w:rPr>
          <w:rStyle w:val="Hipercze"/>
          <w:rFonts w:ascii="Times New Roman" w:eastAsiaTheme="minorEastAsia" w:hAnsi="Times New Roman" w:cs="Times New Roman"/>
          <w:color w:val="auto"/>
          <w:sz w:val="24"/>
          <w:szCs w:val="24"/>
          <w:u w:val="none"/>
        </w:rPr>
        <w:t>104</w:t>
      </w:r>
      <w:r w:rsidR="00970B2E" w:rsidRPr="00D44D33">
        <w:rPr>
          <w:rStyle w:val="Hipercze"/>
          <w:rFonts w:ascii="Times New Roman" w:eastAsiaTheme="minorEastAsia" w:hAnsi="Times New Roman" w:cs="Times New Roman"/>
          <w:color w:val="auto"/>
          <w:sz w:val="24"/>
          <w:szCs w:val="24"/>
          <w:u w:val="none"/>
        </w:rPr>
        <w:t xml:space="preserve"> </w:t>
      </w:r>
      <w:r w:rsidRPr="00D44D33">
        <w:rPr>
          <w:rStyle w:val="Hipercze"/>
          <w:rFonts w:ascii="Times New Roman" w:eastAsiaTheme="minorEastAsia" w:hAnsi="Times New Roman" w:cs="Times New Roman"/>
          <w:color w:val="auto"/>
          <w:sz w:val="24"/>
          <w:szCs w:val="24"/>
          <w:u w:val="none"/>
        </w:rPr>
        <w:t>ust.</w:t>
      </w:r>
      <w:r w:rsidR="00970B2E" w:rsidRPr="00D44D33">
        <w:rPr>
          <w:rStyle w:val="Hipercze"/>
          <w:rFonts w:ascii="Times New Roman" w:eastAsiaTheme="minorEastAsia" w:hAnsi="Times New Roman" w:cs="Times New Roman"/>
          <w:color w:val="auto"/>
          <w:sz w:val="24"/>
          <w:szCs w:val="24"/>
          <w:u w:val="none"/>
        </w:rPr>
        <w:t xml:space="preserve"> </w:t>
      </w:r>
      <w:r w:rsidRPr="00D44D33">
        <w:rPr>
          <w:rStyle w:val="Hipercze"/>
          <w:rFonts w:ascii="Times New Roman" w:eastAsiaTheme="minorEastAsia" w:hAnsi="Times New Roman" w:cs="Times New Roman"/>
          <w:color w:val="auto"/>
          <w:sz w:val="24"/>
          <w:szCs w:val="24"/>
          <w:u w:val="none"/>
        </w:rPr>
        <w:t>3</w:t>
      </w:r>
      <w:r w:rsidR="00970B2E" w:rsidRPr="00D44D33">
        <w:rPr>
          <w:rFonts w:ascii="Times New Roman" w:eastAsiaTheme="minorEastAsia" w:hAnsi="Times New Roman" w:cs="Times New Roman"/>
          <w:sz w:val="24"/>
          <w:szCs w:val="24"/>
        </w:rPr>
        <w:t xml:space="preserve"> </w:t>
      </w:r>
      <w:r w:rsidR="00E02A1D"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nawet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ograniczoności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uprawnionych.</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mimo</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faktycznie</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przydzielone,</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m</w:t>
      </w:r>
      <w:r w:rsidR="00E02A1D"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in</w:t>
      </w:r>
      <w:r w:rsidR="2A0EB9E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5F4FE546"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17FFF96E"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17FFF96E" w:rsidRPr="00D44D33">
        <w:rPr>
          <w:rFonts w:ascii="Times New Roman" w:eastAsiaTheme="minorEastAsia" w:hAnsi="Times New Roman" w:cs="Times New Roman"/>
          <w:sz w:val="24"/>
          <w:szCs w:val="24"/>
        </w:rPr>
        <w:t>odnowienia</w:t>
      </w:r>
      <w:r w:rsidR="00970B2E" w:rsidRPr="00D44D33">
        <w:rPr>
          <w:rFonts w:ascii="Times New Roman" w:eastAsiaTheme="minorEastAsia" w:hAnsi="Times New Roman" w:cs="Times New Roman"/>
          <w:sz w:val="24"/>
          <w:szCs w:val="24"/>
        </w:rPr>
        <w:t xml:space="preserve"> </w:t>
      </w:r>
      <w:r w:rsidR="17FFF96E"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17FFF96E"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p>
    <w:p w14:paraId="61539643" w14:textId="3635DD9B"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5D0F4B" w:rsidRPr="00D44D33">
        <w:rPr>
          <w:rFonts w:ascii="Times New Roman" w:eastAsiaTheme="minorEastAsia" w:hAnsi="Times New Roman" w:cs="Times New Roman"/>
          <w:b/>
          <w:bCs/>
          <w:sz w:val="24"/>
          <w:szCs w:val="24"/>
        </w:rPr>
        <w:t>68</w:t>
      </w:r>
    </w:p>
    <w:p w14:paraId="5EB86540" w14:textId="2599125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ścisłym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orbitalnych.</w:t>
      </w:r>
    </w:p>
    <w:p w14:paraId="63112B14" w14:textId="1C92EFD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p>
    <w:p w14:paraId="24AE8E83" w14:textId="72F430E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p>
    <w:p w14:paraId="579DEED0" w14:textId="675C1B5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Porozumienie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cofnął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wtórny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p>
    <w:p w14:paraId="60DF7661" w14:textId="3ACE7189" w:rsidR="00BA1A16" w:rsidRPr="00D44D33" w:rsidRDefault="37272D34"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r w:rsidR="00970B2E" w:rsidRPr="00D44D33">
        <w:rPr>
          <w:rFonts w:ascii="Times New Roman" w:hAnsi="Times New Roman" w:cs="Times New Roman"/>
          <w:sz w:val="24"/>
          <w:szCs w:val="24"/>
        </w:rPr>
        <w:t xml:space="preserve"> </w:t>
      </w:r>
      <w:r w:rsidR="61A8AE49"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61A8AE49" w:rsidRPr="00D44D33">
        <w:rPr>
          <w:rFonts w:ascii="Times New Roman" w:hAnsi="Times New Roman" w:cs="Times New Roman"/>
          <w:sz w:val="24"/>
          <w:szCs w:val="24"/>
        </w:rPr>
        <w:t>114)</w:t>
      </w:r>
      <w:r w:rsidRPr="00D44D33">
        <w:rPr>
          <w:rFonts w:ascii="Times New Roman" w:hAnsi="Times New Roman" w:cs="Times New Roman"/>
          <w:sz w:val="24"/>
          <w:szCs w:val="24"/>
        </w:rPr>
        <w:t>.</w:t>
      </w:r>
    </w:p>
    <w:p w14:paraId="77CD58C0" w14:textId="1CE67A9A"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5D0F4B" w:rsidRPr="00D44D33">
        <w:rPr>
          <w:rFonts w:ascii="Times New Roman" w:eastAsiaTheme="minorEastAsia" w:hAnsi="Times New Roman" w:cs="Times New Roman"/>
          <w:b/>
          <w:bCs/>
          <w:sz w:val="24"/>
          <w:szCs w:val="24"/>
        </w:rPr>
        <w:t>69</w:t>
      </w:r>
    </w:p>
    <w:p w14:paraId="1BD2C513" w14:textId="68BA887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70AD1F0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7FDF1F2C" w14:textId="528E7A2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w:t>
      </w:r>
      <w:r w:rsidR="00970B2E" w:rsidRPr="00D44D33">
        <w:rPr>
          <w:rFonts w:ascii="Times New Roman" w:eastAsiaTheme="minorEastAsia" w:hAnsi="Times New Roman" w:cs="Times New Roman"/>
          <w:sz w:val="24"/>
          <w:szCs w:val="24"/>
        </w:rPr>
        <w:t xml:space="preserve"> </w:t>
      </w:r>
      <w:r w:rsidR="00E02A1D"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E02A1D"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E02A1D" w:rsidRPr="00D44D33">
        <w:rPr>
          <w:rFonts w:ascii="Times New Roman" w:eastAsiaTheme="minorEastAsia" w:hAnsi="Times New Roman" w:cs="Times New Roman"/>
          <w:sz w:val="24"/>
          <w:szCs w:val="24"/>
        </w:rPr>
        <w:t>, w 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w:t>
      </w:r>
      <w:r w:rsidR="00E02A1D"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p>
    <w:p w14:paraId="2DBBE0CF" w14:textId="3758FBD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Kolejnym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E02A1D" w:rsidRPr="00D44D33">
        <w:rPr>
          <w:rFonts w:ascii="Times New Roman" w:eastAsiaTheme="minorEastAsia" w:hAnsi="Times New Roman" w:cs="Times New Roman"/>
          <w:sz w:val="24"/>
          <w:szCs w:val="24"/>
        </w:rPr>
        <w:t xml:space="preserve">TPCz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873C7"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planistycznymi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p>
    <w:p w14:paraId="1BAC2890" w14:textId="129DFD0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zagrażają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radionawigacyjnej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poważny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pogarszają,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wielokrotnie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przerywają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p>
    <w:p w14:paraId="369CDB1A" w14:textId="2955901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Kolejnym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niepowodowani</w:t>
      </w:r>
      <w:r w:rsidR="00E02A1D"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granicami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0C0599">
        <w:rPr>
          <w:rFonts w:ascii="Times New Roman" w:eastAsiaTheme="minorEastAsia" w:hAnsi="Times New Roman" w:cs="Times New Roman"/>
          <w:sz w:val="24"/>
          <w:szCs w:val="24"/>
        </w:rPr>
        <w:t>y</w:t>
      </w:r>
      <w:r w:rsidRPr="00D44D33">
        <w:rPr>
          <w:rFonts w:ascii="Times New Roman" w:eastAsiaTheme="minorEastAsia" w:hAnsi="Times New Roman" w:cs="Times New Roman"/>
          <w:sz w:val="24"/>
          <w:szCs w:val="24"/>
        </w:rPr>
        <w:t>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p>
    <w:p w14:paraId="3A8E5687" w14:textId="214F705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p>
    <w:p w14:paraId="019A49F8" w14:textId="5236EFF5" w:rsidR="00E13946" w:rsidRPr="00D44D33" w:rsidRDefault="00E1394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umiejscowienia,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merytorycznie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tożsame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25DDC" w:rsidRPr="00D44D33">
        <w:rPr>
          <w:rFonts w:ascii="Times New Roman" w:eastAsiaTheme="minorEastAsia" w:hAnsi="Times New Roman" w:cs="Times New Roman"/>
          <w:sz w:val="24"/>
          <w:szCs w:val="24"/>
        </w:rPr>
        <w:t>dotychczasowymi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E02A1D" w:rsidRPr="00D44D33">
        <w:rPr>
          <w:rFonts w:ascii="Times New Roman" w:eastAsiaTheme="minorEastAsia" w:hAnsi="Times New Roman" w:cs="Times New Roman"/>
          <w:sz w:val="24"/>
          <w:szCs w:val="24"/>
        </w:rPr>
        <w:t xml:space="preserve">z dnia 29 grudnia 1992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p>
    <w:p w14:paraId="1714692A" w14:textId="27F1D2D0" w:rsidR="2E1A1F7F" w:rsidRPr="00D44D33" w:rsidRDefault="2E1A1F7F" w:rsidP="00D44D33">
      <w:pPr>
        <w:pStyle w:val="h1chapter"/>
        <w:spacing w:before="120" w:after="120" w:line="360" w:lineRule="auto"/>
        <w:jc w:val="both"/>
        <w:rPr>
          <w:rFonts w:ascii="Times New Roman" w:hAnsi="Times New Roman" w:cs="Times New Roman"/>
          <w:color w:val="auto"/>
          <w:sz w:val="24"/>
          <w:szCs w:val="24"/>
        </w:rPr>
      </w:pPr>
      <w:r w:rsidRPr="00D44D33">
        <w:rPr>
          <w:rFonts w:ascii="Times New Roman" w:hAnsi="Times New Roman" w:cs="Times New Roman"/>
          <w:b w:val="0"/>
          <w:bCs w:val="0"/>
          <w:color w:val="auto"/>
          <w:sz w:val="24"/>
          <w:szCs w:val="24"/>
        </w:rPr>
        <w:t>Regulacje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zbliżonym</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kształcie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funkcjonowały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już</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gruncie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Pt</w:t>
      </w:r>
      <w:r w:rsidR="00970B2E" w:rsidRPr="00D44D33">
        <w:rPr>
          <w:rFonts w:ascii="Times New Roman" w:hAnsi="Times New Roman" w:cs="Times New Roman"/>
          <w:b w:val="0"/>
          <w:bCs w:val="0"/>
          <w:color w:val="auto"/>
          <w:sz w:val="24"/>
          <w:szCs w:val="24"/>
        </w:rPr>
        <w:t xml:space="preserve"> </w:t>
      </w:r>
      <w:r w:rsidR="7ADC9D19" w:rsidRPr="00D44D33">
        <w:rPr>
          <w:rFonts w:ascii="Times New Roman" w:hAnsi="Times New Roman" w:cs="Times New Roman"/>
          <w:b w:val="0"/>
          <w:bCs w:val="0"/>
          <w:color w:val="auto"/>
          <w:sz w:val="24"/>
          <w:szCs w:val="24"/>
        </w:rPr>
        <w:t>(art.</w:t>
      </w:r>
      <w:r w:rsidR="00970B2E" w:rsidRPr="00D44D33">
        <w:rPr>
          <w:rFonts w:ascii="Times New Roman" w:hAnsi="Times New Roman" w:cs="Times New Roman"/>
          <w:b w:val="0"/>
          <w:bCs w:val="0"/>
          <w:color w:val="auto"/>
          <w:sz w:val="24"/>
          <w:szCs w:val="24"/>
        </w:rPr>
        <w:t xml:space="preserve"> </w:t>
      </w:r>
      <w:r w:rsidR="7ADC9D19" w:rsidRPr="00D44D33">
        <w:rPr>
          <w:rFonts w:ascii="Times New Roman" w:hAnsi="Times New Roman" w:cs="Times New Roman"/>
          <w:b w:val="0"/>
          <w:bCs w:val="0"/>
          <w:color w:val="auto"/>
          <w:sz w:val="24"/>
          <w:szCs w:val="24"/>
        </w:rPr>
        <w:t>114</w:t>
      </w:r>
      <w:r w:rsidR="00970B2E" w:rsidRPr="00D44D33">
        <w:rPr>
          <w:rFonts w:ascii="Times New Roman" w:hAnsi="Times New Roman" w:cs="Times New Roman"/>
          <w:b w:val="0"/>
          <w:bCs w:val="0"/>
          <w:color w:val="auto"/>
          <w:sz w:val="24"/>
          <w:szCs w:val="24"/>
        </w:rPr>
        <w:t xml:space="preserve"> </w:t>
      </w:r>
      <w:r w:rsidR="7ADC9D19" w:rsidRPr="00D44D33">
        <w:rPr>
          <w:rFonts w:ascii="Times New Roman" w:hAnsi="Times New Roman" w:cs="Times New Roman"/>
          <w:b w:val="0"/>
          <w:bCs w:val="0"/>
          <w:color w:val="auto"/>
          <w:sz w:val="24"/>
          <w:szCs w:val="24"/>
        </w:rPr>
        <w:t>Pt)</w:t>
      </w:r>
      <w:r w:rsidRPr="00D44D33">
        <w:rPr>
          <w:rFonts w:ascii="Times New Roman" w:hAnsi="Times New Roman" w:cs="Times New Roman"/>
          <w:b w:val="0"/>
          <w:bCs w:val="0"/>
          <w:color w:val="auto"/>
          <w:sz w:val="24"/>
          <w:szCs w:val="24"/>
        </w:rPr>
        <w:t>.</w:t>
      </w:r>
    </w:p>
    <w:p w14:paraId="05134156" w14:textId="09814206" w:rsidR="532DDE3C" w:rsidRPr="00D44D33" w:rsidRDefault="532DDE3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5D0F4B" w:rsidRPr="00D44D33">
        <w:rPr>
          <w:rFonts w:ascii="Times New Roman" w:eastAsiaTheme="minorEastAsia" w:hAnsi="Times New Roman" w:cs="Times New Roman"/>
          <w:b/>
          <w:bCs/>
          <w:sz w:val="24"/>
          <w:szCs w:val="24"/>
        </w:rPr>
        <w:t>70</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00E02A1D" w:rsidRPr="00D44D33">
        <w:rPr>
          <w:rFonts w:ascii="Times New Roman" w:eastAsiaTheme="minorEastAsia" w:hAnsi="Times New Roman" w:cs="Times New Roman"/>
          <w:b/>
          <w:bCs/>
          <w:sz w:val="24"/>
          <w:szCs w:val="24"/>
        </w:rPr>
        <w:t xml:space="preserve">art. </w:t>
      </w:r>
      <w:r w:rsidR="1425AB99" w:rsidRPr="00D44D33">
        <w:rPr>
          <w:rFonts w:ascii="Times New Roman" w:eastAsiaTheme="minorEastAsia" w:hAnsi="Times New Roman" w:cs="Times New Roman"/>
          <w:b/>
          <w:bCs/>
          <w:sz w:val="24"/>
          <w:szCs w:val="24"/>
        </w:rPr>
        <w:t>7</w:t>
      </w:r>
      <w:r w:rsidR="005D0F4B" w:rsidRPr="00D44D33">
        <w:rPr>
          <w:rFonts w:ascii="Times New Roman" w:eastAsiaTheme="minorEastAsia" w:hAnsi="Times New Roman" w:cs="Times New Roman"/>
          <w:b/>
          <w:bCs/>
          <w:sz w:val="24"/>
          <w:szCs w:val="24"/>
        </w:rPr>
        <w:t>1</w:t>
      </w:r>
    </w:p>
    <w:p w14:paraId="4EBE2D63" w14:textId="6B13108B" w:rsidR="35C58542" w:rsidRPr="00D44D33" w:rsidRDefault="532DDE3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niecywilnych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E02A1D" w:rsidRPr="00D44D33">
        <w:rPr>
          <w:rFonts w:ascii="Times New Roman" w:eastAsiaTheme="minorEastAsia" w:hAnsi="Times New Roman" w:cs="Times New Roman"/>
          <w:sz w:val="24"/>
          <w:szCs w:val="24"/>
        </w:rPr>
        <w:t>TPCz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cywilno-rządowego.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koordynacji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001A7CD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A7CDF" w:rsidRPr="00D44D33">
        <w:rPr>
          <w:rFonts w:ascii="Times New Roman" w:eastAsiaTheme="minorEastAsia" w:hAnsi="Times New Roman" w:cs="Times New Roman"/>
          <w:sz w:val="24"/>
          <w:szCs w:val="24"/>
        </w:rPr>
        <w:t>użytkowaniu</w:t>
      </w:r>
      <w:r w:rsidR="00970B2E" w:rsidRPr="00D44D33">
        <w:rPr>
          <w:rFonts w:ascii="Times New Roman" w:eastAsiaTheme="minorEastAsia" w:hAnsi="Times New Roman" w:cs="Times New Roman"/>
          <w:sz w:val="24"/>
          <w:szCs w:val="24"/>
        </w:rPr>
        <w:t xml:space="preserve"> </w:t>
      </w:r>
      <w:r w:rsidR="001A7CDF" w:rsidRPr="00D44D33">
        <w:rPr>
          <w:rFonts w:ascii="Times New Roman" w:eastAsiaTheme="minorEastAsia" w:hAnsi="Times New Roman" w:cs="Times New Roman"/>
          <w:sz w:val="24"/>
          <w:szCs w:val="24"/>
        </w:rPr>
        <w:t>rządow</w:t>
      </w:r>
      <w:r w:rsidR="005D4908" w:rsidRPr="00D44D33">
        <w:rPr>
          <w:rFonts w:ascii="Times New Roman" w:eastAsiaTheme="minorEastAsia" w:hAnsi="Times New Roman" w:cs="Times New Roman"/>
          <w:sz w:val="24"/>
          <w:szCs w:val="24"/>
        </w:rPr>
        <w:t>ym,</w:t>
      </w:r>
      <w:r w:rsidR="00970B2E" w:rsidRPr="00D44D33">
        <w:rPr>
          <w:rFonts w:ascii="Times New Roman" w:eastAsiaTheme="minorEastAsia" w:hAnsi="Times New Roman" w:cs="Times New Roman"/>
          <w:sz w:val="24"/>
          <w:szCs w:val="24"/>
        </w:rPr>
        <w:t xml:space="preserve"> </w:t>
      </w:r>
      <w:r w:rsidR="005D490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D4908"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D4908"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005D4908" w:rsidRPr="00D44D33">
        <w:rPr>
          <w:rFonts w:ascii="Times New Roman" w:eastAsiaTheme="minorEastAsia" w:hAnsi="Times New Roman" w:cs="Times New Roman"/>
          <w:sz w:val="24"/>
          <w:szCs w:val="24"/>
        </w:rPr>
        <w:t>przydziałów</w:t>
      </w:r>
      <w:r w:rsidR="00970B2E" w:rsidRPr="00D44D33">
        <w:rPr>
          <w:rFonts w:ascii="Times New Roman" w:eastAsiaTheme="minorEastAsia" w:hAnsi="Times New Roman" w:cs="Times New Roman"/>
          <w:sz w:val="24"/>
          <w:szCs w:val="24"/>
        </w:rPr>
        <w:t xml:space="preserve"> </w:t>
      </w:r>
      <w:r w:rsidR="001A7CDF"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doświadczenie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001A7CDF" w:rsidRPr="00D44D33">
        <w:rPr>
          <w:rFonts w:ascii="Times New Roman" w:eastAsiaTheme="minorEastAsia" w:hAnsi="Times New Roman" w:cs="Times New Roman"/>
          <w:sz w:val="24"/>
          <w:szCs w:val="24"/>
        </w:rPr>
        <w:t>koordynującym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strukturach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Wojskowe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w:t>
      </w:r>
      <w:r w:rsidR="00DE19F2" w:rsidRPr="00D44D33">
        <w:rPr>
          <w:rFonts w:ascii="Times New Roman" w:eastAsiaTheme="minorEastAsia" w:hAnsi="Times New Roman" w:cs="Times New Roman"/>
          <w:sz w:val="24"/>
          <w:szCs w:val="24"/>
        </w:rPr>
        <w:t>ęstotliwościami.</w:t>
      </w:r>
    </w:p>
    <w:p w14:paraId="70E00671" w14:textId="617D7DFE" w:rsidR="006E198F" w:rsidRPr="00D44D33" w:rsidRDefault="005D0F4B"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72</w:t>
      </w:r>
      <w:r w:rsidR="000C0599">
        <w:rPr>
          <w:rFonts w:ascii="Times New Roman" w:eastAsiaTheme="minorEastAsia" w:hAnsi="Times New Roman" w:cs="Times New Roman"/>
          <w:b/>
          <w:sz w:val="24"/>
          <w:szCs w:val="24"/>
        </w:rPr>
        <w:t>–</w:t>
      </w:r>
      <w:r w:rsidR="006E198F" w:rsidRPr="00D44D33">
        <w:rPr>
          <w:rFonts w:ascii="Times New Roman" w:eastAsiaTheme="minorEastAsia" w:hAnsi="Times New Roman" w:cs="Times New Roman"/>
          <w:b/>
          <w:sz w:val="24"/>
          <w:szCs w:val="24"/>
        </w:rPr>
        <w:t>7</w:t>
      </w:r>
      <w:r w:rsidRPr="00D44D33">
        <w:rPr>
          <w:rFonts w:ascii="Times New Roman" w:eastAsiaTheme="minorEastAsia" w:hAnsi="Times New Roman" w:cs="Times New Roman"/>
          <w:b/>
          <w:sz w:val="24"/>
          <w:szCs w:val="24"/>
        </w:rPr>
        <w:t>9</w:t>
      </w:r>
    </w:p>
    <w:p w14:paraId="6242151F" w14:textId="1AA3233C" w:rsidR="006E198F" w:rsidRPr="00D44D33" w:rsidRDefault="006E198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196FF5" w:rsidRPr="00D44D33">
        <w:rPr>
          <w:rFonts w:ascii="Times New Roman" w:eastAsiaTheme="minorEastAsia" w:hAnsi="Times New Roman" w:cs="Times New Roman"/>
          <w:sz w:val="24"/>
          <w:szCs w:val="24"/>
        </w:rPr>
        <w:t xml:space="preserve">inistra </w:t>
      </w:r>
      <w:r w:rsidRPr="00D44D33">
        <w:rPr>
          <w:rFonts w:ascii="Times New Roman" w:eastAsiaTheme="minorEastAsia" w:hAnsi="Times New Roman" w:cs="Times New Roman"/>
          <w:sz w:val="24"/>
          <w:szCs w:val="24"/>
        </w:rPr>
        <w:t>O</w:t>
      </w:r>
      <w:r w:rsidR="00196FF5" w:rsidRPr="00D44D33">
        <w:rPr>
          <w:rFonts w:ascii="Times New Roman" w:eastAsiaTheme="minorEastAsia" w:hAnsi="Times New Roman" w:cs="Times New Roman"/>
          <w:sz w:val="24"/>
          <w:szCs w:val="24"/>
        </w:rPr>
        <w:t xml:space="preserve">brony </w:t>
      </w:r>
      <w:r w:rsidRPr="00D44D33">
        <w:rPr>
          <w:rFonts w:ascii="Times New Roman" w:eastAsiaTheme="minorEastAsia" w:hAnsi="Times New Roman" w:cs="Times New Roman"/>
          <w:sz w:val="24"/>
          <w:szCs w:val="24"/>
        </w:rPr>
        <w:t>N</w:t>
      </w:r>
      <w:r w:rsidR="00196FF5" w:rsidRPr="00D44D33">
        <w:rPr>
          <w:rFonts w:ascii="Times New Roman" w:eastAsiaTheme="minorEastAsia" w:hAnsi="Times New Roman" w:cs="Times New Roman"/>
          <w:sz w:val="24"/>
          <w:szCs w:val="24"/>
        </w:rPr>
        <w:t>arodowej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rządowego.</w:t>
      </w:r>
    </w:p>
    <w:p w14:paraId="1C31444B" w14:textId="33F0526C" w:rsidR="00D03005" w:rsidRPr="00D44D33" w:rsidRDefault="000F496D" w:rsidP="00D44D33">
      <w:pPr>
        <w:pStyle w:val="divpoint"/>
        <w:spacing w:before="120" w:after="120" w:line="360" w:lineRule="auto"/>
        <w:jc w:val="center"/>
        <w:rPr>
          <w:rFonts w:ascii="Times New Roman" w:hAnsi="Times New Roman" w:cs="Times New Roman"/>
          <w:b/>
          <w:bCs/>
          <w:color w:val="auto"/>
          <w:sz w:val="24"/>
          <w:szCs w:val="24"/>
          <w:lang w:eastAsia="en-US"/>
        </w:rPr>
      </w:pPr>
      <w:r w:rsidRPr="00D44D33">
        <w:rPr>
          <w:rFonts w:ascii="Times New Roman" w:hAnsi="Times New Roman" w:cs="Times New Roman"/>
          <w:b/>
          <w:bCs/>
          <w:color w:val="auto"/>
          <w:sz w:val="24"/>
          <w:szCs w:val="24"/>
          <w:lang w:eastAsia="en-US"/>
        </w:rPr>
        <w:t>Art.</w:t>
      </w:r>
      <w:r w:rsidR="00970B2E" w:rsidRPr="00D44D33">
        <w:rPr>
          <w:rFonts w:ascii="Times New Roman" w:hAnsi="Times New Roman" w:cs="Times New Roman"/>
          <w:b/>
          <w:bCs/>
          <w:color w:val="auto"/>
          <w:sz w:val="24"/>
          <w:szCs w:val="24"/>
          <w:lang w:eastAsia="en-US"/>
        </w:rPr>
        <w:t xml:space="preserve"> </w:t>
      </w:r>
      <w:r w:rsidR="0015441D" w:rsidRPr="00D44D33">
        <w:rPr>
          <w:rFonts w:ascii="Times New Roman" w:hAnsi="Times New Roman" w:cs="Times New Roman"/>
          <w:b/>
          <w:bCs/>
          <w:color w:val="auto"/>
          <w:sz w:val="24"/>
          <w:szCs w:val="24"/>
          <w:lang w:eastAsia="en-US"/>
        </w:rPr>
        <w:t>80</w:t>
      </w:r>
    </w:p>
    <w:p w14:paraId="2915B8A8" w14:textId="24BE597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odmienne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p>
    <w:p w14:paraId="4159BC7A" w14:textId="6A55934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zauważyć,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przewidywalność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p>
    <w:p w14:paraId="2AA07E0C" w14:textId="21E3C82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6A105126" w14:textId="40FF293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p>
    <w:p w14:paraId="0F0600E4" w14:textId="4D80208C"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0C0599">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stanowiąc</w:t>
      </w:r>
      <w:r w:rsidR="00196FF5"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nowość</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6589E3B2" w:rsidRPr="00D44D33">
        <w:rPr>
          <w:rFonts w:ascii="Times New Roman" w:eastAsiaTheme="minorEastAsia" w:hAnsi="Times New Roman" w:cs="Times New Roman"/>
          <w:sz w:val="24"/>
          <w:szCs w:val="24"/>
        </w:rPr>
        <w:t>właściwościach.</w:t>
      </w:r>
    </w:p>
    <w:p w14:paraId="745CD562" w14:textId="69CB7F78"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15441D" w:rsidRPr="00D44D33">
        <w:rPr>
          <w:rFonts w:ascii="Times New Roman" w:eastAsiaTheme="minorEastAsia" w:hAnsi="Times New Roman" w:cs="Times New Roman"/>
          <w:b/>
          <w:bCs/>
          <w:sz w:val="24"/>
          <w:szCs w:val="24"/>
        </w:rPr>
        <w:t>81</w:t>
      </w:r>
    </w:p>
    <w:p w14:paraId="28731766" w14:textId="4D5941F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62557533" w14:textId="7445239B" w:rsidR="00D03005" w:rsidRPr="00D44D33" w:rsidRDefault="000F496D" w:rsidP="00D44D33">
      <w:pPr>
        <w:pStyle w:val="divpoint"/>
        <w:spacing w:before="120" w:after="120" w:line="360" w:lineRule="auto"/>
        <w:jc w:val="center"/>
        <w:rPr>
          <w:rFonts w:ascii="Times New Roman" w:hAnsi="Times New Roman" w:cs="Times New Roman"/>
          <w:b/>
          <w:bCs/>
          <w:color w:val="auto"/>
          <w:sz w:val="24"/>
          <w:szCs w:val="24"/>
          <w:lang w:eastAsia="en-US"/>
        </w:rPr>
      </w:pPr>
      <w:r w:rsidRPr="00D44D33">
        <w:rPr>
          <w:rFonts w:ascii="Times New Roman" w:hAnsi="Times New Roman" w:cs="Times New Roman"/>
          <w:b/>
          <w:bCs/>
          <w:color w:val="auto"/>
          <w:sz w:val="24"/>
          <w:szCs w:val="24"/>
          <w:lang w:eastAsia="en-US"/>
        </w:rPr>
        <w:t>Art.</w:t>
      </w:r>
      <w:r w:rsidR="00970B2E" w:rsidRPr="00D44D33">
        <w:rPr>
          <w:rFonts w:ascii="Times New Roman" w:hAnsi="Times New Roman" w:cs="Times New Roman"/>
          <w:b/>
          <w:bCs/>
          <w:color w:val="auto"/>
          <w:sz w:val="24"/>
          <w:szCs w:val="24"/>
          <w:lang w:eastAsia="en-US"/>
        </w:rPr>
        <w:t xml:space="preserve"> </w:t>
      </w:r>
      <w:r w:rsidR="0015441D" w:rsidRPr="00D44D33">
        <w:rPr>
          <w:rFonts w:ascii="Times New Roman" w:hAnsi="Times New Roman" w:cs="Times New Roman"/>
          <w:b/>
          <w:bCs/>
          <w:color w:val="auto"/>
          <w:sz w:val="24"/>
          <w:szCs w:val="24"/>
          <w:lang w:eastAsia="en-US"/>
        </w:rPr>
        <w:t>82</w:t>
      </w:r>
    </w:p>
    <w:p w14:paraId="037E1ADE" w14:textId="344EFC2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tygodni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tygodni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p>
    <w:p w14:paraId="17D97B5C" w14:textId="1F9E0A05" w:rsidR="376833D6" w:rsidRPr="00D44D33" w:rsidRDefault="376833D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0015441D" w:rsidRPr="00D44D33">
        <w:rPr>
          <w:rFonts w:ascii="Times New Roman" w:eastAsiaTheme="minorEastAsia" w:hAnsi="Times New Roman" w:cs="Times New Roman"/>
          <w:b/>
          <w:bCs/>
          <w:sz w:val="24"/>
          <w:szCs w:val="24"/>
        </w:rPr>
        <w:t>83</w:t>
      </w:r>
    </w:p>
    <w:p w14:paraId="0D5E418E" w14:textId="7FAD9A16" w:rsidR="376833D6" w:rsidRPr="00D44D33" w:rsidRDefault="78EE210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cywilno-rządowe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niebędących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189DFA83"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3888E3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spośród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powodowało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trudności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p>
    <w:p w14:paraId="7405A2D9" w14:textId="5F4F2463" w:rsidR="35C58542" w:rsidRPr="00D44D33" w:rsidRDefault="6EFE6FE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196FF5" w:rsidRPr="00D44D33">
        <w:rPr>
          <w:rFonts w:ascii="Times New Roman" w:eastAsiaTheme="minorEastAsia" w:hAnsi="Times New Roman" w:cs="Times New Roman"/>
          <w:sz w:val="24"/>
          <w:szCs w:val="24"/>
        </w:rPr>
        <w:t xml:space="preserve">inister </w:t>
      </w:r>
      <w:r w:rsidRPr="00D44D33">
        <w:rPr>
          <w:rFonts w:ascii="Times New Roman" w:eastAsiaTheme="minorEastAsia" w:hAnsi="Times New Roman" w:cs="Times New Roman"/>
          <w:sz w:val="24"/>
          <w:szCs w:val="24"/>
        </w:rPr>
        <w:t>O</w:t>
      </w:r>
      <w:r w:rsidR="00196FF5" w:rsidRPr="00D44D33">
        <w:rPr>
          <w:rFonts w:ascii="Times New Roman" w:eastAsiaTheme="minorEastAsia" w:hAnsi="Times New Roman" w:cs="Times New Roman"/>
          <w:sz w:val="24"/>
          <w:szCs w:val="24"/>
        </w:rPr>
        <w:t xml:space="preserve">brony </w:t>
      </w:r>
      <w:r w:rsidRPr="00D44D33">
        <w:rPr>
          <w:rFonts w:ascii="Times New Roman" w:eastAsiaTheme="minorEastAsia" w:hAnsi="Times New Roman" w:cs="Times New Roman"/>
          <w:sz w:val="24"/>
          <w:szCs w:val="24"/>
        </w:rPr>
        <w:t>N</w:t>
      </w:r>
      <w:r w:rsidR="00196FF5" w:rsidRPr="00D44D33">
        <w:rPr>
          <w:rFonts w:ascii="Times New Roman" w:eastAsiaTheme="minorEastAsia" w:hAnsi="Times New Roman" w:cs="Times New Roman"/>
          <w:sz w:val="24"/>
          <w:szCs w:val="24"/>
        </w:rPr>
        <w:t>arodowej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chwili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podległą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(Wojskowym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wyspecjalizowaną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17455CDD" w14:textId="52F9A287"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15441D" w:rsidRPr="00D44D33">
        <w:rPr>
          <w:rFonts w:ascii="Times New Roman" w:eastAsiaTheme="minorEastAsia" w:hAnsi="Times New Roman" w:cs="Times New Roman"/>
          <w:b/>
          <w:bCs/>
          <w:sz w:val="24"/>
          <w:szCs w:val="24"/>
        </w:rPr>
        <w:t>84</w:t>
      </w:r>
    </w:p>
    <w:p w14:paraId="5B0851D7" w14:textId="07EFC774"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widmem.</w:t>
      </w:r>
    </w:p>
    <w:p w14:paraId="693890DA" w14:textId="14C36CAF"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85</w:t>
      </w:r>
    </w:p>
    <w:p w14:paraId="3A19DCAD" w14:textId="64994EA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p>
    <w:p w14:paraId="0D33BEC1" w14:textId="13E01B34" w:rsidR="2E1A1F7F" w:rsidRPr="00D44D33" w:rsidRDefault="2E1A1F7F" w:rsidP="00D44D33">
      <w:pPr>
        <w:pStyle w:val="h1chapter"/>
        <w:spacing w:before="120" w:after="120" w:line="360" w:lineRule="auto"/>
        <w:jc w:val="both"/>
        <w:rPr>
          <w:rFonts w:ascii="Times New Roman" w:hAnsi="Times New Roman" w:cs="Times New Roman"/>
          <w:color w:val="auto"/>
          <w:sz w:val="24"/>
          <w:szCs w:val="24"/>
        </w:rPr>
      </w:pPr>
      <w:r w:rsidRPr="00D44D33">
        <w:rPr>
          <w:rFonts w:ascii="Times New Roman" w:hAnsi="Times New Roman" w:cs="Times New Roman"/>
          <w:b w:val="0"/>
          <w:bCs w:val="0"/>
          <w:color w:val="auto"/>
          <w:sz w:val="24"/>
          <w:szCs w:val="24"/>
        </w:rPr>
        <w:t>Regulacje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w</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zbliżonym</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kształcie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funkcjonowały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już</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na</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gruncie</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ustawy</w:t>
      </w:r>
      <w:r w:rsidR="00970B2E" w:rsidRPr="00D44D33">
        <w:rPr>
          <w:rFonts w:ascii="Times New Roman" w:hAnsi="Times New Roman" w:cs="Times New Roman"/>
          <w:b w:val="0"/>
          <w:bCs w:val="0"/>
          <w:color w:val="auto"/>
          <w:sz w:val="24"/>
          <w:szCs w:val="24"/>
        </w:rPr>
        <w:t xml:space="preserve"> </w:t>
      </w:r>
      <w:r w:rsidRPr="00D44D33">
        <w:rPr>
          <w:rFonts w:ascii="Times New Roman" w:hAnsi="Times New Roman" w:cs="Times New Roman"/>
          <w:b w:val="0"/>
          <w:bCs w:val="0"/>
          <w:color w:val="auto"/>
          <w:sz w:val="24"/>
          <w:szCs w:val="24"/>
        </w:rPr>
        <w:t>Pt.</w:t>
      </w:r>
    </w:p>
    <w:p w14:paraId="1529A6CA" w14:textId="17806439"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86</w:t>
      </w:r>
    </w:p>
    <w:p w14:paraId="79F06174" w14:textId="672452D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niepodjęcia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p>
    <w:p w14:paraId="15D7A9B0" w14:textId="5E3A14A2" w:rsidR="7001828A" w:rsidRPr="00D44D33" w:rsidRDefault="7001828A"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0D9572DF" w14:textId="7536801D"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87</w:t>
      </w:r>
    </w:p>
    <w:p w14:paraId="396495C0" w14:textId="7A33D98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fakultatywne.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t>
      </w:r>
      <w:r w:rsidRPr="00D44D33">
        <w:rPr>
          <w:rFonts w:ascii="Times New Roman" w:eastAsiaTheme="minorEastAsia" w:hAnsi="Times New Roman" w:cs="Times New Roman"/>
          <w:sz w:val="24"/>
          <w:szCs w:val="24"/>
        </w:rPr>
        <w:lastRenderedPageBreak/>
        <w:t>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obligatoryjne</w:t>
      </w:r>
      <w:r w:rsidR="00196FF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pozostawiono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p>
    <w:p w14:paraId="62D1BE31" w14:textId="08BA8252"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3EDCD0E" w:rsidRPr="00D44D33">
        <w:rPr>
          <w:rFonts w:ascii="Times New Roman" w:eastAsiaTheme="minorEastAsia" w:hAnsi="Times New Roman" w:cs="Times New Roman"/>
          <w:sz w:val="24"/>
          <w:szCs w:val="24"/>
        </w:rPr>
        <w:t>m</w:t>
      </w:r>
      <w:r w:rsidR="00196FF5" w:rsidRPr="00D44D33">
        <w:rPr>
          <w:rFonts w:ascii="Times New Roman" w:eastAsiaTheme="minorEastAsia" w:hAnsi="Times New Roman" w:cs="Times New Roman"/>
          <w:sz w:val="24"/>
          <w:szCs w:val="24"/>
        </w:rPr>
        <w:t xml:space="preserve">. </w:t>
      </w:r>
      <w:r w:rsidR="03EDCD0E" w:rsidRPr="00D44D33">
        <w:rPr>
          <w:rFonts w:ascii="Times New Roman" w:eastAsiaTheme="minorEastAsia" w:hAnsi="Times New Roman" w:cs="Times New Roman"/>
          <w:sz w:val="24"/>
          <w:szCs w:val="24"/>
        </w:rPr>
        <w:t>in</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orbitalne,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132FD945"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132FD945"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132FD945"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132FD945" w:rsidRPr="00D44D33">
        <w:rPr>
          <w:rFonts w:ascii="Times New Roman" w:eastAsiaTheme="minorEastAsia" w:hAnsi="Times New Roman" w:cs="Times New Roman"/>
          <w:sz w:val="24"/>
          <w:szCs w:val="24"/>
        </w:rPr>
        <w:t>częstotliwości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wskazaniem</w:t>
      </w:r>
      <w:r w:rsidR="000C0599">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dzierżawy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powtórzenie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5B4FB25"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3888E3F"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Najistotniejszą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procentowy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stopień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ludnościowego,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uruchomionych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bazowych.</w:t>
      </w:r>
    </w:p>
    <w:p w14:paraId="237A36AB" w14:textId="7165D96C"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fakultatywnych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kolizjom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196FF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(rollout)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roamingu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79DB3AB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9DB3AB4"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2502748F" w:rsidRPr="00D44D33">
        <w:rPr>
          <w:rFonts w:ascii="Times New Roman" w:eastAsiaTheme="minorEastAsia" w:hAnsi="Times New Roman" w:cs="Times New Roman"/>
          <w:sz w:val="24"/>
          <w:szCs w:val="24"/>
        </w:rPr>
        <w:t>wyłączyć</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możliwoś</w:t>
      </w:r>
      <w:r w:rsidR="51843C0D"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50</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11CCEF3" w:rsidRPr="00D44D33">
        <w:rPr>
          <w:rFonts w:ascii="Times New Roman" w:eastAsiaTheme="minorEastAsia" w:hAnsi="Times New Roman" w:cs="Times New Roman"/>
          <w:sz w:val="24"/>
          <w:szCs w:val="24"/>
        </w:rPr>
        <w:t>EKŁE.</w:t>
      </w:r>
    </w:p>
    <w:p w14:paraId="229001EF" w14:textId="6E9EBDCE"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zwolniony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sąsiadującymi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rejonach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p>
    <w:p w14:paraId="09A6F011" w14:textId="35A5006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satelitarną.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audiowizualne,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uporządkowanie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audiowizualnych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pojemności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standardy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p>
    <w:p w14:paraId="64545F2A" w14:textId="160D1EA0" w:rsidR="00D03005" w:rsidRPr="00D44D33" w:rsidRDefault="000F496D"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3A212998" w:rsidRPr="00D44D33">
        <w:rPr>
          <w:rFonts w:ascii="Times New Roman" w:eastAsiaTheme="minorEastAsia" w:hAnsi="Times New Roman" w:cs="Times New Roman"/>
          <w:b/>
          <w:bCs/>
          <w:sz w:val="24"/>
          <w:szCs w:val="24"/>
        </w:rPr>
        <w:t>8</w:t>
      </w:r>
      <w:r w:rsidR="00294547" w:rsidRPr="00D44D33">
        <w:rPr>
          <w:rFonts w:ascii="Times New Roman" w:eastAsiaTheme="minorEastAsia" w:hAnsi="Times New Roman" w:cs="Times New Roman"/>
          <w:b/>
          <w:bCs/>
          <w:sz w:val="24"/>
          <w:szCs w:val="24"/>
        </w:rPr>
        <w:t>8</w:t>
      </w:r>
    </w:p>
    <w:p w14:paraId="13D3C7CB" w14:textId="0D65ACA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odstępstwa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neutralności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ustępów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najszerszego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leżącego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publicznym.</w:t>
      </w:r>
    </w:p>
    <w:p w14:paraId="3EA4820D" w14:textId="109D060B"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42DD12F9" w:rsidRPr="00D44D33">
        <w:rPr>
          <w:rFonts w:ascii="Times New Roman" w:eastAsiaTheme="minorEastAsia" w:hAnsi="Times New Roman" w:cs="Times New Roman"/>
          <w:b/>
          <w:bCs/>
          <w:sz w:val="24"/>
          <w:szCs w:val="24"/>
        </w:rPr>
        <w:t>8</w:t>
      </w:r>
      <w:r w:rsidR="00294547" w:rsidRPr="00D44D33">
        <w:rPr>
          <w:rFonts w:ascii="Times New Roman" w:eastAsiaTheme="minorEastAsia" w:hAnsi="Times New Roman" w:cs="Times New Roman"/>
          <w:b/>
          <w:bCs/>
          <w:sz w:val="24"/>
          <w:szCs w:val="24"/>
        </w:rPr>
        <w:t>9</w:t>
      </w:r>
    </w:p>
    <w:p w14:paraId="481DF541" w14:textId="4F35537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zwiększający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196FF5" w:rsidRPr="00D44D33">
        <w:rPr>
          <w:rFonts w:ascii="Times New Roman" w:eastAsiaTheme="minorEastAsia" w:hAnsi="Times New Roman" w:cs="Times New Roman"/>
          <w:sz w:val="24"/>
          <w:szCs w:val="24"/>
        </w:rPr>
        <w:t xml:space="preserve">zeczpospolitą </w:t>
      </w:r>
      <w:r w:rsidRPr="00D44D33">
        <w:rPr>
          <w:rFonts w:ascii="Times New Roman" w:eastAsiaTheme="minorEastAsia" w:hAnsi="Times New Roman" w:cs="Times New Roman"/>
          <w:sz w:val="24"/>
          <w:szCs w:val="24"/>
        </w:rPr>
        <w:t>P</w:t>
      </w:r>
      <w:r w:rsidR="00196FF5" w:rsidRPr="00D44D33">
        <w:rPr>
          <w:rFonts w:ascii="Times New Roman" w:eastAsiaTheme="minorEastAsia" w:hAnsi="Times New Roman" w:cs="Times New Roman"/>
          <w:sz w:val="24"/>
          <w:szCs w:val="24"/>
        </w:rPr>
        <w:t>olską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reshufflingiem.</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powielenie</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wprowadzone</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3D0F18A5" w:rsidRPr="00D44D33">
        <w:rPr>
          <w:rFonts w:ascii="Times New Roman" w:eastAsiaTheme="minorEastAsia" w:hAnsi="Times New Roman" w:cs="Times New Roman"/>
          <w:sz w:val="24"/>
          <w:szCs w:val="24"/>
        </w:rPr>
        <w:t>Pt.</w:t>
      </w:r>
    </w:p>
    <w:p w14:paraId="405691DC" w14:textId="2E776044"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p>
    <w:p w14:paraId="54267731" w14:textId="2698EAA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koncesjonowanych),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62B77D92" w14:textId="131DB5F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spowodowane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Nieuwzględnienie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pracowałaby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emitująca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Wygaśnięcie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pierwotnej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zlokalizowana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wiązałoby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p>
    <w:p w14:paraId="34594406" w14:textId="75DBB06E" w:rsidR="00D03005" w:rsidRPr="00D44D33" w:rsidRDefault="00D03005" w:rsidP="00D44D33">
      <w:pPr>
        <w:spacing w:before="120" w:after="120" w:line="360" w:lineRule="auto"/>
        <w:jc w:val="center"/>
        <w:rPr>
          <w:rFonts w:ascii="Times New Roman" w:eastAsiaTheme="minorEastAsia" w:hAnsi="Times New Roman" w:cs="Times New Roman"/>
          <w:b/>
          <w:sz w:val="24"/>
          <w:szCs w:val="24"/>
          <w:vertAlign w:val="superscript"/>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90</w:t>
      </w:r>
    </w:p>
    <w:p w14:paraId="5F9368ED" w14:textId="77A2F0F9"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każdorazowego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postę</w:t>
      </w:r>
      <w:r w:rsidRPr="00D44D33">
        <w:rPr>
          <w:rFonts w:ascii="Times New Roman" w:eastAsiaTheme="minorEastAsia" w:hAnsi="Times New Roman" w:cs="Times New Roman"/>
          <w:sz w:val="24"/>
          <w:szCs w:val="24"/>
        </w:rPr>
        <w:t>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p>
    <w:p w14:paraId="352D48A1" w14:textId="56FF6E9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nieistotny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nieistotnej,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nieistotną,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zamkniętego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niemożność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ewentualnych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formułowanie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katalogu.</w:t>
      </w:r>
    </w:p>
    <w:p w14:paraId="25481DFC" w14:textId="056959D2"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doprecyzowuje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nieistotną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p>
    <w:p w14:paraId="5AB309B0" w14:textId="5CD812E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zmniejszeniu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zmniejszenie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zmniejszenie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2187872C" w14:textId="52D2EB09"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całkowite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p>
    <w:p w14:paraId="67595B7A" w14:textId="3D8CAF6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wtórny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p>
    <w:p w14:paraId="6A1755DF" w14:textId="5931973F" w:rsidR="00D03005" w:rsidRPr="00D44D33" w:rsidRDefault="000F496D"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91</w:t>
      </w:r>
    </w:p>
    <w:p w14:paraId="1C464433" w14:textId="6859FC36" w:rsidR="00445ABA"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zwolnienia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pojemności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Przewodniczący</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udzielenie</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rozpowszechnianie</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programu</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multipleksie,</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1992</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75D5A" w:rsidRPr="00D44D33">
        <w:rPr>
          <w:rFonts w:ascii="Times New Roman" w:eastAsiaTheme="minorEastAsia" w:hAnsi="Times New Roman" w:cs="Times New Roman"/>
          <w:sz w:val="24"/>
          <w:szCs w:val="24"/>
        </w:rPr>
        <w:t>telewizji</w:t>
      </w:r>
      <w:r w:rsidRPr="00D44D33">
        <w:rPr>
          <w:rFonts w:ascii="Times New Roman" w:eastAsiaTheme="minorEastAsia" w:hAnsi="Times New Roman" w:cs="Times New Roman"/>
          <w:sz w:val="24"/>
          <w:szCs w:val="24"/>
        </w:rPr>
        <w:t>.</w:t>
      </w:r>
    </w:p>
    <w:p w14:paraId="170BC171" w14:textId="480BAB09" w:rsidR="007068D2" w:rsidRPr="00D44D33" w:rsidRDefault="00445AB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zaznaczyć,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MUX-1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p>
    <w:p w14:paraId="47E5BCC2" w14:textId="02AD631F"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92</w:t>
      </w:r>
    </w:p>
    <w:p w14:paraId="53872AFA" w14:textId="5F2D8AB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Przedłużenie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przewidywalności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przedłużenia</w:t>
      </w:r>
      <w:r w:rsidR="00196FF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0388A41F" w14:textId="5AA41A1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31DC3670"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31DC3670" w:rsidRPr="00D44D33">
        <w:rPr>
          <w:rFonts w:ascii="Times New Roman" w:eastAsiaTheme="minorEastAsia" w:hAnsi="Times New Roman" w:cs="Times New Roman"/>
          <w:sz w:val="24"/>
          <w:szCs w:val="24"/>
        </w:rPr>
        <w:t>dokonaniu</w:t>
      </w:r>
      <w:r w:rsidR="00970B2E" w:rsidRPr="00D44D33">
        <w:rPr>
          <w:rFonts w:ascii="Times New Roman" w:eastAsiaTheme="minorEastAsia" w:hAnsi="Times New Roman" w:cs="Times New Roman"/>
          <w:sz w:val="24"/>
          <w:szCs w:val="24"/>
        </w:rPr>
        <w:t xml:space="preserve"> </w:t>
      </w:r>
      <w:r w:rsidR="22F9D2C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2F9D2C2"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22F9D2C2" w:rsidRPr="00D44D33">
        <w:rPr>
          <w:rFonts w:ascii="Times New Roman" w:eastAsiaTheme="minorEastAsia" w:hAnsi="Times New Roman" w:cs="Times New Roman"/>
          <w:sz w:val="24"/>
          <w:szCs w:val="24"/>
        </w:rPr>
        <w:t>prowadzonego</w:t>
      </w:r>
      <w:r w:rsidR="00970B2E" w:rsidRPr="00D44D33">
        <w:rPr>
          <w:rFonts w:ascii="Times New Roman" w:eastAsiaTheme="minorEastAsia" w:hAnsi="Times New Roman" w:cs="Times New Roman"/>
          <w:sz w:val="24"/>
          <w:szCs w:val="24"/>
        </w:rPr>
        <w:t xml:space="preserve"> </w:t>
      </w:r>
      <w:r w:rsidR="22F9D2C2"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22F9D2C2"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56486842" w:rsidRPr="00D44D33">
        <w:rPr>
          <w:rFonts w:ascii="Times New Roman" w:eastAsiaTheme="minorEastAsia" w:hAnsi="Times New Roman" w:cs="Times New Roman"/>
          <w:sz w:val="24"/>
          <w:szCs w:val="24"/>
        </w:rPr>
        <w:t>obiektywnej</w:t>
      </w:r>
      <w:r w:rsidR="00970B2E" w:rsidRPr="00D44D33">
        <w:rPr>
          <w:rFonts w:ascii="Times New Roman" w:eastAsiaTheme="minorEastAsia" w:hAnsi="Times New Roman" w:cs="Times New Roman"/>
          <w:sz w:val="24"/>
          <w:szCs w:val="24"/>
        </w:rPr>
        <w:t xml:space="preserve"> </w:t>
      </w:r>
      <w:r w:rsidR="56486842"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576E50FC"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576E50FC"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576E50F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76E50FC"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576E50FC" w:rsidRPr="00D44D33">
        <w:rPr>
          <w:rFonts w:ascii="Times New Roman" w:eastAsiaTheme="minorEastAsia" w:hAnsi="Times New Roman" w:cs="Times New Roman"/>
          <w:sz w:val="24"/>
          <w:szCs w:val="24"/>
        </w:rPr>
        <w:t>kryteriów</w:t>
      </w:r>
      <w:r w:rsidR="00970B2E" w:rsidRPr="00D44D33">
        <w:rPr>
          <w:rFonts w:ascii="Times New Roman" w:eastAsiaTheme="minorEastAsia" w:hAnsi="Times New Roman" w:cs="Times New Roman"/>
          <w:sz w:val="24"/>
          <w:szCs w:val="24"/>
        </w:rPr>
        <w:t xml:space="preserve"> </w:t>
      </w:r>
      <w:r w:rsidR="576E50FC" w:rsidRPr="00D44D33">
        <w:rPr>
          <w:rFonts w:ascii="Times New Roman" w:eastAsiaTheme="minorEastAsia" w:hAnsi="Times New Roman" w:cs="Times New Roman"/>
          <w:sz w:val="24"/>
          <w:szCs w:val="24"/>
        </w:rPr>
        <w:t>przedłużenia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zamieszcza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miesiące.</w:t>
      </w:r>
      <w:r w:rsidR="00970B2E" w:rsidRPr="00D44D33">
        <w:rPr>
          <w:rFonts w:ascii="Times New Roman" w:eastAsiaTheme="minorEastAsia" w:hAnsi="Times New Roman" w:cs="Times New Roman"/>
          <w:sz w:val="24"/>
          <w:szCs w:val="24"/>
        </w:rPr>
        <w:t xml:space="preserve"> </w:t>
      </w:r>
    </w:p>
    <w:p w14:paraId="2C0CF0EF" w14:textId="648AC245"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93</w:t>
      </w:r>
    </w:p>
    <w:p w14:paraId="0783D918" w14:textId="78FD6665"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1A478390"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przewidywał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tożsamej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modyfikację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instytucji.</w:t>
      </w:r>
    </w:p>
    <w:p w14:paraId="682C2025" w14:textId="767DAA72"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Najważniejszą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modyfikacja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72BA0971"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facto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zmierzającego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p>
    <w:p w14:paraId="7FDA0EA5" w14:textId="6EC6547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13D2473" w:rsidRPr="00D44D33">
        <w:rPr>
          <w:rFonts w:ascii="Times New Roman" w:eastAsiaTheme="minorEastAsia" w:hAnsi="Times New Roman" w:cs="Times New Roman"/>
          <w:sz w:val="24"/>
          <w:szCs w:val="24"/>
        </w:rPr>
        <w:t>wiarygodnego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7B9109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B9109CD" w:rsidRPr="00D44D33">
        <w:rPr>
          <w:rFonts w:ascii="Times New Roman" w:eastAsiaTheme="minorEastAsia" w:hAnsi="Times New Roman" w:cs="Times New Roman"/>
          <w:sz w:val="24"/>
          <w:szCs w:val="24"/>
        </w:rPr>
        <w:t>choć</w:t>
      </w:r>
      <w:r w:rsidR="00970B2E" w:rsidRPr="00D44D33">
        <w:rPr>
          <w:rFonts w:ascii="Times New Roman" w:eastAsiaTheme="minorEastAsia" w:hAnsi="Times New Roman" w:cs="Times New Roman"/>
          <w:sz w:val="24"/>
          <w:szCs w:val="24"/>
        </w:rPr>
        <w:t xml:space="preserve"> </w:t>
      </w:r>
      <w:r w:rsidR="7B9109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B9109CD"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50</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E8C9A24" w:rsidRPr="00D44D33">
        <w:rPr>
          <w:rFonts w:ascii="Times New Roman" w:eastAsiaTheme="minorEastAsia" w:hAnsi="Times New Roman" w:cs="Times New Roman"/>
          <w:sz w:val="24"/>
          <w:szCs w:val="24"/>
        </w:rPr>
        <w:t>niewątpliwie</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dowód</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popyt</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rynkowy</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przedsiębiorstw</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posiadają</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7C8F7A72" w:rsidRPr="00D44D33">
        <w:rPr>
          <w:rFonts w:ascii="Times New Roman" w:eastAsiaTheme="minorEastAsia" w:hAnsi="Times New Roman" w:cs="Times New Roman"/>
          <w:sz w:val="24"/>
          <w:szCs w:val="24"/>
        </w:rPr>
        <w:t>paśmie</w:t>
      </w:r>
      <w:r w:rsidR="3A6FB6E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regulator</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rozważając</w:t>
      </w:r>
      <w:r w:rsidR="00970B2E" w:rsidRPr="00D44D33">
        <w:rPr>
          <w:rFonts w:ascii="Times New Roman" w:eastAsiaTheme="minorEastAsia" w:hAnsi="Times New Roman" w:cs="Times New Roman"/>
          <w:sz w:val="24"/>
          <w:szCs w:val="24"/>
        </w:rPr>
        <w:t xml:space="preserve"> </w:t>
      </w:r>
      <w:r w:rsidR="3A6FB6E8" w:rsidRPr="00D44D33">
        <w:rPr>
          <w:rFonts w:ascii="Times New Roman" w:eastAsiaTheme="minorEastAsia" w:hAnsi="Times New Roman" w:cs="Times New Roman"/>
          <w:sz w:val="24"/>
          <w:szCs w:val="24"/>
        </w:rPr>
        <w:t>kwe</w:t>
      </w:r>
      <w:r w:rsidR="4A56BBF0" w:rsidRPr="00D44D33">
        <w:rPr>
          <w:rFonts w:ascii="Times New Roman" w:eastAsiaTheme="minorEastAsia" w:hAnsi="Times New Roman" w:cs="Times New Roman"/>
          <w:sz w:val="24"/>
          <w:szCs w:val="24"/>
        </w:rPr>
        <w:t>stię</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zasadności</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4A56BBF0" w:rsidRPr="00D44D33">
        <w:rPr>
          <w:rFonts w:ascii="Times New Roman" w:eastAsiaTheme="minorEastAsia" w:hAnsi="Times New Roman" w:cs="Times New Roman"/>
          <w:sz w:val="24"/>
          <w:szCs w:val="24"/>
        </w:rPr>
        <w:t>selekcyjnego</w:t>
      </w:r>
      <w:r w:rsidR="7C8F7A7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Istnienie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popytu</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uzasadnia</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podjęcie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odmowie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przyznania</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ponownym</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rozdysponowaniu</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Regulator</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nadal</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zdecydować,</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korzystniejsze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odnowienie</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dotychczasowej</w:t>
      </w:r>
      <w:r w:rsidR="00970B2E" w:rsidRPr="00D44D33">
        <w:rPr>
          <w:rFonts w:ascii="Times New Roman" w:eastAsiaTheme="minorEastAsia" w:hAnsi="Times New Roman" w:cs="Times New Roman"/>
          <w:sz w:val="24"/>
          <w:szCs w:val="24"/>
        </w:rPr>
        <w:t xml:space="preserve"> </w:t>
      </w:r>
      <w:r w:rsidR="000B477D" w:rsidRPr="00D44D33">
        <w:rPr>
          <w:rFonts w:ascii="Times New Roman" w:eastAsiaTheme="minorEastAsia" w:hAnsi="Times New Roman" w:cs="Times New Roman"/>
          <w:sz w:val="24"/>
          <w:szCs w:val="24"/>
        </w:rPr>
        <w:t>rezerwacji.</w:t>
      </w:r>
    </w:p>
    <w:p w14:paraId="6B70BCA9" w14:textId="7AF3B692"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Utrzymano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rządami</w:t>
      </w:r>
      <w:r w:rsidR="00970B2E" w:rsidRPr="00D44D33">
        <w:rPr>
          <w:rFonts w:ascii="Times New Roman" w:eastAsiaTheme="minorEastAsia" w:hAnsi="Times New Roman" w:cs="Times New Roman"/>
          <w:sz w:val="24"/>
          <w:szCs w:val="24"/>
        </w:rPr>
        <w:t xml:space="preserve"> </w:t>
      </w:r>
      <w:r w:rsidR="00002CC4" w:rsidRPr="00D44D33">
        <w:rPr>
          <w:rFonts w:ascii="Times New Roman" w:eastAsiaTheme="minorEastAsia" w:hAnsi="Times New Roman" w:cs="Times New Roman"/>
          <w:sz w:val="24"/>
          <w:szCs w:val="24"/>
        </w:rPr>
        <w:t>ustaw</w:t>
      </w:r>
      <w:r w:rsidR="2CADCC50"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3888E3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p>
    <w:p w14:paraId="5F028ED0" w14:textId="712F8C48"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 xml:space="preserve">i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2FF9F4E"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3888E3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wydłużono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p>
    <w:p w14:paraId="002D9F4D" w14:textId="2E217ED4"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94</w:t>
      </w:r>
    </w:p>
    <w:p w14:paraId="7145095D" w14:textId="79FBEE22"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196FF5" w:rsidRPr="00D44D33">
        <w:rPr>
          <w:rFonts w:ascii="Times New Roman" w:eastAsiaTheme="minorEastAsia" w:hAnsi="Times New Roman" w:cs="Times New Roman"/>
          <w:sz w:val="24"/>
          <w:szCs w:val="24"/>
        </w:rPr>
        <w:t xml:space="preserve">rajowej </w:t>
      </w:r>
      <w:r w:rsidRPr="00D44D33">
        <w:rPr>
          <w:rFonts w:ascii="Times New Roman" w:eastAsiaTheme="minorEastAsia" w:hAnsi="Times New Roman" w:cs="Times New Roman"/>
          <w:sz w:val="24"/>
          <w:szCs w:val="24"/>
        </w:rPr>
        <w:t>R</w:t>
      </w:r>
      <w:r w:rsidR="00196FF5" w:rsidRPr="00D44D33">
        <w:rPr>
          <w:rFonts w:ascii="Times New Roman" w:eastAsiaTheme="minorEastAsia" w:hAnsi="Times New Roman" w:cs="Times New Roman"/>
          <w:sz w:val="24"/>
          <w:szCs w:val="24"/>
        </w:rPr>
        <w:t xml:space="preserve">ady </w:t>
      </w:r>
      <w:r w:rsidRPr="00D44D33">
        <w:rPr>
          <w:rFonts w:ascii="Times New Roman" w:eastAsiaTheme="minorEastAsia" w:hAnsi="Times New Roman" w:cs="Times New Roman"/>
          <w:sz w:val="24"/>
          <w:szCs w:val="24"/>
        </w:rPr>
        <w:t>R</w:t>
      </w:r>
      <w:r w:rsidR="00196FF5" w:rsidRPr="00D44D33">
        <w:rPr>
          <w:rFonts w:ascii="Times New Roman" w:eastAsiaTheme="minorEastAsia" w:hAnsi="Times New Roman" w:cs="Times New Roman"/>
          <w:sz w:val="24"/>
          <w:szCs w:val="24"/>
        </w:rPr>
        <w:t xml:space="preserve">adiofonii </w:t>
      </w:r>
      <w:r w:rsidRPr="00D44D33">
        <w:rPr>
          <w:rFonts w:ascii="Times New Roman" w:eastAsiaTheme="minorEastAsia" w:hAnsi="Times New Roman" w:cs="Times New Roman"/>
          <w:sz w:val="24"/>
          <w:szCs w:val="24"/>
        </w:rPr>
        <w:t>i</w:t>
      </w:r>
      <w:r w:rsidR="00196FF5"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w:t>
      </w:r>
      <w:r w:rsidR="00196FF5" w:rsidRPr="00D44D33">
        <w:rPr>
          <w:rFonts w:ascii="Times New Roman" w:eastAsiaTheme="minorEastAsia" w:hAnsi="Times New Roman" w:cs="Times New Roman"/>
          <w:sz w:val="24"/>
          <w:szCs w:val="24"/>
        </w:rPr>
        <w: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przedwczesnemu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p>
    <w:p w14:paraId="00851E11" w14:textId="66388DA6" w:rsidR="00D03005" w:rsidRPr="00D44D33" w:rsidRDefault="000F496D"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95</w:t>
      </w:r>
    </w:p>
    <w:p w14:paraId="0DDF159F" w14:textId="4C0A0E39"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dzierżawa)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424D2504" w14:textId="4825A562"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Generalna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wydzierżawiać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Odstępstwo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początkowo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nadawania.</w:t>
      </w:r>
    </w:p>
    <w:p w14:paraId="2491EEE6" w14:textId="0395610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p>
    <w:p w14:paraId="0D86A0A9" w14:textId="184C7646" w:rsidR="00D03005" w:rsidRPr="00D44D33" w:rsidRDefault="00D03005" w:rsidP="00D44D33">
      <w:pPr>
        <w:pStyle w:val="Akapitzlist"/>
        <w:numPr>
          <w:ilvl w:val="0"/>
          <w:numId w:val="106"/>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ustawowych</w:t>
      </w:r>
      <w:r w:rsidR="00196FF5" w:rsidRPr="00D44D33">
        <w:rPr>
          <w:rFonts w:ascii="Times New Roman" w:eastAsiaTheme="minorEastAsia" w:hAnsi="Times New Roman" w:cs="Times New Roman"/>
          <w:sz w:val="24"/>
          <w:szCs w:val="24"/>
        </w:rPr>
        <w:t>;</w:t>
      </w:r>
    </w:p>
    <w:p w14:paraId="00CE223B" w14:textId="37C6E381" w:rsidR="00D03005" w:rsidRPr="00D44D33" w:rsidRDefault="00D03005" w:rsidP="00D44D33">
      <w:pPr>
        <w:pStyle w:val="Akapitzlist"/>
        <w:numPr>
          <w:ilvl w:val="0"/>
          <w:numId w:val="106"/>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wydzierżawienie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p>
    <w:p w14:paraId="7F03D2B3" w14:textId="2B8138A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przejmujący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negatywne.</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56415CD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415CDF" w:rsidRPr="00D44D33">
        <w:rPr>
          <w:rFonts w:ascii="Times New Roman" w:eastAsiaTheme="minorEastAsia" w:hAnsi="Times New Roman" w:cs="Times New Roman"/>
          <w:sz w:val="24"/>
          <w:szCs w:val="24"/>
        </w:rPr>
        <w:t>kilka</w:t>
      </w:r>
      <w:r w:rsidR="00970B2E" w:rsidRPr="00D44D33">
        <w:rPr>
          <w:rFonts w:ascii="Times New Roman" w:eastAsiaTheme="minorEastAsia" w:hAnsi="Times New Roman" w:cs="Times New Roman"/>
          <w:sz w:val="24"/>
          <w:szCs w:val="24"/>
        </w:rPr>
        <w:t xml:space="preserve"> </w:t>
      </w:r>
      <w:r w:rsidR="56415CDF"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0AA85842"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7DFC71B5" w:rsidRPr="00D44D33">
        <w:rPr>
          <w:rFonts w:ascii="Times New Roman" w:eastAsiaTheme="minorEastAsia" w:hAnsi="Times New Roman" w:cs="Times New Roman"/>
          <w:sz w:val="24"/>
          <w:szCs w:val="24"/>
        </w:rPr>
        <w:t>dotąd</w:t>
      </w:r>
      <w:r w:rsidR="00970B2E" w:rsidRPr="00D44D33">
        <w:rPr>
          <w:rFonts w:ascii="Times New Roman" w:eastAsiaTheme="minorEastAsia" w:hAnsi="Times New Roman" w:cs="Times New Roman"/>
          <w:sz w:val="24"/>
          <w:szCs w:val="24"/>
        </w:rPr>
        <w:t xml:space="preserve"> </w:t>
      </w:r>
      <w:r w:rsidR="7DFC71B5" w:rsidRPr="00D44D33">
        <w:rPr>
          <w:rFonts w:ascii="Times New Roman" w:eastAsiaTheme="minorEastAsia" w:hAnsi="Times New Roman" w:cs="Times New Roman"/>
          <w:sz w:val="24"/>
          <w:szCs w:val="24"/>
        </w:rPr>
        <w:t>wykorzystywanych</w:t>
      </w:r>
      <w:r w:rsidR="00970B2E" w:rsidRPr="00D44D33">
        <w:rPr>
          <w:rFonts w:ascii="Times New Roman" w:eastAsiaTheme="minorEastAsia" w:hAnsi="Times New Roman" w:cs="Times New Roman"/>
          <w:sz w:val="24"/>
          <w:szCs w:val="24"/>
        </w:rPr>
        <w:t xml:space="preserve"> </w:t>
      </w:r>
      <w:r w:rsidR="7DFC71B5" w:rsidRPr="00D44D33">
        <w:rPr>
          <w:rFonts w:ascii="Times New Roman" w:eastAsiaTheme="minorEastAsia" w:hAnsi="Times New Roman" w:cs="Times New Roman"/>
          <w:sz w:val="24"/>
          <w:szCs w:val="24"/>
        </w:rPr>
        <w:t>samodzielnie</w:t>
      </w:r>
      <w:r w:rsidR="00970B2E" w:rsidRPr="00D44D33">
        <w:rPr>
          <w:rFonts w:ascii="Times New Roman" w:eastAsiaTheme="minorEastAsia" w:hAnsi="Times New Roman" w:cs="Times New Roman"/>
          <w:sz w:val="24"/>
          <w:szCs w:val="24"/>
        </w:rPr>
        <w:t xml:space="preserve"> </w:t>
      </w:r>
      <w:r w:rsidR="7DFC71B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DFC71B5"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7DFC71B5" w:rsidRPr="00D44D33">
        <w:rPr>
          <w:rFonts w:ascii="Times New Roman" w:eastAsiaTheme="minorEastAsia" w:hAnsi="Times New Roman" w:cs="Times New Roman"/>
          <w:sz w:val="24"/>
          <w:szCs w:val="24"/>
        </w:rPr>
        <w:t>podmiot.</w:t>
      </w:r>
    </w:p>
    <w:p w14:paraId="50B70FBE" w14:textId="48621C8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obejmowało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p>
    <w:p w14:paraId="19E3D500" w14:textId="6E1E2D1B"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34BC0D2" w:rsidRPr="00D44D33">
        <w:rPr>
          <w:rFonts w:ascii="Times New Roman" w:eastAsiaTheme="minorEastAsia" w:hAnsi="Times New Roman" w:cs="Times New Roman"/>
          <w:b/>
          <w:bCs/>
          <w:sz w:val="24"/>
          <w:szCs w:val="24"/>
        </w:rPr>
        <w:t>9</w:t>
      </w:r>
      <w:r w:rsidR="00294547" w:rsidRPr="00D44D33">
        <w:rPr>
          <w:rFonts w:ascii="Times New Roman" w:eastAsiaTheme="minorEastAsia" w:hAnsi="Times New Roman" w:cs="Times New Roman"/>
          <w:b/>
          <w:bCs/>
          <w:sz w:val="24"/>
          <w:szCs w:val="24"/>
        </w:rPr>
        <w:t>6</w:t>
      </w:r>
    </w:p>
    <w:p w14:paraId="546F26D5" w14:textId="121D952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wtórnego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zrezygnowano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dzierżawy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wydzierżawienia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47319E4F" w14:textId="1CFAD122"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zawiadamia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00785AF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wydzierżawieniu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p>
    <w:p w14:paraId="559309E0" w14:textId="5D35CB1C"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wydzierżawione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nieefektywny,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mogłoby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kapitałową.</w:t>
      </w:r>
    </w:p>
    <w:p w14:paraId="04EEB3AA" w14:textId="3575CAD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Wtórny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obrót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196FF5" w:rsidRPr="00D44D33">
        <w:rPr>
          <w:rFonts w:ascii="Times New Roman" w:eastAsiaTheme="minorEastAsia" w:hAnsi="Times New Roman" w:cs="Times New Roman"/>
          <w:sz w:val="24"/>
          <w:szCs w:val="24"/>
        </w:rPr>
        <w:t xml:space="preserve">rzędu </w:t>
      </w:r>
      <w:r w:rsidRPr="00D44D33">
        <w:rPr>
          <w:rFonts w:ascii="Times New Roman" w:eastAsiaTheme="minorEastAsia" w:hAnsi="Times New Roman" w:cs="Times New Roman"/>
          <w:sz w:val="24"/>
          <w:szCs w:val="24"/>
        </w:rPr>
        <w:t>O</w:t>
      </w:r>
      <w:r w:rsidR="00196FF5" w:rsidRPr="00D44D33">
        <w:rPr>
          <w:rFonts w:ascii="Times New Roman" w:eastAsiaTheme="minorEastAsia" w:hAnsi="Times New Roman" w:cs="Times New Roman"/>
          <w:sz w:val="24"/>
          <w:szCs w:val="24"/>
        </w:rPr>
        <w:t xml:space="preserve">chrony </w:t>
      </w:r>
      <w:r w:rsidRPr="00D44D33">
        <w:rPr>
          <w:rFonts w:ascii="Times New Roman" w:eastAsiaTheme="minorEastAsia" w:hAnsi="Times New Roman" w:cs="Times New Roman"/>
          <w:sz w:val="24"/>
          <w:szCs w:val="24"/>
        </w:rPr>
        <w:t>K</w:t>
      </w:r>
      <w:r w:rsidR="00196FF5" w:rsidRPr="00D44D33">
        <w:rPr>
          <w:rFonts w:ascii="Times New Roman" w:eastAsiaTheme="minorEastAsia" w:hAnsi="Times New Roman" w:cs="Times New Roman"/>
          <w:sz w:val="24"/>
          <w:szCs w:val="24"/>
        </w:rPr>
        <w:t xml:space="preserve">onkurencji </w:t>
      </w:r>
      <w:r w:rsidRPr="00D44D33">
        <w:rPr>
          <w:rFonts w:ascii="Times New Roman" w:eastAsiaTheme="minorEastAsia" w:hAnsi="Times New Roman" w:cs="Times New Roman"/>
          <w:sz w:val="24"/>
          <w:szCs w:val="24"/>
        </w:rPr>
        <w:t>i</w:t>
      </w:r>
      <w:r w:rsidR="00196FF5"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196FF5" w:rsidRPr="00D44D33">
        <w:rPr>
          <w:rFonts w:ascii="Times New Roman" w:eastAsiaTheme="minorEastAsia" w:hAnsi="Times New Roman" w:cs="Times New Roman"/>
          <w:sz w:val="24"/>
          <w:szCs w:val="24"/>
        </w:rPr>
        <w:t>onsumentów, zwany dalej „Prezesem UOKIK”</w:t>
      </w:r>
      <w:r w:rsidR="004A5C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wspomagającym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96FF5" w:rsidRPr="00D44D33">
        <w:rPr>
          <w:rFonts w:ascii="Times New Roman" w:eastAsiaTheme="minorEastAsia" w:hAnsi="Times New Roman" w:cs="Times New Roman"/>
          <w:sz w:val="24"/>
          <w:szCs w:val="24"/>
        </w:rPr>
        <w:t>w ocenie konkurencyjności</w:t>
      </w:r>
      <w:r w:rsidR="00683E36"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konsekwentnie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potencjalnego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opisanych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artykule.</w:t>
      </w:r>
    </w:p>
    <w:p w14:paraId="546F39B4" w14:textId="02F36B8E"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p>
    <w:p w14:paraId="4A058A07" w14:textId="22C352DB" w:rsidR="65C0C9F9" w:rsidRPr="00D44D33" w:rsidRDefault="65C0C9F9"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r w:rsidR="00970B2E" w:rsidRPr="00D44D33">
        <w:rPr>
          <w:rFonts w:ascii="Times New Roman" w:hAnsi="Times New Roman" w:cs="Times New Roman"/>
          <w:sz w:val="24"/>
          <w:szCs w:val="24"/>
        </w:rPr>
        <w:t xml:space="preserve"> </w:t>
      </w:r>
      <w:r w:rsidR="21F24DB3"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21F24DB3"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21F24DB3" w:rsidRPr="00D44D33">
        <w:rPr>
          <w:rFonts w:ascii="Times New Roman" w:hAnsi="Times New Roman" w:cs="Times New Roman"/>
          <w:sz w:val="24"/>
          <w:szCs w:val="24"/>
        </w:rPr>
        <w:t>122</w:t>
      </w:r>
      <w:r w:rsidR="21F24DB3" w:rsidRPr="00D44D33">
        <w:rPr>
          <w:rFonts w:ascii="Times New Roman" w:hAnsi="Times New Roman" w:cs="Times New Roman"/>
          <w:sz w:val="24"/>
          <w:szCs w:val="24"/>
          <w:vertAlign w:val="superscript"/>
        </w:rPr>
        <w:t>1</w:t>
      </w:r>
      <w:r w:rsidRPr="00D44D33">
        <w:rPr>
          <w:rFonts w:ascii="Times New Roman" w:hAnsi="Times New Roman" w:cs="Times New Roman"/>
          <w:sz w:val="24"/>
          <w:szCs w:val="24"/>
        </w:rPr>
        <w:t>.</w:t>
      </w:r>
    </w:p>
    <w:p w14:paraId="518D0E00" w14:textId="3A4E68F6"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977DC1C" w:rsidRPr="00D44D33">
        <w:rPr>
          <w:rFonts w:ascii="Times New Roman" w:eastAsiaTheme="minorEastAsia" w:hAnsi="Times New Roman" w:cs="Times New Roman"/>
          <w:b/>
          <w:bCs/>
          <w:sz w:val="24"/>
          <w:szCs w:val="24"/>
        </w:rPr>
        <w:t>9</w:t>
      </w:r>
      <w:r w:rsidR="00294547" w:rsidRPr="00D44D33">
        <w:rPr>
          <w:rFonts w:ascii="Times New Roman" w:eastAsiaTheme="minorEastAsia" w:hAnsi="Times New Roman" w:cs="Times New Roman"/>
          <w:b/>
          <w:bCs/>
          <w:sz w:val="24"/>
          <w:szCs w:val="24"/>
        </w:rPr>
        <w:t>7</w:t>
      </w:r>
    </w:p>
    <w:p w14:paraId="2B5EFF93" w14:textId="4F71EB12" w:rsidR="00D03005" w:rsidRPr="00D44D33" w:rsidRDefault="00D03005"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wystarczające,</w:t>
      </w:r>
      <w:r w:rsidR="00970B2E" w:rsidRPr="00D44D33">
        <w:rPr>
          <w:rFonts w:ascii="Times New Roman" w:eastAsiaTheme="minorEastAsia" w:hAnsi="Times New Roman" w:cs="Times New Roman"/>
          <w:sz w:val="24"/>
          <w:szCs w:val="24"/>
        </w:rPr>
        <w:t xml:space="preserve"> </w:t>
      </w:r>
      <w:r w:rsidR="00683E36" w:rsidRPr="00D44D33">
        <w:rPr>
          <w:rFonts w:ascii="Times New Roman" w:eastAsiaTheme="minorEastAsia" w:hAnsi="Times New Roman" w:cs="Times New Roman"/>
          <w:sz w:val="24"/>
          <w:szCs w:val="24"/>
        </w:rPr>
        <w:t xml:space="preserve">Prezes UKE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zmierzające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odsetek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mieszkańców,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w:t>
      </w:r>
      <w:r w:rsidR="00DB4AE2"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postę</w:t>
      </w:r>
      <w:r w:rsidRPr="00D44D33">
        <w:rPr>
          <w:rFonts w:ascii="Times New Roman" w:eastAsiaTheme="minorEastAsia" w:hAnsi="Times New Roman" w:cs="Times New Roman"/>
          <w:sz w:val="24"/>
          <w:szCs w:val="24"/>
        </w:rPr>
        <w:t>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konsultacyjnemu.</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niewywiązywania</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podjętych</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7736546"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2B7A23A2"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2B7A23A2" w:rsidRPr="00D44D33">
        <w:rPr>
          <w:rFonts w:ascii="Times New Roman" w:hAnsi="Times New Roman" w:cs="Times New Roman"/>
          <w:sz w:val="24"/>
          <w:szCs w:val="24"/>
        </w:rPr>
        <w:t>Pt.</w:t>
      </w:r>
    </w:p>
    <w:p w14:paraId="2B216D41"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767F819E" w14:textId="5024B430"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3532C54E" w:rsidRPr="00D44D33">
        <w:rPr>
          <w:rFonts w:ascii="Times New Roman" w:eastAsiaTheme="minorEastAsia" w:hAnsi="Times New Roman" w:cs="Times New Roman"/>
          <w:b/>
          <w:bCs/>
          <w:sz w:val="24"/>
          <w:szCs w:val="24"/>
        </w:rPr>
        <w:t>9</w:t>
      </w:r>
      <w:r w:rsidR="00294547" w:rsidRPr="00D44D33">
        <w:rPr>
          <w:rFonts w:ascii="Times New Roman" w:eastAsiaTheme="minorEastAsia" w:hAnsi="Times New Roman" w:cs="Times New Roman"/>
          <w:b/>
          <w:bCs/>
          <w:sz w:val="24"/>
          <w:szCs w:val="24"/>
        </w:rPr>
        <w:t>8</w:t>
      </w:r>
    </w:p>
    <w:p w14:paraId="149C74BA" w14:textId="6053EC2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83E36"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w:t>
      </w:r>
      <w:r w:rsidR="00970B2E" w:rsidRPr="00D44D33">
        <w:rPr>
          <w:rFonts w:ascii="Times New Roman" w:eastAsiaTheme="minorEastAsia" w:hAnsi="Times New Roman" w:cs="Times New Roman"/>
          <w:sz w:val="24"/>
          <w:szCs w:val="24"/>
        </w:rPr>
        <w:t xml:space="preserve"> </w:t>
      </w:r>
      <w:r w:rsidR="00683E36"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p>
    <w:p w14:paraId="5136AD74" w14:textId="5A7ED30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odnawiając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683E36"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t>
      </w:r>
      <w:r w:rsidR="00683E36"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roamingu,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wydzierżawienia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prawdopodobieństwo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poważnego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39A92996" w14:textId="5FC448B0"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zaproponowano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p>
    <w:p w14:paraId="29AD2F4B" w14:textId="08257DA7" w:rsidR="00D03005" w:rsidRPr="00D44D33" w:rsidRDefault="000F496D"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753BA51B" w:rsidRPr="00D44D33">
        <w:rPr>
          <w:rFonts w:ascii="Times New Roman" w:eastAsiaTheme="minorEastAsia" w:hAnsi="Times New Roman" w:cs="Times New Roman"/>
          <w:b/>
          <w:bCs/>
          <w:sz w:val="24"/>
          <w:szCs w:val="24"/>
        </w:rPr>
        <w:t>9</w:t>
      </w:r>
      <w:r w:rsidR="00294547" w:rsidRPr="00D44D33">
        <w:rPr>
          <w:rFonts w:ascii="Times New Roman" w:eastAsiaTheme="minorEastAsia" w:hAnsi="Times New Roman" w:cs="Times New Roman"/>
          <w:b/>
          <w:bCs/>
          <w:sz w:val="24"/>
          <w:szCs w:val="24"/>
        </w:rPr>
        <w:t>9</w:t>
      </w:r>
    </w:p>
    <w:p w14:paraId="73FC14E1" w14:textId="62DE89C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ingerencji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zamknięty),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proporcjonalny.</w:t>
      </w:r>
    </w:p>
    <w:p w14:paraId="28B9E444" w14:textId="3413BAF5"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Rzeczpospolitą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683E36" w:rsidRPr="00D44D33">
        <w:rPr>
          <w:rFonts w:ascii="Times New Roman" w:eastAsiaTheme="minorEastAsia" w:hAnsi="Times New Roman" w:cs="Times New Roman"/>
          <w:sz w:val="24"/>
          <w:szCs w:val="24"/>
        </w:rPr>
        <w:t>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p>
    <w:p w14:paraId="7E76C729" w14:textId="73F817D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683E36" w:rsidRPr="00D44D33">
        <w:rPr>
          <w:rFonts w:ascii="Times New Roman" w:eastAsiaTheme="minorEastAsia" w:hAnsi="Times New Roman" w:cs="Times New Roman"/>
          <w:sz w:val="24"/>
          <w:szCs w:val="24"/>
        </w:rPr>
        <w:t xml:space="preserve"> 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powielają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200EF84A"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przekształceń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własnościowych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dojdzie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rękach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rozdysponowywaniu,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sz w:val="24"/>
          <w:szCs w:val="24"/>
        </w:rPr>
        <w:t>spectrum</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capy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w:t>
      </w:r>
      <w:r w:rsidR="00683E36"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dojść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przekształceń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własnościowych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przykładowo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całkowicie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założeń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całkowicie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łatwy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szybki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jeszcze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p>
    <w:p w14:paraId="2DC37485" w14:textId="12436BFB"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doszłoby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przejmujący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3E59D946" w14:textId="418A255C"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zbędna,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dobrowolne.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9B5FB1F"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dniowy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245610B" w:rsidRPr="00D44D33">
        <w:rPr>
          <w:rFonts w:ascii="Times New Roman" w:eastAsiaTheme="minorEastAsia" w:hAnsi="Times New Roman" w:cs="Times New Roman"/>
          <w:sz w:val="24"/>
          <w:szCs w:val="24"/>
        </w:rPr>
        <w:t>9</w:t>
      </w:r>
      <w:r w:rsidR="00294547"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683E36" w:rsidRPr="00D44D33">
        <w:rPr>
          <w:rFonts w:ascii="Times New Roman" w:eastAsiaTheme="minorEastAsia" w:hAnsi="Times New Roman" w:cs="Times New Roman"/>
          <w:sz w:val="24"/>
          <w:szCs w:val="24"/>
        </w:rPr>
        <w:t xml:space="preserve"> 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chcący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30-dniowego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94297" w:rsidRPr="00D44D33">
        <w:rPr>
          <w:rFonts w:ascii="Times New Roman" w:eastAsiaTheme="minorEastAsia" w:hAnsi="Times New Roman" w:cs="Times New Roman"/>
          <w:sz w:val="24"/>
          <w:szCs w:val="24"/>
        </w:rPr>
        <w:t>kpa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załatwienie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wyjaśniającego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skomplikowanej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miesiące).</w:t>
      </w:r>
    </w:p>
    <w:p w14:paraId="17F12CCC" w14:textId="7AE5722E"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p>
    <w:p w14:paraId="1A5043D6" w14:textId="290A48D1"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uporządkowania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paśmie.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reshufflingu</w:t>
      </w:r>
      <w:r w:rsidR="00683E3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kontynuowanie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oczekiwały,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umożliwią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przypisaną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683E36" w:rsidRPr="00D44D33">
        <w:rPr>
          <w:rFonts w:ascii="Times New Roman" w:eastAsiaTheme="minorEastAsia" w:hAnsi="Times New Roman" w:cs="Times New Roman"/>
          <w:sz w:val="24"/>
          <w:szCs w:val="24"/>
        </w:rPr>
        <w:t>TPCz</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683E36"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30-dniowym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opinię,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analogiczne.</w:t>
      </w:r>
    </w:p>
    <w:p w14:paraId="1447254A" w14:textId="7AB2C41E"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wszczynać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zwiększenie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p>
    <w:p w14:paraId="086E325F" w14:textId="371A9B80"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100</w:t>
      </w:r>
    </w:p>
    <w:p w14:paraId="068F199E" w14:textId="481BA274"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zamknięty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pamiętać,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pozytywnych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p>
    <w:p w14:paraId="3AD6713B" w14:textId="0A9848C1" w:rsidR="00D03005" w:rsidRPr="00D44D33" w:rsidRDefault="00683E3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w:t>
      </w:r>
      <w:r w:rsidR="00D03005"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rezerwacji.</w:t>
      </w:r>
    </w:p>
    <w:p w14:paraId="4FC2AC10" w14:textId="798D956B" w:rsidR="2CB2DAB0" w:rsidRPr="00D44D33" w:rsidRDefault="2CB2DAB0"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7A4FD486" w14:textId="47AA316B"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101</w:t>
      </w:r>
    </w:p>
    <w:p w14:paraId="63991C67" w14:textId="07C29586"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tożsamy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w:t>
      </w:r>
      <w:r w:rsidR="00286282"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dodania</w:t>
      </w:r>
      <w:r w:rsidR="00970B2E" w:rsidRPr="00D44D33">
        <w:rPr>
          <w:rFonts w:ascii="Times New Roman" w:eastAsiaTheme="minorEastAsia" w:hAnsi="Times New Roman" w:cs="Times New Roman"/>
          <w:sz w:val="24"/>
          <w:szCs w:val="24"/>
        </w:rPr>
        <w:t xml:space="preserve"> </w:t>
      </w:r>
      <w:r w:rsidR="002805D0" w:rsidRPr="00D44D33">
        <w:rPr>
          <w:rFonts w:ascii="Times New Roman" w:eastAsiaTheme="minorEastAsia" w:hAnsi="Times New Roman" w:cs="Times New Roman"/>
          <w:sz w:val="24"/>
          <w:szCs w:val="24"/>
        </w:rPr>
        <w:t xml:space="preserve">w Pt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płynnego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470–694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MHz.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MHz.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paśmie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MHz,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sygnalizacyjne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identyfikatory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p>
    <w:p w14:paraId="03E381D9" w14:textId="04500EE0"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102</w:t>
      </w:r>
    </w:p>
    <w:p w14:paraId="49F920EC" w14:textId="7ED7F0E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zwłaszcza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p>
    <w:p w14:paraId="7570D553" w14:textId="555B8358" w:rsidR="5AC8FA38" w:rsidRPr="00D44D33" w:rsidRDefault="5AC8FA38"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lastRenderedPageBreak/>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04B4B7F5" w14:textId="32CAA11C"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103</w:t>
      </w:r>
    </w:p>
    <w:p w14:paraId="2401ED93" w14:textId="6419D3CB"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Zaproponowane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sankcyjny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uiścił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zrezygnował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p>
    <w:p w14:paraId="7903E363" w14:textId="00AC1FC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Wprowadzane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sankcyjny,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prewencyjny,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przebieg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bieżącego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2805D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prewencyjnym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Skarbu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p>
    <w:p w14:paraId="253735A4" w14:textId="0EE91A51"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Zaproponowany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adekwatny,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najatrakcyjniejszych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rzadziej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Sześcio</w:t>
      </w:r>
      <w:r w:rsidRPr="00D44D33">
        <w:rPr>
          <w:rFonts w:ascii="Times New Roman" w:eastAsiaTheme="minorEastAsia" w:hAnsi="Times New Roman" w:cs="Times New Roman"/>
          <w:sz w:val="24"/>
          <w:szCs w:val="24"/>
        </w:rPr>
        <w:lastRenderedPageBreak/>
        <w:t>letni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skorelowany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nieuczciwy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poniósłby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konsekwencji,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2805D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osiągnięty.</w:t>
      </w:r>
    </w:p>
    <w:p w14:paraId="5211A4FA" w14:textId="0F8E0222" w:rsidR="00D03005" w:rsidRPr="00D44D33" w:rsidRDefault="4BE524A0" w:rsidP="00D44D33">
      <w:pPr>
        <w:tabs>
          <w:tab w:val="left" w:pos="360"/>
        </w:tabs>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09F2E0D7" w14:textId="55F496E9" w:rsidR="00D03005" w:rsidRPr="00D44D33" w:rsidRDefault="00D0300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94547" w:rsidRPr="00D44D33">
        <w:rPr>
          <w:rFonts w:ascii="Times New Roman" w:eastAsiaTheme="minorEastAsia" w:hAnsi="Times New Roman" w:cs="Times New Roman"/>
          <w:b/>
          <w:bCs/>
          <w:sz w:val="24"/>
          <w:szCs w:val="24"/>
        </w:rPr>
        <w:t>104</w:t>
      </w:r>
    </w:p>
    <w:p w14:paraId="45A85FA9" w14:textId="4EB65B65"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rzadziej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2805D0" w:rsidRPr="00D44D33">
        <w:rPr>
          <w:rFonts w:ascii="Times New Roman" w:eastAsiaTheme="minorEastAsia" w:hAnsi="Times New Roman" w:cs="Times New Roman"/>
          <w:sz w:val="24"/>
          <w:szCs w:val="24"/>
        </w:rPr>
        <w:t xml:space="preserve">określa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lepiej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p>
    <w:p w14:paraId="676AC224" w14:textId="7288347F"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podyktowany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05A6C090" w14:textId="369FC359"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liczony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14-dniowy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14-dniowego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p>
    <w:p w14:paraId="693613D9" w14:textId="55085F66"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wyeliminowanie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ewentualnego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zasobem.</w:t>
      </w:r>
      <w:r w:rsidR="00970B2E" w:rsidRPr="00D44D33">
        <w:rPr>
          <w:rFonts w:ascii="Times New Roman" w:eastAsiaTheme="minorEastAsia" w:hAnsi="Times New Roman" w:cs="Times New Roman"/>
          <w:sz w:val="24"/>
          <w:szCs w:val="24"/>
        </w:rPr>
        <w:t xml:space="preserve"> </w:t>
      </w:r>
    </w:p>
    <w:p w14:paraId="5AA46D3B" w14:textId="30B0963C"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70FF64DF" w14:textId="15FC18F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dostatecznych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p>
    <w:p w14:paraId="10CDA332" w14:textId="46555CC4"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dostatecznych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wyłaniany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p>
    <w:p w14:paraId="3BFA6318" w14:textId="1C2FFCE5" w:rsidR="2CA0CCF4" w:rsidRPr="00D44D33" w:rsidRDefault="2CA0CCF4"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13969E3B" w14:textId="77777777" w:rsidR="00371EEA" w:rsidRDefault="00371EEA" w:rsidP="00D44D33">
      <w:pPr>
        <w:tabs>
          <w:tab w:val="left" w:pos="360"/>
        </w:tabs>
        <w:spacing w:before="120" w:after="120" w:line="360" w:lineRule="auto"/>
        <w:jc w:val="center"/>
        <w:rPr>
          <w:rFonts w:ascii="Times New Roman" w:eastAsiaTheme="minorEastAsia" w:hAnsi="Times New Roman" w:cs="Times New Roman"/>
          <w:b/>
          <w:bCs/>
          <w:sz w:val="24"/>
          <w:szCs w:val="24"/>
        </w:rPr>
      </w:pPr>
    </w:p>
    <w:p w14:paraId="3364C0CE" w14:textId="77777777" w:rsidR="00371EEA" w:rsidRDefault="00371EEA" w:rsidP="00D44D33">
      <w:pPr>
        <w:tabs>
          <w:tab w:val="left" w:pos="360"/>
        </w:tabs>
        <w:spacing w:before="120" w:after="120" w:line="360" w:lineRule="auto"/>
        <w:jc w:val="center"/>
        <w:rPr>
          <w:rFonts w:ascii="Times New Roman" w:eastAsiaTheme="minorEastAsia" w:hAnsi="Times New Roman" w:cs="Times New Roman"/>
          <w:b/>
          <w:bCs/>
          <w:sz w:val="24"/>
          <w:szCs w:val="24"/>
        </w:rPr>
      </w:pPr>
    </w:p>
    <w:p w14:paraId="0FB876D3" w14:textId="171FA0B3"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E0ED426" w:rsidRPr="00D44D33">
        <w:rPr>
          <w:rFonts w:ascii="Times New Roman" w:eastAsiaTheme="minorEastAsia" w:hAnsi="Times New Roman" w:cs="Times New Roman"/>
          <w:b/>
          <w:bCs/>
          <w:sz w:val="24"/>
          <w:szCs w:val="24"/>
        </w:rPr>
        <w:t>10</w:t>
      </w:r>
      <w:r w:rsidR="00294547" w:rsidRPr="00D44D33">
        <w:rPr>
          <w:rFonts w:ascii="Times New Roman" w:eastAsiaTheme="minorEastAsia" w:hAnsi="Times New Roman" w:cs="Times New Roman"/>
          <w:b/>
          <w:bCs/>
          <w:sz w:val="24"/>
          <w:szCs w:val="24"/>
        </w:rPr>
        <w:t>5</w:t>
      </w:r>
    </w:p>
    <w:p w14:paraId="32B32DBB" w14:textId="316EAE1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dostatecznych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zrobić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inicjatywy.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DB4AE2" w:rsidRPr="00D44D33">
        <w:rPr>
          <w:rFonts w:ascii="Times New Roman" w:eastAsiaTheme="minorEastAsia" w:hAnsi="Times New Roman" w:cs="Times New Roman"/>
          <w:sz w:val="24"/>
          <w:szCs w:val="24"/>
        </w:rPr>
        <w:t>jpóźniej</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dniu</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postę</w:t>
      </w:r>
      <w:r w:rsidRPr="00D44D33">
        <w:rPr>
          <w:rFonts w:ascii="Times New Roman" w:eastAsiaTheme="minorEastAsia" w:hAnsi="Times New Roman" w:cs="Times New Roman"/>
          <w:sz w:val="24"/>
          <w:szCs w:val="24"/>
        </w:rPr>
        <w:t>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p>
    <w:p w14:paraId="1EEE37CD" w14:textId="42C44948"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jeszcze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Odmienne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skutkowałoby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szybszym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Przykładowo,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dojść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przyszłości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cywilnego.</w:t>
      </w:r>
    </w:p>
    <w:p w14:paraId="33DF7749" w14:textId="4026E297" w:rsidR="00D03005" w:rsidRPr="00D44D33" w:rsidRDefault="5FDD6533" w:rsidP="00D44D33">
      <w:pPr>
        <w:tabs>
          <w:tab w:val="left" w:pos="360"/>
        </w:tabs>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1EEFEDC2" w14:textId="7F0418AB" w:rsidR="4D5B2FA0"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1997558A" w:rsidRPr="00D44D33">
        <w:rPr>
          <w:rFonts w:ascii="Times New Roman" w:eastAsiaTheme="minorEastAsia" w:hAnsi="Times New Roman" w:cs="Times New Roman"/>
          <w:b/>
          <w:bCs/>
          <w:sz w:val="24"/>
          <w:szCs w:val="24"/>
        </w:rPr>
        <w:t>10</w:t>
      </w:r>
      <w:r w:rsidR="00294547" w:rsidRPr="00D44D33">
        <w:rPr>
          <w:rFonts w:ascii="Times New Roman" w:eastAsiaTheme="minorEastAsia" w:hAnsi="Times New Roman" w:cs="Times New Roman"/>
          <w:b/>
          <w:bCs/>
          <w:sz w:val="24"/>
          <w:szCs w:val="24"/>
        </w:rPr>
        <w:t>6</w:t>
      </w:r>
    </w:p>
    <w:p w14:paraId="7580F4D4" w14:textId="633B2CFE" w:rsidR="77D6BA89" w:rsidRPr="00D44D33" w:rsidRDefault="4D5B2FA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aukcję</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DE19F2" w:rsidRPr="00D44D33">
        <w:rPr>
          <w:rFonts w:ascii="Times New Roman" w:eastAsiaTheme="minorEastAsia" w:hAnsi="Times New Roman" w:cs="Times New Roman"/>
          <w:sz w:val="24"/>
          <w:szCs w:val="24"/>
        </w:rPr>
        <w:t>UKE</w:t>
      </w:r>
      <w:r w:rsidR="10F20D5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wynikało</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0F20D54" w:rsidRPr="00D44D33">
        <w:rPr>
          <w:rFonts w:ascii="Times New Roman" w:eastAsiaTheme="minorEastAsia" w:hAnsi="Times New Roman" w:cs="Times New Roman"/>
          <w:sz w:val="24"/>
          <w:szCs w:val="24"/>
        </w:rPr>
        <w:t>Pt</w:t>
      </w:r>
      <w:r w:rsidR="00DE19F2" w:rsidRPr="00D44D33">
        <w:rPr>
          <w:rFonts w:ascii="Times New Roman" w:eastAsiaTheme="minorEastAsia" w:hAnsi="Times New Roman" w:cs="Times New Roman"/>
          <w:sz w:val="24"/>
          <w:szCs w:val="24"/>
        </w:rPr>
        <w:t>.</w:t>
      </w:r>
    </w:p>
    <w:p w14:paraId="6F3D628C" w14:textId="703A0701" w:rsidR="00D03005" w:rsidRPr="00D44D33" w:rsidRDefault="000F496D"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2FA62C5C" w:rsidRPr="00D44D33">
        <w:rPr>
          <w:rFonts w:ascii="Times New Roman" w:eastAsiaTheme="minorEastAsia" w:hAnsi="Times New Roman" w:cs="Times New Roman"/>
          <w:b/>
          <w:bCs/>
          <w:sz w:val="24"/>
          <w:szCs w:val="24"/>
        </w:rPr>
        <w:t>10</w:t>
      </w:r>
      <w:r w:rsidR="00294547" w:rsidRPr="00D44D33">
        <w:rPr>
          <w:rFonts w:ascii="Times New Roman" w:eastAsiaTheme="minorEastAsia" w:hAnsi="Times New Roman" w:cs="Times New Roman"/>
          <w:b/>
          <w:bCs/>
          <w:sz w:val="24"/>
          <w:szCs w:val="24"/>
        </w:rPr>
        <w:t>7</w:t>
      </w:r>
    </w:p>
    <w:p w14:paraId="20FA86AD" w14:textId="328CC2E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utrzymanie</w:t>
      </w:r>
      <w:r w:rsidR="00970B2E" w:rsidRPr="00D44D33">
        <w:rPr>
          <w:rFonts w:ascii="Times New Roman" w:eastAsiaTheme="minorEastAsia" w:hAnsi="Times New Roman" w:cs="Times New Roman"/>
          <w:sz w:val="24"/>
          <w:szCs w:val="24"/>
        </w:rPr>
        <w:t xml:space="preserve"> </w:t>
      </w:r>
      <w:r w:rsidR="42A29DD0" w:rsidRPr="00D44D33">
        <w:rPr>
          <w:rFonts w:ascii="Times New Roman" w:eastAsiaTheme="minorEastAsia" w:hAnsi="Times New Roman" w:cs="Times New Roman"/>
          <w:sz w:val="24"/>
          <w:szCs w:val="24"/>
        </w:rPr>
        <w:t>znanego</w:t>
      </w:r>
      <w:r w:rsidR="00970B2E" w:rsidRPr="00D44D33">
        <w:rPr>
          <w:rFonts w:ascii="Times New Roman" w:eastAsiaTheme="minorEastAsia" w:hAnsi="Times New Roman" w:cs="Times New Roman"/>
          <w:sz w:val="24"/>
          <w:szCs w:val="24"/>
        </w:rPr>
        <w:t xml:space="preserve"> </w:t>
      </w:r>
      <w:r w:rsidR="42A29DD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2A29DD0"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F94297" w:rsidRPr="00D44D33">
        <w:rPr>
          <w:rFonts w:ascii="Times New Roman" w:eastAsiaTheme="minorEastAsia" w:hAnsi="Times New Roman" w:cs="Times New Roman"/>
          <w:sz w:val="24"/>
          <w:szCs w:val="24"/>
        </w:rPr>
        <w:t>kpa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rezerwacyjnego.</w:t>
      </w:r>
    </w:p>
    <w:p w14:paraId="460D7164" w14:textId="0D4E03AE"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procesowy.</w:t>
      </w:r>
    </w:p>
    <w:p w14:paraId="0CC3DB4E" w14:textId="04EFF18C"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A36FBFB" w:rsidRPr="00D44D33">
        <w:rPr>
          <w:rFonts w:ascii="Times New Roman" w:eastAsiaTheme="minorEastAsia" w:hAnsi="Times New Roman" w:cs="Times New Roman"/>
          <w:b/>
          <w:sz w:val="24"/>
          <w:szCs w:val="24"/>
        </w:rPr>
        <w:t>10</w:t>
      </w:r>
      <w:r w:rsidR="00294547" w:rsidRPr="00D44D33">
        <w:rPr>
          <w:rFonts w:ascii="Times New Roman" w:eastAsiaTheme="minorEastAsia" w:hAnsi="Times New Roman" w:cs="Times New Roman"/>
          <w:b/>
          <w:sz w:val="24"/>
          <w:szCs w:val="24"/>
        </w:rPr>
        <w:t>8</w:t>
      </w:r>
    </w:p>
    <w:p w14:paraId="50C0E7DF" w14:textId="171A81A6"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138C3A1E" w14:textId="44DD0011"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2805D0" w:rsidRPr="00D44D33">
        <w:rPr>
          <w:rFonts w:ascii="Times New Roman" w:eastAsiaTheme="minorEastAsia" w:hAnsi="Times New Roman" w:cs="Times New Roman"/>
          <w:sz w:val="24"/>
          <w:szCs w:val="24"/>
        </w:rPr>
        <w:t xml:space="preserve"> decyzji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p>
    <w:p w14:paraId="059E5E27" w14:textId="6D5865DD"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oprócz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nadrzędnym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Oczywiście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rządu</w:t>
      </w:r>
      <w:r w:rsidR="002805D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itp.</w:t>
      </w:r>
    </w:p>
    <w:p w14:paraId="278EBC10" w14:textId="1FF806CC"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B1BF98F" w:rsidRPr="00D44D33">
        <w:rPr>
          <w:rFonts w:ascii="Times New Roman" w:eastAsiaTheme="minorEastAsia" w:hAnsi="Times New Roman" w:cs="Times New Roman"/>
          <w:b/>
          <w:bCs/>
          <w:sz w:val="24"/>
          <w:szCs w:val="24"/>
        </w:rPr>
        <w:t>10</w:t>
      </w:r>
      <w:r w:rsidR="00294547" w:rsidRPr="00D44D33">
        <w:rPr>
          <w:rFonts w:ascii="Times New Roman" w:eastAsiaTheme="minorEastAsia" w:hAnsi="Times New Roman" w:cs="Times New Roman"/>
          <w:b/>
          <w:bCs/>
          <w:sz w:val="24"/>
          <w:szCs w:val="24"/>
        </w:rPr>
        <w:t>9</w:t>
      </w:r>
    </w:p>
    <w:p w14:paraId="29D166A3" w14:textId="490715BA"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zmierzającego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koordynacji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p>
    <w:p w14:paraId="615B573A" w14:textId="5613D8E2"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Zespół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Spektrum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2805D0" w:rsidRPr="00D44D33">
        <w:rPr>
          <w:rFonts w:ascii="Times New Roman" w:eastAsiaTheme="minorEastAsia" w:hAnsi="Times New Roman" w:cs="Times New Roman"/>
          <w:sz w:val="24"/>
          <w:szCs w:val="24"/>
        </w:rPr>
        <w:t xml:space="preserve">, </w:t>
      </w:r>
      <w:r w:rsidR="004A5C60" w:rsidRPr="00D44D33">
        <w:rPr>
          <w:rFonts w:ascii="Times New Roman" w:eastAsiaTheme="minorEastAsia" w:hAnsi="Times New Roman" w:cs="Times New Roman"/>
          <w:sz w:val="24"/>
          <w:szCs w:val="24"/>
        </w:rPr>
        <w:t xml:space="preserve">zwany </w:t>
      </w:r>
      <w:r w:rsidR="002805D0" w:rsidRPr="00D44D33">
        <w:rPr>
          <w:rFonts w:ascii="Times New Roman" w:eastAsiaTheme="minorEastAsia" w:hAnsi="Times New Roman" w:cs="Times New Roman"/>
          <w:sz w:val="24"/>
          <w:szCs w:val="24"/>
        </w:rPr>
        <w:t>dalej „</w:t>
      </w:r>
      <w:r w:rsidRPr="00D44D33">
        <w:rPr>
          <w:rFonts w:ascii="Times New Roman" w:eastAsiaTheme="minorEastAsia" w:hAnsi="Times New Roman" w:cs="Times New Roman"/>
          <w:sz w:val="24"/>
          <w:szCs w:val="24"/>
        </w:rPr>
        <w:t>RSPG</w:t>
      </w:r>
      <w:r w:rsidR="002805D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inicjatywy,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zwołuje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przeanalizowania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najlepszych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w:t>
      </w:r>
    </w:p>
    <w:p w14:paraId="082E2803" w14:textId="740F9B34"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RSPG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zwrócić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RSPG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forum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inicjatywy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RSPG.</w:t>
      </w:r>
    </w:p>
    <w:p w14:paraId="6DC1A9B1" w14:textId="595036EA"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wyjaśnień.</w:t>
      </w:r>
    </w:p>
    <w:p w14:paraId="3997EAC1" w14:textId="7557A4A4"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4EA62AC2" w:rsidRPr="00D44D33">
        <w:rPr>
          <w:rFonts w:ascii="Times New Roman" w:eastAsiaTheme="minorEastAsia" w:hAnsi="Times New Roman" w:cs="Times New Roman"/>
          <w:b/>
          <w:bCs/>
          <w:sz w:val="24"/>
          <w:szCs w:val="24"/>
        </w:rPr>
        <w:t>1</w:t>
      </w:r>
      <w:r w:rsidR="00294547" w:rsidRPr="00D44D33">
        <w:rPr>
          <w:rFonts w:ascii="Times New Roman" w:eastAsiaTheme="minorEastAsia" w:hAnsi="Times New Roman" w:cs="Times New Roman"/>
          <w:b/>
          <w:bCs/>
          <w:sz w:val="24"/>
          <w:szCs w:val="24"/>
        </w:rPr>
        <w:t>10</w:t>
      </w:r>
    </w:p>
    <w:p w14:paraId="1415C6E8" w14:textId="73D97268"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p>
    <w:p w14:paraId="227C6F20" w14:textId="78B7F9D1" w:rsidR="536D9627" w:rsidRPr="00D44D33" w:rsidRDefault="536D9627"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1ABFE4FC" w14:textId="44F7BE49"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661B209A" w:rsidRPr="00D44D33">
        <w:rPr>
          <w:rFonts w:ascii="Times New Roman" w:eastAsiaTheme="minorEastAsia" w:hAnsi="Times New Roman" w:cs="Times New Roman"/>
          <w:b/>
          <w:bCs/>
          <w:sz w:val="24"/>
          <w:szCs w:val="24"/>
        </w:rPr>
        <w:t>1</w:t>
      </w:r>
      <w:r w:rsidR="00294547" w:rsidRPr="00D44D33">
        <w:rPr>
          <w:rFonts w:ascii="Times New Roman" w:eastAsiaTheme="minorEastAsia" w:hAnsi="Times New Roman" w:cs="Times New Roman"/>
          <w:b/>
          <w:bCs/>
          <w:sz w:val="24"/>
          <w:szCs w:val="24"/>
        </w:rPr>
        <w:t>11</w:t>
      </w:r>
    </w:p>
    <w:p w14:paraId="4EC06087" w14:textId="52743256"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Uregulowanie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niezasadne.</w:t>
      </w:r>
      <w:r w:rsidR="00970B2E" w:rsidRPr="00D44D33">
        <w:rPr>
          <w:rFonts w:ascii="Times New Roman" w:eastAsiaTheme="minorEastAsia" w:hAnsi="Times New Roman" w:cs="Times New Roman"/>
          <w:sz w:val="24"/>
          <w:szCs w:val="24"/>
        </w:rPr>
        <w:t xml:space="preserve"> </w:t>
      </w:r>
      <w:r w:rsidR="002805D0" w:rsidRPr="00D44D33">
        <w:rPr>
          <w:rFonts w:ascii="Times New Roman" w:eastAsiaTheme="minorEastAsia" w:hAnsi="Times New Roman" w:cs="Times New Roman"/>
          <w:sz w:val="24"/>
          <w:szCs w:val="24"/>
        </w:rPr>
        <w:t>Przepis u</w:t>
      </w:r>
      <w:r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00ED6522"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p>
    <w:p w14:paraId="4543F1BC" w14:textId="1DF82B1C" w:rsidR="1751D01A" w:rsidRPr="00D44D33" w:rsidRDefault="1751D01A"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lastRenderedPageBreak/>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7A2B1CA9" w:rsidRPr="00D44D33">
        <w:rPr>
          <w:rFonts w:ascii="Times New Roman" w:hAnsi="Times New Roman" w:cs="Times New Roman"/>
          <w:sz w:val="24"/>
          <w:szCs w:val="24"/>
        </w:rPr>
        <w:t>tożsamym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5A9D9934" w14:textId="549A9E6C" w:rsidR="00D03005" w:rsidRPr="00D44D33" w:rsidRDefault="000F496D"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3A4724C2" w:rsidRPr="00D44D33">
        <w:rPr>
          <w:rFonts w:ascii="Times New Roman" w:eastAsiaTheme="minorEastAsia" w:hAnsi="Times New Roman" w:cs="Times New Roman"/>
          <w:b/>
          <w:bCs/>
          <w:sz w:val="24"/>
          <w:szCs w:val="24"/>
        </w:rPr>
        <w:t>1</w:t>
      </w:r>
      <w:r w:rsidR="00294547" w:rsidRPr="00D44D33">
        <w:rPr>
          <w:rFonts w:ascii="Times New Roman" w:eastAsiaTheme="minorEastAsia" w:hAnsi="Times New Roman" w:cs="Times New Roman"/>
          <w:b/>
          <w:bCs/>
          <w:sz w:val="24"/>
          <w:szCs w:val="24"/>
        </w:rPr>
        <w:t>12</w:t>
      </w:r>
    </w:p>
    <w:p w14:paraId="6B0B4CE9" w14:textId="3E2B2802"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zwrócić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otwarty.</w:t>
      </w:r>
    </w:p>
    <w:p w14:paraId="2B926B80" w14:textId="59B7B03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Dokumentację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przekroczyć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pobierana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2805D0" w:rsidRPr="00D44D33">
        <w:rPr>
          <w:rFonts w:ascii="Times New Roman" w:eastAsiaTheme="minorEastAsia" w:hAnsi="Times New Roman" w:cs="Times New Roman"/>
          <w:sz w:val="24"/>
          <w:szCs w:val="24"/>
        </w:rPr>
        <w:t>KE</w:t>
      </w:r>
      <w:r w:rsidRPr="00D44D33">
        <w:rPr>
          <w:rFonts w:ascii="Times New Roman" w:eastAsiaTheme="minorEastAsia" w:hAnsi="Times New Roman" w:cs="Times New Roman"/>
          <w:sz w:val="24"/>
          <w:szCs w:val="24"/>
        </w:rPr>
        <w:t>.</w:t>
      </w:r>
    </w:p>
    <w:p w14:paraId="2B32D3DC" w14:textId="2FA903AE" w:rsidR="25BC1E94" w:rsidRPr="00D44D33" w:rsidRDefault="25BC1E94"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tożsamym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57F667E7" w14:textId="01FF064D" w:rsidR="00D03005" w:rsidRPr="00D44D33" w:rsidRDefault="000F496D"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8D992BD" w:rsidRPr="00D44D33">
        <w:rPr>
          <w:rFonts w:ascii="Times New Roman" w:eastAsiaTheme="minorEastAsia" w:hAnsi="Times New Roman" w:cs="Times New Roman"/>
          <w:b/>
          <w:bCs/>
          <w:sz w:val="24"/>
          <w:szCs w:val="24"/>
        </w:rPr>
        <w:t>1</w:t>
      </w:r>
      <w:r w:rsidR="00294547" w:rsidRPr="00D44D33">
        <w:rPr>
          <w:rFonts w:ascii="Times New Roman" w:eastAsiaTheme="minorEastAsia" w:hAnsi="Times New Roman" w:cs="Times New Roman"/>
          <w:b/>
          <w:bCs/>
          <w:sz w:val="24"/>
          <w:szCs w:val="24"/>
        </w:rPr>
        <w:t>13</w:t>
      </w:r>
    </w:p>
    <w:p w14:paraId="22FCDF9D" w14:textId="103B5DAA"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iCs/>
          <w:sz w:val="24"/>
          <w:szCs w:val="24"/>
        </w:rPr>
        <w:t>spectrum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caps</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świecie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kształtowania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zgłaszanego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iCs/>
          <w:sz w:val="24"/>
          <w:szCs w:val="24"/>
        </w:rPr>
        <w:t>spectrum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caps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przeciwdziałać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gromadzeniu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rękach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komplementarne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znajdowały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rękach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najefektywniej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p>
    <w:p w14:paraId="5A1B4394" w14:textId="339E71DE"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postulowanym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brzmieniu</w:t>
      </w:r>
      <w:r w:rsidR="7FC6843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FC68432"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7FC68432" w:rsidRPr="00D44D33">
        <w:rPr>
          <w:rFonts w:ascii="Times New Roman" w:eastAsiaTheme="minorEastAsia" w:hAnsi="Times New Roman" w:cs="Times New Roman"/>
          <w:sz w:val="24"/>
          <w:szCs w:val="24"/>
        </w:rPr>
        <w:t>funkcjonowało</w:t>
      </w:r>
      <w:r w:rsidR="00970B2E" w:rsidRPr="00D44D33">
        <w:rPr>
          <w:rFonts w:ascii="Times New Roman" w:eastAsiaTheme="minorEastAsia" w:hAnsi="Times New Roman" w:cs="Times New Roman"/>
          <w:sz w:val="24"/>
          <w:szCs w:val="24"/>
        </w:rPr>
        <w:t xml:space="preserve"> </w:t>
      </w:r>
      <w:r w:rsidR="741EAD41"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741EAD4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41EAD41"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741EAD4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p>
    <w:p w14:paraId="62FC71C9" w14:textId="76EF6B97" w:rsidR="00D03005" w:rsidRPr="00D44D33" w:rsidRDefault="717EBA66" w:rsidP="00D44D33">
      <w:pPr>
        <w:pStyle w:val="Akapitzlist"/>
        <w:numPr>
          <w:ilvl w:val="0"/>
          <w:numId w:val="108"/>
        </w:numPr>
        <w:tabs>
          <w:tab w:val="left" w:pos="360"/>
        </w:tabs>
        <w:spacing w:before="120" w:after="120" w:line="360" w:lineRule="auto"/>
        <w:ind w:left="709" w:hanging="349"/>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wykluczenie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2805D0" w:rsidRPr="00D44D33">
        <w:rPr>
          <w:rFonts w:ascii="Times New Roman" w:eastAsiaTheme="minorEastAsia" w:hAnsi="Times New Roman" w:cs="Times New Roman"/>
          <w:sz w:val="24"/>
          <w:szCs w:val="24"/>
        </w:rPr>
        <w:t>,</w:t>
      </w:r>
    </w:p>
    <w:p w14:paraId="09A610E0" w14:textId="1C891BCF" w:rsidR="00D03005" w:rsidRPr="00D44D33" w:rsidRDefault="717EBA66" w:rsidP="00D44D33">
      <w:pPr>
        <w:pStyle w:val="Akapitzlist"/>
        <w:numPr>
          <w:ilvl w:val="0"/>
          <w:numId w:val="108"/>
        </w:numPr>
        <w:tabs>
          <w:tab w:val="left" w:pos="360"/>
        </w:tabs>
        <w:spacing w:before="120" w:after="120" w:line="360" w:lineRule="auto"/>
        <w:ind w:left="709" w:hanging="349"/>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przekroczy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x</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MHz</w:t>
      </w:r>
      <w:r w:rsidR="002805D0" w:rsidRPr="00D44D33">
        <w:rPr>
          <w:rFonts w:ascii="Times New Roman" w:eastAsiaTheme="minorEastAsia" w:hAnsi="Times New Roman" w:cs="Times New Roman"/>
          <w:sz w:val="24"/>
          <w:szCs w:val="24"/>
        </w:rPr>
        <w:t>,</w:t>
      </w:r>
    </w:p>
    <w:p w14:paraId="42E22795" w14:textId="3C7ACEB1" w:rsidR="00D03005" w:rsidRPr="00D44D33" w:rsidRDefault="717EBA66" w:rsidP="00D44D33">
      <w:pPr>
        <w:pStyle w:val="Akapitzlist"/>
        <w:numPr>
          <w:ilvl w:val="0"/>
          <w:numId w:val="108"/>
        </w:numPr>
        <w:tabs>
          <w:tab w:val="left" w:pos="360"/>
        </w:tabs>
        <w:spacing w:before="120" w:after="120" w:line="360" w:lineRule="auto"/>
        <w:ind w:left="709" w:hanging="349"/>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niedysponującego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dopełnienie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2805D0" w:rsidRPr="00D44D33">
        <w:rPr>
          <w:rFonts w:ascii="Times New Roman" w:eastAsiaTheme="minorEastAsia" w:hAnsi="Times New Roman" w:cs="Times New Roman"/>
          <w:sz w:val="24"/>
          <w:szCs w:val="24"/>
        </w:rPr>
        <w:t>.</w:t>
      </w:r>
    </w:p>
    <w:p w14:paraId="79156088" w14:textId="185DE510"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pojedynczych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doktryną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iCs/>
          <w:sz w:val="24"/>
          <w:szCs w:val="24"/>
        </w:rPr>
        <w:t>single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economic</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unit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wypracowaną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zlicza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ubiegać.</w:t>
      </w:r>
    </w:p>
    <w:p w14:paraId="442546B4" w14:textId="2AC581DF"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doprecyzowuje,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wiarygodności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wykluczenie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wstępnej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rękojmi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rzeczywistą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zniekształceniu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p>
    <w:p w14:paraId="6516469F" w14:textId="7DBE9F23"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przeciwdziałanie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skupienie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przeciwdziałać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szeregowi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niepożądanych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obchodzenia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limitów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powstaniu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startującymi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teoretycznie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sobą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22A03CCC" w14:textId="71D5806B" w:rsidR="62B67DDC" w:rsidRPr="00D44D33" w:rsidRDefault="62B67DDC"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78491B53" w14:textId="26AC83FB" w:rsidR="00D03005" w:rsidRPr="00D44D33" w:rsidRDefault="00D03005"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5B1F7B3" w:rsidRPr="00D44D33">
        <w:rPr>
          <w:rFonts w:ascii="Times New Roman" w:eastAsiaTheme="minorEastAsia" w:hAnsi="Times New Roman" w:cs="Times New Roman"/>
          <w:b/>
          <w:bCs/>
          <w:sz w:val="24"/>
          <w:szCs w:val="24"/>
        </w:rPr>
        <w:t>1</w:t>
      </w:r>
      <w:r w:rsidR="003B6CD7" w:rsidRPr="00D44D33">
        <w:rPr>
          <w:rFonts w:ascii="Times New Roman" w:eastAsiaTheme="minorEastAsia" w:hAnsi="Times New Roman" w:cs="Times New Roman"/>
          <w:b/>
          <w:bCs/>
          <w:sz w:val="24"/>
          <w:szCs w:val="24"/>
        </w:rPr>
        <w:t>14</w:t>
      </w:r>
    </w:p>
    <w:p w14:paraId="27AA285A" w14:textId="4AB2F757"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Instytucja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023E0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23E03" w:rsidRPr="00D44D33">
        <w:rPr>
          <w:rFonts w:ascii="Times New Roman" w:eastAsiaTheme="minorEastAsia" w:hAnsi="Times New Roman" w:cs="Times New Roman"/>
          <w:sz w:val="24"/>
          <w:szCs w:val="24"/>
        </w:rPr>
        <w:t>znana</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kształcie</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1D225DA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6A0EFC7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A0EFC7F" w:rsidRPr="00D44D33">
        <w:rPr>
          <w:rFonts w:ascii="Times New Roman" w:eastAsiaTheme="minorEastAsia" w:hAnsi="Times New Roman" w:cs="Times New Roman"/>
          <w:sz w:val="24"/>
          <w:szCs w:val="24"/>
        </w:rPr>
        <w:t>119</w:t>
      </w:r>
      <w:r w:rsidR="00970B2E" w:rsidRPr="00D44D33">
        <w:rPr>
          <w:rFonts w:ascii="Times New Roman" w:eastAsiaTheme="minorEastAsia" w:hAnsi="Times New Roman" w:cs="Times New Roman"/>
          <w:sz w:val="24"/>
          <w:szCs w:val="24"/>
        </w:rPr>
        <w:t xml:space="preserve"> </w:t>
      </w:r>
      <w:r w:rsidR="6A0EFC7F" w:rsidRPr="00D44D33">
        <w:rPr>
          <w:rFonts w:ascii="Times New Roman" w:eastAsiaTheme="minorEastAsia" w:hAnsi="Times New Roman" w:cs="Times New Roman"/>
          <w:sz w:val="24"/>
          <w:szCs w:val="24"/>
        </w:rPr>
        <w:t>Pt)</w:t>
      </w:r>
      <w:r w:rsidR="1D225DA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wskazywała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MHz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GHz,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zrezygnował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aktywnej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wpłacenia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wiarygodności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aukcji/przetargu.</w:t>
      </w:r>
      <w:r w:rsidR="00970B2E" w:rsidRPr="00D44D33">
        <w:rPr>
          <w:rFonts w:ascii="Times New Roman" w:eastAsiaTheme="minorEastAsia" w:hAnsi="Times New Roman" w:cs="Times New Roman"/>
          <w:sz w:val="24"/>
          <w:szCs w:val="24"/>
        </w:rPr>
        <w:t xml:space="preserve"> </w:t>
      </w:r>
    </w:p>
    <w:p w14:paraId="45DADF6F" w14:textId="59D993CB"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projektem</w:t>
      </w:r>
      <w:r w:rsidR="00970B2E" w:rsidRPr="00D44D33">
        <w:rPr>
          <w:rFonts w:ascii="Times New Roman" w:eastAsiaTheme="minorEastAsia" w:hAnsi="Times New Roman" w:cs="Times New Roman"/>
          <w:sz w:val="24"/>
          <w:szCs w:val="24"/>
        </w:rPr>
        <w:t xml:space="preserve"> </w:t>
      </w:r>
      <w:r w:rsidR="00EB640F"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p>
    <w:p w14:paraId="78BA7DE3" w14:textId="79B8F2D7"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MHz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wskazywali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świetle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p>
    <w:p w14:paraId="257C6221" w14:textId="4F6B84C5"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Wycofanie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niezadeklarowanie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utratę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p>
    <w:p w14:paraId="2FCD5EC9" w14:textId="4F65F457"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zwycięski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zaliczone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jednorazowej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74BA13D7" w14:textId="01F5BFAC"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p>
    <w:p w14:paraId="2198229B" w14:textId="4BC6E667" w:rsidR="00D03005" w:rsidRPr="00D44D33" w:rsidRDefault="00D03005" w:rsidP="00D44D33">
      <w:pPr>
        <w:tabs>
          <w:tab w:val="left" w:pos="360"/>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6C168D09" w:rsidRPr="00D44D33">
        <w:rPr>
          <w:rFonts w:ascii="Times New Roman" w:eastAsiaTheme="minorEastAsia" w:hAnsi="Times New Roman" w:cs="Times New Roman"/>
          <w:b/>
          <w:bCs/>
          <w:sz w:val="24"/>
          <w:szCs w:val="24"/>
        </w:rPr>
        <w:t>1</w:t>
      </w:r>
      <w:r w:rsidR="003B6CD7" w:rsidRPr="00D44D33">
        <w:rPr>
          <w:rFonts w:ascii="Times New Roman" w:eastAsiaTheme="minorEastAsia" w:hAnsi="Times New Roman" w:cs="Times New Roman"/>
          <w:b/>
          <w:bCs/>
          <w:sz w:val="24"/>
          <w:szCs w:val="24"/>
        </w:rPr>
        <w:t>15</w:t>
      </w:r>
    </w:p>
    <w:p w14:paraId="647465C1" w14:textId="7614072C" w:rsidR="00D03005" w:rsidRPr="00D44D33" w:rsidRDefault="717EBA66"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EB640F"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nierzetelnym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funkcjonująca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82A2AD7"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kształcie</w:t>
      </w:r>
      <w:r w:rsidR="00970B2E" w:rsidRPr="00D44D33">
        <w:rPr>
          <w:rFonts w:ascii="Times New Roman" w:eastAsiaTheme="minorEastAsia" w:hAnsi="Times New Roman" w:cs="Times New Roman"/>
          <w:sz w:val="24"/>
          <w:szCs w:val="24"/>
        </w:rPr>
        <w:t xml:space="preserve"> </w:t>
      </w:r>
      <w:r w:rsidR="2B4049B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B4049B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B4049B8" w:rsidRPr="00D44D33">
        <w:rPr>
          <w:rFonts w:ascii="Times New Roman" w:eastAsiaTheme="minorEastAsia" w:hAnsi="Times New Roman" w:cs="Times New Roman"/>
          <w:sz w:val="24"/>
          <w:szCs w:val="24"/>
        </w:rPr>
        <w:t>119a</w:t>
      </w:r>
      <w:r w:rsidR="00970B2E" w:rsidRPr="00D44D33">
        <w:rPr>
          <w:rFonts w:ascii="Times New Roman" w:eastAsiaTheme="minorEastAsia" w:hAnsi="Times New Roman" w:cs="Times New Roman"/>
          <w:sz w:val="24"/>
          <w:szCs w:val="24"/>
        </w:rPr>
        <w:t xml:space="preserve"> </w:t>
      </w:r>
      <w:r w:rsidR="2B4049B8"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gwarancję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przebiegu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uczestnictwie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zadeklarowania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wycofaniem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przebiegu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długotrwałość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rund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sztucznego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podbijania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najwyższej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zadeklarowanej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rundach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rzeczywistego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opóźnienia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p>
    <w:p w14:paraId="607087F6" w14:textId="20AC32DC"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zaliczania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utraty.</w:t>
      </w:r>
    </w:p>
    <w:p w14:paraId="581CC2F4" w14:textId="356E31B7"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świetle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depozyt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przepadkowi,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wyłonionego.</w:t>
      </w:r>
    </w:p>
    <w:p w14:paraId="626FFBA1" w14:textId="23BDCFE1"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58E402C3" w:rsidRPr="00D44D33">
        <w:rPr>
          <w:rFonts w:ascii="Times New Roman" w:eastAsiaTheme="minorEastAsia" w:hAnsi="Times New Roman" w:cs="Times New Roman"/>
          <w:b/>
          <w:bCs/>
          <w:sz w:val="24"/>
          <w:szCs w:val="24"/>
        </w:rPr>
        <w:t>11</w:t>
      </w:r>
      <w:r w:rsidR="003B6CD7" w:rsidRPr="00D44D33">
        <w:rPr>
          <w:rFonts w:ascii="Times New Roman" w:eastAsiaTheme="minorEastAsia" w:hAnsi="Times New Roman" w:cs="Times New Roman"/>
          <w:b/>
          <w:bCs/>
          <w:sz w:val="24"/>
          <w:szCs w:val="24"/>
        </w:rPr>
        <w:t>6</w:t>
      </w:r>
    </w:p>
    <w:p w14:paraId="7D154C64" w14:textId="1B86BAC4" w:rsidR="00D03005" w:rsidRPr="00D44D33" w:rsidRDefault="00D03005" w:rsidP="00D44D33">
      <w:pPr>
        <w:tabs>
          <w:tab w:val="left" w:pos="360"/>
        </w:tabs>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Ofertę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sporządz</w:t>
      </w:r>
      <w:r w:rsidR="00EB640F" w:rsidRPr="00D44D33">
        <w:rPr>
          <w:rFonts w:ascii="Times New Roman" w:eastAsiaTheme="minorEastAsia" w:hAnsi="Times New Roman" w:cs="Times New Roman"/>
          <w:sz w:val="24"/>
          <w:szCs w:val="24"/>
        </w:rPr>
        <w:t>a 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EB640F" w:rsidRPr="00D44D33">
        <w:rPr>
          <w:rFonts w:ascii="Times New Roman" w:eastAsiaTheme="minorEastAsia" w:hAnsi="Times New Roman" w:cs="Times New Roman"/>
          <w:sz w:val="24"/>
          <w:szCs w:val="24"/>
        </w:rPr>
        <w:t>składa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5E203EC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E203ECC" w:rsidRPr="00D44D33">
        <w:rPr>
          <w:rFonts w:ascii="Times New Roman" w:eastAsiaTheme="minorEastAsia" w:hAnsi="Times New Roman" w:cs="Times New Roman"/>
          <w:sz w:val="24"/>
          <w:szCs w:val="24"/>
        </w:rPr>
        <w:t>analogiczni</w:t>
      </w:r>
      <w:r w:rsidR="38BE1E8E"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38BE1E8E"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38BE1E8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38BE1E8E" w:rsidRPr="00D44D33">
        <w:rPr>
          <w:rFonts w:ascii="Times New Roman" w:eastAsiaTheme="minorEastAsia" w:hAnsi="Times New Roman" w:cs="Times New Roman"/>
          <w:sz w:val="24"/>
          <w:szCs w:val="24"/>
        </w:rPr>
        <w:t>miało</w:t>
      </w:r>
      <w:r w:rsidR="00970B2E" w:rsidRPr="00D44D33">
        <w:rPr>
          <w:rFonts w:ascii="Times New Roman" w:eastAsiaTheme="minorEastAsia" w:hAnsi="Times New Roman" w:cs="Times New Roman"/>
          <w:sz w:val="24"/>
          <w:szCs w:val="24"/>
        </w:rPr>
        <w:t xml:space="preserve"> </w:t>
      </w:r>
      <w:r w:rsidR="38BE1E8E"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38BE1E8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8BE1E8E" w:rsidRPr="00D44D33">
        <w:rPr>
          <w:rFonts w:ascii="Times New Roman" w:eastAsiaTheme="minorEastAsia" w:hAnsi="Times New Roman" w:cs="Times New Roman"/>
          <w:sz w:val="24"/>
          <w:szCs w:val="24"/>
        </w:rPr>
        <w:t>Pt.</w:t>
      </w:r>
    </w:p>
    <w:p w14:paraId="352090AA" w14:textId="6A67FB5C"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8A0DBB1" w:rsidRPr="00D44D33">
        <w:rPr>
          <w:rFonts w:ascii="Times New Roman" w:eastAsiaTheme="minorEastAsia" w:hAnsi="Times New Roman" w:cs="Times New Roman"/>
          <w:b/>
          <w:bCs/>
          <w:sz w:val="24"/>
          <w:szCs w:val="24"/>
        </w:rPr>
        <w:t>11</w:t>
      </w:r>
      <w:r w:rsidR="003B6CD7" w:rsidRPr="00D44D33">
        <w:rPr>
          <w:rFonts w:ascii="Times New Roman" w:eastAsiaTheme="minorEastAsia" w:hAnsi="Times New Roman" w:cs="Times New Roman"/>
          <w:b/>
          <w:bCs/>
          <w:sz w:val="24"/>
          <w:szCs w:val="24"/>
        </w:rPr>
        <w:t>7</w:t>
      </w:r>
    </w:p>
    <w:p w14:paraId="3D5A98CF" w14:textId="154355B6" w:rsidR="00D03005" w:rsidRPr="00D44D33" w:rsidRDefault="65EB51B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EB640F"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powiela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t>
      </w:r>
      <w:r w:rsidR="717EBA66" w:rsidRPr="00D44D33">
        <w:rPr>
          <w:rFonts w:ascii="Times New Roman" w:eastAsiaTheme="minorEastAsia" w:hAnsi="Times New Roman" w:cs="Times New Roman"/>
          <w:sz w:val="24"/>
          <w:szCs w:val="24"/>
        </w:rPr>
        <w:t>pisy</w:t>
      </w:r>
      <w:r w:rsidR="00970B2E" w:rsidRPr="00D44D33">
        <w:rPr>
          <w:rFonts w:ascii="Times New Roman" w:eastAsiaTheme="minorEastAsia" w:hAnsi="Times New Roman" w:cs="Times New Roman"/>
          <w:sz w:val="24"/>
          <w:szCs w:val="24"/>
        </w:rPr>
        <w:t xml:space="preserve"> </w:t>
      </w:r>
      <w:r w:rsidR="4A2E645E"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3888E3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kryteriów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jedynym</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kryterium</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cena,</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00EB640F" w:rsidRPr="00D44D33">
        <w:rPr>
          <w:rFonts w:ascii="Times New Roman" w:eastAsiaTheme="minorEastAsia" w:hAnsi="Times New Roman" w:cs="Times New Roman"/>
          <w:sz w:val="24"/>
          <w:szCs w:val="24"/>
        </w:rPr>
        <w:t xml:space="preserve">Pke </w:t>
      </w:r>
      <w:r w:rsidR="717EBA66"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kryterium</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kryterium</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zamieszczone</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717EBA66" w:rsidRPr="00D44D33">
        <w:rPr>
          <w:rFonts w:ascii="Times New Roman" w:eastAsiaTheme="minorEastAsia" w:hAnsi="Times New Roman" w:cs="Times New Roman"/>
          <w:sz w:val="24"/>
          <w:szCs w:val="24"/>
        </w:rPr>
        <w:t>konkursowej.</w:t>
      </w:r>
    </w:p>
    <w:p w14:paraId="57A508E0" w14:textId="1F7A937E"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p>
    <w:p w14:paraId="715264BF" w14:textId="3C78FC07"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41649C73" w:rsidRPr="00D44D33">
        <w:rPr>
          <w:rFonts w:ascii="Times New Roman" w:eastAsiaTheme="minorEastAsia" w:hAnsi="Times New Roman" w:cs="Times New Roman"/>
          <w:b/>
          <w:bCs/>
          <w:sz w:val="24"/>
          <w:szCs w:val="24"/>
        </w:rPr>
        <w:t>11</w:t>
      </w:r>
      <w:r w:rsidR="003B6CD7" w:rsidRPr="00D44D33">
        <w:rPr>
          <w:rFonts w:ascii="Times New Roman" w:eastAsiaTheme="minorEastAsia" w:hAnsi="Times New Roman" w:cs="Times New Roman"/>
          <w:b/>
          <w:bCs/>
          <w:sz w:val="24"/>
          <w:szCs w:val="24"/>
        </w:rPr>
        <w:t>8</w:t>
      </w:r>
    </w:p>
    <w:p w14:paraId="00EFD865" w14:textId="799C52CE" w:rsidR="00D03005" w:rsidRPr="00D44D33" w:rsidRDefault="00D03005"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Badanie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powołana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spośród</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pracowników</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posiadających</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wiedzę</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doświadczenie</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9322BD" w:rsidRPr="00D44D33">
        <w:rPr>
          <w:rFonts w:ascii="Times New Roman" w:eastAsiaTheme="minorEastAsia" w:hAnsi="Times New Roman" w:cs="Times New Roman"/>
          <w:sz w:val="24"/>
          <w:szCs w:val="24"/>
        </w:rPr>
        <w:t>selekcyjnego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561A560"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2561A560" w:rsidRPr="00D44D33">
        <w:rPr>
          <w:rFonts w:ascii="Times New Roman" w:hAnsi="Times New Roman" w:cs="Times New Roman"/>
          <w:sz w:val="24"/>
          <w:szCs w:val="24"/>
        </w:rPr>
        <w:t>Pt.</w:t>
      </w:r>
    </w:p>
    <w:p w14:paraId="0C4D487A" w14:textId="7D219E05" w:rsidR="00135C0A" w:rsidRPr="00D44D33" w:rsidRDefault="00135C0A"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11</w:t>
      </w:r>
      <w:r w:rsidR="003B6CD7" w:rsidRPr="00D44D33">
        <w:rPr>
          <w:rFonts w:ascii="Times New Roman" w:eastAsiaTheme="minorEastAsia" w:hAnsi="Times New Roman" w:cs="Times New Roman"/>
          <w:b/>
          <w:sz w:val="24"/>
          <w:szCs w:val="24"/>
        </w:rPr>
        <w:t>9</w:t>
      </w:r>
    </w:p>
    <w:p w14:paraId="0BE22320" w14:textId="54EB154C" w:rsidR="00135C0A" w:rsidRPr="00D44D33" w:rsidRDefault="00135C0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wycofać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zadeklarowania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deklarowana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zadeklarowaniu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80855" w:rsidRPr="00D44D33">
        <w:rPr>
          <w:rFonts w:ascii="Times New Roman" w:eastAsiaTheme="minorEastAsia" w:hAnsi="Times New Roman" w:cs="Times New Roman"/>
          <w:sz w:val="24"/>
          <w:szCs w:val="24"/>
        </w:rPr>
        <w:t>ustawie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7D6A4771" w14:textId="49A35A7B" w:rsidR="00135C0A" w:rsidRPr="00D44D33" w:rsidRDefault="00135C0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wycofania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zniekształcić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przebieg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stabilność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domyślne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wycofania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p>
    <w:p w14:paraId="7143C72D" w14:textId="2ACC8778" w:rsidR="00135C0A" w:rsidRPr="00D44D33" w:rsidRDefault="00135C0A" w:rsidP="00D44D33">
      <w:pPr>
        <w:spacing w:before="120" w:after="120" w:line="360" w:lineRule="auto"/>
        <w:jc w:val="both"/>
        <w:rPr>
          <w:rFonts w:ascii="Times New Roman" w:eastAsiaTheme="minorEastAsia" w:hAnsi="Times New Roman" w:cs="Times New Roman"/>
          <w:b/>
          <w:sz w:val="24"/>
          <w:szCs w:val="24"/>
        </w:rPr>
      </w:pPr>
      <w:r w:rsidRPr="00D44D33">
        <w:rPr>
          <w:rFonts w:ascii="Times New Roman" w:eastAsiaTheme="minorEastAsia" w:hAnsi="Times New Roman" w:cs="Times New Roman"/>
          <w:sz w:val="24"/>
          <w:szCs w:val="24"/>
        </w:rPr>
        <w:t>Wycofanie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zupełnie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wycofanie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licytacji.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sztucznie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zawyża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wycofuje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ponosząc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konsekwencji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utratą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wadium.</w:t>
      </w:r>
    </w:p>
    <w:p w14:paraId="503CFB03" w14:textId="0375CA7C" w:rsidR="00D03005" w:rsidRPr="00D44D33" w:rsidRDefault="000F496D"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33799C41" w:rsidRPr="00D44D33">
        <w:rPr>
          <w:rFonts w:ascii="Times New Roman" w:eastAsiaTheme="minorEastAsia" w:hAnsi="Times New Roman" w:cs="Times New Roman"/>
          <w:b/>
          <w:bCs/>
          <w:sz w:val="24"/>
          <w:szCs w:val="24"/>
        </w:rPr>
        <w:t>1</w:t>
      </w:r>
      <w:r w:rsidR="003B6CD7" w:rsidRPr="00D44D33">
        <w:rPr>
          <w:rFonts w:ascii="Times New Roman" w:eastAsiaTheme="minorEastAsia" w:hAnsi="Times New Roman" w:cs="Times New Roman"/>
          <w:b/>
          <w:bCs/>
          <w:sz w:val="24"/>
          <w:szCs w:val="24"/>
        </w:rPr>
        <w:t>20</w:t>
      </w:r>
    </w:p>
    <w:p w14:paraId="4E76910F" w14:textId="5CC8833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konstrukcja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lista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35A7C6AA" w14:textId="09947ED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bądź</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p>
    <w:p w14:paraId="007D35EA" w14:textId="737817A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niespełniania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zajmujący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liście.</w:t>
      </w:r>
    </w:p>
    <w:p w14:paraId="5E89F06D" w14:textId="08B1387E" w:rsidR="641B8170" w:rsidRPr="00D44D33" w:rsidRDefault="641B8170" w:rsidP="00D44D33">
      <w:pPr>
        <w:spacing w:before="120" w:after="120" w:line="360" w:lineRule="auto"/>
        <w:jc w:val="both"/>
        <w:rPr>
          <w:rFonts w:ascii="Times New Roman" w:hAnsi="Times New Roman" w:cs="Times New Roman"/>
          <w:b/>
          <w:bCs/>
          <w:sz w:val="24"/>
          <w:szCs w:val="24"/>
        </w:rPr>
      </w:pPr>
      <w:r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zbliżonym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gruncie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Pt.</w:t>
      </w:r>
    </w:p>
    <w:p w14:paraId="6CD97C0F" w14:textId="11D0EB4E"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2CC7E8C2" w:rsidRPr="00D44D33">
        <w:rPr>
          <w:rFonts w:ascii="Times New Roman" w:eastAsiaTheme="minorEastAsia" w:hAnsi="Times New Roman" w:cs="Times New Roman"/>
          <w:b/>
          <w:bCs/>
          <w:sz w:val="24"/>
          <w:szCs w:val="24"/>
        </w:rPr>
        <w:t>1</w:t>
      </w:r>
      <w:r w:rsidR="003B6CD7" w:rsidRPr="00D44D33">
        <w:rPr>
          <w:rFonts w:ascii="Times New Roman" w:eastAsiaTheme="minorEastAsia" w:hAnsi="Times New Roman" w:cs="Times New Roman"/>
          <w:b/>
          <w:bCs/>
          <w:sz w:val="24"/>
          <w:szCs w:val="24"/>
        </w:rPr>
        <w:t>21</w:t>
      </w:r>
    </w:p>
    <w:p w14:paraId="6E79376B" w14:textId="097DBC1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Zaproponowany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cechować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swoistym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automatyzmem,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enumeratywnie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wyjątków.</w:t>
      </w:r>
      <w:r w:rsidR="00970B2E" w:rsidRPr="00D44D33">
        <w:rPr>
          <w:rFonts w:ascii="Times New Roman" w:eastAsiaTheme="minorEastAsia" w:hAnsi="Times New Roman" w:cs="Times New Roman"/>
          <w:sz w:val="24"/>
          <w:szCs w:val="24"/>
        </w:rPr>
        <w:t xml:space="preserve"> </w:t>
      </w:r>
    </w:p>
    <w:p w14:paraId="3B4FFA55" w14:textId="28935A84"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53E9128" w:rsidRPr="00D44D33">
        <w:rPr>
          <w:rFonts w:ascii="Times New Roman" w:eastAsiaTheme="minorEastAsia" w:hAnsi="Times New Roman" w:cs="Times New Roman"/>
          <w:sz w:val="24"/>
          <w:szCs w:val="24"/>
        </w:rPr>
        <w:t>6</w:t>
      </w:r>
      <w:r w:rsidR="00ED6522" w:rsidRPr="00D44D33">
        <w:rPr>
          <w:rFonts w:ascii="Times New Roman" w:eastAsiaTheme="minorEastAsia" w:hAnsi="Times New Roman" w:cs="Times New Roman"/>
          <w:sz w:val="24"/>
          <w:szCs w:val="24"/>
        </w:rPr>
        <w:t>5</w:t>
      </w:r>
      <w:r w:rsidR="00EB640F" w:rsidRPr="00D44D33">
        <w:rPr>
          <w:rFonts w:ascii="Times New Roman" w:eastAsiaTheme="minorEastAsia" w:hAnsi="Times New Roman" w:cs="Times New Roman"/>
          <w:sz w:val="24"/>
          <w:szCs w:val="24"/>
        </w:rPr>
        <w:t xml:space="preserve"> Pke</w:t>
      </w:r>
      <w:r w:rsidRPr="00D44D33">
        <w:rPr>
          <w:rFonts w:ascii="Times New Roman" w:eastAsiaTheme="minorEastAsia" w:hAnsi="Times New Roman" w:cs="Times New Roman"/>
          <w:sz w:val="24"/>
          <w:szCs w:val="24"/>
        </w:rPr>
        <w:t>.</w:t>
      </w:r>
    </w:p>
    <w:p w14:paraId="06436F77" w14:textId="3D802AA0"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p>
    <w:p w14:paraId="6417E0E0" w14:textId="2DA6F942"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najszybszego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słuszny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natychmiastowej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wykonalności.</w:t>
      </w:r>
    </w:p>
    <w:p w14:paraId="031AD782" w14:textId="3D69471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najszybszego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zarezerwowanej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przyspieszenia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różnorodnych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rozwój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mieszkańców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zwrócić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natychmiastowego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konsekwencji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37CA3972" w14:textId="522F443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fakultatywny,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640A8C20" w14:textId="015298BC" w:rsidR="01C2AE41" w:rsidRPr="00D44D33" w:rsidRDefault="01C2AE4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03AEA3EF" w14:textId="58BA057D" w:rsidR="00D03005" w:rsidRPr="00D44D33" w:rsidRDefault="000F496D"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D6522" w:rsidRPr="00D44D33">
        <w:rPr>
          <w:rFonts w:ascii="Times New Roman" w:eastAsiaTheme="minorEastAsia" w:hAnsi="Times New Roman" w:cs="Times New Roman"/>
          <w:b/>
          <w:bCs/>
          <w:sz w:val="24"/>
          <w:szCs w:val="24"/>
        </w:rPr>
        <w:t>122</w:t>
      </w:r>
    </w:p>
    <w:p w14:paraId="5DD3C869" w14:textId="46CCFC4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nierozstrzygnięty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bądź</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osiągnął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kwalifikacyjnego,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nierozstrzygnięte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nierozstrzygnięte,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przystąpił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3C791EAC"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3C791EAC"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3C791EAC"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3C791E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C791EAC" w:rsidRPr="00D44D33">
        <w:rPr>
          <w:rFonts w:ascii="Times New Roman" w:eastAsiaTheme="minorEastAsia" w:hAnsi="Times New Roman" w:cs="Times New Roman"/>
          <w:sz w:val="24"/>
          <w:szCs w:val="24"/>
        </w:rPr>
        <w:t>Pt.</w:t>
      </w:r>
    </w:p>
    <w:p w14:paraId="20BC5404" w14:textId="40F7AEED"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D6522" w:rsidRPr="00D44D33">
        <w:rPr>
          <w:rFonts w:ascii="Times New Roman" w:eastAsiaTheme="minorEastAsia" w:hAnsi="Times New Roman" w:cs="Times New Roman"/>
          <w:b/>
          <w:bCs/>
          <w:sz w:val="24"/>
          <w:szCs w:val="24"/>
        </w:rPr>
        <w:t>123</w:t>
      </w:r>
    </w:p>
    <w:p w14:paraId="73EFD832" w14:textId="42A1CC5A" w:rsidR="00D03005" w:rsidRPr="00D44D33" w:rsidRDefault="00D03005" w:rsidP="00D44D33">
      <w:pPr>
        <w:pStyle w:val="BodyText21"/>
        <w:spacing w:before="120" w:after="120" w:line="360" w:lineRule="auto"/>
        <w:rPr>
          <w:rFonts w:eastAsiaTheme="minorEastAsia"/>
          <w:szCs w:val="24"/>
        </w:rPr>
      </w:pPr>
      <w:r w:rsidRPr="00D44D33">
        <w:rPr>
          <w:rFonts w:eastAsiaTheme="minorEastAsia"/>
          <w:szCs w:val="24"/>
        </w:rPr>
        <w:t>Zgodnie</w:t>
      </w:r>
      <w:r w:rsidR="00970B2E" w:rsidRPr="00D44D33">
        <w:rPr>
          <w:rFonts w:eastAsiaTheme="minorEastAsia"/>
          <w:szCs w:val="24"/>
        </w:rPr>
        <w:t xml:space="preserve"> </w:t>
      </w:r>
      <w:r w:rsidRPr="00D44D33">
        <w:rPr>
          <w:rFonts w:eastAsiaTheme="minorEastAsia"/>
          <w:szCs w:val="24"/>
        </w:rPr>
        <w:t>z</w:t>
      </w:r>
      <w:r w:rsidR="00970B2E" w:rsidRPr="00D44D33">
        <w:rPr>
          <w:rFonts w:eastAsiaTheme="minorEastAsia"/>
          <w:szCs w:val="24"/>
        </w:rPr>
        <w:t xml:space="preserve"> </w:t>
      </w:r>
      <w:r w:rsidRPr="00D44D33">
        <w:rPr>
          <w:rFonts w:eastAsiaTheme="minorEastAsia"/>
          <w:szCs w:val="24"/>
        </w:rPr>
        <w:t>projektowanym</w:t>
      </w:r>
      <w:r w:rsidR="00970B2E" w:rsidRPr="00D44D33">
        <w:rPr>
          <w:rFonts w:eastAsiaTheme="minorEastAsia"/>
          <w:szCs w:val="24"/>
        </w:rPr>
        <w:t xml:space="preserve"> </w:t>
      </w:r>
      <w:r w:rsidRPr="00D44D33">
        <w:rPr>
          <w:rFonts w:eastAsiaTheme="minorEastAsia"/>
          <w:szCs w:val="24"/>
        </w:rPr>
        <w:t>brzmieniem</w:t>
      </w:r>
      <w:r w:rsidR="00970B2E" w:rsidRPr="00D44D33">
        <w:rPr>
          <w:rFonts w:eastAsiaTheme="minorEastAsia"/>
          <w:szCs w:val="24"/>
        </w:rPr>
        <w:t xml:space="preserve"> </w:t>
      </w:r>
      <w:r w:rsidRPr="00D44D33">
        <w:rPr>
          <w:rFonts w:eastAsiaTheme="minorEastAsia"/>
          <w:szCs w:val="24"/>
        </w:rPr>
        <w:t>przepisu,</w:t>
      </w:r>
      <w:r w:rsidR="00970B2E" w:rsidRPr="00D44D33">
        <w:rPr>
          <w:rFonts w:eastAsiaTheme="minorEastAsia"/>
          <w:szCs w:val="24"/>
        </w:rPr>
        <w:t xml:space="preserve"> </w:t>
      </w:r>
      <w:r w:rsidRPr="00D44D33">
        <w:rPr>
          <w:rFonts w:eastAsiaTheme="minorEastAsia"/>
          <w:szCs w:val="24"/>
        </w:rPr>
        <w:t>Prezes</w:t>
      </w:r>
      <w:r w:rsidR="00970B2E" w:rsidRPr="00D44D33">
        <w:rPr>
          <w:rFonts w:eastAsiaTheme="minorEastAsia"/>
          <w:szCs w:val="24"/>
        </w:rPr>
        <w:t xml:space="preserve"> </w:t>
      </w:r>
      <w:r w:rsidRPr="00D44D33">
        <w:rPr>
          <w:rFonts w:eastAsiaTheme="minorEastAsia"/>
          <w:szCs w:val="24"/>
        </w:rPr>
        <w:t>UKE</w:t>
      </w:r>
      <w:r w:rsidR="00970B2E" w:rsidRPr="00D44D33">
        <w:rPr>
          <w:rFonts w:eastAsiaTheme="minorEastAsia"/>
          <w:szCs w:val="24"/>
        </w:rPr>
        <w:t xml:space="preserve"> </w:t>
      </w:r>
      <w:r w:rsidRPr="00D44D33">
        <w:rPr>
          <w:rFonts w:eastAsiaTheme="minorEastAsia"/>
          <w:szCs w:val="24"/>
        </w:rPr>
        <w:t>z</w:t>
      </w:r>
      <w:r w:rsidR="00970B2E" w:rsidRPr="00D44D33">
        <w:rPr>
          <w:rFonts w:eastAsiaTheme="minorEastAsia"/>
          <w:szCs w:val="24"/>
        </w:rPr>
        <w:t xml:space="preserve"> </w:t>
      </w:r>
      <w:r w:rsidRPr="00D44D33">
        <w:rPr>
          <w:rFonts w:eastAsiaTheme="minorEastAsia"/>
          <w:szCs w:val="24"/>
        </w:rPr>
        <w:t>urzędu</w:t>
      </w:r>
      <w:r w:rsidR="00970B2E" w:rsidRPr="00D44D33">
        <w:rPr>
          <w:rFonts w:eastAsiaTheme="minorEastAsia"/>
          <w:szCs w:val="24"/>
        </w:rPr>
        <w:t xml:space="preserve"> </w:t>
      </w:r>
      <w:r w:rsidRPr="00D44D33">
        <w:rPr>
          <w:rFonts w:eastAsiaTheme="minorEastAsia"/>
          <w:szCs w:val="24"/>
        </w:rPr>
        <w:t>lub</w:t>
      </w:r>
      <w:r w:rsidR="00970B2E" w:rsidRPr="00D44D33">
        <w:rPr>
          <w:rFonts w:eastAsiaTheme="minorEastAsia"/>
          <w:szCs w:val="24"/>
        </w:rPr>
        <w:t xml:space="preserve"> </w:t>
      </w:r>
      <w:r w:rsidRPr="00D44D33">
        <w:rPr>
          <w:rFonts w:eastAsiaTheme="minorEastAsia"/>
          <w:szCs w:val="24"/>
        </w:rPr>
        <w:t>na</w:t>
      </w:r>
      <w:r w:rsidR="00970B2E" w:rsidRPr="00D44D33">
        <w:rPr>
          <w:rFonts w:eastAsiaTheme="minorEastAsia"/>
          <w:szCs w:val="24"/>
        </w:rPr>
        <w:t xml:space="preserve"> </w:t>
      </w:r>
      <w:r w:rsidRPr="00D44D33">
        <w:rPr>
          <w:rFonts w:eastAsiaTheme="minorEastAsia"/>
          <w:szCs w:val="24"/>
        </w:rPr>
        <w:t>wniosek</w:t>
      </w:r>
      <w:r w:rsidR="00970B2E" w:rsidRPr="00D44D33">
        <w:rPr>
          <w:rFonts w:eastAsiaTheme="minorEastAsia"/>
          <w:szCs w:val="24"/>
        </w:rPr>
        <w:t xml:space="preserve"> </w:t>
      </w:r>
      <w:r w:rsidRPr="00D44D33">
        <w:rPr>
          <w:rFonts w:eastAsiaTheme="minorEastAsia"/>
          <w:szCs w:val="24"/>
        </w:rPr>
        <w:t>uczestnika</w:t>
      </w:r>
      <w:r w:rsidR="00970B2E" w:rsidRPr="00D44D33">
        <w:rPr>
          <w:rFonts w:eastAsiaTheme="minorEastAsia"/>
          <w:szCs w:val="24"/>
        </w:rPr>
        <w:t xml:space="preserve"> </w:t>
      </w:r>
      <w:r w:rsidRPr="00D44D33">
        <w:rPr>
          <w:rFonts w:eastAsiaTheme="minorEastAsia"/>
          <w:szCs w:val="24"/>
        </w:rPr>
        <w:t>postępowania</w:t>
      </w:r>
      <w:r w:rsidR="00970B2E" w:rsidRPr="00D44D33">
        <w:rPr>
          <w:rFonts w:eastAsiaTheme="minorEastAsia"/>
          <w:szCs w:val="24"/>
        </w:rPr>
        <w:t xml:space="preserve"> </w:t>
      </w:r>
      <w:r w:rsidRPr="00D44D33">
        <w:rPr>
          <w:rFonts w:eastAsiaTheme="minorEastAsia"/>
          <w:szCs w:val="24"/>
        </w:rPr>
        <w:t>selekcyjnego</w:t>
      </w:r>
      <w:r w:rsidR="00970B2E" w:rsidRPr="00D44D33">
        <w:rPr>
          <w:rFonts w:eastAsiaTheme="minorEastAsia"/>
          <w:szCs w:val="24"/>
        </w:rPr>
        <w:t xml:space="preserve"> </w:t>
      </w:r>
      <w:r w:rsidRPr="00D44D33">
        <w:rPr>
          <w:rFonts w:eastAsiaTheme="minorEastAsia"/>
          <w:szCs w:val="24"/>
        </w:rPr>
        <w:t>złożony</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terminie</w:t>
      </w:r>
      <w:r w:rsidR="00970B2E" w:rsidRPr="00D44D33">
        <w:rPr>
          <w:rFonts w:eastAsiaTheme="minorEastAsia"/>
          <w:szCs w:val="24"/>
        </w:rPr>
        <w:t xml:space="preserve"> </w:t>
      </w:r>
      <w:r w:rsidRPr="00D44D33">
        <w:rPr>
          <w:rFonts w:eastAsiaTheme="minorEastAsia"/>
          <w:szCs w:val="24"/>
        </w:rPr>
        <w:t>21</w:t>
      </w:r>
      <w:r w:rsidR="00970B2E" w:rsidRPr="00D44D33">
        <w:rPr>
          <w:rFonts w:eastAsiaTheme="minorEastAsia"/>
          <w:szCs w:val="24"/>
        </w:rPr>
        <w:t xml:space="preserve"> </w:t>
      </w:r>
      <w:r w:rsidRPr="00D44D33">
        <w:rPr>
          <w:rFonts w:eastAsiaTheme="minorEastAsia"/>
          <w:szCs w:val="24"/>
        </w:rPr>
        <w:t>dni</w:t>
      </w:r>
      <w:r w:rsidR="00970B2E" w:rsidRPr="00D44D33">
        <w:rPr>
          <w:rFonts w:eastAsiaTheme="minorEastAsia"/>
          <w:szCs w:val="24"/>
        </w:rPr>
        <w:t xml:space="preserve"> </w:t>
      </w:r>
      <w:r w:rsidRPr="00D44D33">
        <w:rPr>
          <w:rFonts w:eastAsiaTheme="minorEastAsia"/>
          <w:szCs w:val="24"/>
        </w:rPr>
        <w:t>od</w:t>
      </w:r>
      <w:r w:rsidR="00970B2E" w:rsidRPr="00D44D33">
        <w:rPr>
          <w:rFonts w:eastAsiaTheme="minorEastAsia"/>
          <w:szCs w:val="24"/>
        </w:rPr>
        <w:t xml:space="preserve"> </w:t>
      </w:r>
      <w:r w:rsidRPr="00D44D33">
        <w:rPr>
          <w:rFonts w:eastAsiaTheme="minorEastAsia"/>
          <w:szCs w:val="24"/>
        </w:rPr>
        <w:t>dnia</w:t>
      </w:r>
      <w:r w:rsidR="00970B2E" w:rsidRPr="00D44D33">
        <w:rPr>
          <w:rFonts w:eastAsiaTheme="minorEastAsia"/>
          <w:szCs w:val="24"/>
        </w:rPr>
        <w:t xml:space="preserve"> </w:t>
      </w:r>
      <w:r w:rsidRPr="00D44D33">
        <w:rPr>
          <w:rFonts w:eastAsiaTheme="minorEastAsia"/>
          <w:szCs w:val="24"/>
        </w:rPr>
        <w:t>ogłoszenia</w:t>
      </w:r>
      <w:r w:rsidR="00970B2E" w:rsidRPr="00D44D33">
        <w:rPr>
          <w:rFonts w:eastAsiaTheme="minorEastAsia"/>
          <w:szCs w:val="24"/>
        </w:rPr>
        <w:t xml:space="preserve"> </w:t>
      </w:r>
      <w:r w:rsidRPr="00D44D33">
        <w:rPr>
          <w:rFonts w:eastAsiaTheme="minorEastAsia"/>
          <w:szCs w:val="24"/>
        </w:rPr>
        <w:t>jego</w:t>
      </w:r>
      <w:r w:rsidR="00970B2E" w:rsidRPr="00D44D33">
        <w:rPr>
          <w:rFonts w:eastAsiaTheme="minorEastAsia"/>
          <w:szCs w:val="24"/>
        </w:rPr>
        <w:t xml:space="preserve"> </w:t>
      </w:r>
      <w:r w:rsidRPr="00D44D33">
        <w:rPr>
          <w:rFonts w:eastAsiaTheme="minorEastAsia"/>
          <w:szCs w:val="24"/>
        </w:rPr>
        <w:t>wyników,</w:t>
      </w:r>
      <w:r w:rsidR="00970B2E" w:rsidRPr="00D44D33">
        <w:rPr>
          <w:rFonts w:eastAsiaTheme="minorEastAsia"/>
          <w:szCs w:val="24"/>
        </w:rPr>
        <w:t xml:space="preserve"> </w:t>
      </w:r>
      <w:r w:rsidRPr="00D44D33">
        <w:rPr>
          <w:rFonts w:eastAsiaTheme="minorEastAsia"/>
          <w:szCs w:val="24"/>
        </w:rPr>
        <w:lastRenderedPageBreak/>
        <w:t>w</w:t>
      </w:r>
      <w:r w:rsidR="00970B2E" w:rsidRPr="00D44D33">
        <w:rPr>
          <w:rFonts w:eastAsiaTheme="minorEastAsia"/>
          <w:szCs w:val="24"/>
        </w:rPr>
        <w:t xml:space="preserve"> </w:t>
      </w:r>
      <w:r w:rsidRPr="00D44D33">
        <w:rPr>
          <w:rFonts w:eastAsiaTheme="minorEastAsia"/>
          <w:szCs w:val="24"/>
        </w:rPr>
        <w:t>drodze</w:t>
      </w:r>
      <w:r w:rsidR="00970B2E" w:rsidRPr="00D44D33">
        <w:rPr>
          <w:rFonts w:eastAsiaTheme="minorEastAsia"/>
          <w:szCs w:val="24"/>
        </w:rPr>
        <w:t xml:space="preserve"> </w:t>
      </w:r>
      <w:r w:rsidRPr="00D44D33">
        <w:rPr>
          <w:rFonts w:eastAsiaTheme="minorEastAsia"/>
          <w:szCs w:val="24"/>
        </w:rPr>
        <w:t>decyzji,</w:t>
      </w:r>
      <w:r w:rsidR="00970B2E" w:rsidRPr="00D44D33">
        <w:rPr>
          <w:rFonts w:eastAsiaTheme="minorEastAsia"/>
          <w:szCs w:val="24"/>
        </w:rPr>
        <w:t xml:space="preserve"> </w:t>
      </w:r>
      <w:r w:rsidRPr="00D44D33">
        <w:rPr>
          <w:rFonts w:eastAsiaTheme="minorEastAsia"/>
          <w:szCs w:val="24"/>
        </w:rPr>
        <w:t>unieważnia</w:t>
      </w:r>
      <w:r w:rsidR="00970B2E" w:rsidRPr="00D44D33">
        <w:rPr>
          <w:rFonts w:eastAsiaTheme="minorEastAsia"/>
          <w:szCs w:val="24"/>
        </w:rPr>
        <w:t xml:space="preserve"> </w:t>
      </w:r>
      <w:r w:rsidRPr="00D44D33">
        <w:rPr>
          <w:rFonts w:eastAsiaTheme="minorEastAsia"/>
          <w:szCs w:val="24"/>
        </w:rPr>
        <w:t>postępowanie,</w:t>
      </w:r>
      <w:r w:rsidR="00970B2E" w:rsidRPr="00D44D33">
        <w:rPr>
          <w:rFonts w:eastAsiaTheme="minorEastAsia"/>
          <w:szCs w:val="24"/>
        </w:rPr>
        <w:t xml:space="preserve"> </w:t>
      </w:r>
      <w:r w:rsidRPr="00D44D33">
        <w:rPr>
          <w:rFonts w:eastAsiaTheme="minorEastAsia"/>
          <w:szCs w:val="24"/>
        </w:rPr>
        <w:t>jeżeli</w:t>
      </w:r>
      <w:r w:rsidR="00970B2E" w:rsidRPr="00D44D33">
        <w:rPr>
          <w:rFonts w:eastAsiaTheme="minorEastAsia"/>
          <w:szCs w:val="24"/>
        </w:rPr>
        <w:t xml:space="preserve"> </w:t>
      </w:r>
      <w:r w:rsidRPr="00D44D33">
        <w:rPr>
          <w:rFonts w:eastAsiaTheme="minorEastAsia"/>
          <w:szCs w:val="24"/>
        </w:rPr>
        <w:t>zostały</w:t>
      </w:r>
      <w:r w:rsidR="00970B2E" w:rsidRPr="00D44D33">
        <w:rPr>
          <w:rFonts w:eastAsiaTheme="minorEastAsia"/>
          <w:szCs w:val="24"/>
        </w:rPr>
        <w:t xml:space="preserve"> </w:t>
      </w:r>
      <w:r w:rsidRPr="00D44D33">
        <w:rPr>
          <w:rFonts w:eastAsiaTheme="minorEastAsia"/>
          <w:szCs w:val="24"/>
        </w:rPr>
        <w:t>rażąco</w:t>
      </w:r>
      <w:r w:rsidR="00970B2E" w:rsidRPr="00D44D33">
        <w:rPr>
          <w:rFonts w:eastAsiaTheme="minorEastAsia"/>
          <w:szCs w:val="24"/>
        </w:rPr>
        <w:t xml:space="preserve"> </w:t>
      </w:r>
      <w:r w:rsidRPr="00D44D33">
        <w:rPr>
          <w:rFonts w:eastAsiaTheme="minorEastAsia"/>
          <w:szCs w:val="24"/>
        </w:rPr>
        <w:t>naruszone</w:t>
      </w:r>
      <w:r w:rsidR="00970B2E" w:rsidRPr="00D44D33">
        <w:rPr>
          <w:rFonts w:eastAsiaTheme="minorEastAsia"/>
          <w:szCs w:val="24"/>
        </w:rPr>
        <w:t xml:space="preserve"> </w:t>
      </w:r>
      <w:r w:rsidRPr="00D44D33">
        <w:rPr>
          <w:rFonts w:eastAsiaTheme="minorEastAsia"/>
          <w:szCs w:val="24"/>
        </w:rPr>
        <w:t>przepisy</w:t>
      </w:r>
      <w:r w:rsidR="00970B2E" w:rsidRPr="00D44D33">
        <w:rPr>
          <w:rFonts w:eastAsiaTheme="minorEastAsia"/>
          <w:szCs w:val="24"/>
        </w:rPr>
        <w:t xml:space="preserve"> </w:t>
      </w:r>
      <w:r w:rsidRPr="00D44D33">
        <w:rPr>
          <w:rFonts w:eastAsiaTheme="minorEastAsia"/>
          <w:szCs w:val="24"/>
        </w:rPr>
        <w:t>prawa</w:t>
      </w:r>
      <w:r w:rsidR="00970B2E" w:rsidRPr="00D44D33">
        <w:rPr>
          <w:rFonts w:eastAsiaTheme="minorEastAsia"/>
          <w:szCs w:val="24"/>
        </w:rPr>
        <w:t xml:space="preserve"> </w:t>
      </w:r>
      <w:r w:rsidRPr="00D44D33">
        <w:rPr>
          <w:rFonts w:eastAsiaTheme="minorEastAsia"/>
          <w:szCs w:val="24"/>
        </w:rPr>
        <w:t>lub</w:t>
      </w:r>
      <w:r w:rsidR="00970B2E" w:rsidRPr="00D44D33">
        <w:rPr>
          <w:rFonts w:eastAsiaTheme="minorEastAsia"/>
          <w:szCs w:val="24"/>
        </w:rPr>
        <w:t xml:space="preserve"> </w:t>
      </w:r>
      <w:r w:rsidRPr="00D44D33">
        <w:rPr>
          <w:rFonts w:eastAsiaTheme="minorEastAsia"/>
          <w:szCs w:val="24"/>
        </w:rPr>
        <w:t>interesy</w:t>
      </w:r>
      <w:r w:rsidR="00970B2E" w:rsidRPr="00D44D33">
        <w:rPr>
          <w:rFonts w:eastAsiaTheme="minorEastAsia"/>
          <w:szCs w:val="24"/>
        </w:rPr>
        <w:t xml:space="preserve"> </w:t>
      </w:r>
      <w:r w:rsidRPr="00D44D33">
        <w:rPr>
          <w:rFonts w:eastAsiaTheme="minorEastAsia"/>
          <w:szCs w:val="24"/>
        </w:rPr>
        <w:t>uczestników</w:t>
      </w:r>
      <w:r w:rsidR="00970B2E" w:rsidRPr="00D44D33">
        <w:rPr>
          <w:rFonts w:eastAsiaTheme="minorEastAsia"/>
          <w:szCs w:val="24"/>
        </w:rPr>
        <w:t xml:space="preserve"> </w:t>
      </w:r>
      <w:r w:rsidRPr="00D44D33">
        <w:rPr>
          <w:rFonts w:eastAsiaTheme="minorEastAsia"/>
          <w:szCs w:val="24"/>
        </w:rPr>
        <w:t>przetargu,</w:t>
      </w:r>
      <w:r w:rsidR="00970B2E" w:rsidRPr="00D44D33">
        <w:rPr>
          <w:rFonts w:eastAsiaTheme="minorEastAsia"/>
          <w:szCs w:val="24"/>
        </w:rPr>
        <w:t xml:space="preserve"> </w:t>
      </w:r>
      <w:r w:rsidRPr="00D44D33">
        <w:rPr>
          <w:rFonts w:eastAsiaTheme="minorEastAsia"/>
          <w:szCs w:val="24"/>
        </w:rPr>
        <w:t>aukcji</w:t>
      </w:r>
      <w:r w:rsidR="00970B2E" w:rsidRPr="00D44D33">
        <w:rPr>
          <w:rFonts w:eastAsiaTheme="minorEastAsia"/>
          <w:szCs w:val="24"/>
        </w:rPr>
        <w:t xml:space="preserve"> </w:t>
      </w:r>
      <w:r w:rsidRPr="00D44D33">
        <w:rPr>
          <w:rFonts w:eastAsiaTheme="minorEastAsia"/>
          <w:szCs w:val="24"/>
        </w:rPr>
        <w:t>albo</w:t>
      </w:r>
      <w:r w:rsidR="00970B2E" w:rsidRPr="00D44D33">
        <w:rPr>
          <w:rFonts w:eastAsiaTheme="minorEastAsia"/>
          <w:szCs w:val="24"/>
        </w:rPr>
        <w:t xml:space="preserve"> </w:t>
      </w:r>
      <w:r w:rsidRPr="00D44D33">
        <w:rPr>
          <w:rFonts w:eastAsiaTheme="minorEastAsia"/>
          <w:szCs w:val="24"/>
        </w:rPr>
        <w:t>konkursu.</w:t>
      </w:r>
      <w:r w:rsidR="00970B2E" w:rsidRPr="00D44D33">
        <w:rPr>
          <w:rFonts w:eastAsiaTheme="minorEastAsia"/>
          <w:szCs w:val="24"/>
        </w:rPr>
        <w:t xml:space="preserve"> </w:t>
      </w:r>
      <w:r w:rsidRPr="00D44D33">
        <w:rPr>
          <w:rFonts w:eastAsiaTheme="minorEastAsia"/>
          <w:szCs w:val="24"/>
        </w:rPr>
        <w:t>Jak</w:t>
      </w:r>
      <w:r w:rsidR="00970B2E" w:rsidRPr="00D44D33">
        <w:rPr>
          <w:rFonts w:eastAsiaTheme="minorEastAsia"/>
          <w:szCs w:val="24"/>
        </w:rPr>
        <w:t xml:space="preserve"> </w:t>
      </w:r>
      <w:r w:rsidRPr="00D44D33">
        <w:rPr>
          <w:rFonts w:eastAsiaTheme="minorEastAsia"/>
          <w:szCs w:val="24"/>
        </w:rPr>
        <w:t>wynika</w:t>
      </w:r>
      <w:r w:rsidR="00970B2E" w:rsidRPr="00D44D33">
        <w:rPr>
          <w:rFonts w:eastAsiaTheme="minorEastAsia"/>
          <w:szCs w:val="24"/>
        </w:rPr>
        <w:t xml:space="preserve"> </w:t>
      </w:r>
      <w:r w:rsidRPr="00D44D33">
        <w:rPr>
          <w:rFonts w:eastAsiaTheme="minorEastAsia"/>
          <w:szCs w:val="24"/>
        </w:rPr>
        <w:t>zatem</w:t>
      </w:r>
      <w:r w:rsidR="00970B2E" w:rsidRPr="00D44D33">
        <w:rPr>
          <w:rFonts w:eastAsiaTheme="minorEastAsia"/>
          <w:szCs w:val="24"/>
        </w:rPr>
        <w:t xml:space="preserve"> </w:t>
      </w:r>
      <w:r w:rsidRPr="00D44D33">
        <w:rPr>
          <w:rFonts w:eastAsiaTheme="minorEastAsia"/>
          <w:szCs w:val="24"/>
        </w:rPr>
        <w:t>z</w:t>
      </w:r>
      <w:r w:rsidR="00970B2E" w:rsidRPr="00D44D33">
        <w:rPr>
          <w:rFonts w:eastAsiaTheme="minorEastAsia"/>
          <w:szCs w:val="24"/>
        </w:rPr>
        <w:t xml:space="preserve"> </w:t>
      </w:r>
      <w:r w:rsidRPr="00D44D33">
        <w:rPr>
          <w:rFonts w:eastAsiaTheme="minorEastAsia"/>
          <w:szCs w:val="24"/>
        </w:rPr>
        <w:t>brzmienia</w:t>
      </w:r>
      <w:r w:rsidR="00970B2E" w:rsidRPr="00D44D33">
        <w:rPr>
          <w:rFonts w:eastAsiaTheme="minorEastAsia"/>
          <w:szCs w:val="24"/>
        </w:rPr>
        <w:t xml:space="preserve"> </w:t>
      </w:r>
      <w:r w:rsidRPr="00D44D33">
        <w:rPr>
          <w:rFonts w:eastAsiaTheme="minorEastAsia"/>
          <w:szCs w:val="24"/>
        </w:rPr>
        <w:t>wyżej</w:t>
      </w:r>
      <w:r w:rsidR="00970B2E" w:rsidRPr="00D44D33">
        <w:rPr>
          <w:rFonts w:eastAsiaTheme="minorEastAsia"/>
          <w:szCs w:val="24"/>
        </w:rPr>
        <w:t xml:space="preserve"> </w:t>
      </w:r>
      <w:r w:rsidRPr="00D44D33">
        <w:rPr>
          <w:rFonts w:eastAsiaTheme="minorEastAsia"/>
          <w:szCs w:val="24"/>
        </w:rPr>
        <w:t>przywołanego</w:t>
      </w:r>
      <w:r w:rsidR="00970B2E" w:rsidRPr="00D44D33">
        <w:rPr>
          <w:rFonts w:eastAsiaTheme="minorEastAsia"/>
          <w:szCs w:val="24"/>
        </w:rPr>
        <w:t xml:space="preserve"> </w:t>
      </w:r>
      <w:r w:rsidRPr="00D44D33">
        <w:rPr>
          <w:rFonts w:eastAsiaTheme="minorEastAsia"/>
          <w:szCs w:val="24"/>
        </w:rPr>
        <w:t>przepisu,</w:t>
      </w:r>
      <w:r w:rsidR="00970B2E" w:rsidRPr="00D44D33">
        <w:rPr>
          <w:rFonts w:eastAsiaTheme="minorEastAsia"/>
          <w:szCs w:val="24"/>
        </w:rPr>
        <w:t xml:space="preserve"> </w:t>
      </w:r>
      <w:r w:rsidRPr="00D44D33">
        <w:rPr>
          <w:rFonts w:eastAsiaTheme="minorEastAsia"/>
          <w:szCs w:val="24"/>
        </w:rPr>
        <w:t>przesłankami</w:t>
      </w:r>
      <w:r w:rsidR="00970B2E" w:rsidRPr="00D44D33">
        <w:rPr>
          <w:rFonts w:eastAsiaTheme="minorEastAsia"/>
          <w:szCs w:val="24"/>
        </w:rPr>
        <w:t xml:space="preserve"> </w:t>
      </w:r>
      <w:r w:rsidRPr="00D44D33">
        <w:rPr>
          <w:rFonts w:eastAsiaTheme="minorEastAsia"/>
          <w:szCs w:val="24"/>
        </w:rPr>
        <w:t>unieważnienia</w:t>
      </w:r>
      <w:r w:rsidR="00970B2E" w:rsidRPr="00D44D33">
        <w:rPr>
          <w:rFonts w:eastAsiaTheme="minorEastAsia"/>
          <w:szCs w:val="24"/>
        </w:rPr>
        <w:t xml:space="preserve"> </w:t>
      </w:r>
      <w:r w:rsidRPr="00D44D33">
        <w:rPr>
          <w:rFonts w:eastAsiaTheme="minorEastAsia"/>
          <w:szCs w:val="24"/>
        </w:rPr>
        <w:t>przetargu</w:t>
      </w:r>
      <w:r w:rsidR="00970B2E" w:rsidRPr="00D44D33">
        <w:rPr>
          <w:rFonts w:eastAsiaTheme="minorEastAsia"/>
          <w:szCs w:val="24"/>
        </w:rPr>
        <w:t xml:space="preserve"> </w:t>
      </w:r>
      <w:r w:rsidRPr="00D44D33">
        <w:rPr>
          <w:rFonts w:eastAsiaTheme="minorEastAsia"/>
          <w:szCs w:val="24"/>
        </w:rPr>
        <w:t>są</w:t>
      </w:r>
      <w:r w:rsidR="00970B2E" w:rsidRPr="00D44D33">
        <w:rPr>
          <w:rFonts w:eastAsiaTheme="minorEastAsia"/>
          <w:szCs w:val="24"/>
        </w:rPr>
        <w:t xml:space="preserve"> </w:t>
      </w:r>
      <w:r w:rsidRPr="00D44D33">
        <w:rPr>
          <w:rFonts w:eastAsiaTheme="minorEastAsia"/>
          <w:szCs w:val="24"/>
        </w:rPr>
        <w:t>rażące</w:t>
      </w:r>
      <w:r w:rsidR="00970B2E" w:rsidRPr="00D44D33">
        <w:rPr>
          <w:rFonts w:eastAsiaTheme="minorEastAsia"/>
          <w:szCs w:val="24"/>
        </w:rPr>
        <w:t xml:space="preserve"> </w:t>
      </w:r>
      <w:r w:rsidRPr="00D44D33">
        <w:rPr>
          <w:rFonts w:eastAsiaTheme="minorEastAsia"/>
          <w:szCs w:val="24"/>
        </w:rPr>
        <w:t>naruszenie</w:t>
      </w:r>
      <w:r w:rsidR="00970B2E" w:rsidRPr="00D44D33">
        <w:rPr>
          <w:rFonts w:eastAsiaTheme="minorEastAsia"/>
          <w:szCs w:val="24"/>
        </w:rPr>
        <w:t xml:space="preserve"> </w:t>
      </w:r>
      <w:r w:rsidRPr="00D44D33">
        <w:rPr>
          <w:rFonts w:eastAsiaTheme="minorEastAsia"/>
          <w:szCs w:val="24"/>
        </w:rPr>
        <w:t>przepisów</w:t>
      </w:r>
      <w:r w:rsidR="00970B2E" w:rsidRPr="00D44D33">
        <w:rPr>
          <w:rFonts w:eastAsiaTheme="minorEastAsia"/>
          <w:szCs w:val="24"/>
        </w:rPr>
        <w:t xml:space="preserve"> </w:t>
      </w:r>
      <w:r w:rsidRPr="00D44D33">
        <w:rPr>
          <w:rFonts w:eastAsiaTheme="minorEastAsia"/>
          <w:szCs w:val="24"/>
        </w:rPr>
        <w:t>prawa</w:t>
      </w:r>
      <w:r w:rsidR="00970B2E" w:rsidRPr="00D44D33">
        <w:rPr>
          <w:rFonts w:eastAsiaTheme="minorEastAsia"/>
          <w:szCs w:val="24"/>
        </w:rPr>
        <w:t xml:space="preserve"> </w:t>
      </w:r>
      <w:r w:rsidRPr="00D44D33">
        <w:rPr>
          <w:rFonts w:eastAsiaTheme="minorEastAsia"/>
          <w:szCs w:val="24"/>
        </w:rPr>
        <w:t>lub</w:t>
      </w:r>
      <w:r w:rsidR="00970B2E" w:rsidRPr="00D44D33">
        <w:rPr>
          <w:rFonts w:eastAsiaTheme="minorEastAsia"/>
          <w:szCs w:val="24"/>
        </w:rPr>
        <w:t xml:space="preserve"> </w:t>
      </w:r>
      <w:r w:rsidRPr="00D44D33">
        <w:rPr>
          <w:rFonts w:eastAsiaTheme="minorEastAsia"/>
          <w:szCs w:val="24"/>
        </w:rPr>
        <w:t>interesów</w:t>
      </w:r>
      <w:r w:rsidR="00970B2E" w:rsidRPr="00D44D33">
        <w:rPr>
          <w:rFonts w:eastAsiaTheme="minorEastAsia"/>
          <w:szCs w:val="24"/>
        </w:rPr>
        <w:t xml:space="preserve"> </w:t>
      </w:r>
      <w:r w:rsidRPr="00D44D33">
        <w:rPr>
          <w:rFonts w:eastAsiaTheme="minorEastAsia"/>
          <w:szCs w:val="24"/>
        </w:rPr>
        <w:t>uczestników</w:t>
      </w:r>
      <w:r w:rsidR="00970B2E" w:rsidRPr="00D44D33">
        <w:rPr>
          <w:rFonts w:eastAsiaTheme="minorEastAsia"/>
          <w:szCs w:val="24"/>
        </w:rPr>
        <w:t xml:space="preserve"> </w:t>
      </w:r>
      <w:r w:rsidRPr="00D44D33">
        <w:rPr>
          <w:rFonts w:eastAsiaTheme="minorEastAsia"/>
          <w:szCs w:val="24"/>
        </w:rPr>
        <w:t>postępowania,</w:t>
      </w:r>
      <w:r w:rsidR="00970B2E" w:rsidRPr="00D44D33">
        <w:rPr>
          <w:rFonts w:eastAsiaTheme="minorEastAsia"/>
          <w:szCs w:val="24"/>
        </w:rPr>
        <w:t xml:space="preserve"> </w:t>
      </w:r>
      <w:r w:rsidRPr="00D44D33">
        <w:rPr>
          <w:rFonts w:eastAsiaTheme="minorEastAsia"/>
          <w:szCs w:val="24"/>
        </w:rPr>
        <w:t>co</w:t>
      </w:r>
      <w:r w:rsidR="00970B2E" w:rsidRPr="00D44D33">
        <w:rPr>
          <w:rFonts w:eastAsiaTheme="minorEastAsia"/>
          <w:szCs w:val="24"/>
        </w:rPr>
        <w:t xml:space="preserve"> </w:t>
      </w:r>
      <w:r w:rsidRPr="00D44D33">
        <w:rPr>
          <w:rFonts w:eastAsiaTheme="minorEastAsia"/>
          <w:szCs w:val="24"/>
        </w:rPr>
        <w:t>oznacza,</w:t>
      </w:r>
      <w:r w:rsidR="00970B2E" w:rsidRPr="00D44D33">
        <w:rPr>
          <w:rFonts w:eastAsiaTheme="minorEastAsia"/>
          <w:szCs w:val="24"/>
        </w:rPr>
        <w:t xml:space="preserve"> </w:t>
      </w:r>
      <w:r w:rsidRPr="00D44D33">
        <w:rPr>
          <w:rFonts w:eastAsiaTheme="minorEastAsia"/>
          <w:szCs w:val="24"/>
        </w:rPr>
        <w:t>że</w:t>
      </w:r>
      <w:r w:rsidR="00970B2E" w:rsidRPr="00D44D33">
        <w:rPr>
          <w:rFonts w:eastAsiaTheme="minorEastAsia"/>
          <w:szCs w:val="24"/>
        </w:rPr>
        <w:t xml:space="preserve"> </w:t>
      </w:r>
      <w:r w:rsidRPr="00D44D33">
        <w:rPr>
          <w:rFonts w:eastAsiaTheme="minorEastAsia"/>
          <w:szCs w:val="24"/>
        </w:rPr>
        <w:t>zachodzi</w:t>
      </w:r>
      <w:r w:rsidR="00970B2E" w:rsidRPr="00D44D33">
        <w:rPr>
          <w:rFonts w:eastAsiaTheme="minorEastAsia"/>
          <w:szCs w:val="24"/>
        </w:rPr>
        <w:t xml:space="preserve"> </w:t>
      </w:r>
      <w:r w:rsidRPr="00D44D33">
        <w:rPr>
          <w:rFonts w:eastAsiaTheme="minorEastAsia"/>
          <w:szCs w:val="24"/>
        </w:rPr>
        <w:t>ono</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przypadku</w:t>
      </w:r>
      <w:r w:rsidR="00970B2E" w:rsidRPr="00D44D33">
        <w:rPr>
          <w:rFonts w:eastAsiaTheme="minorEastAsia"/>
          <w:szCs w:val="24"/>
        </w:rPr>
        <w:t xml:space="preserve"> </w:t>
      </w:r>
      <w:r w:rsidRPr="00D44D33">
        <w:rPr>
          <w:rFonts w:eastAsiaTheme="minorEastAsia"/>
          <w:szCs w:val="24"/>
        </w:rPr>
        <w:t>naruszenia</w:t>
      </w:r>
      <w:r w:rsidR="00970B2E" w:rsidRPr="00D44D33">
        <w:rPr>
          <w:rFonts w:eastAsiaTheme="minorEastAsia"/>
          <w:szCs w:val="24"/>
        </w:rPr>
        <w:t xml:space="preserve"> </w:t>
      </w:r>
      <w:r w:rsidRPr="00D44D33">
        <w:rPr>
          <w:rFonts w:eastAsiaTheme="minorEastAsia"/>
          <w:szCs w:val="24"/>
        </w:rPr>
        <w:t>przepisu,</w:t>
      </w:r>
      <w:r w:rsidR="00970B2E" w:rsidRPr="00D44D33">
        <w:rPr>
          <w:rFonts w:eastAsiaTheme="minorEastAsia"/>
          <w:szCs w:val="24"/>
        </w:rPr>
        <w:t xml:space="preserve"> </w:t>
      </w:r>
      <w:r w:rsidRPr="00D44D33">
        <w:rPr>
          <w:rFonts w:eastAsiaTheme="minorEastAsia"/>
          <w:szCs w:val="24"/>
        </w:rPr>
        <w:t>którego</w:t>
      </w:r>
      <w:r w:rsidR="00970B2E" w:rsidRPr="00D44D33">
        <w:rPr>
          <w:rFonts w:eastAsiaTheme="minorEastAsia"/>
          <w:szCs w:val="24"/>
        </w:rPr>
        <w:t xml:space="preserve"> </w:t>
      </w:r>
      <w:r w:rsidRPr="00D44D33">
        <w:rPr>
          <w:rFonts w:eastAsiaTheme="minorEastAsia"/>
          <w:szCs w:val="24"/>
        </w:rPr>
        <w:t>treść</w:t>
      </w:r>
      <w:r w:rsidR="00970B2E" w:rsidRPr="00D44D33">
        <w:rPr>
          <w:rFonts w:eastAsiaTheme="minorEastAsia"/>
          <w:szCs w:val="24"/>
        </w:rPr>
        <w:t xml:space="preserve"> </w:t>
      </w:r>
      <w:r w:rsidRPr="00D44D33">
        <w:rPr>
          <w:rFonts w:eastAsiaTheme="minorEastAsia"/>
          <w:szCs w:val="24"/>
        </w:rPr>
        <w:t>bez</w:t>
      </w:r>
      <w:r w:rsidR="00970B2E" w:rsidRPr="00D44D33">
        <w:rPr>
          <w:rFonts w:eastAsiaTheme="minorEastAsia"/>
          <w:szCs w:val="24"/>
        </w:rPr>
        <w:t xml:space="preserve"> </w:t>
      </w:r>
      <w:r w:rsidRPr="00D44D33">
        <w:rPr>
          <w:rFonts w:eastAsiaTheme="minorEastAsia"/>
          <w:szCs w:val="24"/>
        </w:rPr>
        <w:t>żadnych</w:t>
      </w:r>
      <w:r w:rsidR="00970B2E" w:rsidRPr="00D44D33">
        <w:rPr>
          <w:rFonts w:eastAsiaTheme="minorEastAsia"/>
          <w:szCs w:val="24"/>
        </w:rPr>
        <w:t xml:space="preserve"> </w:t>
      </w:r>
      <w:r w:rsidRPr="00D44D33">
        <w:rPr>
          <w:rFonts w:eastAsiaTheme="minorEastAsia"/>
          <w:szCs w:val="24"/>
        </w:rPr>
        <w:t>wątpliwości</w:t>
      </w:r>
      <w:r w:rsidR="00970B2E" w:rsidRPr="00D44D33">
        <w:rPr>
          <w:rFonts w:eastAsiaTheme="minorEastAsia"/>
          <w:szCs w:val="24"/>
        </w:rPr>
        <w:t xml:space="preserve"> </w:t>
      </w:r>
      <w:r w:rsidRPr="00D44D33">
        <w:rPr>
          <w:rFonts w:eastAsiaTheme="minorEastAsia"/>
          <w:szCs w:val="24"/>
        </w:rPr>
        <w:t>interpretacyjnych</w:t>
      </w:r>
      <w:r w:rsidR="00970B2E" w:rsidRPr="00D44D33">
        <w:rPr>
          <w:rFonts w:eastAsiaTheme="minorEastAsia"/>
          <w:szCs w:val="24"/>
        </w:rPr>
        <w:t xml:space="preserve"> </w:t>
      </w:r>
      <w:r w:rsidRPr="00D44D33">
        <w:rPr>
          <w:rFonts w:eastAsiaTheme="minorEastAsia"/>
          <w:szCs w:val="24"/>
        </w:rPr>
        <w:t>może</w:t>
      </w:r>
      <w:r w:rsidR="00970B2E" w:rsidRPr="00D44D33">
        <w:rPr>
          <w:rFonts w:eastAsiaTheme="minorEastAsia"/>
          <w:szCs w:val="24"/>
        </w:rPr>
        <w:t xml:space="preserve"> </w:t>
      </w:r>
      <w:r w:rsidRPr="00D44D33">
        <w:rPr>
          <w:rFonts w:eastAsiaTheme="minorEastAsia"/>
          <w:szCs w:val="24"/>
        </w:rPr>
        <w:t>być</w:t>
      </w:r>
      <w:r w:rsidR="00970B2E" w:rsidRPr="00D44D33">
        <w:rPr>
          <w:rFonts w:eastAsiaTheme="minorEastAsia"/>
          <w:szCs w:val="24"/>
        </w:rPr>
        <w:t xml:space="preserve"> </w:t>
      </w:r>
      <w:r w:rsidRPr="00D44D33">
        <w:rPr>
          <w:rFonts w:eastAsiaTheme="minorEastAsia"/>
          <w:szCs w:val="24"/>
        </w:rPr>
        <w:t>ustalona</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bezpośrednim</w:t>
      </w:r>
      <w:r w:rsidR="00970B2E" w:rsidRPr="00D44D33">
        <w:rPr>
          <w:rFonts w:eastAsiaTheme="minorEastAsia"/>
          <w:szCs w:val="24"/>
        </w:rPr>
        <w:t xml:space="preserve"> </w:t>
      </w:r>
      <w:r w:rsidRPr="00D44D33">
        <w:rPr>
          <w:rFonts w:eastAsiaTheme="minorEastAsia"/>
          <w:szCs w:val="24"/>
        </w:rPr>
        <w:t>rozumieniu,</w:t>
      </w:r>
      <w:r w:rsidR="00970B2E" w:rsidRPr="00D44D33">
        <w:rPr>
          <w:rFonts w:eastAsiaTheme="minorEastAsia"/>
          <w:szCs w:val="24"/>
        </w:rPr>
        <w:t xml:space="preserve"> </w:t>
      </w:r>
      <w:r w:rsidRPr="00D44D33">
        <w:rPr>
          <w:rFonts w:eastAsiaTheme="minorEastAsia"/>
          <w:szCs w:val="24"/>
        </w:rPr>
        <w:t>bądź</w:t>
      </w:r>
      <w:r w:rsidR="00970B2E" w:rsidRPr="00D44D33">
        <w:rPr>
          <w:rFonts w:eastAsiaTheme="minorEastAsia"/>
          <w:szCs w:val="24"/>
        </w:rPr>
        <w:t xml:space="preserve"> </w:t>
      </w:r>
      <w:r w:rsidRPr="00D44D33">
        <w:rPr>
          <w:rFonts w:eastAsiaTheme="minorEastAsia"/>
          <w:szCs w:val="24"/>
        </w:rPr>
        <w:t>naruszenie</w:t>
      </w:r>
      <w:r w:rsidR="00970B2E" w:rsidRPr="00D44D33">
        <w:rPr>
          <w:rFonts w:eastAsiaTheme="minorEastAsia"/>
          <w:szCs w:val="24"/>
        </w:rPr>
        <w:t xml:space="preserve"> </w:t>
      </w:r>
      <w:r w:rsidRPr="00D44D33">
        <w:rPr>
          <w:rFonts w:eastAsiaTheme="minorEastAsia"/>
          <w:szCs w:val="24"/>
        </w:rPr>
        <w:t>prawa</w:t>
      </w:r>
      <w:r w:rsidR="00970B2E" w:rsidRPr="00D44D33">
        <w:rPr>
          <w:rFonts w:eastAsiaTheme="minorEastAsia"/>
          <w:szCs w:val="24"/>
        </w:rPr>
        <w:t xml:space="preserve"> </w:t>
      </w:r>
      <w:r w:rsidRPr="00D44D33">
        <w:rPr>
          <w:rFonts w:eastAsiaTheme="minorEastAsia"/>
          <w:szCs w:val="24"/>
        </w:rPr>
        <w:t>lub</w:t>
      </w:r>
      <w:r w:rsidR="00970B2E" w:rsidRPr="00D44D33">
        <w:rPr>
          <w:rFonts w:eastAsiaTheme="minorEastAsia"/>
          <w:szCs w:val="24"/>
        </w:rPr>
        <w:t xml:space="preserve"> </w:t>
      </w:r>
      <w:r w:rsidRPr="00D44D33">
        <w:rPr>
          <w:rFonts w:eastAsiaTheme="minorEastAsia"/>
          <w:szCs w:val="24"/>
        </w:rPr>
        <w:t>interesu</w:t>
      </w:r>
      <w:r w:rsidR="00970B2E" w:rsidRPr="00D44D33">
        <w:rPr>
          <w:rFonts w:eastAsiaTheme="minorEastAsia"/>
          <w:szCs w:val="24"/>
        </w:rPr>
        <w:t xml:space="preserve"> </w:t>
      </w:r>
      <w:r w:rsidRPr="00D44D33">
        <w:rPr>
          <w:rFonts w:eastAsiaTheme="minorEastAsia"/>
          <w:szCs w:val="24"/>
        </w:rPr>
        <w:t>uczestnika</w:t>
      </w:r>
      <w:r w:rsidR="00970B2E" w:rsidRPr="00D44D33">
        <w:rPr>
          <w:rFonts w:eastAsiaTheme="minorEastAsia"/>
          <w:szCs w:val="24"/>
        </w:rPr>
        <w:t xml:space="preserve"> </w:t>
      </w:r>
      <w:r w:rsidRPr="00D44D33">
        <w:rPr>
          <w:rFonts w:eastAsiaTheme="minorEastAsia"/>
          <w:szCs w:val="24"/>
        </w:rPr>
        <w:t>przetargu</w:t>
      </w:r>
      <w:r w:rsidR="00970B2E" w:rsidRPr="00D44D33">
        <w:rPr>
          <w:rFonts w:eastAsiaTheme="minorEastAsia"/>
          <w:szCs w:val="24"/>
        </w:rPr>
        <w:t xml:space="preserve"> </w:t>
      </w:r>
      <w:r w:rsidRPr="00D44D33">
        <w:rPr>
          <w:rFonts w:eastAsiaTheme="minorEastAsia"/>
          <w:szCs w:val="24"/>
        </w:rPr>
        <w:t>wywołuje</w:t>
      </w:r>
      <w:r w:rsidR="00970B2E" w:rsidRPr="00D44D33">
        <w:rPr>
          <w:rFonts w:eastAsiaTheme="minorEastAsia"/>
          <w:szCs w:val="24"/>
        </w:rPr>
        <w:t xml:space="preserve"> </w:t>
      </w:r>
      <w:r w:rsidRPr="00D44D33">
        <w:rPr>
          <w:rFonts w:eastAsiaTheme="minorEastAsia"/>
          <w:szCs w:val="24"/>
        </w:rPr>
        <w:t>skutki</w:t>
      </w:r>
      <w:r w:rsidR="00970B2E" w:rsidRPr="00D44D33">
        <w:rPr>
          <w:rFonts w:eastAsiaTheme="minorEastAsia"/>
          <w:szCs w:val="24"/>
        </w:rPr>
        <w:t xml:space="preserve"> </w:t>
      </w:r>
      <w:r w:rsidRPr="00D44D33">
        <w:rPr>
          <w:rFonts w:eastAsiaTheme="minorEastAsia"/>
          <w:szCs w:val="24"/>
        </w:rPr>
        <w:t>społeczno-gospodarcze,</w:t>
      </w:r>
      <w:r w:rsidR="00970B2E" w:rsidRPr="00D44D33">
        <w:rPr>
          <w:rFonts w:eastAsiaTheme="minorEastAsia"/>
          <w:szCs w:val="24"/>
        </w:rPr>
        <w:t xml:space="preserve"> </w:t>
      </w:r>
      <w:r w:rsidRPr="00D44D33">
        <w:rPr>
          <w:rFonts w:eastAsiaTheme="minorEastAsia"/>
          <w:szCs w:val="24"/>
        </w:rPr>
        <w:t>niemożliwe</w:t>
      </w:r>
      <w:r w:rsidR="00970B2E" w:rsidRPr="00D44D33">
        <w:rPr>
          <w:rFonts w:eastAsiaTheme="minorEastAsia"/>
          <w:szCs w:val="24"/>
        </w:rPr>
        <w:t xml:space="preserve"> </w:t>
      </w:r>
      <w:r w:rsidRPr="00D44D33">
        <w:rPr>
          <w:rFonts w:eastAsiaTheme="minorEastAsia"/>
          <w:szCs w:val="24"/>
        </w:rPr>
        <w:t>do</w:t>
      </w:r>
      <w:r w:rsidR="00970B2E" w:rsidRPr="00D44D33">
        <w:rPr>
          <w:rFonts w:eastAsiaTheme="minorEastAsia"/>
          <w:szCs w:val="24"/>
        </w:rPr>
        <w:t xml:space="preserve"> </w:t>
      </w:r>
      <w:r w:rsidRPr="00D44D33">
        <w:rPr>
          <w:rFonts w:eastAsiaTheme="minorEastAsia"/>
          <w:szCs w:val="24"/>
        </w:rPr>
        <w:t>zaakceptowania</w:t>
      </w:r>
      <w:r w:rsidR="00970B2E" w:rsidRPr="00D44D33">
        <w:rPr>
          <w:rFonts w:eastAsiaTheme="minorEastAsia"/>
          <w:szCs w:val="24"/>
        </w:rPr>
        <w:t xml:space="preserve"> </w:t>
      </w:r>
      <w:r w:rsidRPr="00D44D33">
        <w:rPr>
          <w:rFonts w:eastAsiaTheme="minorEastAsia"/>
          <w:szCs w:val="24"/>
        </w:rPr>
        <w:t>z</w:t>
      </w:r>
      <w:r w:rsidR="00970B2E" w:rsidRPr="00D44D33">
        <w:rPr>
          <w:rFonts w:eastAsiaTheme="minorEastAsia"/>
          <w:szCs w:val="24"/>
        </w:rPr>
        <w:t xml:space="preserve"> </w:t>
      </w:r>
      <w:r w:rsidRPr="00D44D33">
        <w:rPr>
          <w:rFonts w:eastAsiaTheme="minorEastAsia"/>
          <w:szCs w:val="24"/>
        </w:rPr>
        <w:t>punktu</w:t>
      </w:r>
      <w:r w:rsidR="00970B2E" w:rsidRPr="00D44D33">
        <w:rPr>
          <w:rFonts w:eastAsiaTheme="minorEastAsia"/>
          <w:szCs w:val="24"/>
        </w:rPr>
        <w:t xml:space="preserve"> </w:t>
      </w:r>
      <w:r w:rsidRPr="00D44D33">
        <w:rPr>
          <w:rFonts w:eastAsiaTheme="minorEastAsia"/>
          <w:szCs w:val="24"/>
        </w:rPr>
        <w:t>widzenia</w:t>
      </w:r>
      <w:r w:rsidR="00970B2E" w:rsidRPr="00D44D33">
        <w:rPr>
          <w:rFonts w:eastAsiaTheme="minorEastAsia"/>
          <w:szCs w:val="24"/>
        </w:rPr>
        <w:t xml:space="preserve"> </w:t>
      </w:r>
      <w:r w:rsidRPr="00D44D33">
        <w:rPr>
          <w:rFonts w:eastAsiaTheme="minorEastAsia"/>
          <w:szCs w:val="24"/>
        </w:rPr>
        <w:t>praworządności.</w:t>
      </w:r>
      <w:r w:rsidR="00970B2E" w:rsidRPr="00D44D33">
        <w:rPr>
          <w:rFonts w:eastAsiaTheme="minorEastAsia"/>
          <w:szCs w:val="24"/>
        </w:rPr>
        <w:t xml:space="preserve"> </w:t>
      </w:r>
      <w:r w:rsidRPr="00D44D33">
        <w:rPr>
          <w:rFonts w:eastAsiaTheme="minorEastAsia"/>
          <w:szCs w:val="24"/>
        </w:rPr>
        <w:t>Warto</w:t>
      </w:r>
      <w:r w:rsidR="00970B2E" w:rsidRPr="00D44D33">
        <w:rPr>
          <w:rFonts w:eastAsiaTheme="minorEastAsia"/>
          <w:szCs w:val="24"/>
        </w:rPr>
        <w:t xml:space="preserve"> </w:t>
      </w:r>
      <w:r w:rsidRPr="00D44D33">
        <w:rPr>
          <w:rFonts w:eastAsiaTheme="minorEastAsia"/>
          <w:szCs w:val="24"/>
        </w:rPr>
        <w:t>przy</w:t>
      </w:r>
      <w:r w:rsidR="00970B2E" w:rsidRPr="00D44D33">
        <w:rPr>
          <w:rFonts w:eastAsiaTheme="minorEastAsia"/>
          <w:szCs w:val="24"/>
        </w:rPr>
        <w:t xml:space="preserve"> </w:t>
      </w:r>
      <w:r w:rsidRPr="00D44D33">
        <w:rPr>
          <w:rFonts w:eastAsiaTheme="minorEastAsia"/>
          <w:szCs w:val="24"/>
        </w:rPr>
        <w:t>tym</w:t>
      </w:r>
      <w:r w:rsidR="00970B2E" w:rsidRPr="00D44D33">
        <w:rPr>
          <w:rFonts w:eastAsiaTheme="minorEastAsia"/>
          <w:szCs w:val="24"/>
        </w:rPr>
        <w:t xml:space="preserve"> </w:t>
      </w:r>
      <w:r w:rsidRPr="00D44D33">
        <w:rPr>
          <w:rFonts w:eastAsiaTheme="minorEastAsia"/>
          <w:szCs w:val="24"/>
        </w:rPr>
        <w:t>podnieść,</w:t>
      </w:r>
      <w:r w:rsidR="00970B2E" w:rsidRPr="00D44D33">
        <w:rPr>
          <w:rFonts w:eastAsiaTheme="minorEastAsia"/>
          <w:szCs w:val="24"/>
        </w:rPr>
        <w:t xml:space="preserve"> </w:t>
      </w:r>
      <w:r w:rsidRPr="00D44D33">
        <w:rPr>
          <w:rFonts w:eastAsiaTheme="minorEastAsia"/>
          <w:szCs w:val="24"/>
        </w:rPr>
        <w:t>że</w:t>
      </w:r>
      <w:r w:rsidR="00970B2E" w:rsidRPr="00D44D33">
        <w:rPr>
          <w:rFonts w:eastAsiaTheme="minorEastAsia"/>
          <w:szCs w:val="24"/>
        </w:rPr>
        <w:t xml:space="preserve"> </w:t>
      </w:r>
      <w:r w:rsidRPr="00D44D33">
        <w:rPr>
          <w:rFonts w:eastAsiaTheme="minorEastAsia"/>
          <w:szCs w:val="24"/>
        </w:rPr>
        <w:t>nie</w:t>
      </w:r>
      <w:r w:rsidR="00970B2E" w:rsidRPr="00D44D33">
        <w:rPr>
          <w:rFonts w:eastAsiaTheme="minorEastAsia"/>
          <w:szCs w:val="24"/>
        </w:rPr>
        <w:t xml:space="preserve"> </w:t>
      </w:r>
      <w:r w:rsidRPr="00D44D33">
        <w:rPr>
          <w:rFonts w:eastAsiaTheme="minorEastAsia"/>
          <w:szCs w:val="24"/>
        </w:rPr>
        <w:t>wszystkie</w:t>
      </w:r>
      <w:r w:rsidR="00970B2E" w:rsidRPr="00D44D33">
        <w:rPr>
          <w:rFonts w:eastAsiaTheme="minorEastAsia"/>
          <w:szCs w:val="24"/>
        </w:rPr>
        <w:t xml:space="preserve"> </w:t>
      </w:r>
      <w:r w:rsidRPr="00D44D33">
        <w:rPr>
          <w:rFonts w:eastAsiaTheme="minorEastAsia"/>
          <w:szCs w:val="24"/>
        </w:rPr>
        <w:t>stwierdzone</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przetargu,</w:t>
      </w:r>
      <w:r w:rsidR="00970B2E" w:rsidRPr="00D44D33">
        <w:rPr>
          <w:rFonts w:eastAsiaTheme="minorEastAsia"/>
          <w:szCs w:val="24"/>
        </w:rPr>
        <w:t xml:space="preserve"> </w:t>
      </w:r>
      <w:r w:rsidRPr="00D44D33">
        <w:rPr>
          <w:rFonts w:eastAsiaTheme="minorEastAsia"/>
          <w:szCs w:val="24"/>
        </w:rPr>
        <w:t>aukcji</w:t>
      </w:r>
      <w:r w:rsidR="00970B2E" w:rsidRPr="00D44D33">
        <w:rPr>
          <w:rFonts w:eastAsiaTheme="minorEastAsia"/>
          <w:szCs w:val="24"/>
        </w:rPr>
        <w:t xml:space="preserve"> </w:t>
      </w:r>
      <w:r w:rsidRPr="00D44D33">
        <w:rPr>
          <w:rFonts w:eastAsiaTheme="minorEastAsia"/>
          <w:szCs w:val="24"/>
        </w:rPr>
        <w:t>albo</w:t>
      </w:r>
      <w:r w:rsidR="00970B2E" w:rsidRPr="00D44D33">
        <w:rPr>
          <w:rFonts w:eastAsiaTheme="minorEastAsia"/>
          <w:szCs w:val="24"/>
        </w:rPr>
        <w:t xml:space="preserve"> </w:t>
      </w:r>
      <w:r w:rsidRPr="00D44D33">
        <w:rPr>
          <w:rFonts w:eastAsiaTheme="minorEastAsia"/>
          <w:szCs w:val="24"/>
        </w:rPr>
        <w:t>konkursie</w:t>
      </w:r>
      <w:r w:rsidR="00970B2E" w:rsidRPr="00D44D33">
        <w:rPr>
          <w:rFonts w:eastAsiaTheme="minorEastAsia"/>
          <w:szCs w:val="24"/>
        </w:rPr>
        <w:t xml:space="preserve"> </w:t>
      </w:r>
      <w:r w:rsidRPr="00D44D33">
        <w:rPr>
          <w:rFonts w:eastAsiaTheme="minorEastAsia"/>
          <w:szCs w:val="24"/>
        </w:rPr>
        <w:t>uchybienia,</w:t>
      </w:r>
      <w:r w:rsidR="00970B2E" w:rsidRPr="00D44D33">
        <w:rPr>
          <w:rFonts w:eastAsiaTheme="minorEastAsia"/>
          <w:szCs w:val="24"/>
        </w:rPr>
        <w:t xml:space="preserve"> </w:t>
      </w:r>
      <w:r w:rsidRPr="00D44D33">
        <w:rPr>
          <w:rFonts w:eastAsiaTheme="minorEastAsia"/>
          <w:szCs w:val="24"/>
        </w:rPr>
        <w:t>które</w:t>
      </w:r>
      <w:r w:rsidR="00970B2E" w:rsidRPr="00D44D33">
        <w:rPr>
          <w:rFonts w:eastAsiaTheme="minorEastAsia"/>
          <w:szCs w:val="24"/>
        </w:rPr>
        <w:t xml:space="preserve"> </w:t>
      </w:r>
      <w:r w:rsidRPr="00D44D33">
        <w:rPr>
          <w:rFonts w:eastAsiaTheme="minorEastAsia"/>
          <w:szCs w:val="24"/>
        </w:rPr>
        <w:t>skutkowały</w:t>
      </w:r>
      <w:r w:rsidR="00970B2E" w:rsidRPr="00D44D33">
        <w:rPr>
          <w:rFonts w:eastAsiaTheme="minorEastAsia"/>
          <w:szCs w:val="24"/>
        </w:rPr>
        <w:t xml:space="preserve"> </w:t>
      </w:r>
      <w:r w:rsidRPr="00D44D33">
        <w:rPr>
          <w:rFonts w:eastAsiaTheme="minorEastAsia"/>
          <w:szCs w:val="24"/>
        </w:rPr>
        <w:t>ich</w:t>
      </w:r>
      <w:r w:rsidR="00970B2E" w:rsidRPr="00D44D33">
        <w:rPr>
          <w:rFonts w:eastAsiaTheme="minorEastAsia"/>
          <w:szCs w:val="24"/>
        </w:rPr>
        <w:t xml:space="preserve"> </w:t>
      </w:r>
      <w:r w:rsidRPr="00D44D33">
        <w:rPr>
          <w:rFonts w:eastAsiaTheme="minorEastAsia"/>
          <w:szCs w:val="24"/>
        </w:rPr>
        <w:t>unieważnieniem,</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praktyce</w:t>
      </w:r>
      <w:r w:rsidR="00970B2E" w:rsidRPr="00D44D33">
        <w:rPr>
          <w:rFonts w:eastAsiaTheme="minorEastAsia"/>
          <w:szCs w:val="24"/>
        </w:rPr>
        <w:t xml:space="preserve"> </w:t>
      </w:r>
      <w:r w:rsidRPr="00D44D33">
        <w:rPr>
          <w:rFonts w:eastAsiaTheme="minorEastAsia"/>
          <w:szCs w:val="24"/>
        </w:rPr>
        <w:t>mogły</w:t>
      </w:r>
      <w:r w:rsidR="00970B2E" w:rsidRPr="00D44D33">
        <w:rPr>
          <w:rFonts w:eastAsiaTheme="minorEastAsia"/>
          <w:szCs w:val="24"/>
        </w:rPr>
        <w:t xml:space="preserve"> </w:t>
      </w:r>
      <w:r w:rsidRPr="00D44D33">
        <w:rPr>
          <w:rFonts w:eastAsiaTheme="minorEastAsia"/>
          <w:szCs w:val="24"/>
        </w:rPr>
        <w:t>doprowadzić</w:t>
      </w:r>
      <w:r w:rsidR="00970B2E" w:rsidRPr="00D44D33">
        <w:rPr>
          <w:rFonts w:eastAsiaTheme="minorEastAsia"/>
          <w:szCs w:val="24"/>
        </w:rPr>
        <w:t xml:space="preserve"> </w:t>
      </w:r>
      <w:r w:rsidRPr="00D44D33">
        <w:rPr>
          <w:rFonts w:eastAsiaTheme="minorEastAsia"/>
          <w:szCs w:val="24"/>
        </w:rPr>
        <w:t>do</w:t>
      </w:r>
      <w:r w:rsidR="00970B2E" w:rsidRPr="00D44D33">
        <w:rPr>
          <w:rFonts w:eastAsiaTheme="minorEastAsia"/>
          <w:szCs w:val="24"/>
        </w:rPr>
        <w:t xml:space="preserve"> </w:t>
      </w:r>
      <w:r w:rsidRPr="00D44D33">
        <w:rPr>
          <w:rFonts w:eastAsiaTheme="minorEastAsia"/>
          <w:szCs w:val="24"/>
        </w:rPr>
        <w:t>wyłonienia</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przetargu,</w:t>
      </w:r>
      <w:r w:rsidR="00970B2E" w:rsidRPr="00D44D33">
        <w:rPr>
          <w:rFonts w:eastAsiaTheme="minorEastAsia"/>
          <w:szCs w:val="24"/>
        </w:rPr>
        <w:t xml:space="preserve"> </w:t>
      </w:r>
      <w:r w:rsidRPr="00D44D33">
        <w:rPr>
          <w:rFonts w:eastAsiaTheme="minorEastAsia"/>
          <w:szCs w:val="24"/>
        </w:rPr>
        <w:t>aukcji</w:t>
      </w:r>
      <w:r w:rsidR="00970B2E" w:rsidRPr="00D44D33">
        <w:rPr>
          <w:rFonts w:eastAsiaTheme="minorEastAsia"/>
          <w:szCs w:val="24"/>
        </w:rPr>
        <w:t xml:space="preserve"> </w:t>
      </w:r>
      <w:r w:rsidRPr="00D44D33">
        <w:rPr>
          <w:rFonts w:eastAsiaTheme="minorEastAsia"/>
          <w:szCs w:val="24"/>
        </w:rPr>
        <w:t>albo</w:t>
      </w:r>
      <w:r w:rsidR="00970B2E" w:rsidRPr="00D44D33">
        <w:rPr>
          <w:rFonts w:eastAsiaTheme="minorEastAsia"/>
          <w:szCs w:val="24"/>
        </w:rPr>
        <w:t xml:space="preserve"> </w:t>
      </w:r>
      <w:r w:rsidRPr="00D44D33">
        <w:rPr>
          <w:rFonts w:eastAsiaTheme="minorEastAsia"/>
          <w:szCs w:val="24"/>
        </w:rPr>
        <w:t>konkursie</w:t>
      </w:r>
      <w:r w:rsidR="00970B2E" w:rsidRPr="00D44D33">
        <w:rPr>
          <w:rFonts w:eastAsiaTheme="minorEastAsia"/>
          <w:szCs w:val="24"/>
        </w:rPr>
        <w:t xml:space="preserve"> </w:t>
      </w:r>
      <w:r w:rsidRPr="00D44D33">
        <w:rPr>
          <w:rFonts w:eastAsiaTheme="minorEastAsia"/>
          <w:szCs w:val="24"/>
        </w:rPr>
        <w:t>podmiotu</w:t>
      </w:r>
      <w:r w:rsidR="00970B2E" w:rsidRPr="00D44D33">
        <w:rPr>
          <w:rFonts w:eastAsiaTheme="minorEastAsia"/>
          <w:szCs w:val="24"/>
        </w:rPr>
        <w:t xml:space="preserve"> </w:t>
      </w:r>
      <w:r w:rsidRPr="00D44D33">
        <w:rPr>
          <w:rFonts w:eastAsiaTheme="minorEastAsia"/>
          <w:szCs w:val="24"/>
        </w:rPr>
        <w:t>innego</w:t>
      </w:r>
      <w:r w:rsidR="00970B2E" w:rsidRPr="00D44D33">
        <w:rPr>
          <w:rFonts w:eastAsiaTheme="minorEastAsia"/>
          <w:szCs w:val="24"/>
        </w:rPr>
        <w:t xml:space="preserve"> </w:t>
      </w:r>
      <w:r w:rsidRPr="00D44D33">
        <w:rPr>
          <w:rFonts w:eastAsiaTheme="minorEastAsia"/>
          <w:szCs w:val="24"/>
        </w:rPr>
        <w:t>niż</w:t>
      </w:r>
      <w:r w:rsidR="00970B2E" w:rsidRPr="00D44D33">
        <w:rPr>
          <w:rFonts w:eastAsiaTheme="minorEastAsia"/>
          <w:szCs w:val="24"/>
        </w:rPr>
        <w:t xml:space="preserve"> </w:t>
      </w:r>
      <w:r w:rsidRPr="00D44D33">
        <w:rPr>
          <w:rFonts w:eastAsiaTheme="minorEastAsia"/>
          <w:szCs w:val="24"/>
        </w:rPr>
        <w:t>podmiot</w:t>
      </w:r>
      <w:r w:rsidR="00970B2E" w:rsidRPr="00D44D33">
        <w:rPr>
          <w:rFonts w:eastAsiaTheme="minorEastAsia"/>
          <w:szCs w:val="24"/>
        </w:rPr>
        <w:t xml:space="preserve"> </w:t>
      </w:r>
      <w:r w:rsidRPr="00D44D33">
        <w:rPr>
          <w:rFonts w:eastAsiaTheme="minorEastAsia"/>
          <w:szCs w:val="24"/>
        </w:rPr>
        <w:t>wyłoniony.</w:t>
      </w:r>
    </w:p>
    <w:p w14:paraId="5345DF96" w14:textId="373762E8" w:rsidR="00D03005" w:rsidRPr="00D44D33" w:rsidRDefault="00D03005" w:rsidP="00D44D33">
      <w:pPr>
        <w:pStyle w:val="BodyText21"/>
        <w:spacing w:before="120" w:after="120" w:line="360" w:lineRule="auto"/>
        <w:rPr>
          <w:rFonts w:eastAsiaTheme="minorEastAsia"/>
          <w:szCs w:val="24"/>
        </w:rPr>
      </w:pPr>
      <w:r w:rsidRPr="00D44D33">
        <w:rPr>
          <w:rFonts w:eastAsiaTheme="minorEastAsia"/>
          <w:szCs w:val="24"/>
        </w:rPr>
        <w:t>Uczestnikowi</w:t>
      </w:r>
      <w:r w:rsidR="00970B2E" w:rsidRPr="00D44D33">
        <w:rPr>
          <w:rFonts w:eastAsiaTheme="minorEastAsia"/>
          <w:szCs w:val="24"/>
        </w:rPr>
        <w:t xml:space="preserve"> </w:t>
      </w:r>
      <w:r w:rsidRPr="00D44D33">
        <w:rPr>
          <w:rFonts w:eastAsiaTheme="minorEastAsia"/>
          <w:szCs w:val="24"/>
        </w:rPr>
        <w:t>postępowania</w:t>
      </w:r>
      <w:r w:rsidR="00970B2E" w:rsidRPr="00D44D33">
        <w:rPr>
          <w:rFonts w:eastAsiaTheme="minorEastAsia"/>
          <w:szCs w:val="24"/>
        </w:rPr>
        <w:t xml:space="preserve"> </w:t>
      </w:r>
      <w:r w:rsidRPr="00D44D33">
        <w:rPr>
          <w:rFonts w:eastAsiaTheme="minorEastAsia"/>
          <w:szCs w:val="24"/>
        </w:rPr>
        <w:t>selekcyjnego</w:t>
      </w:r>
      <w:r w:rsidR="00970B2E" w:rsidRPr="00D44D33">
        <w:rPr>
          <w:rFonts w:eastAsiaTheme="minorEastAsia"/>
          <w:szCs w:val="24"/>
        </w:rPr>
        <w:t xml:space="preserve"> </w:t>
      </w:r>
      <w:r w:rsidRPr="00D44D33">
        <w:rPr>
          <w:rFonts w:eastAsiaTheme="minorEastAsia"/>
          <w:szCs w:val="24"/>
        </w:rPr>
        <w:t>nie</w:t>
      </w:r>
      <w:r w:rsidR="00970B2E" w:rsidRPr="00D44D33">
        <w:rPr>
          <w:rFonts w:eastAsiaTheme="minorEastAsia"/>
          <w:szCs w:val="24"/>
        </w:rPr>
        <w:t xml:space="preserve"> </w:t>
      </w:r>
      <w:r w:rsidRPr="00D44D33">
        <w:rPr>
          <w:rFonts w:eastAsiaTheme="minorEastAsia"/>
          <w:szCs w:val="24"/>
        </w:rPr>
        <w:t>przysługuje</w:t>
      </w:r>
      <w:r w:rsidR="00970B2E" w:rsidRPr="00D44D33">
        <w:rPr>
          <w:rFonts w:eastAsiaTheme="minorEastAsia"/>
          <w:szCs w:val="24"/>
        </w:rPr>
        <w:t xml:space="preserve"> </w:t>
      </w:r>
      <w:r w:rsidRPr="00D44D33">
        <w:rPr>
          <w:rFonts w:eastAsiaTheme="minorEastAsia"/>
          <w:szCs w:val="24"/>
        </w:rPr>
        <w:t>inny</w:t>
      </w:r>
      <w:r w:rsidR="00970B2E" w:rsidRPr="00D44D33">
        <w:rPr>
          <w:rFonts w:eastAsiaTheme="minorEastAsia"/>
          <w:szCs w:val="24"/>
        </w:rPr>
        <w:t xml:space="preserve"> </w:t>
      </w:r>
      <w:r w:rsidRPr="00D44D33">
        <w:rPr>
          <w:rFonts w:eastAsiaTheme="minorEastAsia"/>
          <w:szCs w:val="24"/>
        </w:rPr>
        <w:t>tryb</w:t>
      </w:r>
      <w:r w:rsidR="00970B2E" w:rsidRPr="00D44D33">
        <w:rPr>
          <w:rFonts w:eastAsiaTheme="minorEastAsia"/>
          <w:szCs w:val="24"/>
        </w:rPr>
        <w:t xml:space="preserve"> </w:t>
      </w:r>
      <w:r w:rsidRPr="00D44D33">
        <w:rPr>
          <w:rFonts w:eastAsiaTheme="minorEastAsia"/>
          <w:szCs w:val="24"/>
        </w:rPr>
        <w:t>kontroli</w:t>
      </w:r>
      <w:r w:rsidR="00970B2E" w:rsidRPr="00D44D33">
        <w:rPr>
          <w:rFonts w:eastAsiaTheme="minorEastAsia"/>
          <w:szCs w:val="24"/>
        </w:rPr>
        <w:t xml:space="preserve"> </w:t>
      </w:r>
      <w:r w:rsidRPr="00D44D33">
        <w:rPr>
          <w:rFonts w:eastAsiaTheme="minorEastAsia"/>
          <w:szCs w:val="24"/>
        </w:rPr>
        <w:t>rozstrzygnięć</w:t>
      </w:r>
      <w:r w:rsidR="00970B2E" w:rsidRPr="00D44D33">
        <w:rPr>
          <w:rFonts w:eastAsiaTheme="minorEastAsia"/>
          <w:szCs w:val="24"/>
        </w:rPr>
        <w:t xml:space="preserve"> </w:t>
      </w:r>
      <w:r w:rsidRPr="00D44D33">
        <w:rPr>
          <w:rFonts w:eastAsiaTheme="minorEastAsia"/>
          <w:szCs w:val="24"/>
        </w:rPr>
        <w:t>podejmowanych</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postępowaniu</w:t>
      </w:r>
      <w:r w:rsidR="00970B2E" w:rsidRPr="00D44D33">
        <w:rPr>
          <w:rFonts w:eastAsiaTheme="minorEastAsia"/>
          <w:szCs w:val="24"/>
        </w:rPr>
        <w:t xml:space="preserve"> </w:t>
      </w:r>
      <w:r w:rsidRPr="00D44D33">
        <w:rPr>
          <w:rFonts w:eastAsiaTheme="minorEastAsia"/>
          <w:szCs w:val="24"/>
        </w:rPr>
        <w:t>selekcyjnym</w:t>
      </w:r>
      <w:r w:rsidR="00970B2E" w:rsidRPr="00D44D33">
        <w:rPr>
          <w:rFonts w:eastAsiaTheme="minorEastAsia"/>
          <w:szCs w:val="24"/>
        </w:rPr>
        <w:t xml:space="preserve"> </w:t>
      </w:r>
      <w:r w:rsidRPr="00D44D33">
        <w:rPr>
          <w:rFonts w:eastAsiaTheme="minorEastAsia"/>
          <w:szCs w:val="24"/>
        </w:rPr>
        <w:t>niż</w:t>
      </w:r>
      <w:r w:rsidR="00970B2E" w:rsidRPr="00D44D33">
        <w:rPr>
          <w:rFonts w:eastAsiaTheme="minorEastAsia"/>
          <w:szCs w:val="24"/>
        </w:rPr>
        <w:t xml:space="preserve"> </w:t>
      </w:r>
      <w:r w:rsidRPr="00D44D33">
        <w:rPr>
          <w:rFonts w:eastAsiaTheme="minorEastAsia"/>
          <w:szCs w:val="24"/>
        </w:rPr>
        <w:t>określony</w:t>
      </w:r>
      <w:r w:rsidR="00970B2E" w:rsidRPr="00D44D33">
        <w:rPr>
          <w:rFonts w:eastAsiaTheme="minorEastAsia"/>
          <w:szCs w:val="24"/>
        </w:rPr>
        <w:t xml:space="preserve"> </w:t>
      </w:r>
      <w:r w:rsidRPr="00D44D33">
        <w:rPr>
          <w:rFonts w:eastAsiaTheme="minorEastAsia"/>
          <w:szCs w:val="24"/>
        </w:rPr>
        <w:t>w</w:t>
      </w:r>
      <w:r w:rsidR="00970B2E" w:rsidRPr="00D44D33">
        <w:rPr>
          <w:rFonts w:eastAsiaTheme="minorEastAsia"/>
          <w:szCs w:val="24"/>
        </w:rPr>
        <w:t xml:space="preserve"> </w:t>
      </w:r>
      <w:r w:rsidRPr="00D44D33">
        <w:rPr>
          <w:rFonts w:eastAsiaTheme="minorEastAsia"/>
          <w:szCs w:val="24"/>
        </w:rPr>
        <w:t>projektowanym</w:t>
      </w:r>
      <w:r w:rsidR="00970B2E" w:rsidRPr="00D44D33">
        <w:rPr>
          <w:rFonts w:eastAsiaTheme="minorEastAsia"/>
          <w:szCs w:val="24"/>
        </w:rPr>
        <w:t xml:space="preserve"> </w:t>
      </w:r>
      <w:r w:rsidRPr="00D44D33">
        <w:rPr>
          <w:rFonts w:eastAsiaTheme="minorEastAsia"/>
          <w:szCs w:val="24"/>
        </w:rPr>
        <w:t>przepisie.</w:t>
      </w:r>
    </w:p>
    <w:p w14:paraId="3A9F6D36" w14:textId="3B7B5C53" w:rsidR="7BF445D0" w:rsidRPr="00D44D33" w:rsidRDefault="7BF445D0" w:rsidP="00D44D33">
      <w:pPr>
        <w:pStyle w:val="BodyText21"/>
        <w:spacing w:before="120" w:after="120" w:line="360" w:lineRule="auto"/>
        <w:rPr>
          <w:rFonts w:eastAsiaTheme="minorEastAsia"/>
          <w:szCs w:val="24"/>
        </w:rPr>
      </w:pPr>
      <w:r w:rsidRPr="00D44D33">
        <w:rPr>
          <w:rFonts w:eastAsiaTheme="minorEastAsia"/>
          <w:szCs w:val="24"/>
        </w:rPr>
        <w:t>Instytucja</w:t>
      </w:r>
      <w:r w:rsidR="00970B2E" w:rsidRPr="00D44D33">
        <w:rPr>
          <w:rFonts w:eastAsiaTheme="minorEastAsia"/>
          <w:szCs w:val="24"/>
        </w:rPr>
        <w:t xml:space="preserve"> </w:t>
      </w:r>
      <w:r w:rsidRPr="00D44D33">
        <w:rPr>
          <w:rFonts w:eastAsiaTheme="minorEastAsia"/>
          <w:szCs w:val="24"/>
        </w:rPr>
        <w:t>unieważnienia</w:t>
      </w:r>
      <w:r w:rsidR="00970B2E" w:rsidRPr="00D44D33">
        <w:rPr>
          <w:rFonts w:eastAsiaTheme="minorEastAsia"/>
          <w:szCs w:val="24"/>
        </w:rPr>
        <w:t xml:space="preserve"> </w:t>
      </w:r>
      <w:r w:rsidRPr="00D44D33">
        <w:rPr>
          <w:rFonts w:eastAsiaTheme="minorEastAsia"/>
          <w:szCs w:val="24"/>
        </w:rPr>
        <w:t>funkcjonowała</w:t>
      </w:r>
      <w:r w:rsidR="00970B2E" w:rsidRPr="00D44D33">
        <w:rPr>
          <w:rFonts w:eastAsiaTheme="minorEastAsia"/>
          <w:szCs w:val="24"/>
        </w:rPr>
        <w:t xml:space="preserve"> </w:t>
      </w:r>
      <w:r w:rsidRPr="00D44D33">
        <w:rPr>
          <w:rFonts w:eastAsiaTheme="minorEastAsia"/>
          <w:szCs w:val="24"/>
        </w:rPr>
        <w:t>już</w:t>
      </w:r>
      <w:r w:rsidR="00970B2E" w:rsidRPr="00D44D33">
        <w:rPr>
          <w:rFonts w:eastAsiaTheme="minorEastAsia"/>
          <w:szCs w:val="24"/>
        </w:rPr>
        <w:t xml:space="preserve"> </w:t>
      </w:r>
      <w:r w:rsidRPr="00D44D33">
        <w:rPr>
          <w:rFonts w:eastAsiaTheme="minorEastAsia"/>
          <w:szCs w:val="24"/>
        </w:rPr>
        <w:t>na</w:t>
      </w:r>
      <w:r w:rsidR="00970B2E" w:rsidRPr="00D44D33">
        <w:rPr>
          <w:rFonts w:eastAsiaTheme="minorEastAsia"/>
          <w:szCs w:val="24"/>
        </w:rPr>
        <w:t xml:space="preserve"> </w:t>
      </w:r>
      <w:r w:rsidRPr="00D44D33">
        <w:rPr>
          <w:rFonts w:eastAsiaTheme="minorEastAsia"/>
          <w:szCs w:val="24"/>
        </w:rPr>
        <w:t>gruncie</w:t>
      </w:r>
      <w:r w:rsidR="00970B2E" w:rsidRPr="00D44D33">
        <w:rPr>
          <w:rFonts w:eastAsiaTheme="minorEastAsia"/>
          <w:szCs w:val="24"/>
        </w:rPr>
        <w:t xml:space="preserve"> </w:t>
      </w:r>
      <w:r w:rsidRPr="00D44D33">
        <w:rPr>
          <w:rFonts w:eastAsiaTheme="minorEastAsia"/>
          <w:szCs w:val="24"/>
        </w:rPr>
        <w:t>Pt.</w:t>
      </w:r>
    </w:p>
    <w:p w14:paraId="112D83CA" w14:textId="0691AEF4" w:rsidR="00D03005" w:rsidRPr="00D44D33" w:rsidRDefault="00D03005" w:rsidP="00D44D33">
      <w:pPr>
        <w:pStyle w:val="BodyText21"/>
        <w:spacing w:before="120" w:after="120" w:line="360" w:lineRule="auto"/>
        <w:jc w:val="center"/>
        <w:rPr>
          <w:rFonts w:eastAsiaTheme="minorEastAsia"/>
          <w:szCs w:val="24"/>
        </w:rPr>
      </w:pPr>
      <w:r w:rsidRPr="00D44D33">
        <w:rPr>
          <w:rFonts w:eastAsiaTheme="minorEastAsia"/>
          <w:b/>
          <w:bCs/>
          <w:szCs w:val="24"/>
        </w:rPr>
        <w:t>Art.</w:t>
      </w:r>
      <w:r w:rsidR="00970B2E" w:rsidRPr="00D44D33">
        <w:rPr>
          <w:rFonts w:eastAsiaTheme="minorEastAsia"/>
          <w:b/>
          <w:bCs/>
          <w:szCs w:val="24"/>
        </w:rPr>
        <w:t xml:space="preserve"> </w:t>
      </w:r>
      <w:r w:rsidR="00ED6522" w:rsidRPr="00D44D33">
        <w:rPr>
          <w:rFonts w:eastAsiaTheme="minorEastAsia"/>
          <w:b/>
          <w:bCs/>
          <w:szCs w:val="24"/>
        </w:rPr>
        <w:t>124</w:t>
      </w:r>
    </w:p>
    <w:p w14:paraId="1A25A7B0" w14:textId="3E01F21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zaistnienia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rażąco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p>
    <w:p w14:paraId="319ED378" w14:textId="16164E93" w:rsidR="00D03005" w:rsidRPr="00D44D33" w:rsidRDefault="00D03005" w:rsidP="00D44D33">
      <w:pPr>
        <w:pStyle w:val="Tekstpodstawowy2"/>
        <w:spacing w:before="120" w:line="360" w:lineRule="auto"/>
        <w:jc w:val="both"/>
        <w:rPr>
          <w:rFonts w:eastAsiaTheme="minorEastAsia"/>
        </w:rPr>
      </w:pPr>
      <w:r w:rsidRPr="00D44D33">
        <w:rPr>
          <w:rFonts w:eastAsiaTheme="minorEastAsia"/>
        </w:rPr>
        <w:lastRenderedPageBreak/>
        <w:t>Ewentualne</w:t>
      </w:r>
      <w:r w:rsidR="00970B2E" w:rsidRPr="00D44D33">
        <w:rPr>
          <w:rFonts w:eastAsiaTheme="minorEastAsia"/>
        </w:rPr>
        <w:t xml:space="preserve"> </w:t>
      </w:r>
      <w:r w:rsidRPr="00D44D33">
        <w:rPr>
          <w:rFonts w:eastAsiaTheme="minorEastAsia"/>
        </w:rPr>
        <w:t>uchybienia,</w:t>
      </w:r>
      <w:r w:rsidR="00970B2E" w:rsidRPr="00D44D33">
        <w:rPr>
          <w:rFonts w:eastAsiaTheme="minorEastAsia"/>
        </w:rPr>
        <w:t xml:space="preserve"> </w:t>
      </w:r>
      <w:r w:rsidRPr="00D44D33">
        <w:rPr>
          <w:rFonts w:eastAsiaTheme="minorEastAsia"/>
        </w:rPr>
        <w:t>które</w:t>
      </w:r>
      <w:r w:rsidR="00970B2E" w:rsidRPr="00D44D33">
        <w:rPr>
          <w:rFonts w:eastAsiaTheme="minorEastAsia"/>
        </w:rPr>
        <w:t xml:space="preserve"> </w:t>
      </w:r>
      <w:r w:rsidRPr="00D44D33">
        <w:rPr>
          <w:rFonts w:eastAsiaTheme="minorEastAsia"/>
        </w:rPr>
        <w:t>wprawdzie</w:t>
      </w:r>
      <w:r w:rsidR="00970B2E" w:rsidRPr="00D44D33">
        <w:rPr>
          <w:rFonts w:eastAsiaTheme="minorEastAsia"/>
        </w:rPr>
        <w:t xml:space="preserve"> </w:t>
      </w:r>
      <w:r w:rsidRPr="00D44D33">
        <w:rPr>
          <w:rFonts w:eastAsiaTheme="minorEastAsia"/>
        </w:rPr>
        <w:t>będą</w:t>
      </w:r>
      <w:r w:rsidR="00970B2E" w:rsidRPr="00D44D33">
        <w:rPr>
          <w:rFonts w:eastAsiaTheme="minorEastAsia"/>
        </w:rPr>
        <w:t xml:space="preserve"> </w:t>
      </w:r>
      <w:r w:rsidRPr="00D44D33">
        <w:rPr>
          <w:rFonts w:eastAsiaTheme="minorEastAsia"/>
        </w:rPr>
        <w:t>stanowiły</w:t>
      </w:r>
      <w:r w:rsidR="00970B2E" w:rsidRPr="00D44D33">
        <w:rPr>
          <w:rFonts w:eastAsiaTheme="minorEastAsia"/>
        </w:rPr>
        <w:t xml:space="preserve"> </w:t>
      </w:r>
      <w:r w:rsidRPr="00D44D33">
        <w:rPr>
          <w:rFonts w:eastAsiaTheme="minorEastAsia"/>
        </w:rPr>
        <w:t>podstawę</w:t>
      </w:r>
      <w:r w:rsidR="00970B2E" w:rsidRPr="00D44D33">
        <w:rPr>
          <w:rFonts w:eastAsiaTheme="minorEastAsia"/>
        </w:rPr>
        <w:t xml:space="preserve"> </w:t>
      </w:r>
      <w:r w:rsidRPr="00D44D33">
        <w:rPr>
          <w:rFonts w:eastAsiaTheme="minorEastAsia"/>
        </w:rPr>
        <w:t>do</w:t>
      </w:r>
      <w:r w:rsidR="00970B2E" w:rsidRPr="00D44D33">
        <w:rPr>
          <w:rFonts w:eastAsiaTheme="minorEastAsia"/>
        </w:rPr>
        <w:t xml:space="preserve"> </w:t>
      </w:r>
      <w:r w:rsidRPr="00D44D33">
        <w:rPr>
          <w:rFonts w:eastAsiaTheme="minorEastAsia"/>
        </w:rPr>
        <w:t>unieważnienia</w:t>
      </w:r>
      <w:r w:rsidR="00970B2E" w:rsidRPr="00D44D33">
        <w:rPr>
          <w:rFonts w:eastAsiaTheme="minorEastAsia"/>
        </w:rPr>
        <w:t xml:space="preserve"> </w:t>
      </w:r>
      <w:r w:rsidRPr="00D44D33">
        <w:rPr>
          <w:rFonts w:eastAsiaTheme="minorEastAsia"/>
        </w:rPr>
        <w:t>postępowania,</w:t>
      </w:r>
      <w:r w:rsidR="00970B2E" w:rsidRPr="00D44D33">
        <w:rPr>
          <w:rFonts w:eastAsiaTheme="minorEastAsia"/>
        </w:rPr>
        <w:t xml:space="preserve"> </w:t>
      </w:r>
      <w:r w:rsidRPr="00D44D33">
        <w:rPr>
          <w:rFonts w:eastAsiaTheme="minorEastAsia"/>
        </w:rPr>
        <w:t>lecz</w:t>
      </w:r>
      <w:r w:rsidR="00970B2E" w:rsidRPr="00D44D33">
        <w:rPr>
          <w:rFonts w:eastAsiaTheme="minorEastAsia"/>
        </w:rPr>
        <w:t xml:space="preserve"> </w:t>
      </w:r>
      <w:r w:rsidRPr="00D44D33">
        <w:rPr>
          <w:rFonts w:eastAsiaTheme="minorEastAsia"/>
        </w:rPr>
        <w:t>których</w:t>
      </w:r>
      <w:r w:rsidR="00970B2E" w:rsidRPr="00D44D33">
        <w:rPr>
          <w:rFonts w:eastAsiaTheme="minorEastAsia"/>
        </w:rPr>
        <w:t xml:space="preserve"> </w:t>
      </w:r>
      <w:r w:rsidRPr="00D44D33">
        <w:rPr>
          <w:rFonts w:eastAsiaTheme="minorEastAsia"/>
        </w:rPr>
        <w:t>skutki</w:t>
      </w:r>
      <w:r w:rsidR="00970B2E" w:rsidRPr="00D44D33">
        <w:rPr>
          <w:rFonts w:eastAsiaTheme="minorEastAsia"/>
        </w:rPr>
        <w:t xml:space="preserve"> </w:t>
      </w:r>
      <w:r w:rsidRPr="00D44D33">
        <w:rPr>
          <w:rFonts w:eastAsiaTheme="minorEastAsia"/>
        </w:rPr>
        <w:t>ograniczają</w:t>
      </w:r>
      <w:r w:rsidR="00970B2E" w:rsidRPr="00D44D33">
        <w:rPr>
          <w:rFonts w:eastAsiaTheme="minorEastAsia"/>
        </w:rPr>
        <w:t xml:space="preserve"> </w:t>
      </w:r>
      <w:r w:rsidRPr="00D44D33">
        <w:rPr>
          <w:rFonts w:eastAsiaTheme="minorEastAsia"/>
        </w:rPr>
        <w:t>się</w:t>
      </w:r>
      <w:r w:rsidR="00970B2E" w:rsidRPr="00D44D33">
        <w:rPr>
          <w:rFonts w:eastAsiaTheme="minorEastAsia"/>
        </w:rPr>
        <w:t xml:space="preserve"> </w:t>
      </w:r>
      <w:r w:rsidRPr="00D44D33">
        <w:rPr>
          <w:rFonts w:eastAsiaTheme="minorEastAsia"/>
        </w:rPr>
        <w:t>do</w:t>
      </w:r>
      <w:r w:rsidR="00970B2E" w:rsidRPr="00D44D33">
        <w:rPr>
          <w:rFonts w:eastAsiaTheme="minorEastAsia"/>
        </w:rPr>
        <w:t xml:space="preserve"> </w:t>
      </w:r>
      <w:r w:rsidRPr="00D44D33">
        <w:rPr>
          <w:rFonts w:eastAsiaTheme="minorEastAsia"/>
        </w:rPr>
        <w:t>nieprawidłowego</w:t>
      </w:r>
      <w:r w:rsidR="00970B2E" w:rsidRPr="00D44D33">
        <w:rPr>
          <w:rFonts w:eastAsiaTheme="minorEastAsia"/>
        </w:rPr>
        <w:t xml:space="preserve"> </w:t>
      </w:r>
      <w:r w:rsidRPr="00D44D33">
        <w:rPr>
          <w:rFonts w:eastAsiaTheme="minorEastAsia"/>
        </w:rPr>
        <w:t>wykonania</w:t>
      </w:r>
      <w:r w:rsidR="00970B2E" w:rsidRPr="00D44D33">
        <w:rPr>
          <w:rFonts w:eastAsiaTheme="minorEastAsia"/>
        </w:rPr>
        <w:t xml:space="preserve"> </w:t>
      </w:r>
      <w:r w:rsidRPr="00D44D33">
        <w:rPr>
          <w:rFonts w:eastAsiaTheme="minorEastAsia"/>
        </w:rPr>
        <w:t>określonej</w:t>
      </w:r>
      <w:r w:rsidR="00970B2E" w:rsidRPr="00D44D33">
        <w:rPr>
          <w:rFonts w:eastAsiaTheme="minorEastAsia"/>
        </w:rPr>
        <w:t xml:space="preserve"> </w:t>
      </w:r>
      <w:r w:rsidRPr="00D44D33">
        <w:rPr>
          <w:rFonts w:eastAsiaTheme="minorEastAsia"/>
        </w:rPr>
        <w:t>czynności</w:t>
      </w:r>
      <w:r w:rsidR="00970B2E" w:rsidRPr="00D44D33">
        <w:rPr>
          <w:rFonts w:eastAsiaTheme="minorEastAsia"/>
        </w:rPr>
        <w:t xml:space="preserve"> </w:t>
      </w:r>
      <w:r w:rsidRPr="00D44D33">
        <w:rPr>
          <w:rFonts w:eastAsiaTheme="minorEastAsia"/>
        </w:rPr>
        <w:t>proceduralnej</w:t>
      </w:r>
      <w:r w:rsidR="00970B2E" w:rsidRPr="00D44D33">
        <w:rPr>
          <w:rFonts w:eastAsiaTheme="minorEastAsia"/>
        </w:rPr>
        <w:t xml:space="preserve"> </w:t>
      </w:r>
      <w:r w:rsidRPr="00D44D33">
        <w:rPr>
          <w:rFonts w:eastAsiaTheme="minorEastAsia"/>
        </w:rPr>
        <w:t>na</w:t>
      </w:r>
      <w:r w:rsidR="00970B2E" w:rsidRPr="00D44D33">
        <w:rPr>
          <w:rFonts w:eastAsiaTheme="minorEastAsia"/>
        </w:rPr>
        <w:t xml:space="preserve"> </w:t>
      </w:r>
      <w:r w:rsidRPr="00D44D33">
        <w:rPr>
          <w:rFonts w:eastAsiaTheme="minorEastAsia"/>
        </w:rPr>
        <w:t>jednym</w:t>
      </w:r>
      <w:r w:rsidR="00970B2E" w:rsidRPr="00D44D33">
        <w:rPr>
          <w:rFonts w:eastAsiaTheme="minorEastAsia"/>
        </w:rPr>
        <w:t xml:space="preserve"> </w:t>
      </w:r>
      <w:r w:rsidRPr="00D44D33">
        <w:rPr>
          <w:rFonts w:eastAsiaTheme="minorEastAsia"/>
        </w:rPr>
        <w:t>z</w:t>
      </w:r>
      <w:r w:rsidR="00970B2E" w:rsidRPr="00D44D33">
        <w:rPr>
          <w:rFonts w:eastAsiaTheme="minorEastAsia"/>
        </w:rPr>
        <w:t xml:space="preserve"> </w:t>
      </w:r>
      <w:r w:rsidRPr="00D44D33">
        <w:rPr>
          <w:rFonts w:eastAsiaTheme="minorEastAsia"/>
        </w:rPr>
        <w:t>etapów</w:t>
      </w:r>
      <w:r w:rsidR="00970B2E" w:rsidRPr="00D44D33">
        <w:rPr>
          <w:rFonts w:eastAsiaTheme="minorEastAsia"/>
        </w:rPr>
        <w:t xml:space="preserve"> </w:t>
      </w:r>
      <w:r w:rsidRPr="00D44D33">
        <w:rPr>
          <w:rFonts w:eastAsiaTheme="minorEastAsia"/>
        </w:rPr>
        <w:t>oraz</w:t>
      </w:r>
      <w:r w:rsidR="00970B2E" w:rsidRPr="00D44D33">
        <w:rPr>
          <w:rFonts w:eastAsiaTheme="minorEastAsia"/>
        </w:rPr>
        <w:t xml:space="preserve"> </w:t>
      </w:r>
      <w:r w:rsidRPr="00D44D33">
        <w:rPr>
          <w:rFonts w:eastAsiaTheme="minorEastAsia"/>
        </w:rPr>
        <w:t>nie</w:t>
      </w:r>
      <w:r w:rsidR="00970B2E" w:rsidRPr="00D44D33">
        <w:rPr>
          <w:rFonts w:eastAsiaTheme="minorEastAsia"/>
        </w:rPr>
        <w:t xml:space="preserve"> </w:t>
      </w:r>
      <w:r w:rsidRPr="00D44D33">
        <w:rPr>
          <w:rFonts w:eastAsiaTheme="minorEastAsia"/>
        </w:rPr>
        <w:t>mają</w:t>
      </w:r>
      <w:r w:rsidR="00970B2E" w:rsidRPr="00D44D33">
        <w:rPr>
          <w:rFonts w:eastAsiaTheme="minorEastAsia"/>
        </w:rPr>
        <w:t xml:space="preserve"> </w:t>
      </w:r>
      <w:r w:rsidRPr="00D44D33">
        <w:rPr>
          <w:rFonts w:eastAsiaTheme="minorEastAsia"/>
        </w:rPr>
        <w:t>żadnego</w:t>
      </w:r>
      <w:r w:rsidR="00970B2E" w:rsidRPr="00D44D33">
        <w:rPr>
          <w:rFonts w:eastAsiaTheme="minorEastAsia"/>
        </w:rPr>
        <w:t xml:space="preserve"> </w:t>
      </w:r>
      <w:r w:rsidRPr="00D44D33">
        <w:rPr>
          <w:rFonts w:eastAsiaTheme="minorEastAsia"/>
        </w:rPr>
        <w:t>negatywnego</w:t>
      </w:r>
      <w:r w:rsidR="00970B2E" w:rsidRPr="00D44D33">
        <w:rPr>
          <w:rFonts w:eastAsiaTheme="minorEastAsia"/>
        </w:rPr>
        <w:t xml:space="preserve"> </w:t>
      </w:r>
      <w:r w:rsidRPr="00D44D33">
        <w:rPr>
          <w:rFonts w:eastAsiaTheme="minorEastAsia"/>
        </w:rPr>
        <w:t>wpływu</w:t>
      </w:r>
      <w:r w:rsidR="00970B2E" w:rsidRPr="00D44D33">
        <w:rPr>
          <w:rFonts w:eastAsiaTheme="minorEastAsia"/>
        </w:rPr>
        <w:t xml:space="preserve"> </w:t>
      </w:r>
      <w:r w:rsidRPr="00D44D33">
        <w:rPr>
          <w:rFonts w:eastAsiaTheme="minorEastAsia"/>
        </w:rPr>
        <w:t>na</w:t>
      </w:r>
      <w:r w:rsidR="00970B2E" w:rsidRPr="00D44D33">
        <w:rPr>
          <w:rFonts w:eastAsiaTheme="minorEastAsia"/>
        </w:rPr>
        <w:t xml:space="preserve"> </w:t>
      </w:r>
      <w:r w:rsidRPr="00D44D33">
        <w:rPr>
          <w:rFonts w:eastAsiaTheme="minorEastAsia"/>
        </w:rPr>
        <w:t>ocenę</w:t>
      </w:r>
      <w:r w:rsidR="00970B2E" w:rsidRPr="00D44D33">
        <w:rPr>
          <w:rFonts w:eastAsiaTheme="minorEastAsia"/>
        </w:rPr>
        <w:t xml:space="preserve"> </w:t>
      </w:r>
      <w:r w:rsidRPr="00D44D33">
        <w:rPr>
          <w:rFonts w:eastAsiaTheme="minorEastAsia"/>
        </w:rPr>
        <w:t>zgodności</w:t>
      </w:r>
      <w:r w:rsidR="00970B2E" w:rsidRPr="00D44D33">
        <w:rPr>
          <w:rFonts w:eastAsiaTheme="minorEastAsia"/>
        </w:rPr>
        <w:t xml:space="preserve"> </w:t>
      </w:r>
      <w:r w:rsidRPr="00D44D33">
        <w:rPr>
          <w:rFonts w:eastAsiaTheme="minorEastAsia"/>
        </w:rPr>
        <w:t>z</w:t>
      </w:r>
      <w:r w:rsidR="00970B2E" w:rsidRPr="00D44D33">
        <w:rPr>
          <w:rFonts w:eastAsiaTheme="minorEastAsia"/>
        </w:rPr>
        <w:t xml:space="preserve"> </w:t>
      </w:r>
      <w:r w:rsidRPr="00D44D33">
        <w:rPr>
          <w:rFonts w:eastAsiaTheme="minorEastAsia"/>
        </w:rPr>
        <w:t>prawem</w:t>
      </w:r>
      <w:r w:rsidR="00970B2E" w:rsidRPr="00D44D33">
        <w:rPr>
          <w:rFonts w:eastAsiaTheme="minorEastAsia"/>
        </w:rPr>
        <w:t xml:space="preserve"> </w:t>
      </w:r>
      <w:r w:rsidRPr="00D44D33">
        <w:rPr>
          <w:rFonts w:eastAsiaTheme="minorEastAsia"/>
        </w:rPr>
        <w:t>pozostałych</w:t>
      </w:r>
      <w:r w:rsidR="00970B2E" w:rsidRPr="00D44D33">
        <w:rPr>
          <w:rFonts w:eastAsiaTheme="minorEastAsia"/>
        </w:rPr>
        <w:t xml:space="preserve"> </w:t>
      </w:r>
      <w:r w:rsidRPr="00D44D33">
        <w:rPr>
          <w:rFonts w:eastAsiaTheme="minorEastAsia"/>
        </w:rPr>
        <w:t>czynności</w:t>
      </w:r>
      <w:r w:rsidR="00970B2E" w:rsidRPr="00D44D33">
        <w:rPr>
          <w:rFonts w:eastAsiaTheme="minorEastAsia"/>
        </w:rPr>
        <w:t xml:space="preserve"> </w:t>
      </w:r>
      <w:r w:rsidRPr="00D44D33">
        <w:rPr>
          <w:rFonts w:eastAsiaTheme="minorEastAsia"/>
        </w:rPr>
        <w:t>(w</w:t>
      </w:r>
      <w:r w:rsidR="00970B2E" w:rsidRPr="00D44D33">
        <w:rPr>
          <w:rFonts w:eastAsiaTheme="minorEastAsia"/>
        </w:rPr>
        <w:t xml:space="preserve"> </w:t>
      </w:r>
      <w:r w:rsidRPr="00D44D33">
        <w:rPr>
          <w:rFonts w:eastAsiaTheme="minorEastAsia"/>
        </w:rPr>
        <w:t>szczególności</w:t>
      </w:r>
      <w:r w:rsidR="00970B2E" w:rsidRPr="00D44D33">
        <w:rPr>
          <w:rFonts w:eastAsiaTheme="minorEastAsia"/>
        </w:rPr>
        <w:t xml:space="preserve"> </w:t>
      </w:r>
      <w:r w:rsidRPr="00D44D33">
        <w:rPr>
          <w:rFonts w:eastAsiaTheme="minorEastAsia"/>
        </w:rPr>
        <w:t>tych</w:t>
      </w:r>
      <w:r w:rsidR="00970B2E" w:rsidRPr="00D44D33">
        <w:rPr>
          <w:rFonts w:eastAsiaTheme="minorEastAsia"/>
        </w:rPr>
        <w:t xml:space="preserve"> </w:t>
      </w:r>
      <w:r w:rsidRPr="00D44D33">
        <w:rPr>
          <w:rFonts w:eastAsiaTheme="minorEastAsia"/>
        </w:rPr>
        <w:t>podjętych</w:t>
      </w:r>
      <w:r w:rsidR="00970B2E" w:rsidRPr="00D44D33">
        <w:rPr>
          <w:rFonts w:eastAsiaTheme="minorEastAsia"/>
        </w:rPr>
        <w:t xml:space="preserve"> </w:t>
      </w:r>
      <w:r w:rsidRPr="00D44D33">
        <w:rPr>
          <w:rFonts w:eastAsiaTheme="minorEastAsia"/>
        </w:rPr>
        <w:t>wcześniej),</w:t>
      </w:r>
      <w:r w:rsidR="00970B2E" w:rsidRPr="00D44D33">
        <w:rPr>
          <w:rFonts w:eastAsiaTheme="minorEastAsia"/>
        </w:rPr>
        <w:t xml:space="preserve"> </w:t>
      </w:r>
      <w:r w:rsidRPr="00D44D33">
        <w:rPr>
          <w:rFonts w:eastAsiaTheme="minorEastAsia"/>
        </w:rPr>
        <w:t>nie</w:t>
      </w:r>
      <w:r w:rsidR="00970B2E" w:rsidRPr="00D44D33">
        <w:rPr>
          <w:rFonts w:eastAsiaTheme="minorEastAsia"/>
        </w:rPr>
        <w:t xml:space="preserve"> </w:t>
      </w:r>
      <w:r w:rsidRPr="00D44D33">
        <w:rPr>
          <w:rFonts w:eastAsiaTheme="minorEastAsia"/>
        </w:rPr>
        <w:t>powinny</w:t>
      </w:r>
      <w:r w:rsidR="00970B2E" w:rsidRPr="00D44D33">
        <w:rPr>
          <w:rFonts w:eastAsiaTheme="minorEastAsia"/>
        </w:rPr>
        <w:t xml:space="preserve"> </w:t>
      </w:r>
      <w:r w:rsidRPr="00D44D33">
        <w:rPr>
          <w:rFonts w:eastAsiaTheme="minorEastAsia"/>
        </w:rPr>
        <w:t>stanowić</w:t>
      </w:r>
      <w:r w:rsidR="00970B2E" w:rsidRPr="00D44D33">
        <w:rPr>
          <w:rFonts w:eastAsiaTheme="minorEastAsia"/>
        </w:rPr>
        <w:t xml:space="preserve"> </w:t>
      </w:r>
      <w:r w:rsidRPr="00D44D33">
        <w:rPr>
          <w:rFonts w:eastAsiaTheme="minorEastAsia"/>
        </w:rPr>
        <w:t>podstawy</w:t>
      </w:r>
      <w:r w:rsidR="00970B2E" w:rsidRPr="00D44D33">
        <w:rPr>
          <w:rFonts w:eastAsiaTheme="minorEastAsia"/>
        </w:rPr>
        <w:t xml:space="preserve"> </w:t>
      </w:r>
      <w:r w:rsidRPr="00D44D33">
        <w:rPr>
          <w:rFonts w:eastAsiaTheme="minorEastAsia"/>
        </w:rPr>
        <w:t>do</w:t>
      </w:r>
      <w:r w:rsidR="00970B2E" w:rsidRPr="00D44D33">
        <w:rPr>
          <w:rFonts w:eastAsiaTheme="minorEastAsia"/>
        </w:rPr>
        <w:t xml:space="preserve"> </w:t>
      </w:r>
      <w:r w:rsidRPr="00D44D33">
        <w:rPr>
          <w:rFonts w:eastAsiaTheme="minorEastAsia"/>
        </w:rPr>
        <w:t>powtarzania</w:t>
      </w:r>
      <w:r w:rsidR="00970B2E" w:rsidRPr="00D44D33">
        <w:rPr>
          <w:rFonts w:eastAsiaTheme="minorEastAsia"/>
        </w:rPr>
        <w:t xml:space="preserve"> </w:t>
      </w:r>
      <w:r w:rsidRPr="00D44D33">
        <w:rPr>
          <w:rFonts w:eastAsiaTheme="minorEastAsia"/>
        </w:rPr>
        <w:t>wszystkich</w:t>
      </w:r>
      <w:r w:rsidR="00970B2E" w:rsidRPr="00D44D33">
        <w:rPr>
          <w:rFonts w:eastAsiaTheme="minorEastAsia"/>
        </w:rPr>
        <w:t xml:space="preserve"> </w:t>
      </w:r>
      <w:r w:rsidRPr="00D44D33">
        <w:rPr>
          <w:rFonts w:eastAsiaTheme="minorEastAsia"/>
        </w:rPr>
        <w:t>czynności</w:t>
      </w:r>
      <w:r w:rsidR="00970B2E" w:rsidRPr="00D44D33">
        <w:rPr>
          <w:rFonts w:eastAsiaTheme="minorEastAsia"/>
        </w:rPr>
        <w:t xml:space="preserve"> </w:t>
      </w:r>
      <w:r w:rsidRPr="00D44D33">
        <w:rPr>
          <w:rFonts w:eastAsiaTheme="minorEastAsia"/>
        </w:rPr>
        <w:t>w</w:t>
      </w:r>
      <w:r w:rsidR="00970B2E" w:rsidRPr="00D44D33">
        <w:rPr>
          <w:rFonts w:eastAsiaTheme="minorEastAsia"/>
        </w:rPr>
        <w:t xml:space="preserve"> </w:t>
      </w:r>
      <w:r w:rsidRPr="00D44D33">
        <w:rPr>
          <w:rFonts w:eastAsiaTheme="minorEastAsia"/>
        </w:rPr>
        <w:t>ramach</w:t>
      </w:r>
      <w:r w:rsidR="00970B2E" w:rsidRPr="00D44D33">
        <w:rPr>
          <w:rFonts w:eastAsiaTheme="minorEastAsia"/>
        </w:rPr>
        <w:t xml:space="preserve"> </w:t>
      </w:r>
      <w:r w:rsidRPr="00D44D33">
        <w:rPr>
          <w:rFonts w:eastAsiaTheme="minorEastAsia"/>
        </w:rPr>
        <w:t>całego</w:t>
      </w:r>
      <w:r w:rsidR="00970B2E" w:rsidRPr="00D44D33">
        <w:rPr>
          <w:rFonts w:eastAsiaTheme="minorEastAsia"/>
        </w:rPr>
        <w:t xml:space="preserve"> </w:t>
      </w:r>
      <w:r w:rsidRPr="00D44D33">
        <w:rPr>
          <w:rFonts w:eastAsiaTheme="minorEastAsia"/>
        </w:rPr>
        <w:t>przetargu,</w:t>
      </w:r>
      <w:r w:rsidR="00970B2E" w:rsidRPr="00D44D33">
        <w:rPr>
          <w:rFonts w:eastAsiaTheme="minorEastAsia"/>
        </w:rPr>
        <w:t xml:space="preserve"> </w:t>
      </w:r>
      <w:r w:rsidRPr="00D44D33">
        <w:rPr>
          <w:rFonts w:eastAsiaTheme="minorEastAsia"/>
        </w:rPr>
        <w:t>aukcji</w:t>
      </w:r>
      <w:r w:rsidR="00970B2E" w:rsidRPr="00D44D33">
        <w:rPr>
          <w:rFonts w:eastAsiaTheme="minorEastAsia"/>
        </w:rPr>
        <w:t xml:space="preserve"> </w:t>
      </w:r>
      <w:r w:rsidRPr="00D44D33">
        <w:rPr>
          <w:rFonts w:eastAsiaTheme="minorEastAsia"/>
        </w:rPr>
        <w:t>albo</w:t>
      </w:r>
      <w:r w:rsidR="00970B2E" w:rsidRPr="00D44D33">
        <w:rPr>
          <w:rFonts w:eastAsiaTheme="minorEastAsia"/>
        </w:rPr>
        <w:t xml:space="preserve"> </w:t>
      </w:r>
      <w:r w:rsidRPr="00D44D33">
        <w:rPr>
          <w:rFonts w:eastAsiaTheme="minorEastAsia"/>
        </w:rPr>
        <w:t>konkursu.</w:t>
      </w:r>
      <w:r w:rsidR="00970B2E" w:rsidRPr="00D44D33">
        <w:rPr>
          <w:rFonts w:eastAsiaTheme="minorEastAsia"/>
        </w:rPr>
        <w:t xml:space="preserve"> </w:t>
      </w:r>
      <w:r w:rsidRPr="00D44D33">
        <w:rPr>
          <w:rFonts w:eastAsiaTheme="minorEastAsia"/>
        </w:rPr>
        <w:t>Przyjęcie</w:t>
      </w:r>
      <w:r w:rsidR="00970B2E" w:rsidRPr="00D44D33">
        <w:rPr>
          <w:rFonts w:eastAsiaTheme="minorEastAsia"/>
        </w:rPr>
        <w:t xml:space="preserve"> </w:t>
      </w:r>
      <w:r w:rsidRPr="00D44D33">
        <w:rPr>
          <w:rFonts w:eastAsiaTheme="minorEastAsia"/>
        </w:rPr>
        <w:t>odmiennej</w:t>
      </w:r>
      <w:r w:rsidR="00970B2E" w:rsidRPr="00D44D33">
        <w:rPr>
          <w:rFonts w:eastAsiaTheme="minorEastAsia"/>
        </w:rPr>
        <w:t xml:space="preserve"> </w:t>
      </w:r>
      <w:r w:rsidRPr="00D44D33">
        <w:rPr>
          <w:rFonts w:eastAsiaTheme="minorEastAsia"/>
        </w:rPr>
        <w:t>interpretacji</w:t>
      </w:r>
      <w:r w:rsidR="00970B2E" w:rsidRPr="00D44D33">
        <w:rPr>
          <w:rFonts w:eastAsiaTheme="minorEastAsia"/>
        </w:rPr>
        <w:t xml:space="preserve"> </w:t>
      </w:r>
      <w:r w:rsidRPr="00D44D33">
        <w:rPr>
          <w:rFonts w:eastAsiaTheme="minorEastAsia"/>
        </w:rPr>
        <w:t>spowodowałoby</w:t>
      </w:r>
      <w:r w:rsidR="00970B2E" w:rsidRPr="00D44D33">
        <w:rPr>
          <w:rFonts w:eastAsiaTheme="minorEastAsia"/>
        </w:rPr>
        <w:t xml:space="preserve"> </w:t>
      </w:r>
      <w:r w:rsidRPr="00D44D33">
        <w:rPr>
          <w:rFonts w:eastAsiaTheme="minorEastAsia"/>
        </w:rPr>
        <w:t>bowiem</w:t>
      </w:r>
      <w:r w:rsidR="00970B2E" w:rsidRPr="00D44D33">
        <w:rPr>
          <w:rFonts w:eastAsiaTheme="minorEastAsia"/>
        </w:rPr>
        <w:t xml:space="preserve"> </w:t>
      </w:r>
      <w:r w:rsidRPr="00D44D33">
        <w:rPr>
          <w:rFonts w:eastAsiaTheme="minorEastAsia"/>
        </w:rPr>
        <w:t>podjęcie</w:t>
      </w:r>
      <w:r w:rsidR="00970B2E" w:rsidRPr="00D44D33">
        <w:rPr>
          <w:rFonts w:eastAsiaTheme="minorEastAsia"/>
        </w:rPr>
        <w:t xml:space="preserve"> </w:t>
      </w:r>
      <w:r w:rsidRPr="00D44D33">
        <w:rPr>
          <w:rFonts w:eastAsiaTheme="minorEastAsia"/>
        </w:rPr>
        <w:t>działań</w:t>
      </w:r>
      <w:r w:rsidR="00970B2E" w:rsidRPr="00D44D33">
        <w:rPr>
          <w:rFonts w:eastAsiaTheme="minorEastAsia"/>
        </w:rPr>
        <w:t xml:space="preserve"> </w:t>
      </w:r>
      <w:r w:rsidRPr="00D44D33">
        <w:rPr>
          <w:rFonts w:eastAsiaTheme="minorEastAsia"/>
        </w:rPr>
        <w:t>nieproporcjonalnych</w:t>
      </w:r>
      <w:r w:rsidR="00970B2E" w:rsidRPr="00D44D33">
        <w:rPr>
          <w:rFonts w:eastAsiaTheme="minorEastAsia"/>
        </w:rPr>
        <w:t xml:space="preserve"> </w:t>
      </w:r>
      <w:r w:rsidRPr="00D44D33">
        <w:rPr>
          <w:rFonts w:eastAsiaTheme="minorEastAsia"/>
        </w:rPr>
        <w:t>z</w:t>
      </w:r>
      <w:r w:rsidR="00970B2E" w:rsidRPr="00D44D33">
        <w:rPr>
          <w:rFonts w:eastAsiaTheme="minorEastAsia"/>
        </w:rPr>
        <w:t xml:space="preserve"> </w:t>
      </w:r>
      <w:r w:rsidRPr="00D44D33">
        <w:rPr>
          <w:rFonts w:eastAsiaTheme="minorEastAsia"/>
        </w:rPr>
        <w:t>punktu</w:t>
      </w:r>
      <w:r w:rsidR="00970B2E" w:rsidRPr="00D44D33">
        <w:rPr>
          <w:rFonts w:eastAsiaTheme="minorEastAsia"/>
        </w:rPr>
        <w:t xml:space="preserve"> </w:t>
      </w:r>
      <w:r w:rsidRPr="00D44D33">
        <w:rPr>
          <w:rFonts w:eastAsiaTheme="minorEastAsia"/>
        </w:rPr>
        <w:t>widzenia</w:t>
      </w:r>
      <w:r w:rsidR="00970B2E" w:rsidRPr="00D44D33">
        <w:rPr>
          <w:rFonts w:eastAsiaTheme="minorEastAsia"/>
        </w:rPr>
        <w:t xml:space="preserve"> </w:t>
      </w:r>
      <w:r w:rsidRPr="00D44D33">
        <w:rPr>
          <w:rFonts w:eastAsiaTheme="minorEastAsia"/>
        </w:rPr>
        <w:t>osiągnięcia</w:t>
      </w:r>
      <w:r w:rsidR="00970B2E" w:rsidRPr="00D44D33">
        <w:rPr>
          <w:rFonts w:eastAsiaTheme="minorEastAsia"/>
        </w:rPr>
        <w:t xml:space="preserve"> </w:t>
      </w:r>
      <w:r w:rsidRPr="00D44D33">
        <w:rPr>
          <w:rFonts w:eastAsiaTheme="minorEastAsia"/>
        </w:rPr>
        <w:t>celu,</w:t>
      </w:r>
      <w:r w:rsidR="00970B2E" w:rsidRPr="00D44D33">
        <w:rPr>
          <w:rFonts w:eastAsiaTheme="minorEastAsia"/>
        </w:rPr>
        <w:t xml:space="preserve"> </w:t>
      </w:r>
      <w:r w:rsidRPr="00D44D33">
        <w:rPr>
          <w:rFonts w:eastAsiaTheme="minorEastAsia"/>
        </w:rPr>
        <w:t>jakim</w:t>
      </w:r>
      <w:r w:rsidR="00970B2E" w:rsidRPr="00D44D33">
        <w:rPr>
          <w:rFonts w:eastAsiaTheme="minorEastAsia"/>
        </w:rPr>
        <w:t xml:space="preserve"> </w:t>
      </w:r>
      <w:r w:rsidRPr="00D44D33">
        <w:rPr>
          <w:rFonts w:eastAsiaTheme="minorEastAsia"/>
        </w:rPr>
        <w:t>powinno</w:t>
      </w:r>
      <w:r w:rsidR="00970B2E" w:rsidRPr="00D44D33">
        <w:rPr>
          <w:rFonts w:eastAsiaTheme="minorEastAsia"/>
        </w:rPr>
        <w:t xml:space="preserve"> </w:t>
      </w:r>
      <w:r w:rsidRPr="00D44D33">
        <w:rPr>
          <w:rFonts w:eastAsiaTheme="minorEastAsia"/>
        </w:rPr>
        <w:t>być</w:t>
      </w:r>
      <w:r w:rsidR="00970B2E" w:rsidRPr="00D44D33">
        <w:rPr>
          <w:rFonts w:eastAsiaTheme="minorEastAsia"/>
        </w:rPr>
        <w:t xml:space="preserve"> </w:t>
      </w:r>
      <w:r w:rsidRPr="00D44D33">
        <w:rPr>
          <w:rFonts w:eastAsiaTheme="minorEastAsia"/>
        </w:rPr>
        <w:t>usunięcie</w:t>
      </w:r>
      <w:r w:rsidR="00970B2E" w:rsidRPr="00D44D33">
        <w:rPr>
          <w:rFonts w:eastAsiaTheme="minorEastAsia"/>
        </w:rPr>
        <w:t xml:space="preserve"> </w:t>
      </w:r>
      <w:r w:rsidRPr="00D44D33">
        <w:rPr>
          <w:rFonts w:eastAsiaTheme="minorEastAsia"/>
        </w:rPr>
        <w:t>stwierdzonego</w:t>
      </w:r>
      <w:r w:rsidR="00970B2E" w:rsidRPr="00D44D33">
        <w:rPr>
          <w:rFonts w:eastAsiaTheme="minorEastAsia"/>
        </w:rPr>
        <w:t xml:space="preserve"> </w:t>
      </w:r>
      <w:r w:rsidRPr="00D44D33">
        <w:rPr>
          <w:rFonts w:eastAsiaTheme="minorEastAsia"/>
        </w:rPr>
        <w:t>rażącego</w:t>
      </w:r>
      <w:r w:rsidR="00970B2E" w:rsidRPr="00D44D33">
        <w:rPr>
          <w:rFonts w:eastAsiaTheme="minorEastAsia"/>
        </w:rPr>
        <w:t xml:space="preserve"> </w:t>
      </w:r>
      <w:r w:rsidRPr="00D44D33">
        <w:rPr>
          <w:rFonts w:eastAsiaTheme="minorEastAsia"/>
        </w:rPr>
        <w:t>naruszenia</w:t>
      </w:r>
      <w:r w:rsidR="00970B2E" w:rsidRPr="00D44D33">
        <w:rPr>
          <w:rFonts w:eastAsiaTheme="minorEastAsia"/>
        </w:rPr>
        <w:t xml:space="preserve"> </w:t>
      </w:r>
      <w:r w:rsidRPr="00D44D33">
        <w:rPr>
          <w:rFonts w:eastAsiaTheme="minorEastAsia"/>
        </w:rPr>
        <w:t>prawa</w:t>
      </w:r>
      <w:r w:rsidR="00970B2E" w:rsidRPr="00D44D33">
        <w:rPr>
          <w:rFonts w:eastAsiaTheme="minorEastAsia"/>
        </w:rPr>
        <w:t xml:space="preserve"> </w:t>
      </w:r>
      <w:r w:rsidRPr="00D44D33">
        <w:rPr>
          <w:rFonts w:eastAsiaTheme="minorEastAsia"/>
        </w:rPr>
        <w:t>lub</w:t>
      </w:r>
      <w:r w:rsidR="00970B2E" w:rsidRPr="00D44D33">
        <w:rPr>
          <w:rFonts w:eastAsiaTheme="minorEastAsia"/>
        </w:rPr>
        <w:t xml:space="preserve"> </w:t>
      </w:r>
      <w:r w:rsidRPr="00D44D33">
        <w:rPr>
          <w:rFonts w:eastAsiaTheme="minorEastAsia"/>
        </w:rPr>
        <w:t>interesów</w:t>
      </w:r>
      <w:r w:rsidR="00970B2E" w:rsidRPr="00D44D33">
        <w:rPr>
          <w:rFonts w:eastAsiaTheme="minorEastAsia"/>
        </w:rPr>
        <w:t xml:space="preserve"> </w:t>
      </w:r>
      <w:r w:rsidRPr="00D44D33">
        <w:rPr>
          <w:rFonts w:eastAsiaTheme="minorEastAsia"/>
        </w:rPr>
        <w:t>uczestników</w:t>
      </w:r>
      <w:r w:rsidR="00970B2E" w:rsidRPr="00D44D33">
        <w:rPr>
          <w:rFonts w:eastAsiaTheme="minorEastAsia"/>
        </w:rPr>
        <w:t xml:space="preserve"> </w:t>
      </w:r>
      <w:r w:rsidRPr="00D44D33">
        <w:rPr>
          <w:rFonts w:eastAsiaTheme="minorEastAsia"/>
        </w:rPr>
        <w:t>przetargu,</w:t>
      </w:r>
      <w:r w:rsidR="00970B2E" w:rsidRPr="00D44D33">
        <w:rPr>
          <w:rFonts w:eastAsiaTheme="minorEastAsia"/>
        </w:rPr>
        <w:t xml:space="preserve"> </w:t>
      </w:r>
      <w:r w:rsidRPr="00D44D33">
        <w:rPr>
          <w:rFonts w:eastAsiaTheme="minorEastAsia"/>
        </w:rPr>
        <w:t>aukcji</w:t>
      </w:r>
      <w:r w:rsidR="00970B2E" w:rsidRPr="00D44D33">
        <w:rPr>
          <w:rFonts w:eastAsiaTheme="minorEastAsia"/>
        </w:rPr>
        <w:t xml:space="preserve"> </w:t>
      </w:r>
      <w:r w:rsidRPr="00D44D33">
        <w:rPr>
          <w:rFonts w:eastAsiaTheme="minorEastAsia"/>
        </w:rPr>
        <w:t>albo</w:t>
      </w:r>
      <w:r w:rsidR="00970B2E" w:rsidRPr="00D44D33">
        <w:rPr>
          <w:rFonts w:eastAsiaTheme="minorEastAsia"/>
        </w:rPr>
        <w:t xml:space="preserve"> </w:t>
      </w:r>
      <w:r w:rsidRPr="00D44D33">
        <w:rPr>
          <w:rFonts w:eastAsiaTheme="minorEastAsia"/>
        </w:rPr>
        <w:t>konkursu.</w:t>
      </w:r>
      <w:r w:rsidR="00371EEA">
        <w:rPr>
          <w:rFonts w:eastAsiaTheme="minorEastAsia"/>
        </w:rPr>
        <w:t xml:space="preserve"> </w:t>
      </w:r>
    </w:p>
    <w:p w14:paraId="352375D7" w14:textId="3C42B54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Dlatego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wyeliminowanie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negatywnych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wadliwej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bądź</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rzeczywisty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Racjonalnie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usprawiedliwione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powtórzenie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dotknięta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kwalifikowaną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znamionach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rażącego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uchybienia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błędy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obliczeniowe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przeliczeniu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wyłonionym).</w:t>
      </w:r>
    </w:p>
    <w:p w14:paraId="2C6C8B61" w14:textId="6B47A1D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p>
    <w:p w14:paraId="5B2BCCA5" w14:textId="23B1892C"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zaistnieje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wadliwy,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powtórzenia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zaistniało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371EEA">
        <w:rPr>
          <w:rFonts w:ascii="Times New Roman" w:eastAsiaTheme="minorEastAsia" w:hAnsi="Times New Roman" w:cs="Times New Roman"/>
          <w:sz w:val="24"/>
          <w:szCs w:val="24"/>
        </w:rPr>
        <w:t xml:space="preserve"> </w:t>
      </w:r>
    </w:p>
    <w:p w14:paraId="3A56CFED" w14:textId="5CEC5CE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wywodzoną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niecelowe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nieproporcjonalne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obarczone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007E0869" w:rsidRPr="00D44D33">
        <w:rPr>
          <w:rFonts w:ascii="Times New Roman" w:eastAsiaTheme="minorEastAsia" w:hAnsi="Times New Roman" w:cs="Times New Roman"/>
          <w:sz w:val="24"/>
          <w:szCs w:val="24"/>
        </w:rPr>
        <w:t>Należy przy tym wskazać, że kwestia określenia jakie czynności wymagają powtórzenia zależeć będzie każdorazowo od oceny konkretnego postępowania.</w:t>
      </w:r>
    </w:p>
    <w:p w14:paraId="2F7385D9" w14:textId="5D484799"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wystarczy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(tzn.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powtórzenie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wadliwie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ewentualnie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bądź</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p>
    <w:p w14:paraId="7DE2ABFF" w14:textId="23191380"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podnieść,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początku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skrócenie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nieobciążanie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popełnionym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błędem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początku,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wydłuża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obciążane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zauważyć,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szybszego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zweryfikowania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371EEA">
        <w:rPr>
          <w:rFonts w:ascii="Times New Roman" w:eastAsiaTheme="minorEastAsia" w:hAnsi="Times New Roman" w:cs="Times New Roman"/>
          <w:sz w:val="24"/>
          <w:szCs w:val="24"/>
        </w:rPr>
        <w:t xml:space="preserve"> </w:t>
      </w:r>
    </w:p>
    <w:p w14:paraId="7BED517D" w14:textId="32245F7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kryteria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złożonych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p>
    <w:p w14:paraId="5A5C325A" w14:textId="3804416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EB640F" w:rsidRPr="00D44D33">
        <w:rPr>
          <w:rFonts w:ascii="Times New Roman" w:eastAsiaTheme="minorEastAsia" w:hAnsi="Times New Roman" w:cs="Times New Roman"/>
          <w:sz w:val="24"/>
          <w:szCs w:val="24"/>
        </w:rPr>
        <w:t xml:space="preserve">on </w:t>
      </w:r>
      <w:r w:rsidRPr="00D44D33">
        <w:rPr>
          <w:rFonts w:ascii="Times New Roman" w:eastAsiaTheme="minorEastAsia" w:hAnsi="Times New Roman" w:cs="Times New Roman"/>
          <w:sz w:val="24"/>
          <w:szCs w:val="24"/>
        </w:rPr>
        <w:t>zasięgał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UOKiK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p>
    <w:p w14:paraId="1E048FF9" w14:textId="2AF24AFE"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zrezygnował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uiścił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zadeklarowanej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jednorazowej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zrezygnował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uiścił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zadeklarowanej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jednorazowej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wyeliminowanie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dopełnił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p>
    <w:p w14:paraId="3013FECD" w14:textId="47711183" w:rsidR="7483951F" w:rsidRPr="00D44D33" w:rsidRDefault="7483951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0A22D2EC" w14:textId="57B9A85A" w:rsidR="00D03005" w:rsidRPr="00D44D33" w:rsidRDefault="00D03005"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F5077" w:rsidRPr="00D44D33">
        <w:rPr>
          <w:rFonts w:ascii="Times New Roman" w:eastAsiaTheme="minorEastAsia" w:hAnsi="Times New Roman" w:cs="Times New Roman"/>
          <w:b/>
          <w:bCs/>
          <w:sz w:val="24"/>
          <w:szCs w:val="24"/>
        </w:rPr>
        <w:t>125</w:t>
      </w:r>
    </w:p>
    <w:p w14:paraId="7502500B" w14:textId="533BD1C0"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konsekwencją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istniała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nadzwyczajnego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uległ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bezcelowe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p>
    <w:p w14:paraId="74C5AB8E" w14:textId="2945E2BD"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przedwczesne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zapaść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wyłoniony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deklarowana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zdarzyć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p>
    <w:p w14:paraId="5E5366A3" w14:textId="439CA5E5"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A1A16"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wznawia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upłynęło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upłynęło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p>
    <w:p w14:paraId="40956563" w14:textId="6B95112A"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F5077" w:rsidRPr="00D44D33">
        <w:rPr>
          <w:rFonts w:ascii="Times New Roman" w:eastAsiaTheme="minorEastAsia" w:hAnsi="Times New Roman" w:cs="Times New Roman"/>
          <w:b/>
          <w:bCs/>
          <w:sz w:val="24"/>
          <w:szCs w:val="24"/>
        </w:rPr>
        <w:t>126</w:t>
      </w:r>
    </w:p>
    <w:p w14:paraId="3E5F6F91" w14:textId="3B5F1D96"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selekcyjnych.</w:t>
      </w:r>
      <w:r w:rsidR="00970B2E" w:rsidRPr="00D44D33">
        <w:rPr>
          <w:rFonts w:ascii="Times New Roman" w:eastAsiaTheme="minorEastAsia" w:hAnsi="Times New Roman" w:cs="Times New Roman"/>
          <w:sz w:val="24"/>
          <w:szCs w:val="24"/>
        </w:rPr>
        <w:t xml:space="preserve"> </w:t>
      </w:r>
      <w:r w:rsidR="7EBE52D6"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7EBE52D6"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7EBE52D6"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7EBE52D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EBE52D6" w:rsidRPr="00D44D33">
        <w:rPr>
          <w:rFonts w:ascii="Times New Roman" w:eastAsiaTheme="minorEastAsia" w:hAnsi="Times New Roman" w:cs="Times New Roman"/>
          <w:sz w:val="24"/>
          <w:szCs w:val="24"/>
        </w:rPr>
        <w:t>Pt.</w:t>
      </w:r>
    </w:p>
    <w:p w14:paraId="5A32651D"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4C86C4C0"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6E47D707" w14:textId="0BB57CF0"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F5077" w:rsidRPr="00D44D33">
        <w:rPr>
          <w:rFonts w:ascii="Times New Roman" w:eastAsiaTheme="minorEastAsia" w:hAnsi="Times New Roman" w:cs="Times New Roman"/>
          <w:b/>
          <w:bCs/>
          <w:sz w:val="24"/>
          <w:szCs w:val="24"/>
        </w:rPr>
        <w:t>127</w:t>
      </w:r>
    </w:p>
    <w:p w14:paraId="55112113" w14:textId="00F602C3"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p>
    <w:p w14:paraId="0D2EC7B9" w14:textId="7F58E3C8" w:rsidR="001A7CDF"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selekcyjnego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p>
    <w:p w14:paraId="56B0B44F" w14:textId="26AA95A9" w:rsidR="001A7CDF" w:rsidRPr="00D44D33" w:rsidRDefault="001A7CDF"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w:t>
      </w:r>
      <w:r w:rsidR="00C5185F" w:rsidRPr="00D44D33">
        <w:rPr>
          <w:rFonts w:ascii="Times New Roman" w:eastAsiaTheme="minorEastAsia" w:hAnsi="Times New Roman" w:cs="Times New Roman"/>
          <w:b/>
          <w:sz w:val="24"/>
          <w:szCs w:val="24"/>
        </w:rPr>
        <w:t>t.</w:t>
      </w:r>
      <w:r w:rsidR="00970B2E" w:rsidRPr="00D44D33">
        <w:rPr>
          <w:rFonts w:ascii="Times New Roman" w:eastAsiaTheme="minorEastAsia" w:hAnsi="Times New Roman" w:cs="Times New Roman"/>
          <w:b/>
          <w:sz w:val="24"/>
          <w:szCs w:val="24"/>
        </w:rPr>
        <w:t xml:space="preserve"> </w:t>
      </w:r>
      <w:r w:rsidR="008F5077" w:rsidRPr="00D44D33">
        <w:rPr>
          <w:rFonts w:ascii="Times New Roman" w:eastAsiaTheme="minorEastAsia" w:hAnsi="Times New Roman" w:cs="Times New Roman"/>
          <w:b/>
          <w:sz w:val="24"/>
          <w:szCs w:val="24"/>
        </w:rPr>
        <w:t>128</w:t>
      </w:r>
      <w:r w:rsidR="00286282" w:rsidRPr="00D44D33">
        <w:rPr>
          <w:rFonts w:ascii="Times New Roman" w:eastAsiaTheme="minorEastAsia" w:hAnsi="Times New Roman" w:cs="Times New Roman"/>
          <w:sz w:val="24"/>
          <w:szCs w:val="24"/>
        </w:rPr>
        <w:t>–</w:t>
      </w:r>
      <w:r w:rsidR="008F5077" w:rsidRPr="00D44D33">
        <w:rPr>
          <w:rFonts w:ascii="Times New Roman" w:eastAsiaTheme="minorEastAsia" w:hAnsi="Times New Roman" w:cs="Times New Roman"/>
          <w:b/>
          <w:sz w:val="24"/>
          <w:szCs w:val="24"/>
        </w:rPr>
        <w:t>137</w:t>
      </w:r>
    </w:p>
    <w:p w14:paraId="54022C11" w14:textId="164F241B" w:rsidR="00632D11" w:rsidRPr="00D44D33" w:rsidRDefault="001A7C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nową</w:t>
      </w:r>
      <w:r w:rsidR="00B3216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nieznaną</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Pt</w:t>
      </w:r>
      <w:r w:rsidR="00EB640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znajdzie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użytkowaniu</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rządowym</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dokonywać</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Obrony</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Narodowej,</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sformalizowana</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3216A"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wprowadzone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omawianych</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znajdą</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szczególnego</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rządowego.</w:t>
      </w:r>
    </w:p>
    <w:p w14:paraId="1BF470E5" w14:textId="47589CB6" w:rsidR="00696205" w:rsidRPr="00D44D33" w:rsidRDefault="001A7C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cywilno-rządowym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administracyjnej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Instytucja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lastRenderedPageBreak/>
        <w:t>wzorowana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znanej</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częstotliwości</w:t>
      </w:r>
      <w:r w:rsidR="00632D1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odmienności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chwili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obecnej,</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użytkowaniu</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cywilno-rządowym</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obowiązani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byli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uzyskiwania</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proponowane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00632D11" w:rsidRPr="00D44D33">
        <w:rPr>
          <w:rFonts w:ascii="Times New Roman" w:eastAsiaTheme="minorEastAsia" w:hAnsi="Times New Roman" w:cs="Times New Roman"/>
          <w:sz w:val="24"/>
          <w:szCs w:val="24"/>
        </w:rPr>
        <w:t>właściwe.</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Odrębna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instytucja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dopasować</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specyfiki</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obligatoryjne</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1364" w:rsidRPr="00D44D33">
        <w:rPr>
          <w:rFonts w:ascii="Times New Roman" w:eastAsiaTheme="minorEastAsia" w:hAnsi="Times New Roman" w:cs="Times New Roman"/>
          <w:sz w:val="24"/>
          <w:szCs w:val="24"/>
        </w:rPr>
        <w:t>cofnięcia.</w:t>
      </w:r>
    </w:p>
    <w:p w14:paraId="1AC3C7C5" w14:textId="38EA9A27" w:rsidR="00286282" w:rsidRPr="00D44D33" w:rsidRDefault="00D03005" w:rsidP="00D44D33">
      <w:pPr>
        <w:pStyle w:val="ROZDZODDZOZNoznaczenierozdziauluboddziau"/>
        <w:spacing w:after="120"/>
        <w:rPr>
          <w:rFonts w:ascii="Times New Roman" w:hAnsi="Times New Roman" w:cs="Times New Roman"/>
          <w:b/>
          <w:kern w:val="0"/>
          <w:lang w:eastAsia="en-US"/>
        </w:rPr>
      </w:pPr>
      <w:r w:rsidRPr="00D44D33">
        <w:rPr>
          <w:rFonts w:ascii="Times New Roman" w:hAnsi="Times New Roman" w:cs="Times New Roman"/>
          <w:b/>
          <w:kern w:val="0"/>
          <w:lang w:eastAsia="en-US"/>
        </w:rPr>
        <w:t>R</w:t>
      </w:r>
      <w:r w:rsidR="00EB640F" w:rsidRPr="00D44D33">
        <w:rPr>
          <w:rFonts w:ascii="Times New Roman" w:hAnsi="Times New Roman" w:cs="Times New Roman"/>
          <w:b/>
          <w:kern w:val="0"/>
          <w:lang w:eastAsia="en-US"/>
        </w:rPr>
        <w:t>ozdział</w:t>
      </w:r>
      <w:r w:rsidR="00970B2E" w:rsidRPr="00D44D33">
        <w:rPr>
          <w:rFonts w:ascii="Times New Roman" w:hAnsi="Times New Roman" w:cs="Times New Roman"/>
          <w:b/>
          <w:kern w:val="0"/>
          <w:lang w:eastAsia="en-US"/>
        </w:rPr>
        <w:t xml:space="preserve"> </w:t>
      </w:r>
      <w:r w:rsidRPr="00D44D33">
        <w:rPr>
          <w:rFonts w:ascii="Times New Roman" w:hAnsi="Times New Roman" w:cs="Times New Roman"/>
          <w:b/>
          <w:kern w:val="0"/>
          <w:lang w:eastAsia="en-US"/>
        </w:rPr>
        <w:t>2</w:t>
      </w:r>
    </w:p>
    <w:p w14:paraId="0B9BD20B" w14:textId="63D3A143" w:rsidR="00D03005" w:rsidRPr="00D44D33" w:rsidRDefault="00D03005" w:rsidP="00D44D33">
      <w:pPr>
        <w:pStyle w:val="ROZDZODDZOZNoznaczenierozdziauluboddziau"/>
        <w:spacing w:after="120"/>
        <w:rPr>
          <w:rFonts w:ascii="Times New Roman" w:hAnsi="Times New Roman" w:cs="Times New Roman"/>
          <w:b/>
          <w:kern w:val="0"/>
          <w:lang w:eastAsia="en-US"/>
        </w:rPr>
      </w:pPr>
      <w:r w:rsidRPr="00D44D33">
        <w:rPr>
          <w:rFonts w:ascii="Times New Roman" w:hAnsi="Times New Roman" w:cs="Times New Roman"/>
          <w:b/>
          <w:kern w:val="0"/>
          <w:lang w:eastAsia="en-US"/>
        </w:rPr>
        <w:t>Używanie</w:t>
      </w:r>
      <w:r w:rsidR="00970B2E" w:rsidRPr="00D44D33">
        <w:rPr>
          <w:rFonts w:ascii="Times New Roman" w:hAnsi="Times New Roman" w:cs="Times New Roman"/>
          <w:b/>
          <w:kern w:val="0"/>
          <w:lang w:eastAsia="en-US"/>
        </w:rPr>
        <w:t xml:space="preserve"> </w:t>
      </w:r>
      <w:r w:rsidRPr="00D44D33">
        <w:rPr>
          <w:rFonts w:ascii="Times New Roman" w:hAnsi="Times New Roman" w:cs="Times New Roman"/>
          <w:b/>
          <w:kern w:val="0"/>
          <w:lang w:eastAsia="en-US"/>
        </w:rPr>
        <w:t>i</w:t>
      </w:r>
      <w:r w:rsidR="00970B2E" w:rsidRPr="00D44D33">
        <w:rPr>
          <w:rFonts w:ascii="Times New Roman" w:hAnsi="Times New Roman" w:cs="Times New Roman"/>
          <w:b/>
          <w:kern w:val="0"/>
          <w:lang w:eastAsia="en-US"/>
        </w:rPr>
        <w:t xml:space="preserve"> </w:t>
      </w:r>
      <w:r w:rsidRPr="00D44D33">
        <w:rPr>
          <w:rFonts w:ascii="Times New Roman" w:hAnsi="Times New Roman" w:cs="Times New Roman"/>
          <w:b/>
          <w:kern w:val="0"/>
          <w:lang w:eastAsia="en-US"/>
        </w:rPr>
        <w:t>obsługa</w:t>
      </w:r>
      <w:r w:rsidR="00970B2E" w:rsidRPr="00D44D33">
        <w:rPr>
          <w:rFonts w:ascii="Times New Roman" w:hAnsi="Times New Roman" w:cs="Times New Roman"/>
          <w:b/>
          <w:kern w:val="0"/>
          <w:lang w:eastAsia="en-US"/>
        </w:rPr>
        <w:t xml:space="preserve"> </w:t>
      </w:r>
      <w:r w:rsidRPr="00D44D33">
        <w:rPr>
          <w:rFonts w:ascii="Times New Roman" w:hAnsi="Times New Roman" w:cs="Times New Roman"/>
          <w:b/>
          <w:kern w:val="0"/>
          <w:lang w:eastAsia="en-US"/>
        </w:rPr>
        <w:t>urządzeń</w:t>
      </w:r>
      <w:r w:rsidR="00970B2E" w:rsidRPr="00D44D33">
        <w:rPr>
          <w:rFonts w:ascii="Times New Roman" w:hAnsi="Times New Roman" w:cs="Times New Roman"/>
          <w:b/>
          <w:kern w:val="0"/>
          <w:lang w:eastAsia="en-US"/>
        </w:rPr>
        <w:t xml:space="preserve"> </w:t>
      </w:r>
      <w:r w:rsidRPr="00D44D33">
        <w:rPr>
          <w:rFonts w:ascii="Times New Roman" w:hAnsi="Times New Roman" w:cs="Times New Roman"/>
          <w:b/>
          <w:kern w:val="0"/>
          <w:lang w:eastAsia="en-US"/>
        </w:rPr>
        <w:t>radiowych</w:t>
      </w:r>
    </w:p>
    <w:p w14:paraId="73D5A318" w14:textId="5CCECF72" w:rsidR="00D03005"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C0A8E" w:rsidRPr="00D44D33">
        <w:rPr>
          <w:rFonts w:ascii="Times New Roman" w:eastAsiaTheme="minorEastAsia" w:hAnsi="Times New Roman" w:cs="Times New Roman"/>
          <w:b/>
          <w:bCs/>
          <w:sz w:val="24"/>
          <w:szCs w:val="24"/>
        </w:rPr>
        <w:t>138</w:t>
      </w:r>
    </w:p>
    <w:p w14:paraId="65DECB46" w14:textId="2B04F33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10DF72E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0DF72EC"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10DF72EC"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10DF72E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znajdą</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kpa</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wprowadzania</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DB0BFA" w:rsidRPr="00D44D33">
        <w:rPr>
          <w:rFonts w:ascii="Times New Roman" w:eastAsiaTheme="minorEastAsia" w:hAnsi="Times New Roman" w:cs="Times New Roman"/>
          <w:sz w:val="24"/>
          <w:szCs w:val="24"/>
        </w:rPr>
        <w:t>szczególnych.</w:t>
      </w:r>
    </w:p>
    <w:p w14:paraId="2F292A80" w14:textId="77F3BE46"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C0A8E" w:rsidRPr="00D44D33">
        <w:rPr>
          <w:rFonts w:ascii="Times New Roman" w:eastAsiaTheme="minorEastAsia" w:hAnsi="Times New Roman" w:cs="Times New Roman"/>
          <w:b/>
          <w:bCs/>
          <w:sz w:val="24"/>
          <w:szCs w:val="24"/>
        </w:rPr>
        <w:t>139</w:t>
      </w:r>
    </w:p>
    <w:p w14:paraId="595043D2" w14:textId="3B603DC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tożsama</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regulacjami</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funkcjonującymi</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6453F84"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76079738" w:rsidRPr="00D44D33">
        <w:rPr>
          <w:rFonts w:ascii="Times New Roman" w:eastAsiaTheme="minorEastAsia" w:hAnsi="Times New Roman" w:cs="Times New Roman"/>
          <w:sz w:val="24"/>
          <w:szCs w:val="24"/>
        </w:rPr>
        <w:t>częstotliwości</w:t>
      </w:r>
      <w:r w:rsidR="00671C0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zastąpi</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nowa</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instytucja</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00671C00" w:rsidRPr="00D44D33">
        <w:rPr>
          <w:rFonts w:ascii="Times New Roman" w:eastAsiaTheme="minorEastAsia" w:hAnsi="Times New Roman" w:cs="Times New Roman"/>
          <w:sz w:val="24"/>
          <w:szCs w:val="24"/>
        </w:rPr>
        <w:t>częstotliwości</w:t>
      </w:r>
      <w:r w:rsidR="76079738" w:rsidRPr="00D44D33">
        <w:rPr>
          <w:rFonts w:ascii="Times New Roman" w:eastAsiaTheme="minorEastAsia" w:hAnsi="Times New Roman" w:cs="Times New Roman"/>
          <w:sz w:val="24"/>
          <w:szCs w:val="24"/>
        </w:rPr>
        <w:t>.</w:t>
      </w:r>
    </w:p>
    <w:p w14:paraId="7746A887" w14:textId="762F5974"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C0A8E" w:rsidRPr="00D44D33">
        <w:rPr>
          <w:rFonts w:ascii="Times New Roman" w:eastAsiaTheme="minorEastAsia" w:hAnsi="Times New Roman" w:cs="Times New Roman"/>
          <w:b/>
          <w:bCs/>
          <w:sz w:val="24"/>
          <w:szCs w:val="24"/>
        </w:rPr>
        <w:t>140</w:t>
      </w:r>
    </w:p>
    <w:p w14:paraId="6CBC29B1" w14:textId="76C6B362"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fakultatywne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3609771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miało</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36097717"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p>
    <w:p w14:paraId="099865D0" w14:textId="28B01F1A"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Wśród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36868F71" w14:textId="7A01A73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Pozwolenie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chociaż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00BB6A86" w:rsidRPr="00D44D33">
        <w:rPr>
          <w:rFonts w:ascii="Times New Roman" w:eastAsiaTheme="minorEastAsia" w:hAnsi="Times New Roman" w:cs="Times New Roman"/>
          <w:sz w:val="24"/>
          <w:szCs w:val="24"/>
        </w:rPr>
        <w:t>brzmieniu</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ukierunkowana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kilkadziesiąt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ITU</w:t>
      </w:r>
      <w:r w:rsidR="00C235FF" w:rsidRPr="00D44D33">
        <w:rPr>
          <w:rFonts w:ascii="Times New Roman" w:eastAsiaTheme="minorEastAsia" w:hAnsi="Times New Roman" w:cs="Times New Roman"/>
          <w:sz w:val="24"/>
          <w:szCs w:val="24"/>
        </w:rPr>
        <w:t xml:space="preserve">, </w:t>
      </w:r>
      <w:r w:rsidR="004A5C60" w:rsidRPr="00D44D33">
        <w:rPr>
          <w:rFonts w:ascii="Times New Roman" w:eastAsiaTheme="minorEastAsia" w:hAnsi="Times New Roman" w:cs="Times New Roman"/>
          <w:sz w:val="24"/>
          <w:szCs w:val="24"/>
        </w:rPr>
        <w:t xml:space="preserve">zwanego </w:t>
      </w:r>
      <w:r w:rsidR="00C235FF" w:rsidRPr="00D44D33">
        <w:rPr>
          <w:rFonts w:ascii="Times New Roman" w:eastAsiaTheme="minorEastAsia" w:hAnsi="Times New Roman" w:cs="Times New Roman"/>
          <w:sz w:val="24"/>
          <w:szCs w:val="24"/>
        </w:rPr>
        <w:t>dalej „</w:t>
      </w:r>
      <w:r w:rsidR="482095E8" w:rsidRPr="00D44D33">
        <w:rPr>
          <w:rFonts w:ascii="Times New Roman" w:eastAsiaTheme="minorEastAsia" w:hAnsi="Times New Roman" w:cs="Times New Roman"/>
          <w:sz w:val="24"/>
          <w:szCs w:val="24"/>
        </w:rPr>
        <w:t>RR</w:t>
      </w:r>
      <w:r w:rsidR="00970B2E" w:rsidRPr="00D44D33">
        <w:rPr>
          <w:rFonts w:ascii="Times New Roman" w:eastAsiaTheme="minorEastAsia" w:hAnsi="Times New Roman" w:cs="Times New Roman"/>
          <w:sz w:val="24"/>
          <w:szCs w:val="24"/>
        </w:rPr>
        <w:t xml:space="preserve"> </w:t>
      </w:r>
      <w:r w:rsidR="482095E8" w:rsidRPr="00D44D33">
        <w:rPr>
          <w:rFonts w:ascii="Times New Roman" w:eastAsiaTheme="minorEastAsia" w:hAnsi="Times New Roman" w:cs="Times New Roman"/>
          <w:sz w:val="24"/>
          <w:szCs w:val="24"/>
        </w:rPr>
        <w:t>ITU</w:t>
      </w:r>
      <w:r w:rsidR="00C235FF"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19.16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25.9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odstępach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swój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wywoławczego.</w:t>
      </w:r>
    </w:p>
    <w:p w14:paraId="6339A256" w14:textId="2C7A1CD7"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MMSI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morskiej),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jednoznaczny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oprócz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wywoławczych.</w:t>
      </w:r>
    </w:p>
    <w:p w14:paraId="3515B79A" w14:textId="63B12ECF"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wykorzystaniem.</w:t>
      </w:r>
    </w:p>
    <w:p w14:paraId="1D315A2D" w14:textId="6FF73726"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C0A8E" w:rsidRPr="00D44D33">
        <w:rPr>
          <w:rFonts w:ascii="Times New Roman" w:eastAsiaTheme="minorEastAsia" w:hAnsi="Times New Roman" w:cs="Times New Roman"/>
          <w:b/>
          <w:bCs/>
          <w:sz w:val="24"/>
          <w:szCs w:val="24"/>
        </w:rPr>
        <w:t>141</w:t>
      </w:r>
    </w:p>
    <w:p w14:paraId="095D31EA" w14:textId="38D8D128"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otwarty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nadawczo-odbiorczego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sztucznym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Ziemi.</w:t>
      </w:r>
      <w:r w:rsidR="00970B2E" w:rsidRPr="00D44D33">
        <w:rPr>
          <w:rFonts w:ascii="Times New Roman" w:eastAsiaTheme="minorEastAsia" w:hAnsi="Times New Roman" w:cs="Times New Roman"/>
          <w:sz w:val="24"/>
          <w:szCs w:val="24"/>
        </w:rPr>
        <w:t xml:space="preserve"> </w:t>
      </w:r>
      <w:r w:rsidR="26973167"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26973167"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26973167"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2697316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6973167" w:rsidRPr="00D44D33">
        <w:rPr>
          <w:rFonts w:ascii="Times New Roman" w:eastAsiaTheme="minorEastAsia" w:hAnsi="Times New Roman" w:cs="Times New Roman"/>
          <w:sz w:val="24"/>
          <w:szCs w:val="24"/>
        </w:rPr>
        <w:t>Pt.</w:t>
      </w:r>
    </w:p>
    <w:p w14:paraId="57508F03" w14:textId="70DCB58F" w:rsidR="000F496D" w:rsidRPr="00D44D33" w:rsidRDefault="000F4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C0A8E" w:rsidRPr="00D44D33">
        <w:rPr>
          <w:rFonts w:ascii="Times New Roman" w:eastAsiaTheme="minorEastAsia" w:hAnsi="Times New Roman" w:cs="Times New Roman"/>
          <w:b/>
          <w:bCs/>
          <w:sz w:val="24"/>
          <w:szCs w:val="24"/>
        </w:rPr>
        <w:t>142</w:t>
      </w:r>
    </w:p>
    <w:p w14:paraId="488B37FC" w14:textId="7F41F82B"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p>
    <w:p w14:paraId="1FEFACD8" w14:textId="080ED62A" w:rsidR="00D03005" w:rsidRPr="00D44D33" w:rsidRDefault="00D03005" w:rsidP="00D44D33">
      <w:pPr>
        <w:pStyle w:val="Tekstpodstawowy"/>
        <w:spacing w:before="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6D396A"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6D396A" w:rsidRPr="00D44D33">
        <w:rPr>
          <w:rFonts w:ascii="Times New Roman" w:eastAsiaTheme="minorEastAsia" w:hAnsi="Times New Roman" w:cs="Times New Roman"/>
          <w:sz w:val="24"/>
          <w:szCs w:val="24"/>
        </w:rPr>
        <w:t>odmówienia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prawdopodobieństwo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bądź</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p>
    <w:p w14:paraId="48C69C55" w14:textId="612BE0BD" w:rsidR="00D03005" w:rsidRPr="00D44D33" w:rsidRDefault="00D03005" w:rsidP="00D44D33">
      <w:pPr>
        <w:pStyle w:val="Tekstpodstawowy"/>
        <w:tabs>
          <w:tab w:val="left" w:pos="5297"/>
        </w:tabs>
        <w:spacing w:before="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Dostępność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(pracującymi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sąsiednich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Niejednokrotnie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uważane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p>
    <w:p w14:paraId="066835C2" w14:textId="58A7B528" w:rsidR="00D03005" w:rsidRPr="00D44D33" w:rsidRDefault="717EBA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granicami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00C235FF" w:rsidRPr="00D44D33">
        <w:rPr>
          <w:rFonts w:ascii="Times New Roman" w:eastAsiaTheme="minorEastAsia" w:hAnsi="Times New Roman" w:cs="Times New Roman"/>
          <w:sz w:val="24"/>
          <w:szCs w:val="24"/>
        </w:rPr>
        <w:t xml:space="preserve">co </w:t>
      </w:r>
      <w:r w:rsidRPr="00D44D33">
        <w:rPr>
          <w:rFonts w:ascii="Times New Roman" w:eastAsiaTheme="minorEastAsia" w:hAnsi="Times New Roman" w:cs="Times New Roman"/>
          <w:sz w:val="24"/>
          <w:szCs w:val="24"/>
        </w:rPr>
        <w:t>skróci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p>
    <w:p w14:paraId="66E314E3" w14:textId="369C2A3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Stacje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uzgadniane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powodów:</w:t>
      </w:r>
    </w:p>
    <w:p w14:paraId="30A53842" w14:textId="793C4743" w:rsidR="00D03005" w:rsidRPr="00D44D33" w:rsidRDefault="00D03005" w:rsidP="00D44D33">
      <w:pPr>
        <w:numPr>
          <w:ilvl w:val="0"/>
          <w:numId w:val="3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RP</w:t>
      </w:r>
      <w:r w:rsidR="00286282" w:rsidRPr="00D44D33">
        <w:rPr>
          <w:rFonts w:ascii="Times New Roman" w:eastAsiaTheme="minorEastAsia" w:hAnsi="Times New Roman" w:cs="Times New Roman"/>
          <w:sz w:val="24"/>
          <w:szCs w:val="24"/>
        </w:rPr>
        <w:t>,</w:t>
      </w:r>
    </w:p>
    <w:p w14:paraId="4D6C161D" w14:textId="6A375FC8" w:rsidR="00D03005" w:rsidRPr="00D44D33" w:rsidRDefault="00D03005" w:rsidP="00D44D33">
      <w:pPr>
        <w:numPr>
          <w:ilvl w:val="0"/>
          <w:numId w:val="3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uruchomieniu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nadawczych</w:t>
      </w:r>
      <w:r w:rsidR="00286282" w:rsidRPr="00D44D33">
        <w:rPr>
          <w:rFonts w:ascii="Times New Roman" w:eastAsiaTheme="minorEastAsia" w:hAnsi="Times New Roman" w:cs="Times New Roman"/>
          <w:sz w:val="24"/>
          <w:szCs w:val="24"/>
        </w:rPr>
        <w:t>,</w:t>
      </w:r>
    </w:p>
    <w:p w14:paraId="46994415" w14:textId="05DC73E5" w:rsidR="00D03005" w:rsidRPr="00D44D33" w:rsidRDefault="00D03005" w:rsidP="00D44D33">
      <w:pPr>
        <w:numPr>
          <w:ilvl w:val="0"/>
          <w:numId w:val="3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zgłaszania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przygranicznym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pochodzącymi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zagranicy.</w:t>
      </w:r>
    </w:p>
    <w:p w14:paraId="00D5A28A" w14:textId="34DD9241" w:rsidR="00D03005" w:rsidRPr="00D44D33" w:rsidRDefault="717EBA66" w:rsidP="00D44D33">
      <w:pPr>
        <w:pStyle w:val="Tekstpodstawowy"/>
        <w:spacing w:before="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zauważyć,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długotrwałym,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C235FF" w:rsidRPr="00D44D33">
        <w:rPr>
          <w:rFonts w:ascii="Times New Roman" w:eastAsiaTheme="minorEastAsia" w:hAnsi="Times New Roman" w:cs="Times New Roman"/>
          <w:sz w:val="24"/>
          <w:szCs w:val="24"/>
        </w:rPr>
        <w:t xml:space="preserve"> przypadku</w:t>
      </w:r>
      <w:r w:rsidR="433BD31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lit</w:t>
      </w:r>
      <w:r w:rsidR="17286E1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33BD314" w:rsidRPr="00D44D33">
        <w:rPr>
          <w:rFonts w:ascii="Times New Roman" w:eastAsiaTheme="minorEastAsia" w:hAnsi="Times New Roman" w:cs="Times New Roman"/>
          <w:sz w:val="24"/>
          <w:szCs w:val="24"/>
        </w:rPr>
        <w:t>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oczekiwanie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koordynacji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niepotrzebnie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p>
    <w:p w14:paraId="1EC9317F" w14:textId="64218789" w:rsidR="00D03005" w:rsidRPr="00D44D33" w:rsidRDefault="00D03005" w:rsidP="00D44D33">
      <w:pPr>
        <w:autoSpaceDE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propozycja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załączania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transpondera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transponderów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satelitarnych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niepożądanego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Ziemi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wywoływały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rozważyć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zakłóceniami.</w:t>
      </w:r>
    </w:p>
    <w:p w14:paraId="277C92CE" w14:textId="441CD328" w:rsidR="00AC6D2B" w:rsidRPr="00D44D33" w:rsidRDefault="00AC6D2B" w:rsidP="00D44D33">
      <w:pPr>
        <w:autoSpaceDE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Dodano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uzależnione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statku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Uzasadnieniem</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wydawać</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statkach</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morskich</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powietrznych</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zarejestrowanych</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Polsce.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chwili</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obecnej</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potwierdzającego</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rejestrację,</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wyraźnej</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podstawy</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dostosowanie</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1205F" w:rsidRPr="00D44D33">
        <w:rPr>
          <w:rFonts w:ascii="Times New Roman" w:eastAsiaTheme="minorEastAsia" w:hAnsi="Times New Roman" w:cs="Times New Roman"/>
          <w:sz w:val="24"/>
          <w:szCs w:val="24"/>
        </w:rPr>
        <w:t>praktyki.</w:t>
      </w:r>
    </w:p>
    <w:p w14:paraId="7118BA9E" w14:textId="3CB12224" w:rsidR="00D03005" w:rsidRPr="00D44D33" w:rsidRDefault="00D03005" w:rsidP="00D44D33">
      <w:pPr>
        <w:autoSpaceDE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wydawane</w:t>
      </w:r>
      <w:r w:rsidR="00970B2E" w:rsidRPr="00D44D33">
        <w:rPr>
          <w:rFonts w:ascii="Times New Roman" w:eastAsiaTheme="minorEastAsia" w:hAnsi="Times New Roman" w:cs="Times New Roman"/>
          <w:sz w:val="24"/>
          <w:szCs w:val="24"/>
        </w:rPr>
        <w:t xml:space="preserve"> </w:t>
      </w:r>
      <w:r w:rsidR="00D95718"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D9571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95718"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nieprzekraczający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1A5229C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A5229C9"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1A5229C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A5229C9"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1A5229C9" w:rsidRPr="00D44D33">
        <w:rPr>
          <w:rFonts w:ascii="Times New Roman" w:eastAsiaTheme="minorEastAsia" w:hAnsi="Times New Roman" w:cs="Times New Roman"/>
          <w:sz w:val="24"/>
          <w:szCs w:val="24"/>
        </w:rPr>
        <w:t>radioamatorskiej</w:t>
      </w:r>
      <w:r w:rsidR="1F3EADA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F3EADAF"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1F3EADAF"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1F3EADA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F3EADAF"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1F3EADAF" w:rsidRPr="00D44D33">
        <w:rPr>
          <w:rFonts w:ascii="Times New Roman" w:eastAsiaTheme="minorEastAsia" w:hAnsi="Times New Roman" w:cs="Times New Roman"/>
          <w:sz w:val="24"/>
          <w:szCs w:val="24"/>
        </w:rPr>
        <w:t>szczególny</w:t>
      </w:r>
      <w:r w:rsidR="00970B2E" w:rsidRPr="00D44D33">
        <w:rPr>
          <w:rFonts w:ascii="Times New Roman" w:eastAsiaTheme="minorEastAsia" w:hAnsi="Times New Roman" w:cs="Times New Roman"/>
          <w:sz w:val="24"/>
          <w:szCs w:val="24"/>
        </w:rPr>
        <w:t xml:space="preserve"> </w:t>
      </w:r>
      <w:r w:rsidR="1F3EADAF"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1A5229C9"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1A5229C9" w:rsidRPr="00D44D33">
        <w:rPr>
          <w:rFonts w:ascii="Times New Roman" w:eastAsiaTheme="minorEastAsia" w:hAnsi="Times New Roman" w:cs="Times New Roman"/>
          <w:sz w:val="24"/>
          <w:szCs w:val="24"/>
        </w:rPr>
        <w:t>lat</w:t>
      </w:r>
      <w:r w:rsidRPr="00D44D33">
        <w:rPr>
          <w:rFonts w:ascii="Times New Roman" w:eastAsiaTheme="minorEastAsia" w:hAnsi="Times New Roman" w:cs="Times New Roman"/>
          <w:sz w:val="24"/>
          <w:szCs w:val="24"/>
        </w:rPr>
        <w:t>.</w:t>
      </w:r>
    </w:p>
    <w:p w14:paraId="32C17DB3" w14:textId="037BB786" w:rsidR="0011728A" w:rsidRPr="00D44D33" w:rsidRDefault="00D95718" w:rsidP="00D44D33">
      <w:pPr>
        <w:pStyle w:val="USTustnpkodeksu"/>
        <w:spacing w:before="120" w:after="120"/>
        <w:ind w:firstLine="0"/>
        <w:rPr>
          <w:rFonts w:ascii="Times New Roman" w:hAnsi="Times New Roman" w:cs="Times New Roman"/>
          <w:bCs w:val="0"/>
          <w:szCs w:val="24"/>
          <w:lang w:eastAsia="en-US"/>
        </w:rPr>
      </w:pPr>
      <w:r w:rsidRPr="00D44D33">
        <w:rPr>
          <w:rFonts w:ascii="Times New Roman" w:hAnsi="Times New Roman" w:cs="Times New Roman"/>
          <w:bCs w:val="0"/>
          <w:szCs w:val="24"/>
          <w:lang w:eastAsia="en-US"/>
        </w:rPr>
        <w:t>Jednak</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w</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przypadku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pozwolenia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dotyczącego</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wykorzystania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zasobu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częstotliwości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objętego</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rezerwacją</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częstotliwości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w</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okresie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jej</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obowiązywania,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który</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jest</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dłuższy</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niż</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10</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lat,</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okres</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wydania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pozwolenia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może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zostać</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zrównany</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okresem</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obowiązywania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tej</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rezerwacji.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Jest</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to</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modyfikacja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w</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stosunku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do</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obecnych</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regulacji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Pt,</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która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ma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na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celu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zagwarantowanie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ciągłości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pewności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działalności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danego</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podmiotu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gospodarczego.</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Zmiana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pozwoleń</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polegająca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na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zmianie</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okresu</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ich</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obowiązywania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będzie</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możliwa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także</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w</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przypadku</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przedłużenia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rezerwacji</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lub</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dokonania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rezerwacji</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na</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kolejny</w:t>
      </w:r>
      <w:r w:rsidR="00970B2E" w:rsidRPr="00D44D33">
        <w:rPr>
          <w:rFonts w:ascii="Times New Roman" w:hAnsi="Times New Roman" w:cs="Times New Roman"/>
          <w:bCs w:val="0"/>
          <w:szCs w:val="24"/>
          <w:lang w:eastAsia="en-US"/>
        </w:rPr>
        <w:t xml:space="preserve"> </w:t>
      </w:r>
      <w:r w:rsidR="005759D4" w:rsidRPr="00D44D33">
        <w:rPr>
          <w:rFonts w:ascii="Times New Roman" w:hAnsi="Times New Roman" w:cs="Times New Roman"/>
          <w:bCs w:val="0"/>
          <w:szCs w:val="24"/>
          <w:lang w:eastAsia="en-US"/>
        </w:rPr>
        <w:t>okres.</w:t>
      </w:r>
    </w:p>
    <w:p w14:paraId="51CFD2FD" w14:textId="1F5D98B6" w:rsidR="7016B558" w:rsidRPr="00D44D33" w:rsidRDefault="7016B55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kontrolno-pomiarowe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w:t>
      </w:r>
      <w:r w:rsidRPr="00D44D33">
        <w:rPr>
          <w:rFonts w:ascii="Times New Roman" w:eastAsiaTheme="minorEastAsia" w:hAnsi="Times New Roman" w:cs="Times New Roman"/>
          <w:sz w:val="24"/>
          <w:szCs w:val="24"/>
        </w:rPr>
        <w:lastRenderedPageBreak/>
        <w:t>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C235FF" w:rsidRPr="00D44D33">
        <w:rPr>
          <w:rFonts w:ascii="Times New Roman" w:eastAsiaTheme="minorEastAsia" w:hAnsi="Times New Roman" w:cs="Times New Roman"/>
          <w:sz w:val="24"/>
          <w:szCs w:val="24"/>
        </w:rPr>
        <w:t>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kolidować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BTS,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radiolinie,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nadajniki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RLL,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RTV</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p>
    <w:p w14:paraId="2CDE079B" w14:textId="64B84BF7" w:rsidR="7016B558" w:rsidRPr="00D44D33" w:rsidRDefault="7016B55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kolidowania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kontrolno-pomiarowych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współrzędnych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geograficznych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kontrolno-pomiarowego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zlokalizowane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p>
    <w:p w14:paraId="5CD69B06" w14:textId="108C7AA1" w:rsidR="006D396A" w:rsidRPr="00D44D33" w:rsidRDefault="006D396A" w:rsidP="00D44D33">
      <w:pPr>
        <w:pStyle w:val="USTustnpkodeksu"/>
        <w:spacing w:before="120" w:after="120"/>
        <w:ind w:firstLine="0"/>
        <w:jc w:val="center"/>
        <w:rPr>
          <w:rFonts w:ascii="Times New Roman" w:hAnsi="Times New Roman" w:cs="Times New Roman"/>
          <w:b/>
          <w:szCs w:val="24"/>
        </w:rPr>
      </w:pPr>
      <w:r w:rsidRPr="00D44D33">
        <w:rPr>
          <w:rFonts w:ascii="Times New Roman" w:hAnsi="Times New Roman" w:cs="Times New Roman"/>
          <w:b/>
          <w:szCs w:val="24"/>
        </w:rPr>
        <w:t>Art.</w:t>
      </w:r>
      <w:r w:rsidR="00970B2E" w:rsidRPr="00D44D33">
        <w:rPr>
          <w:rFonts w:ascii="Times New Roman" w:hAnsi="Times New Roman" w:cs="Times New Roman"/>
          <w:b/>
          <w:szCs w:val="24"/>
        </w:rPr>
        <w:t xml:space="preserve"> </w:t>
      </w:r>
      <w:r w:rsidR="00FC0A8E" w:rsidRPr="00D44D33">
        <w:rPr>
          <w:rFonts w:ascii="Times New Roman" w:hAnsi="Times New Roman" w:cs="Times New Roman"/>
          <w:b/>
          <w:szCs w:val="24"/>
        </w:rPr>
        <w:t>143</w:t>
      </w:r>
    </w:p>
    <w:p w14:paraId="30062D97" w14:textId="5FE4CB5B" w:rsidR="006D396A" w:rsidRPr="00D44D33" w:rsidRDefault="006D396A" w:rsidP="00D44D33">
      <w:pPr>
        <w:pStyle w:val="USTustnpkodeksu"/>
        <w:spacing w:before="120" w:after="120"/>
        <w:ind w:firstLine="0"/>
        <w:rPr>
          <w:rFonts w:ascii="Times New Roman" w:hAnsi="Times New Roman" w:cs="Times New Roman"/>
          <w:szCs w:val="24"/>
        </w:rPr>
      </w:pP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określa</w:t>
      </w:r>
      <w:r w:rsidR="00970B2E" w:rsidRPr="00D44D33">
        <w:rPr>
          <w:rFonts w:ascii="Times New Roman" w:hAnsi="Times New Roman" w:cs="Times New Roman"/>
          <w:szCs w:val="24"/>
        </w:rPr>
        <w:t xml:space="preserve"> </w:t>
      </w:r>
      <w:r w:rsidRPr="00D44D33">
        <w:rPr>
          <w:rFonts w:ascii="Times New Roman" w:hAnsi="Times New Roman" w:cs="Times New Roman"/>
          <w:szCs w:val="24"/>
        </w:rPr>
        <w:t>rodzaje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pozwoleń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wydawanych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służbie</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radiokomunikacyjnej</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amatorskiej</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oraz</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sposób</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identyfikacji</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stacji</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amatorskiej.</w:t>
      </w:r>
      <w:r w:rsidR="00970B2E" w:rsidRPr="00D44D33">
        <w:rPr>
          <w:rFonts w:ascii="Times New Roman" w:eastAsia="Times" w:hAnsi="Times New Roman" w:cs="Times New Roman"/>
          <w:szCs w:val="24"/>
        </w:rPr>
        <w:t xml:space="preserve"> </w:t>
      </w:r>
    </w:p>
    <w:p w14:paraId="780FCFB8" w14:textId="69627E41" w:rsidR="006D396A" w:rsidRPr="00D44D33" w:rsidRDefault="006D396A" w:rsidP="00D44D33">
      <w:pPr>
        <w:keepNext/>
        <w:spacing w:before="120" w:after="120" w:line="360" w:lineRule="auto"/>
        <w:jc w:val="both"/>
        <w:rPr>
          <w:rFonts w:ascii="Times New Roman" w:eastAsia="Times" w:hAnsi="Times New Roman" w:cs="Times New Roman"/>
          <w:sz w:val="24"/>
          <w:szCs w:val="24"/>
        </w:rPr>
      </w:pPr>
      <w:r w:rsidRPr="00D44D33">
        <w:rPr>
          <w:rFonts w:ascii="Times New Roman" w:eastAsia="Times" w:hAnsi="Times New Roman" w:cs="Times New Roman"/>
          <w:sz w:val="24"/>
          <w:szCs w:val="24"/>
        </w:rPr>
        <w:t>Kluczową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zmianą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stosunku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przepisów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jest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rezygnacja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EA1F84" w:rsidRPr="00D44D33">
        <w:rPr>
          <w:rFonts w:ascii="Times New Roman" w:eastAsia="Times" w:hAnsi="Times New Roman" w:cs="Times New Roman"/>
          <w:sz w:val="24"/>
          <w:szCs w:val="24"/>
        </w:rPr>
        <w:t>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świadectw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operatora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urządzeń</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radiowych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służbie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radiokomunikacyjnej</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amatorskiej.</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Projektowane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przepisy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przew</w:t>
      </w:r>
      <w:r w:rsidR="00EA1F84" w:rsidRPr="00D44D33">
        <w:rPr>
          <w:rFonts w:ascii="Times New Roman" w:eastAsia="Times" w:hAnsi="Times New Roman" w:cs="Times New Roman"/>
          <w:sz w:val="24"/>
          <w:szCs w:val="24"/>
        </w:rPr>
        <w:t>i</w:t>
      </w:r>
      <w:r w:rsidR="00EA1F84" w:rsidRPr="00D44D33">
        <w:rPr>
          <w:rFonts w:ascii="Times New Roman" w:eastAsia="Times" w:hAnsi="Times New Roman" w:cs="Times New Roman"/>
          <w:sz w:val="24"/>
          <w:szCs w:val="24"/>
        </w:rPr>
        <w:lastRenderedPageBreak/>
        <w:t>dują,</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że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uzyskanie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pozwolenia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radiowego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służbie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radiokomunikacyjnej</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amatorskiej</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następuje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na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podstawie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zaświadczenia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pozytywnym</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wyniku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egzaminu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5372CFD7" w:rsidRPr="00D44D33">
        <w:rPr>
          <w:rFonts w:ascii="Times New Roman" w:eastAsia="Times" w:hAnsi="Times New Roman" w:cs="Times New Roman"/>
          <w:sz w:val="24"/>
          <w:szCs w:val="24"/>
        </w:rPr>
        <w:t>wiedzy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umiejętności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osoby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ubiegającej</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się</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pozwolenie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oraz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spełnienia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innych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określonych</w:t>
      </w:r>
      <w:r w:rsidR="00970B2E" w:rsidRPr="00D44D33">
        <w:rPr>
          <w:rFonts w:ascii="Times New Roman" w:eastAsia="Times" w:hAnsi="Times New Roman" w:cs="Times New Roman"/>
          <w:sz w:val="24"/>
          <w:szCs w:val="24"/>
        </w:rPr>
        <w:t xml:space="preserve"> </w:t>
      </w:r>
      <w:r w:rsidR="00F45100" w:rsidRPr="00D44D33">
        <w:rPr>
          <w:rFonts w:ascii="Times New Roman" w:eastAsia="Times" w:hAnsi="Times New Roman" w:cs="Times New Roman"/>
          <w:sz w:val="24"/>
          <w:szCs w:val="24"/>
        </w:rPr>
        <w:t>ustawą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warunków</w:t>
      </w:r>
      <w:r w:rsidR="00EA1F84"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nie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jak</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ma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to</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miejsce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obecnie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na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podstawie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świadectwa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operatora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urządzeń</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radiowych</w:t>
      </w:r>
      <w:r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Istotne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jest,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że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pozytywny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wynik</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egzaminu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211D070B" w:rsidRPr="00D44D33">
        <w:rPr>
          <w:rFonts w:ascii="Times New Roman" w:eastAsia="Times" w:hAnsi="Times New Roman" w:cs="Times New Roman"/>
          <w:sz w:val="24"/>
          <w:szCs w:val="24"/>
        </w:rPr>
        <w:t>wiedzy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umiejętności</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osoby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ubiegającej</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się</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pozwolenie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jest</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ważny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bezterminowo.</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Dzięki</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takiemu</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rozwiązaniu</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prawnemu</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nie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będzie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konieczności</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ponownego</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zdawania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egzaminu</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przypadku</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ubiegania</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się</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o</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kolejne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pozwolenie</w:t>
      </w:r>
      <w:r w:rsidR="00970B2E" w:rsidRPr="00D44D33">
        <w:rPr>
          <w:rFonts w:ascii="Times New Roman" w:eastAsia="Times" w:hAnsi="Times New Roman" w:cs="Times New Roman"/>
          <w:sz w:val="24"/>
          <w:szCs w:val="24"/>
        </w:rPr>
        <w:t xml:space="preserve"> </w:t>
      </w:r>
      <w:r w:rsidR="00EA1F84" w:rsidRPr="00D44D33">
        <w:rPr>
          <w:rFonts w:ascii="Times New Roman" w:eastAsia="Times" w:hAnsi="Times New Roman" w:cs="Times New Roman"/>
          <w:sz w:val="24"/>
          <w:szCs w:val="24"/>
        </w:rPr>
        <w:t>radiowe.</w:t>
      </w:r>
      <w:r w:rsidR="00970B2E" w:rsidRPr="00D44D33">
        <w:rPr>
          <w:rFonts w:ascii="Times New Roman" w:eastAsia="Times" w:hAnsi="Times New Roman" w:cs="Times New Roman"/>
          <w:sz w:val="24"/>
          <w:szCs w:val="24"/>
        </w:rPr>
        <w:t xml:space="preserve"> </w:t>
      </w:r>
    </w:p>
    <w:p w14:paraId="60C64180" w14:textId="35D35F28" w:rsidR="00F45100" w:rsidRPr="00D44D33" w:rsidRDefault="00A527AF" w:rsidP="00D44D33">
      <w:pPr>
        <w:pStyle w:val="USTustnpkodeksu"/>
        <w:keepNext/>
        <w:spacing w:before="120" w:after="120"/>
        <w:ind w:firstLine="0"/>
        <w:rPr>
          <w:rFonts w:ascii="Times New Roman" w:eastAsia="Times" w:hAnsi="Times New Roman" w:cs="Times New Roman"/>
          <w:szCs w:val="24"/>
        </w:rPr>
      </w:pPr>
      <w:r w:rsidRPr="00D44D33">
        <w:rPr>
          <w:rFonts w:ascii="Times New Roman" w:hAnsi="Times New Roman" w:cs="Times New Roman"/>
          <w:szCs w:val="24"/>
        </w:rPr>
        <w:t>Należy</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podkreślić,</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projektowane</w:t>
      </w:r>
      <w:r w:rsidR="00970B2E" w:rsidRPr="00D44D33">
        <w:rPr>
          <w:rFonts w:ascii="Times New Roman" w:hAnsi="Times New Roman" w:cs="Times New Roman"/>
          <w:szCs w:val="24"/>
        </w:rPr>
        <w:t xml:space="preserve"> </w:t>
      </w:r>
      <w:r w:rsidRPr="00D44D33">
        <w:rPr>
          <w:rFonts w:ascii="Times New Roman" w:hAnsi="Times New Roman" w:cs="Times New Roman"/>
          <w:szCs w:val="24"/>
        </w:rPr>
        <w:t>rozwiązania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pozwoleń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służbie</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amatorskiej</w:t>
      </w:r>
      <w:r w:rsidR="00970B2E" w:rsidRPr="00D44D33">
        <w:rPr>
          <w:rFonts w:ascii="Times New Roman" w:hAnsi="Times New Roman" w:cs="Times New Roman"/>
          <w:szCs w:val="24"/>
        </w:rPr>
        <w:t xml:space="preserve"> </w:t>
      </w:r>
      <w:r w:rsidRPr="00D44D33">
        <w:rPr>
          <w:rFonts w:ascii="Times New Roman" w:hAnsi="Times New Roman" w:cs="Times New Roman"/>
          <w:szCs w:val="24"/>
        </w:rPr>
        <w:t>zostały</w:t>
      </w:r>
      <w:r w:rsidR="00970B2E" w:rsidRPr="00D44D33">
        <w:rPr>
          <w:rFonts w:ascii="Times New Roman" w:hAnsi="Times New Roman" w:cs="Times New Roman"/>
          <w:szCs w:val="24"/>
        </w:rPr>
        <w:t xml:space="preserve"> </w:t>
      </w:r>
      <w:r w:rsidRPr="00D44D33">
        <w:rPr>
          <w:rFonts w:ascii="Times New Roman" w:hAnsi="Times New Roman" w:cs="Times New Roman"/>
          <w:szCs w:val="24"/>
        </w:rPr>
        <w:t>opracowane</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przyjęte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eastAsia="Times" w:hAnsi="Times New Roman" w:cs="Times New Roman"/>
          <w:szCs w:val="24"/>
        </w:rPr>
        <w:t>skutek</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postulatów</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i</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propozycji</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kierowanych</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przez</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organizacje</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zrzeszające</w:t>
      </w:r>
      <w:r w:rsidR="00970B2E" w:rsidRPr="00D44D33">
        <w:rPr>
          <w:rFonts w:ascii="Times New Roman" w:eastAsia="Times" w:hAnsi="Times New Roman" w:cs="Times New Roman"/>
          <w:szCs w:val="24"/>
        </w:rPr>
        <w:t xml:space="preserve"> </w:t>
      </w:r>
      <w:r w:rsidRPr="00D44D33">
        <w:rPr>
          <w:rFonts w:ascii="Times New Roman" w:eastAsia="Times" w:hAnsi="Times New Roman" w:cs="Times New Roman"/>
          <w:szCs w:val="24"/>
        </w:rPr>
        <w:t>krótkofalowców.</w:t>
      </w:r>
    </w:p>
    <w:p w14:paraId="30CBB334" w14:textId="3B3CB587" w:rsidR="00F45100" w:rsidRPr="00D44D33" w:rsidRDefault="00F45100" w:rsidP="00D44D33">
      <w:pPr>
        <w:spacing w:before="120" w:after="120" w:line="360" w:lineRule="auto"/>
        <w:jc w:val="center"/>
        <w:rPr>
          <w:rFonts w:ascii="Times New Roman" w:eastAsia="Times New Roman" w:hAnsi="Times New Roman" w:cs="Times New Roman"/>
          <w:sz w:val="24"/>
          <w:szCs w:val="24"/>
        </w:rPr>
      </w:pPr>
      <w:r w:rsidRPr="00D44D33">
        <w:rPr>
          <w:rFonts w:ascii="Times New Roman" w:eastAsia="Times New Roman" w:hAnsi="Times New Roman" w:cs="Times New Roman"/>
          <w:b/>
          <w:bCs/>
          <w:sz w:val="24"/>
          <w:szCs w:val="24"/>
        </w:rPr>
        <w:t>Art.</w:t>
      </w:r>
      <w:r w:rsidR="00970B2E" w:rsidRPr="00D44D33">
        <w:rPr>
          <w:rFonts w:ascii="Times New Roman" w:eastAsia="Times New Roman" w:hAnsi="Times New Roman" w:cs="Times New Roman"/>
          <w:b/>
          <w:bCs/>
          <w:sz w:val="24"/>
          <w:szCs w:val="24"/>
        </w:rPr>
        <w:t xml:space="preserve"> </w:t>
      </w:r>
      <w:r w:rsidR="00FC0A8E" w:rsidRPr="00D44D33">
        <w:rPr>
          <w:rFonts w:ascii="Times New Roman" w:eastAsia="Times New Roman" w:hAnsi="Times New Roman" w:cs="Times New Roman"/>
          <w:b/>
          <w:bCs/>
          <w:sz w:val="24"/>
          <w:szCs w:val="24"/>
        </w:rPr>
        <w:t>144</w:t>
      </w:r>
    </w:p>
    <w:p w14:paraId="11A6945B" w14:textId="02927476" w:rsidR="00F45100" w:rsidRPr="00D44D33" w:rsidRDefault="00F4510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Projektowany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zawiera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egzaminów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ubiegających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pozwolenie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radiokomunikacyjnej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amatorskiej.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zasady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egzaminy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komisja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powołana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czym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skorzystać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instytucji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powierzenia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przeprowadzani</w:t>
      </w:r>
      <w:r w:rsidR="00274FEA"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egzaminów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radiokomunikacyjnej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amatorskiej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organizacji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zrzeszającej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radioamatorów</w:t>
      </w:r>
      <w:r w:rsidR="00274FE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projektem</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organizacja</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taka</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musiała</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spełnić</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określone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ustawie,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powierzenie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nastąpi</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nieodpłatnej</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podstawowe</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elementy</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określa</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projektowany</w:t>
      </w:r>
      <w:r w:rsidR="00970B2E" w:rsidRPr="00D44D33">
        <w:rPr>
          <w:rFonts w:ascii="Times New Roman" w:eastAsia="Times New Roman" w:hAnsi="Times New Roman" w:cs="Times New Roman"/>
          <w:sz w:val="24"/>
          <w:szCs w:val="24"/>
        </w:rPr>
        <w:t xml:space="preserve"> </w:t>
      </w:r>
      <w:r w:rsidR="00274FEA" w:rsidRPr="00D44D33">
        <w:rPr>
          <w:rFonts w:ascii="Times New Roman" w:eastAsia="Times New Roman" w:hAnsi="Times New Roman" w:cs="Times New Roman"/>
          <w:sz w:val="24"/>
          <w:szCs w:val="24"/>
        </w:rPr>
        <w:t>akt.</w:t>
      </w:r>
      <w:r w:rsidR="00970B2E" w:rsidRPr="00D44D33">
        <w:rPr>
          <w:rFonts w:ascii="Times New Roman" w:eastAsia="Times New Roman" w:hAnsi="Times New Roman" w:cs="Times New Roman"/>
          <w:sz w:val="24"/>
          <w:szCs w:val="24"/>
        </w:rPr>
        <w:t xml:space="preserve"> </w:t>
      </w:r>
    </w:p>
    <w:p w14:paraId="32A0F15D" w14:textId="77777777" w:rsidR="00890EDC" w:rsidRPr="00D44D33" w:rsidRDefault="00274FE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lastRenderedPageBreak/>
        <w:t>Zarówno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egzaminy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organizację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radioamatorską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odpłatne.</w:t>
      </w:r>
    </w:p>
    <w:p w14:paraId="202E63D0" w14:textId="467CE6CF" w:rsidR="00F45100" w:rsidRPr="00D44D33" w:rsidRDefault="00890EDC" w:rsidP="00D44D33">
      <w:pPr>
        <w:spacing w:before="120" w:after="120" w:line="360" w:lineRule="auto"/>
        <w:jc w:val="both"/>
        <w:rPr>
          <w:rFonts w:ascii="Times New Roman" w:eastAsia="Times New Roman" w:hAnsi="Times New Roman" w:cs="Times New Roman"/>
          <w:sz w:val="24"/>
          <w:szCs w:val="24"/>
        </w:rPr>
      </w:pPr>
      <w:r w:rsidRPr="00D44D33">
        <w:rPr>
          <w:rFonts w:ascii="Times New Roman" w:hAnsi="Times New Roman" w:cs="Times New Roman"/>
          <w:sz w:val="24"/>
          <w:szCs w:val="24"/>
        </w:rPr>
        <w:t>Przepis zawiera również delegację do wydania aktu wykonawczego określającego szczegółowy zakres pozwoleń w służbie radiokomunikacyjnej amatorskiej, wymagania niezbędne do uzyskania pozwolenia i zakres wymogów egzaminacyjnych, tryb przeprowadzania egzaminów, a także sposób identyfikacji stacji amatorskiej.</w:t>
      </w:r>
    </w:p>
    <w:p w14:paraId="2EB7EEFE" w14:textId="34F5AEFA" w:rsidR="000F496D" w:rsidRPr="00D44D33" w:rsidRDefault="00D03005" w:rsidP="00D44D33">
      <w:pPr>
        <w:autoSpaceDE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FC0A8E" w:rsidRPr="00D44D33">
        <w:rPr>
          <w:rFonts w:ascii="Times New Roman" w:eastAsiaTheme="minorEastAsia" w:hAnsi="Times New Roman" w:cs="Times New Roman"/>
          <w:b/>
          <w:bCs/>
          <w:sz w:val="24"/>
          <w:szCs w:val="24"/>
        </w:rPr>
        <w:t>145</w:t>
      </w:r>
    </w:p>
    <w:p w14:paraId="6158443D" w14:textId="788AAD37" w:rsidR="00D03005" w:rsidRPr="00D44D33" w:rsidRDefault="00D03005" w:rsidP="00D44D33">
      <w:pPr>
        <w:autoSpaceDE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1F4D0A7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4D0A7D"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przykładem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w:t>
      </w:r>
    </w:p>
    <w:p w14:paraId="123EBA52" w14:textId="3EB52855" w:rsidR="00D03005" w:rsidRPr="00D44D33" w:rsidRDefault="00D03005" w:rsidP="00D44D33">
      <w:pPr>
        <w:autoSpaceDE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nadawczo-odbiorczych,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powietrzne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morskie,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żeglugi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śródlądowej;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amatorskiej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cudzoziemca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pobytu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zwolnione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klasy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użytku.</w:t>
      </w:r>
    </w:p>
    <w:p w14:paraId="0B7E8D52" w14:textId="0FB6D4BF" w:rsidR="00D03005" w:rsidRPr="00D44D33" w:rsidRDefault="00D03005" w:rsidP="00D44D33">
      <w:pPr>
        <w:autoSpaceDE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Rozszerzenie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zwolnień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C0A8E"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p>
    <w:p w14:paraId="110038BE" w14:textId="740C5AC2" w:rsidR="00D03005" w:rsidRPr="00D44D33" w:rsidRDefault="00D03005" w:rsidP="00D44D33">
      <w:pPr>
        <w:autoSpaceDE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146</w:t>
      </w:r>
    </w:p>
    <w:p w14:paraId="508D7C1B" w14:textId="093C7879"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Generalną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p>
    <w:p w14:paraId="5EDF02A8" w14:textId="304A9B34"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Ustawa</w:t>
      </w:r>
      <w:r w:rsidR="00C235FF" w:rsidRPr="00D44D33">
        <w:rPr>
          <w:rFonts w:ascii="Times New Roman" w:eastAsiaTheme="minorEastAsia" w:hAnsi="Times New Roman" w:cs="Times New Roman"/>
          <w:sz w:val="24"/>
          <w:szCs w:val="24"/>
        </w:rPr>
        <w:t xml:space="preserve"> Pke</w:t>
      </w:r>
      <w:r w:rsidR="564150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4150B0"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564150B0"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564150B0"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564150B0"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p>
    <w:p w14:paraId="2C75C19F" w14:textId="38E93EF6"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CC3CFC" w:rsidRPr="00D44D33">
        <w:rPr>
          <w:rFonts w:ascii="Times New Roman" w:eastAsiaTheme="minorEastAsia" w:hAnsi="Times New Roman" w:cs="Times New Roman"/>
          <w:b/>
          <w:bCs/>
          <w:sz w:val="24"/>
          <w:szCs w:val="24"/>
          <w:lang w:eastAsia="pl-PL"/>
        </w:rPr>
        <w:t>147</w:t>
      </w:r>
    </w:p>
    <w:p w14:paraId="3C91BB64" w14:textId="496AD481"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nadawczo-odbiorczego,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niewymagającego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zarezerwowanych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częstotliwością</w:t>
      </w:r>
      <w:r w:rsidR="00970B2E" w:rsidRPr="00D44D33">
        <w:rPr>
          <w:rFonts w:ascii="Times New Roman" w:eastAsiaTheme="minorEastAsia" w:hAnsi="Times New Roman" w:cs="Times New Roman"/>
          <w:sz w:val="24"/>
          <w:szCs w:val="24"/>
        </w:rPr>
        <w:t xml:space="preserve"> </w:t>
      </w:r>
      <w:r w:rsidR="15A8D45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5A8D45E"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15A8D45E"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15A8D4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5A8D45E"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15A8D45E" w:rsidRPr="00D44D33">
        <w:rPr>
          <w:rFonts w:ascii="Times New Roman" w:eastAsiaTheme="minorEastAsia" w:hAnsi="Times New Roman" w:cs="Times New Roman"/>
          <w:sz w:val="24"/>
          <w:szCs w:val="24"/>
        </w:rPr>
        <w:t>podmiotów</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zwolnienie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UKE.</w:t>
      </w:r>
      <w:r w:rsidR="00970B2E" w:rsidRPr="00D44D33">
        <w:rPr>
          <w:rFonts w:ascii="Times New Roman" w:eastAsiaTheme="minorEastAsia" w:hAnsi="Times New Roman" w:cs="Times New Roman"/>
          <w:sz w:val="24"/>
          <w:szCs w:val="24"/>
        </w:rPr>
        <w:t xml:space="preserve"> </w:t>
      </w:r>
      <w:r w:rsidR="00E42A23" w:rsidRPr="00D44D33">
        <w:rPr>
          <w:rFonts w:ascii="Times New Roman" w:eastAsiaTheme="minorEastAsia" w:hAnsi="Times New Roman" w:cs="Times New Roman"/>
          <w:sz w:val="24"/>
          <w:szCs w:val="24"/>
        </w:rPr>
        <w:t xml:space="preserve">Poza </w:t>
      </w:r>
      <w:r w:rsidR="00B92D90" w:rsidRPr="00D44D33">
        <w:rPr>
          <w:rFonts w:ascii="Times New Roman" w:eastAsiaTheme="minorEastAsia" w:hAnsi="Times New Roman" w:cs="Times New Roman"/>
          <w:sz w:val="24"/>
          <w:szCs w:val="24"/>
        </w:rPr>
        <w:t xml:space="preserve">obligatoryjnymi </w:t>
      </w:r>
      <w:r w:rsidR="00E42A23" w:rsidRPr="00D44D33">
        <w:rPr>
          <w:rFonts w:ascii="Times New Roman" w:eastAsiaTheme="minorEastAsia" w:hAnsi="Times New Roman" w:cs="Times New Roman"/>
          <w:sz w:val="24"/>
          <w:szCs w:val="24"/>
        </w:rPr>
        <w:t>elementami wskazanymi wprost w ustawie</w:t>
      </w:r>
      <w:r w:rsidR="00C235FF" w:rsidRPr="00D44D33">
        <w:rPr>
          <w:rFonts w:ascii="Times New Roman" w:eastAsiaTheme="minorEastAsia" w:hAnsi="Times New Roman" w:cs="Times New Roman"/>
          <w:sz w:val="24"/>
          <w:szCs w:val="24"/>
        </w:rPr>
        <w:t xml:space="preserve"> Pke</w:t>
      </w:r>
      <w:r w:rsidR="00E42A23" w:rsidRPr="00D44D33">
        <w:rPr>
          <w:rFonts w:ascii="Times New Roman" w:eastAsiaTheme="minorEastAsia" w:hAnsi="Times New Roman" w:cs="Times New Roman"/>
          <w:sz w:val="24"/>
          <w:szCs w:val="24"/>
        </w:rPr>
        <w:t xml:space="preserve">, rejestr może obejmować dodatkowe informacje, takie jak numer alternatywny, czy w szczególnych przypadkach np. numer działki. </w:t>
      </w:r>
      <w:r w:rsidR="175BEC70"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175BEC70"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6B37D648"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6B37D648"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6B37D64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F98D6A0"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6B37D648" w:rsidRPr="00D44D33">
        <w:rPr>
          <w:rFonts w:ascii="Times New Roman" w:eastAsiaTheme="minorEastAsia" w:hAnsi="Times New Roman" w:cs="Times New Roman"/>
          <w:sz w:val="24"/>
          <w:szCs w:val="24"/>
        </w:rPr>
        <w:t>Pt.</w:t>
      </w:r>
    </w:p>
    <w:p w14:paraId="3DCEC1DF" w14:textId="1396946E" w:rsidR="00D03005" w:rsidRPr="00D44D33" w:rsidRDefault="00D030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148</w:t>
      </w:r>
    </w:p>
    <w:p w14:paraId="3FF059FC" w14:textId="22673361"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dokumenty.</w:t>
      </w:r>
      <w:r w:rsidR="00970B2E" w:rsidRPr="00D44D33">
        <w:rPr>
          <w:rFonts w:ascii="Times New Roman" w:eastAsiaTheme="minorEastAsia" w:hAnsi="Times New Roman" w:cs="Times New Roman"/>
          <w:sz w:val="24"/>
          <w:szCs w:val="24"/>
        </w:rPr>
        <w:t xml:space="preserve"> </w:t>
      </w:r>
      <w:r w:rsidR="007647D5" w:rsidRPr="00D44D33">
        <w:rPr>
          <w:rFonts w:ascii="Times New Roman" w:hAnsi="Times New Roman" w:cs="Times New Roman"/>
          <w:sz w:val="24"/>
          <w:szCs w:val="24"/>
        </w:rPr>
        <w:t>Dodatkowo</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upoważniony,</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CC3CFC" w:rsidRPr="00D44D33">
        <w:rPr>
          <w:rFonts w:ascii="Times New Roman" w:hAnsi="Times New Roman" w:cs="Times New Roman"/>
          <w:sz w:val="24"/>
          <w:szCs w:val="24"/>
        </w:rPr>
        <w:t>138</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4</w:t>
      </w:r>
      <w:r w:rsidR="00C235FF"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d</w:t>
      </w:r>
      <w:r w:rsidR="000961A9"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wniosku</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wpis</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rejestru</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urządzeń</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dołą</w:t>
      </w:r>
      <w:r w:rsidR="007647D5" w:rsidRPr="00D44D33">
        <w:rPr>
          <w:rFonts w:ascii="Times New Roman" w:hAnsi="Times New Roman" w:cs="Times New Roman"/>
          <w:sz w:val="24"/>
          <w:szCs w:val="24"/>
        </w:rPr>
        <w:t>cza</w:t>
      </w:r>
      <w:r w:rsidR="00970B2E" w:rsidRPr="00D44D33">
        <w:rPr>
          <w:rFonts w:ascii="Times New Roman" w:hAnsi="Times New Roman" w:cs="Times New Roman"/>
          <w:sz w:val="24"/>
          <w:szCs w:val="24"/>
        </w:rPr>
        <w:t xml:space="preserve"> </w:t>
      </w:r>
      <w:r w:rsidR="007647D5" w:rsidRPr="00D44D33">
        <w:rPr>
          <w:rFonts w:ascii="Times New Roman" w:hAnsi="Times New Roman" w:cs="Times New Roman"/>
          <w:sz w:val="24"/>
          <w:szCs w:val="24"/>
        </w:rPr>
        <w:t>także</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upoważnienie</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wykorzystywania</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częstotliwości</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udzielone</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uprawniony</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dysponowania</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częstotliwością</w:t>
      </w:r>
      <w:r w:rsidR="007647D5" w:rsidRPr="00D44D33">
        <w:rPr>
          <w:rFonts w:ascii="Times New Roman" w:hAnsi="Times New Roman" w:cs="Times New Roman"/>
          <w:sz w:val="24"/>
          <w:szCs w:val="24"/>
        </w:rPr>
        <w:t>.</w:t>
      </w:r>
    </w:p>
    <w:p w14:paraId="02B8E773" w14:textId="5A3DCA7A" w:rsidR="000961A9" w:rsidRPr="00D44D33" w:rsidRDefault="000961A9"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hAnsi="Times New Roman" w:cs="Times New Roman"/>
          <w:sz w:val="24"/>
          <w:szCs w:val="24"/>
        </w:rPr>
        <w:t>Wniosek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wpis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rejestru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opatrzony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kwalifikowanym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podpisem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elektronicznym,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podpisem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zaufanym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albo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podpisem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osobistym.</w:t>
      </w:r>
    </w:p>
    <w:p w14:paraId="0A93E486" w14:textId="0F8DA3A2" w:rsidR="00D03005" w:rsidRPr="00D44D33" w:rsidRDefault="00D03005" w:rsidP="00D44D33">
      <w:pPr>
        <w:autoSpaceDE w:val="0"/>
        <w:autoSpaceDN w:val="0"/>
        <w:adjustRightInd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149</w:t>
      </w:r>
    </w:p>
    <w:p w14:paraId="66B28F91" w14:textId="48E0F7A6"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B7213" w:rsidRPr="00D44D33">
        <w:rPr>
          <w:rFonts w:ascii="Times New Roman" w:eastAsiaTheme="minorEastAsia" w:hAnsi="Times New Roman" w:cs="Times New Roman"/>
          <w:sz w:val="24"/>
          <w:szCs w:val="24"/>
        </w:rPr>
        <w:t>2</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roboczych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upłynęło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5B7213"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roboczych,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wezwał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uzupełnienia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p>
    <w:p w14:paraId="6B3AA8EC" w14:textId="7989821A" w:rsidR="3D85EF3F" w:rsidRPr="00D44D33" w:rsidRDefault="3D85EF3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150</w:t>
      </w:r>
    </w:p>
    <w:p w14:paraId="446F4EEF" w14:textId="004A4EBC" w:rsidR="46A3633F" w:rsidRPr="00D44D33" w:rsidRDefault="3D85EF3F"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1E3DD472" w:rsidRPr="00D44D33">
        <w:rPr>
          <w:rFonts w:ascii="Times New Roman" w:eastAsia="Times New Roman" w:hAnsi="Times New Roman" w:cs="Times New Roman"/>
          <w:sz w:val="24"/>
          <w:szCs w:val="24"/>
        </w:rPr>
        <w:t>dotychczas</w:t>
      </w:r>
      <w:r w:rsidR="16399AEB" w:rsidRPr="00D44D33">
        <w:rPr>
          <w:rFonts w:ascii="Times New Roman" w:eastAsia="Times New Roman" w:hAnsi="Times New Roman" w:cs="Times New Roman"/>
          <w:sz w:val="24"/>
          <w:szCs w:val="24"/>
        </w:rPr>
        <w:t>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16FF2D2" w:rsidRPr="00D44D33">
        <w:rPr>
          <w:rFonts w:ascii="Times New Roman" w:eastAsia="Times New Roman" w:hAnsi="Times New Roman" w:cs="Times New Roman"/>
          <w:sz w:val="24"/>
          <w:szCs w:val="24"/>
        </w:rPr>
        <w:t>144c</w:t>
      </w:r>
      <w:r w:rsidR="00970B2E" w:rsidRPr="00D44D33">
        <w:rPr>
          <w:rFonts w:ascii="Times New Roman" w:eastAsia="Times New Roman" w:hAnsi="Times New Roman" w:cs="Times New Roman"/>
          <w:sz w:val="24"/>
          <w:szCs w:val="24"/>
        </w:rPr>
        <w:t xml:space="preserve"> </w:t>
      </w:r>
      <w:r w:rsidR="151B87CE"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116FF2D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74AAF41"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116FF2D2" w:rsidRPr="00D44D33">
        <w:rPr>
          <w:rFonts w:ascii="Times New Roman" w:eastAsia="Times New Roman" w:hAnsi="Times New Roman" w:cs="Times New Roman"/>
          <w:sz w:val="24"/>
          <w:szCs w:val="24"/>
        </w:rPr>
        <w:t>144d</w:t>
      </w:r>
      <w:r w:rsidR="00970B2E" w:rsidRPr="00D44D33">
        <w:rPr>
          <w:rFonts w:ascii="Times New Roman" w:eastAsia="Times New Roman" w:hAnsi="Times New Roman" w:cs="Times New Roman"/>
          <w:sz w:val="24"/>
          <w:szCs w:val="24"/>
        </w:rPr>
        <w:t xml:space="preserve"> </w:t>
      </w:r>
      <w:r w:rsidR="2CF042B4"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dokonywanie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wykreślenie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pozosta</w:t>
      </w:r>
      <w:r w:rsidR="42E8D0F4" w:rsidRPr="00D44D33">
        <w:rPr>
          <w:rFonts w:ascii="Times New Roman" w:eastAsia="Times New Roman" w:hAnsi="Times New Roman" w:cs="Times New Roman"/>
          <w:sz w:val="24"/>
          <w:szCs w:val="24"/>
        </w:rPr>
        <w:t>wały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jedynymi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narzędziami,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w:t>
      </w:r>
      <w:r w:rsidR="2BDCD2F5" w:rsidRPr="00D44D33">
        <w:rPr>
          <w:rFonts w:ascii="Times New Roman" w:eastAsia="Times New Roman" w:hAnsi="Times New Roman" w:cs="Times New Roman"/>
          <w:sz w:val="24"/>
          <w:szCs w:val="24"/>
        </w:rPr>
        <w:t>ógł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nadzorować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wymienione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CC3CFC" w:rsidRPr="00D44D33">
        <w:rPr>
          <w:rFonts w:ascii="Times New Roman" w:eastAsia="Times New Roman" w:hAnsi="Times New Roman" w:cs="Times New Roman"/>
          <w:sz w:val="24"/>
          <w:szCs w:val="24"/>
        </w:rPr>
        <w:t>145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4</w:t>
      </w:r>
      <w:r w:rsidR="00C235FF" w:rsidRPr="00D44D33">
        <w:rPr>
          <w:rFonts w:ascii="Times New Roman" w:eastAsia="Times New Roman" w:hAnsi="Times New Roman" w:cs="Times New Roman"/>
          <w:sz w:val="24"/>
          <w:szCs w:val="24"/>
        </w:rPr>
        <w:t xml:space="preserve"> Pke</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Powod</w:t>
      </w:r>
      <w:r w:rsidR="55EACB8E" w:rsidRPr="00D44D33">
        <w:rPr>
          <w:rFonts w:ascii="Times New Roman" w:eastAsia="Times New Roman" w:hAnsi="Times New Roman" w:cs="Times New Roman"/>
          <w:sz w:val="24"/>
          <w:szCs w:val="24"/>
        </w:rPr>
        <w:t>owało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organ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regulacyjny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w:t>
      </w:r>
      <w:r w:rsidR="03DC66A5" w:rsidRPr="00D44D33">
        <w:rPr>
          <w:rFonts w:ascii="Times New Roman" w:eastAsia="Times New Roman" w:hAnsi="Times New Roman" w:cs="Times New Roman"/>
          <w:sz w:val="24"/>
          <w:szCs w:val="24"/>
        </w:rPr>
        <w:t>i</w:t>
      </w:r>
      <w:r w:rsidRPr="00D44D33">
        <w:rPr>
          <w:rFonts w:ascii="Times New Roman" w:eastAsia="Times New Roman" w:hAnsi="Times New Roman" w:cs="Times New Roman"/>
          <w:sz w:val="24"/>
          <w:szCs w:val="24"/>
        </w:rPr>
        <w:t>a</w:t>
      </w:r>
      <w:r w:rsidR="1F6BD9D7" w:rsidRPr="00D44D33">
        <w:rPr>
          <w:rFonts w:ascii="Times New Roman" w:eastAsia="Times New Roman" w:hAnsi="Times New Roman" w:cs="Times New Roman"/>
          <w:sz w:val="24"/>
          <w:szCs w:val="24"/>
        </w:rPr>
        <w:t>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sprawować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nadzór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wykorzystywaniem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podkreślić,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wykreślenie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zbyt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daleko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idącym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efektywnej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częstotliwościami.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Wystarczające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regulatora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wykorzystującego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częstotliwości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okazać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dostosowanie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zaistniałych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okoliczności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jedynie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zmianę.</w:t>
      </w:r>
      <w:r w:rsidR="00970B2E" w:rsidRPr="00D44D33">
        <w:rPr>
          <w:rFonts w:ascii="Times New Roman" w:eastAsia="Times New Roman" w:hAnsi="Times New Roman" w:cs="Times New Roman"/>
          <w:sz w:val="24"/>
          <w:szCs w:val="24"/>
        </w:rPr>
        <w:t xml:space="preserve"> </w:t>
      </w:r>
      <w:r w:rsidR="00C235FF" w:rsidRPr="00D44D33">
        <w:rPr>
          <w:rFonts w:ascii="Times New Roman" w:eastAsia="Times New Roman" w:hAnsi="Times New Roman" w:cs="Times New Roman"/>
          <w:sz w:val="24"/>
          <w:szCs w:val="24"/>
        </w:rPr>
        <w:t>Przepis a</w:t>
      </w:r>
      <w:r w:rsidR="13141AA1" w:rsidRPr="00D44D33">
        <w:rPr>
          <w:rFonts w:ascii="Times New Roman" w:eastAsia="Times New Roman" w:hAnsi="Times New Roman" w:cs="Times New Roman"/>
          <w:sz w:val="24"/>
          <w:szCs w:val="24"/>
        </w:rPr>
        <w:t>rt.</w:t>
      </w:r>
      <w:r w:rsidR="00970B2E" w:rsidRPr="00D44D33">
        <w:rPr>
          <w:rFonts w:ascii="Times New Roman" w:eastAsia="Times New Roman" w:hAnsi="Times New Roman" w:cs="Times New Roman"/>
          <w:sz w:val="24"/>
          <w:szCs w:val="24"/>
        </w:rPr>
        <w:t xml:space="preserve"> </w:t>
      </w:r>
      <w:r w:rsidR="00CC3CFC" w:rsidRPr="00D44D33">
        <w:rPr>
          <w:rFonts w:ascii="Times New Roman" w:eastAsia="Times New Roman" w:hAnsi="Times New Roman" w:cs="Times New Roman"/>
          <w:sz w:val="24"/>
          <w:szCs w:val="24"/>
        </w:rPr>
        <w:t>150</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umożliwia</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aktualizację</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danych</w:t>
      </w:r>
      <w:r w:rsidR="1D730C70"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dokonanie</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zmian</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wpisie</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563E399B"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wnioskować</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dysponent</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rezerwacji,</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wskazane</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CC3CFC" w:rsidRPr="00D44D33">
        <w:rPr>
          <w:rFonts w:ascii="Times New Roman" w:eastAsia="Times New Roman" w:hAnsi="Times New Roman" w:cs="Times New Roman"/>
          <w:sz w:val="24"/>
          <w:szCs w:val="24"/>
        </w:rPr>
        <w:t>145</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43B5C837" w:rsidRPr="00D44D33">
        <w:rPr>
          <w:rFonts w:ascii="Times New Roman" w:eastAsia="Times New Roman" w:hAnsi="Times New Roman" w:cs="Times New Roman"/>
          <w:sz w:val="24"/>
          <w:szCs w:val="24"/>
        </w:rPr>
        <w:t>4</w:t>
      </w:r>
      <w:r w:rsidR="00970B2E" w:rsidRPr="00D44D33">
        <w:rPr>
          <w:rFonts w:ascii="Times New Roman" w:eastAsia="Times New Roman" w:hAnsi="Times New Roman" w:cs="Times New Roman"/>
          <w:sz w:val="24"/>
          <w:szCs w:val="24"/>
        </w:rPr>
        <w:t xml:space="preserve"> </w:t>
      </w:r>
      <w:r w:rsidR="7F2EFACC" w:rsidRPr="00D44D33">
        <w:rPr>
          <w:rFonts w:ascii="Times New Roman" w:eastAsia="Times New Roman" w:hAnsi="Times New Roman" w:cs="Times New Roman"/>
          <w:sz w:val="24"/>
          <w:szCs w:val="24"/>
        </w:rPr>
        <w:t>Pke</w:t>
      </w:r>
      <w:r w:rsidR="43B5C837" w:rsidRPr="00D44D33">
        <w:rPr>
          <w:rFonts w:ascii="Times New Roman" w:eastAsia="Times New Roman" w:hAnsi="Times New Roman" w:cs="Times New Roman"/>
          <w:sz w:val="24"/>
          <w:szCs w:val="24"/>
        </w:rPr>
        <w:t>.</w:t>
      </w:r>
    </w:p>
    <w:p w14:paraId="7D34018F" w14:textId="1339D686" w:rsidR="00D03005" w:rsidRPr="00D44D33" w:rsidRDefault="00D03005" w:rsidP="00D44D33">
      <w:pPr>
        <w:autoSpaceDE w:val="0"/>
        <w:autoSpaceDN w:val="0"/>
        <w:adjustRightInd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151</w:t>
      </w:r>
    </w:p>
    <w:p w14:paraId="04498B31" w14:textId="2594C436" w:rsidR="008427B7" w:rsidRPr="00D44D33" w:rsidRDefault="00B949FA"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D03005" w:rsidRPr="00D44D33">
        <w:rPr>
          <w:rFonts w:ascii="Times New Roman" w:eastAsiaTheme="minorEastAsia" w:hAnsi="Times New Roman" w:cs="Times New Roman"/>
          <w:sz w:val="24"/>
          <w:szCs w:val="24"/>
        </w:rPr>
        <w:t>pis</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0961A9"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961A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wykreśla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0961A9" w:rsidRPr="00D44D33">
        <w:rPr>
          <w:rFonts w:ascii="Times New Roman" w:hAnsi="Times New Roman" w:cs="Times New Roman"/>
          <w:sz w:val="24"/>
          <w:szCs w:val="24"/>
        </w:rPr>
        <w:t>albo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wniosek</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podmiotu</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uprawnionego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dysponowania</w:t>
      </w:r>
      <w:r w:rsidR="00970B2E" w:rsidRPr="00D44D33">
        <w:rPr>
          <w:rFonts w:ascii="Times New Roman" w:hAnsi="Times New Roman" w:cs="Times New Roman"/>
          <w:sz w:val="24"/>
          <w:szCs w:val="24"/>
        </w:rPr>
        <w:t xml:space="preserve"> </w:t>
      </w:r>
      <w:r w:rsidR="000961A9" w:rsidRPr="00D44D33">
        <w:rPr>
          <w:rFonts w:ascii="Times New Roman" w:hAnsi="Times New Roman" w:cs="Times New Roman"/>
          <w:sz w:val="24"/>
          <w:szCs w:val="24"/>
        </w:rPr>
        <w:t>rezerwacją</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961A9"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obligatoryjn</w:t>
      </w:r>
      <w:r w:rsidR="000961A9"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przesłank</w:t>
      </w:r>
      <w:r w:rsidR="000961A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wykreślenia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rejestru.</w:t>
      </w:r>
    </w:p>
    <w:p w14:paraId="2759EC1A" w14:textId="2BE37A17" w:rsidR="00B949FA" w:rsidRPr="00D44D33" w:rsidRDefault="00B949FA"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Jednocześnie przepis określa sytuacje, w których może nastąpić wykreślenie wpisu do rejestru urządzeń. Są to sytuacje związane z wystąpieniem szkodliwych zaburzeń elektromagnetycznych, zmian w K</w:t>
      </w:r>
      <w:r w:rsidR="006702F6" w:rsidRPr="00D44D33">
        <w:rPr>
          <w:rFonts w:ascii="Times New Roman" w:eastAsiaTheme="minorEastAsia" w:hAnsi="Times New Roman" w:cs="Times New Roman"/>
          <w:sz w:val="24"/>
          <w:szCs w:val="24"/>
        </w:rPr>
        <w:t>TPCz</w:t>
      </w:r>
      <w:r w:rsidRPr="00D44D33">
        <w:rPr>
          <w:rFonts w:ascii="Times New Roman" w:eastAsiaTheme="minorEastAsia" w:hAnsi="Times New Roman" w:cs="Times New Roman"/>
          <w:sz w:val="24"/>
          <w:szCs w:val="24"/>
        </w:rPr>
        <w:t>, okolicznościami prowadzącymi do zagrożenia obronności, bezpieczeństwa państwa lub bezpieczeństwa i porządku publicznego oraz koniecznością realizacji zobowiązań międzynarodowych.</w:t>
      </w:r>
    </w:p>
    <w:p w14:paraId="146D9119" w14:textId="04252769" w:rsidR="00D03005" w:rsidRPr="00D44D33" w:rsidRDefault="00D03005" w:rsidP="00D44D33">
      <w:pPr>
        <w:autoSpaceDE w:val="0"/>
        <w:autoSpaceDN w:val="0"/>
        <w:adjustRightInd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152</w:t>
      </w:r>
    </w:p>
    <w:p w14:paraId="4A642BB2" w14:textId="27F81B23" w:rsidR="00D03005" w:rsidRPr="00D44D33" w:rsidRDefault="00D0300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nieprzekraczający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występowała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99EF49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99EF49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99EF498" w:rsidRPr="00D44D33">
        <w:rPr>
          <w:rFonts w:ascii="Times New Roman" w:eastAsiaTheme="minorEastAsia" w:hAnsi="Times New Roman" w:cs="Times New Roman"/>
          <w:sz w:val="24"/>
          <w:szCs w:val="24"/>
        </w:rPr>
        <w:t>144a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okazjonalny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niedługich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wydarzeń,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B33C0D1" w:rsidRPr="00D44D33">
        <w:rPr>
          <w:rFonts w:ascii="Times New Roman" w:eastAsiaTheme="minorEastAsia" w:hAnsi="Times New Roman" w:cs="Times New Roman"/>
          <w:sz w:val="24"/>
          <w:szCs w:val="24"/>
        </w:rPr>
        <w:t>obecn</w:t>
      </w:r>
      <w:r w:rsidR="14071F39" w:rsidRPr="00D44D33">
        <w:rPr>
          <w:rFonts w:ascii="Times New Roman" w:eastAsiaTheme="minorEastAsia" w:hAnsi="Times New Roman" w:cs="Times New Roman"/>
          <w:sz w:val="24"/>
          <w:szCs w:val="24"/>
        </w:rPr>
        <w:t>i</w:t>
      </w:r>
      <w:r w:rsidR="0B33C0D1"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2A4C1DC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A4C1DC3"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2A4C1DC3"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2A4C1DC3"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516E30D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nieprzekraczający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p>
    <w:p w14:paraId="7FED2DAB" w14:textId="2B3991FA" w:rsidR="006D44DA" w:rsidRPr="00D44D33" w:rsidRDefault="006D44D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p>
    <w:p w14:paraId="48FDE970" w14:textId="5AA1FFE8" w:rsidR="00D03005" w:rsidRPr="00D44D33" w:rsidRDefault="00D03005" w:rsidP="00D44D33">
      <w:pPr>
        <w:autoSpaceDE w:val="0"/>
        <w:autoSpaceDN w:val="0"/>
        <w:adjustRightInd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153</w:t>
      </w:r>
    </w:p>
    <w:p w14:paraId="4FF15251" w14:textId="1453A65D"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553C7AAD" w:rsidRPr="00D44D33">
        <w:rPr>
          <w:rFonts w:ascii="Times New Roman" w:eastAsiaTheme="minorEastAsia" w:hAnsi="Times New Roman" w:cs="Times New Roman"/>
          <w:sz w:val="24"/>
          <w:szCs w:val="24"/>
        </w:rPr>
        <w:t>P</w:t>
      </w:r>
      <w:r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00D78D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78D8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78D86" w:rsidRPr="00D44D33">
        <w:rPr>
          <w:rFonts w:ascii="Times New Roman" w:eastAsiaTheme="minorEastAsia" w:hAnsi="Times New Roman" w:cs="Times New Roman"/>
          <w:sz w:val="24"/>
          <w:szCs w:val="24"/>
        </w:rPr>
        <w:t>144b</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testów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eksperymentów,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harmonogramu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przekraczający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przekraczający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ułatwienie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77EFC517" w14:textId="50CF9162"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testów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eksperymentów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niecertyfikowanych,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6702F6"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komputerowych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propagacyjno-sieciowych</w:t>
      </w:r>
      <w:r w:rsidR="00970B2E" w:rsidRPr="00D44D33">
        <w:rPr>
          <w:rFonts w:ascii="Times New Roman" w:eastAsiaTheme="minorEastAsia" w:hAnsi="Times New Roman" w:cs="Times New Roman"/>
          <w:sz w:val="24"/>
          <w:szCs w:val="24"/>
        </w:rPr>
        <w:t xml:space="preserve"> </w:t>
      </w:r>
      <w:r w:rsidR="006702F6" w:rsidRPr="00D44D33">
        <w:rPr>
          <w:rFonts w:ascii="Times New Roman" w:eastAsiaTheme="minorEastAsia" w:hAnsi="Times New Roman" w:cs="Times New Roman"/>
          <w:sz w:val="24"/>
          <w:szCs w:val="24"/>
        </w:rPr>
        <w:t xml:space="preserve">w </w:t>
      </w:r>
      <w:r w:rsidRPr="00D44D33">
        <w:rPr>
          <w:rFonts w:ascii="Times New Roman" w:eastAsiaTheme="minorEastAsia" w:hAnsi="Times New Roman" w:cs="Times New Roman"/>
          <w:sz w:val="24"/>
          <w:szCs w:val="24"/>
        </w:rPr>
        <w:t>cel</w:t>
      </w:r>
      <w:r w:rsidR="006702F6"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pomiarami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odbioru.</w:t>
      </w:r>
    </w:p>
    <w:p w14:paraId="4468F120" w14:textId="664CFBDF" w:rsidR="00AA1A59" w:rsidRPr="00D44D33" w:rsidRDefault="006D44DA"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w:t>
      </w:r>
      <w:r w:rsidR="00D03005" w:rsidRPr="00D44D33">
        <w:rPr>
          <w:rFonts w:ascii="Times New Roman" w:eastAsiaTheme="minorEastAsia" w:hAnsi="Times New Roman" w:cs="Times New Roman"/>
          <w:sz w:val="24"/>
          <w:szCs w:val="24"/>
        </w:rPr>
        <w:t>ecyzję</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służących</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rozprowadzania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rozpowszechniania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porozumieniu</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Przewodniczącym</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Niezajęcie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Przewodniczącego</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KRRiT</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równoznaczne</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uzgodnieniem</w:t>
      </w:r>
      <w:r w:rsidR="00970B2E" w:rsidRPr="00D44D33">
        <w:rPr>
          <w:rFonts w:ascii="Times New Roman" w:eastAsiaTheme="minorEastAsia" w:hAnsi="Times New Roman" w:cs="Times New Roman"/>
          <w:sz w:val="24"/>
          <w:szCs w:val="24"/>
        </w:rPr>
        <w:t xml:space="preserve"> </w:t>
      </w:r>
      <w:r w:rsidR="00D03005" w:rsidRPr="00D44D33">
        <w:rPr>
          <w:rFonts w:ascii="Times New Roman" w:eastAsiaTheme="minorEastAsia" w:hAnsi="Times New Roman" w:cs="Times New Roman"/>
          <w:sz w:val="24"/>
          <w:szCs w:val="24"/>
        </w:rPr>
        <w:t>projektu.</w:t>
      </w:r>
    </w:p>
    <w:p w14:paraId="08F73684" w14:textId="34C72DF2" w:rsidR="00D03005" w:rsidRPr="00D44D33" w:rsidRDefault="00AA1A59"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p>
    <w:p w14:paraId="0EF309EC" w14:textId="583A79F9" w:rsidR="00D03005" w:rsidRPr="00D44D33" w:rsidRDefault="00D03005" w:rsidP="00D44D33">
      <w:pPr>
        <w:autoSpaceDE w:val="0"/>
        <w:autoSpaceDN w:val="0"/>
        <w:adjustRightInd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00CC3CFC" w:rsidRPr="00D44D33">
        <w:rPr>
          <w:rFonts w:ascii="Times New Roman" w:eastAsiaTheme="minorEastAsia" w:hAnsi="Times New Roman" w:cs="Times New Roman"/>
          <w:b/>
          <w:bCs/>
          <w:sz w:val="24"/>
          <w:szCs w:val="24"/>
        </w:rPr>
        <w:t>154</w:t>
      </w:r>
    </w:p>
    <w:p w14:paraId="1CD05D68" w14:textId="1A059CE9"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rezerwacji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C3CFC" w:rsidRPr="00D44D33">
        <w:rPr>
          <w:rFonts w:ascii="Times New Roman" w:eastAsiaTheme="minorEastAsia" w:hAnsi="Times New Roman" w:cs="Times New Roman"/>
          <w:sz w:val="24"/>
          <w:szCs w:val="24"/>
        </w:rPr>
        <w:t>142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C3CFC" w:rsidRPr="00D44D33">
        <w:rPr>
          <w:rFonts w:ascii="Times New Roman" w:eastAsiaTheme="minorEastAsia" w:hAnsi="Times New Roman" w:cs="Times New Roman"/>
          <w:sz w:val="24"/>
          <w:szCs w:val="24"/>
        </w:rPr>
        <w:t>145</w:t>
      </w:r>
      <w:r w:rsidRPr="00D44D33">
        <w:rPr>
          <w:rFonts w:ascii="Times New Roman" w:eastAsiaTheme="minorEastAsia" w:hAnsi="Times New Roman" w:cs="Times New Roman"/>
          <w:sz w:val="24"/>
          <w:szCs w:val="24"/>
        </w:rPr>
        <w:t>.</w:t>
      </w:r>
    </w:p>
    <w:p w14:paraId="009C1AE1" w14:textId="42E65CB0"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jawność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7FBFD0C6" w14:textId="1A7E93CC" w:rsidR="00D03005" w:rsidRPr="00D44D33" w:rsidRDefault="00D03005" w:rsidP="00D44D33">
      <w:pPr>
        <w:autoSpaceDE w:val="0"/>
        <w:autoSpaceDN w:val="0"/>
        <w:adjustRightInd w:val="0"/>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87B79" w:rsidRPr="00D44D33">
        <w:rPr>
          <w:rFonts w:ascii="Times New Roman" w:eastAsiaTheme="minorEastAsia" w:hAnsi="Times New Roman" w:cs="Times New Roman"/>
          <w:b/>
          <w:bCs/>
          <w:sz w:val="24"/>
          <w:szCs w:val="24"/>
        </w:rPr>
        <w:t>155</w:t>
      </w:r>
    </w:p>
    <w:p w14:paraId="7CB92E1E" w14:textId="53B4E8B9"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misje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dyplomatyczne,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konsularne,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misje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przedstawicielstwa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przywilejów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immunitetów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zwyczajów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siedziby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p>
    <w:p w14:paraId="672B39BF" w14:textId="7FE33E42"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A791D3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A791D33" w:rsidRPr="00D44D33">
        <w:rPr>
          <w:rFonts w:ascii="Times New Roman" w:eastAsiaTheme="minorEastAsia" w:hAnsi="Times New Roman" w:cs="Times New Roman"/>
          <w:sz w:val="24"/>
          <w:szCs w:val="24"/>
        </w:rPr>
        <w:t>148b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satelitarnym.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niniejszym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złożony</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lastRenderedPageBreak/>
        <w:t>właściwego</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zagranicznych</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zatwierdzeniu</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AA1A59" w:rsidRPr="00D44D33">
        <w:rPr>
          <w:rFonts w:ascii="Times New Roman" w:eastAsiaTheme="minorEastAsia" w:hAnsi="Times New Roman" w:cs="Times New Roman"/>
          <w:sz w:val="24"/>
          <w:szCs w:val="24"/>
        </w:rPr>
        <w:t>zagranicznych</w:t>
      </w:r>
      <w:r w:rsidRPr="00D44D33">
        <w:rPr>
          <w:rFonts w:ascii="Times New Roman" w:eastAsiaTheme="minorEastAsia" w:hAnsi="Times New Roman" w:cs="Times New Roman"/>
          <w:sz w:val="24"/>
          <w:szCs w:val="24"/>
        </w:rPr>
        <w:t>.</w:t>
      </w:r>
    </w:p>
    <w:p w14:paraId="0053302E" w14:textId="43ABDA06" w:rsidR="00D03005" w:rsidRPr="00D44D33" w:rsidRDefault="00D03005"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koordynacji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powstawania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niepoprawnego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przywilejów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immunitetów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kreowanie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monitorowanie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dyplomatycznych,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wszechstronnej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dwustronnych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wzajemności.</w:t>
      </w:r>
    </w:p>
    <w:p w14:paraId="126BF562" w14:textId="32D7F4A4" w:rsidR="000F19ED" w:rsidRPr="00D44D33" w:rsidRDefault="000F19E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87B79" w:rsidRPr="00D44D33">
        <w:rPr>
          <w:rFonts w:ascii="Times New Roman" w:eastAsiaTheme="minorEastAsia" w:hAnsi="Times New Roman" w:cs="Times New Roman"/>
          <w:b/>
          <w:bCs/>
          <w:sz w:val="24"/>
          <w:szCs w:val="24"/>
        </w:rPr>
        <w:t>156</w:t>
      </w:r>
    </w:p>
    <w:p w14:paraId="52B16B92" w14:textId="0EEFF891" w:rsidR="000F19ED" w:rsidRPr="00D44D33" w:rsidRDefault="00B25A6D"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bCs/>
          <w:sz w:val="24"/>
          <w:szCs w:val="24"/>
        </w:rPr>
        <w:t>Przepis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wprowadza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analogiczne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jak</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przypadku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czasowego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używania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częstotliwości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cywilnych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cywilno-rządowych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regulacje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dla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częstotliwości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rządowych.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Organem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udzielającym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zgody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będzie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przypadku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Minister</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Obrony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Narodowej,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odpowiedzialny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koordynację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częstotliwości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rządowych.</w:t>
      </w:r>
    </w:p>
    <w:p w14:paraId="7B78A65E" w14:textId="271F87F4" w:rsidR="005410D8" w:rsidRPr="00D44D33" w:rsidRDefault="00D03005" w:rsidP="00D44D33">
      <w:pPr>
        <w:pStyle w:val="ARTartustawynprozporzdzenia"/>
        <w:spacing w:after="120"/>
        <w:ind w:firstLine="0"/>
        <w:jc w:val="center"/>
        <w:rPr>
          <w:rFonts w:ascii="Times New Roman" w:hAnsi="Times New Roman" w:cs="Times New Roman"/>
          <w:b/>
          <w:bCs/>
          <w:szCs w:val="24"/>
        </w:rPr>
      </w:pPr>
      <w:r w:rsidRPr="00D44D33">
        <w:rPr>
          <w:rFonts w:ascii="Times New Roman" w:hAnsi="Times New Roman" w:cs="Times New Roman"/>
          <w:b/>
          <w:bCs/>
          <w:szCs w:val="24"/>
        </w:rPr>
        <w:t>Art.</w:t>
      </w:r>
      <w:r w:rsidR="00970B2E" w:rsidRPr="00D44D33">
        <w:rPr>
          <w:rFonts w:ascii="Times New Roman" w:hAnsi="Times New Roman" w:cs="Times New Roman"/>
          <w:b/>
          <w:bCs/>
          <w:szCs w:val="24"/>
        </w:rPr>
        <w:t xml:space="preserve"> </w:t>
      </w:r>
      <w:r w:rsidR="00A87B79" w:rsidRPr="00D44D33">
        <w:rPr>
          <w:rFonts w:ascii="Times New Roman" w:hAnsi="Times New Roman" w:cs="Times New Roman"/>
          <w:b/>
          <w:bCs/>
          <w:szCs w:val="24"/>
        </w:rPr>
        <w:t>157</w:t>
      </w:r>
    </w:p>
    <w:p w14:paraId="5E9370DD" w14:textId="65D881DA" w:rsidR="00E14853" w:rsidRPr="00D44D33" w:rsidRDefault="00E14853"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lastRenderedPageBreak/>
        <w:t>Analogicznie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rozwiązań</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zawartych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Pt</w:t>
      </w:r>
      <w:r w:rsidR="00970B2E" w:rsidRPr="00D44D33">
        <w:rPr>
          <w:rFonts w:ascii="Times New Roman" w:hAnsi="Times New Roman" w:cs="Times New Roman"/>
          <w:szCs w:val="24"/>
        </w:rPr>
        <w:t xml:space="preserve"> </w:t>
      </w:r>
      <w:r w:rsidRPr="00D44D33">
        <w:rPr>
          <w:rFonts w:ascii="Times New Roman" w:hAnsi="Times New Roman" w:cs="Times New Roman"/>
          <w:szCs w:val="24"/>
        </w:rPr>
        <w:t>p</w:t>
      </w:r>
      <w:r w:rsidR="00D03005" w:rsidRPr="00D44D33">
        <w:rPr>
          <w:rFonts w:ascii="Times New Roman" w:hAnsi="Times New Roman" w:cs="Times New Roman"/>
          <w:szCs w:val="24"/>
        </w:rPr>
        <w:t>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wskazuje,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obsługiwanie</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nadawczego</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nadawczo-odbiorczego</w:t>
      </w:r>
      <w:r w:rsidR="00970B2E" w:rsidRPr="00D44D33">
        <w:rPr>
          <w:rFonts w:ascii="Times New Roman" w:hAnsi="Times New Roman" w:cs="Times New Roman"/>
          <w:szCs w:val="24"/>
        </w:rPr>
        <w:t xml:space="preserve"> </w:t>
      </w:r>
      <w:r w:rsidR="00D03005" w:rsidRPr="00D44D33">
        <w:rPr>
          <w:rFonts w:ascii="Times New Roman" w:hAnsi="Times New Roman" w:cs="Times New Roman"/>
          <w:szCs w:val="24"/>
        </w:rPr>
        <w:t>używanego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służbie</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lotniczej,</w:t>
      </w:r>
      <w:r w:rsidR="00970B2E" w:rsidRPr="00D44D33">
        <w:rPr>
          <w:rFonts w:ascii="Times New Roman" w:hAnsi="Times New Roman" w:cs="Times New Roman"/>
          <w:szCs w:val="24"/>
        </w:rPr>
        <w:t xml:space="preserve"> </w:t>
      </w:r>
      <w:r w:rsidRPr="00D44D33">
        <w:rPr>
          <w:rFonts w:ascii="Times New Roman" w:hAnsi="Times New Roman" w:cs="Times New Roman"/>
          <w:szCs w:val="24"/>
        </w:rPr>
        <w:t>morskiej</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żeglugi</w:t>
      </w:r>
      <w:r w:rsidR="00970B2E" w:rsidRPr="00D44D33">
        <w:rPr>
          <w:rFonts w:ascii="Times New Roman" w:hAnsi="Times New Roman" w:cs="Times New Roman"/>
          <w:szCs w:val="24"/>
        </w:rPr>
        <w:t xml:space="preserve"> </w:t>
      </w:r>
      <w:r w:rsidRPr="00D44D33">
        <w:rPr>
          <w:rFonts w:ascii="Times New Roman" w:hAnsi="Times New Roman" w:cs="Times New Roman"/>
          <w:szCs w:val="24"/>
        </w:rPr>
        <w:t>śródlądowej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wymaga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posiadania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świadectwa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operatora</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dokumentu</w:t>
      </w:r>
      <w:r w:rsidR="00970B2E" w:rsidRPr="00D44D33">
        <w:rPr>
          <w:rFonts w:ascii="Times New Roman" w:hAnsi="Times New Roman" w:cs="Times New Roman"/>
          <w:szCs w:val="24"/>
        </w:rPr>
        <w:t xml:space="preserve"> </w:t>
      </w:r>
      <w:r w:rsidRPr="00D44D33">
        <w:rPr>
          <w:rFonts w:ascii="Times New Roman" w:hAnsi="Times New Roman" w:cs="Times New Roman"/>
          <w:szCs w:val="24"/>
        </w:rPr>
        <w:t>równoważnego,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wydanego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uprawniony</w:t>
      </w:r>
      <w:r w:rsidR="00970B2E" w:rsidRPr="00D44D33">
        <w:rPr>
          <w:rFonts w:ascii="Times New Roman" w:hAnsi="Times New Roman" w:cs="Times New Roman"/>
          <w:szCs w:val="24"/>
        </w:rPr>
        <w:t xml:space="preserve"> </w:t>
      </w:r>
      <w:r w:rsidRPr="00D44D33">
        <w:rPr>
          <w:rFonts w:ascii="Times New Roman" w:hAnsi="Times New Roman" w:cs="Times New Roman"/>
          <w:szCs w:val="24"/>
        </w:rPr>
        <w:t>organ</w:t>
      </w:r>
      <w:r w:rsidR="00970B2E" w:rsidRPr="00D44D33">
        <w:rPr>
          <w:rFonts w:ascii="Times New Roman" w:hAnsi="Times New Roman" w:cs="Times New Roman"/>
          <w:szCs w:val="24"/>
        </w:rPr>
        <w:t xml:space="preserve"> </w:t>
      </w:r>
      <w:r w:rsidRPr="00D44D33">
        <w:rPr>
          <w:rFonts w:ascii="Times New Roman" w:hAnsi="Times New Roman" w:cs="Times New Roman"/>
          <w:szCs w:val="24"/>
        </w:rPr>
        <w:t>zagraniczny.</w:t>
      </w:r>
    </w:p>
    <w:p w14:paraId="595DACEB" w14:textId="7739B94A" w:rsidR="00E14853" w:rsidRPr="00D44D33" w:rsidRDefault="00E14853"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Różnicą</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stosunku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obecnie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obowiązujących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Pr="00D44D33">
        <w:rPr>
          <w:rFonts w:ascii="Times New Roman" w:hAnsi="Times New Roman" w:cs="Times New Roman"/>
          <w:szCs w:val="24"/>
        </w:rPr>
        <w:t>to,</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obsługiwanie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nadawczego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nadawczo-odbiorczego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używanego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służbie</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amatorskiej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wymaga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posiadania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pozwolenia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świadectwa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operatora</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jak</w:t>
      </w:r>
      <w:r w:rsidR="00970B2E" w:rsidRPr="00D44D33">
        <w:rPr>
          <w:rFonts w:ascii="Times New Roman" w:hAnsi="Times New Roman" w:cs="Times New Roman"/>
          <w:szCs w:val="24"/>
        </w:rPr>
        <w:t xml:space="preserve"> </w:t>
      </w:r>
      <w:r w:rsidRPr="00D44D33">
        <w:rPr>
          <w:rFonts w:ascii="Times New Roman" w:hAnsi="Times New Roman" w:cs="Times New Roman"/>
          <w:szCs w:val="24"/>
        </w:rPr>
        <w:t>ma</w:t>
      </w:r>
      <w:r w:rsidR="00970B2E" w:rsidRPr="00D44D33">
        <w:rPr>
          <w:rFonts w:ascii="Times New Roman" w:hAnsi="Times New Roman" w:cs="Times New Roman"/>
          <w:szCs w:val="24"/>
        </w:rPr>
        <w:t xml:space="preserve"> </w:t>
      </w:r>
      <w:r w:rsidRPr="00D44D33">
        <w:rPr>
          <w:rFonts w:ascii="Times New Roman" w:hAnsi="Times New Roman" w:cs="Times New Roman"/>
          <w:szCs w:val="24"/>
        </w:rPr>
        <w:t>to</w:t>
      </w:r>
      <w:r w:rsidR="00970B2E" w:rsidRPr="00D44D33">
        <w:rPr>
          <w:rFonts w:ascii="Times New Roman" w:hAnsi="Times New Roman" w:cs="Times New Roman"/>
          <w:szCs w:val="24"/>
        </w:rPr>
        <w:t xml:space="preserve"> </w:t>
      </w:r>
      <w:r w:rsidRPr="00D44D33">
        <w:rPr>
          <w:rFonts w:ascii="Times New Roman" w:hAnsi="Times New Roman" w:cs="Times New Roman"/>
          <w:szCs w:val="24"/>
        </w:rPr>
        <w:t>miejsce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obecnie.</w:t>
      </w:r>
      <w:r w:rsidR="00970B2E" w:rsidRPr="00D44D33">
        <w:rPr>
          <w:rFonts w:ascii="Times New Roman" w:hAnsi="Times New Roman" w:cs="Times New Roman"/>
          <w:szCs w:val="24"/>
        </w:rPr>
        <w:t xml:space="preserve"> </w:t>
      </w:r>
    </w:p>
    <w:p w14:paraId="79BF9D04" w14:textId="1DB9FC08" w:rsidR="00CC7CAF" w:rsidRPr="00D44D33" w:rsidRDefault="00CC7CAF"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Podobnie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jak</w:t>
      </w:r>
      <w:r w:rsidR="00970B2E" w:rsidRPr="00D44D33">
        <w:rPr>
          <w:rFonts w:ascii="Times New Roman" w:hAnsi="Times New Roman" w:cs="Times New Roman"/>
          <w:szCs w:val="24"/>
        </w:rPr>
        <w:t xml:space="preserve"> </w:t>
      </w:r>
      <w:r w:rsidRPr="00D44D33">
        <w:rPr>
          <w:rFonts w:ascii="Times New Roman" w:hAnsi="Times New Roman" w:cs="Times New Roman"/>
          <w:szCs w:val="24"/>
        </w:rPr>
        <w:t>obecnie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Pr="00D44D33">
        <w:rPr>
          <w:rFonts w:ascii="Times New Roman" w:hAnsi="Times New Roman" w:cs="Times New Roman"/>
          <w:szCs w:val="24"/>
        </w:rPr>
        <w:t>posiadania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świadectwa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operatora</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dotyczy</w:t>
      </w:r>
      <w:r w:rsidR="00970B2E" w:rsidRPr="00D44D33">
        <w:rPr>
          <w:rFonts w:ascii="Times New Roman" w:hAnsi="Times New Roman" w:cs="Times New Roman"/>
          <w:szCs w:val="24"/>
        </w:rPr>
        <w:t xml:space="preserve"> </w:t>
      </w:r>
      <w:r w:rsidRPr="00D44D33">
        <w:rPr>
          <w:rFonts w:ascii="Times New Roman" w:hAnsi="Times New Roman" w:cs="Times New Roman"/>
          <w:szCs w:val="24"/>
        </w:rPr>
        <w:t>osób</w:t>
      </w:r>
      <w:r w:rsidR="00970B2E" w:rsidRPr="00D44D33">
        <w:rPr>
          <w:rFonts w:ascii="Times New Roman" w:hAnsi="Times New Roman" w:cs="Times New Roman"/>
          <w:szCs w:val="24"/>
        </w:rPr>
        <w:t xml:space="preserve"> </w:t>
      </w:r>
      <w:r w:rsidRPr="00D44D33">
        <w:rPr>
          <w:rFonts w:ascii="Times New Roman" w:hAnsi="Times New Roman" w:cs="Times New Roman"/>
          <w:szCs w:val="24"/>
        </w:rPr>
        <w:t>obsługujących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lotniczej,</w:t>
      </w:r>
      <w:r w:rsidR="00970B2E" w:rsidRPr="00D44D33">
        <w:rPr>
          <w:rFonts w:ascii="Times New Roman" w:hAnsi="Times New Roman" w:cs="Times New Roman"/>
          <w:szCs w:val="24"/>
        </w:rPr>
        <w:t xml:space="preserve"> </w:t>
      </w:r>
      <w:r w:rsidRPr="00D44D33">
        <w:rPr>
          <w:rFonts w:ascii="Times New Roman" w:hAnsi="Times New Roman" w:cs="Times New Roman"/>
          <w:szCs w:val="24"/>
        </w:rPr>
        <w:t>morskiej</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żeglugi</w:t>
      </w:r>
      <w:r w:rsidR="00970B2E" w:rsidRPr="00D44D33">
        <w:rPr>
          <w:rFonts w:ascii="Times New Roman" w:hAnsi="Times New Roman" w:cs="Times New Roman"/>
          <w:szCs w:val="24"/>
        </w:rPr>
        <w:t xml:space="preserve"> </w:t>
      </w:r>
      <w:r w:rsidRPr="00D44D33">
        <w:rPr>
          <w:rFonts w:ascii="Times New Roman" w:hAnsi="Times New Roman" w:cs="Times New Roman"/>
          <w:szCs w:val="24"/>
        </w:rPr>
        <w:t>śródlądowej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wykonywanej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komórki</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jednostki</w:t>
      </w:r>
      <w:r w:rsidR="00970B2E" w:rsidRPr="00D44D33">
        <w:rPr>
          <w:rFonts w:ascii="Times New Roman" w:hAnsi="Times New Roman" w:cs="Times New Roman"/>
          <w:szCs w:val="24"/>
        </w:rPr>
        <w:t xml:space="preserve"> </w:t>
      </w:r>
      <w:r w:rsidRPr="00D44D33">
        <w:rPr>
          <w:rFonts w:ascii="Times New Roman" w:hAnsi="Times New Roman" w:cs="Times New Roman"/>
          <w:szCs w:val="24"/>
        </w:rPr>
        <w:t>organizacyjne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podległe</w:t>
      </w:r>
      <w:r w:rsidR="00970B2E" w:rsidRPr="00D44D33">
        <w:rPr>
          <w:rFonts w:ascii="Times New Roman" w:hAnsi="Times New Roman" w:cs="Times New Roman"/>
          <w:szCs w:val="24"/>
        </w:rPr>
        <w:t xml:space="preserve"> </w:t>
      </w:r>
      <w:r w:rsidRPr="00D44D33">
        <w:rPr>
          <w:rFonts w:ascii="Times New Roman" w:hAnsi="Times New Roman" w:cs="Times New Roman"/>
          <w:szCs w:val="24"/>
        </w:rPr>
        <w:t>M</w:t>
      </w:r>
      <w:r w:rsidR="006702F6" w:rsidRPr="00D44D33">
        <w:rPr>
          <w:rFonts w:ascii="Times New Roman" w:hAnsi="Times New Roman" w:cs="Times New Roman"/>
          <w:szCs w:val="24"/>
        </w:rPr>
        <w:t xml:space="preserve">inistrowi </w:t>
      </w:r>
      <w:r w:rsidRPr="00D44D33">
        <w:rPr>
          <w:rFonts w:ascii="Times New Roman" w:hAnsi="Times New Roman" w:cs="Times New Roman"/>
          <w:szCs w:val="24"/>
        </w:rPr>
        <w:t>O</w:t>
      </w:r>
      <w:r w:rsidR="006702F6" w:rsidRPr="00D44D33">
        <w:rPr>
          <w:rFonts w:ascii="Times New Roman" w:hAnsi="Times New Roman" w:cs="Times New Roman"/>
          <w:szCs w:val="24"/>
        </w:rPr>
        <w:t xml:space="preserve">brony </w:t>
      </w:r>
      <w:r w:rsidRPr="00D44D33">
        <w:rPr>
          <w:rFonts w:ascii="Times New Roman" w:hAnsi="Times New Roman" w:cs="Times New Roman"/>
          <w:szCs w:val="24"/>
        </w:rPr>
        <w:t>N</w:t>
      </w:r>
      <w:r w:rsidR="006702F6" w:rsidRPr="00D44D33">
        <w:rPr>
          <w:rFonts w:ascii="Times New Roman" w:hAnsi="Times New Roman" w:cs="Times New Roman"/>
          <w:szCs w:val="24"/>
        </w:rPr>
        <w:t>arodowej</w:t>
      </w:r>
      <w:r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Pr="00D44D33">
        <w:rPr>
          <w:rFonts w:ascii="Times New Roman" w:hAnsi="Times New Roman" w:cs="Times New Roman"/>
          <w:szCs w:val="24"/>
        </w:rPr>
        <w:t>także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jednostki</w:t>
      </w:r>
      <w:r w:rsidR="00970B2E" w:rsidRPr="00D44D33">
        <w:rPr>
          <w:rFonts w:ascii="Times New Roman" w:hAnsi="Times New Roman" w:cs="Times New Roman"/>
          <w:szCs w:val="24"/>
        </w:rPr>
        <w:t xml:space="preserve"> </w:t>
      </w:r>
      <w:r w:rsidRPr="00D44D33">
        <w:rPr>
          <w:rFonts w:ascii="Times New Roman" w:hAnsi="Times New Roman" w:cs="Times New Roman"/>
          <w:szCs w:val="24"/>
        </w:rPr>
        <w:t>sił</w:t>
      </w:r>
      <w:r w:rsidR="00970B2E" w:rsidRPr="00D44D33">
        <w:rPr>
          <w:rFonts w:ascii="Times New Roman" w:hAnsi="Times New Roman" w:cs="Times New Roman"/>
          <w:szCs w:val="24"/>
        </w:rPr>
        <w:t xml:space="preserve"> </w:t>
      </w:r>
      <w:r w:rsidRPr="00D44D33">
        <w:rPr>
          <w:rFonts w:ascii="Times New Roman" w:hAnsi="Times New Roman" w:cs="Times New Roman"/>
          <w:szCs w:val="24"/>
        </w:rPr>
        <w:t>zbrojnych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państw</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jednostki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zagranicznych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organów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państwowych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okresie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pobytu</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terenie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Polski.</w:t>
      </w:r>
    </w:p>
    <w:p w14:paraId="46F7A700" w14:textId="46092BF3" w:rsidR="00CC7CAF" w:rsidRPr="00D44D33" w:rsidRDefault="00CC7CAF" w:rsidP="00D44D33">
      <w:pPr>
        <w:autoSpaceDE w:val="0"/>
        <w:autoSpaceDN w:val="0"/>
        <w:adjustRightInd w:val="0"/>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A87B79" w:rsidRPr="00D44D33">
        <w:rPr>
          <w:rFonts w:ascii="Times New Roman" w:eastAsiaTheme="minorEastAsia" w:hAnsi="Times New Roman" w:cs="Times New Roman"/>
          <w:b/>
          <w:sz w:val="24"/>
          <w:szCs w:val="24"/>
        </w:rPr>
        <w:t>158</w:t>
      </w:r>
    </w:p>
    <w:p w14:paraId="25CE9147" w14:textId="718D5D59" w:rsidR="00502E13" w:rsidRPr="00D44D33" w:rsidRDefault="3FF9F0D6"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39A75B0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00CC7CAF"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oprócz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radiokomunikacyjne</w:t>
      </w:r>
      <w:r w:rsidR="00CC7CAF"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lotnicz</w:t>
      </w:r>
      <w:r w:rsidR="00CC7CAF" w:rsidRPr="00D44D33">
        <w:rPr>
          <w:rFonts w:ascii="Times New Roman" w:eastAsiaTheme="minorEastAsia" w:hAnsi="Times New Roman" w:cs="Times New Roman"/>
          <w:sz w:val="24"/>
          <w:szCs w:val="24"/>
        </w:rPr>
        <w:t>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morsk</w:t>
      </w:r>
      <w:r w:rsidR="00502E13" w:rsidRPr="00D44D33">
        <w:rPr>
          <w:rFonts w:ascii="Times New Roman" w:eastAsiaTheme="minorEastAsia" w:hAnsi="Times New Roman" w:cs="Times New Roman"/>
          <w:sz w:val="24"/>
          <w:szCs w:val="24"/>
        </w:rPr>
        <w:t>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żeglugi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śródlądowej</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służbę</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amatorską,</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wyłączona</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reżimu</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uzyskiwania</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świadectw</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502E13" w:rsidRPr="00D44D33">
        <w:rPr>
          <w:rFonts w:ascii="Times New Roman" w:eastAsiaTheme="minorEastAsia" w:hAnsi="Times New Roman" w:cs="Times New Roman"/>
          <w:sz w:val="24"/>
          <w:szCs w:val="24"/>
        </w:rPr>
        <w:t>radiowych</w:t>
      </w:r>
      <w:r w:rsidRPr="00D44D33">
        <w:rPr>
          <w:rFonts w:ascii="Times New Roman" w:eastAsiaTheme="minorEastAsia" w:hAnsi="Times New Roman" w:cs="Times New Roman"/>
          <w:sz w:val="24"/>
          <w:szCs w:val="24"/>
        </w:rPr>
        <w:t>.</w:t>
      </w:r>
      <w:r w:rsidR="00371EEA">
        <w:rPr>
          <w:rFonts w:ascii="Times New Roman" w:eastAsiaTheme="minorEastAsia" w:hAnsi="Times New Roman" w:cs="Times New Roman"/>
          <w:sz w:val="24"/>
          <w:szCs w:val="24"/>
        </w:rPr>
        <w:t xml:space="preserve"> </w:t>
      </w:r>
    </w:p>
    <w:p w14:paraId="00A82850" w14:textId="12388467" w:rsidR="00502E13" w:rsidRPr="00D44D33" w:rsidRDefault="00502E13"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egzaminu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udokumentowanej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w:t>
      </w:r>
      <w:r w:rsidR="00902A2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wyczerpujący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uzależnione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egzaminu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udokumentowanej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uznaniowej.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p>
    <w:p w14:paraId="4E1F3E88" w14:textId="222F9E3F" w:rsidR="00902A22" w:rsidRPr="00D44D33" w:rsidRDefault="00774AA6" w:rsidP="00D44D33">
      <w:pPr>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Egzaminy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powołane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B5AF3" w:rsidRPr="00D44D33">
        <w:rPr>
          <w:rFonts w:ascii="Times New Roman" w:eastAsiaTheme="minorEastAsia" w:hAnsi="Times New Roman" w:cs="Times New Roman"/>
          <w:sz w:val="24"/>
          <w:szCs w:val="24"/>
        </w:rPr>
        <w:t>7</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25D6C19" w:rsidRPr="00D44D33">
        <w:rPr>
          <w:rFonts w:ascii="Times New Roman" w:eastAsiaTheme="minorEastAsia" w:hAnsi="Times New Roman" w:cs="Times New Roman"/>
          <w:sz w:val="24"/>
          <w:szCs w:val="24"/>
        </w:rPr>
        <w:t>P</w:t>
      </w:r>
      <w:r w:rsidR="16206808" w:rsidRPr="00D44D33">
        <w:rPr>
          <w:rFonts w:ascii="Times New Roman" w:eastAsiaTheme="minorEastAsia" w:hAnsi="Times New Roman" w:cs="Times New Roman"/>
          <w:sz w:val="24"/>
          <w:szCs w:val="24"/>
        </w:rPr>
        <w:t>rzeprowadzani</w:t>
      </w:r>
      <w:r w:rsidR="7905AACA"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7905AACA"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egzaminów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lotniczej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powierzono</w:t>
      </w:r>
      <w:r w:rsidR="00970B2E" w:rsidRPr="00D44D33">
        <w:rPr>
          <w:rFonts w:ascii="Times New Roman" w:eastAsiaTheme="minorEastAsia" w:hAnsi="Times New Roman" w:cs="Times New Roman"/>
          <w:sz w:val="24"/>
          <w:szCs w:val="24"/>
        </w:rPr>
        <w:t xml:space="preserve"> </w:t>
      </w:r>
      <w:r w:rsidR="54197AA0"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54197AA0" w:rsidRPr="00D44D33">
        <w:rPr>
          <w:rFonts w:ascii="Times New Roman" w:eastAsiaTheme="minorEastAsia" w:hAnsi="Times New Roman" w:cs="Times New Roman"/>
          <w:sz w:val="24"/>
          <w:szCs w:val="24"/>
        </w:rPr>
        <w:t>egzaminacyjnej</w:t>
      </w:r>
      <w:r w:rsidR="00970B2E" w:rsidRPr="00D44D33">
        <w:rPr>
          <w:rFonts w:ascii="Times New Roman" w:eastAsiaTheme="minorEastAsia" w:hAnsi="Times New Roman" w:cs="Times New Roman"/>
          <w:sz w:val="24"/>
          <w:szCs w:val="24"/>
        </w:rPr>
        <w:t xml:space="preserve"> </w:t>
      </w:r>
      <w:r w:rsidR="54197AA0" w:rsidRPr="00D44D33">
        <w:rPr>
          <w:rFonts w:ascii="Times New Roman" w:eastAsiaTheme="minorEastAsia" w:hAnsi="Times New Roman" w:cs="Times New Roman"/>
          <w:sz w:val="24"/>
          <w:szCs w:val="24"/>
        </w:rPr>
        <w:t>powoływanej</w:t>
      </w:r>
      <w:r w:rsidR="00970B2E" w:rsidRPr="00D44D33">
        <w:rPr>
          <w:rFonts w:ascii="Times New Roman" w:eastAsiaTheme="minorEastAsia" w:hAnsi="Times New Roman" w:cs="Times New Roman"/>
          <w:sz w:val="24"/>
          <w:szCs w:val="24"/>
        </w:rPr>
        <w:t xml:space="preserve"> </w:t>
      </w:r>
      <w:r w:rsidR="54197AA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5901EDD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cywilnego.</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powierzyć</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przeprowadzanie</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egzaminów</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morskiej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żeglugi</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śródlądowej</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Centralnej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Morskiej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Egzaminacyjnej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centralnej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egzaminacyjnej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działającej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dyrektorze</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żeglugi</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śródlądowej</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żeglugi</w:t>
      </w:r>
      <w:r w:rsidR="00970B2E" w:rsidRPr="00D44D33">
        <w:rPr>
          <w:rFonts w:ascii="Times New Roman" w:eastAsiaTheme="minorEastAsia" w:hAnsi="Times New Roman" w:cs="Times New Roman"/>
          <w:sz w:val="24"/>
          <w:szCs w:val="24"/>
        </w:rPr>
        <w:t xml:space="preserve"> </w:t>
      </w:r>
      <w:r w:rsidR="00902A22" w:rsidRPr="00D44D33">
        <w:rPr>
          <w:rFonts w:ascii="Times New Roman" w:eastAsiaTheme="minorEastAsia" w:hAnsi="Times New Roman" w:cs="Times New Roman"/>
          <w:sz w:val="24"/>
          <w:szCs w:val="24"/>
        </w:rPr>
        <w:t>śródlądowej.</w:t>
      </w:r>
    </w:p>
    <w:p w14:paraId="100CF5F2" w14:textId="68E7F0D3" w:rsidR="00696205" w:rsidRPr="00D44D33" w:rsidRDefault="00902A22" w:rsidP="00D44D33">
      <w:pPr>
        <w:autoSpaceDE w:val="0"/>
        <w:autoSpaceDN w:val="0"/>
        <w:adjustRightInd w:val="0"/>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Kluczową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t>
      </w:r>
      <w:r w:rsidR="00F73767" w:rsidRPr="00D44D33">
        <w:rPr>
          <w:rFonts w:ascii="Times New Roman" w:eastAsiaTheme="minorEastAsia" w:hAnsi="Times New Roman" w:cs="Times New Roman"/>
          <w:sz w:val="24"/>
          <w:szCs w:val="24"/>
        </w:rPr>
        <w:t>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wzory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świadectw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egzaminacyjnych,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szkoleń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akt</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wykonawczy</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wydawany</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przewidziano</w:t>
      </w:r>
      <w:r w:rsidR="00970B2E" w:rsidRPr="00D44D33">
        <w:rPr>
          <w:rFonts w:ascii="Times New Roman" w:eastAsiaTheme="minorEastAsia" w:hAnsi="Times New Roman" w:cs="Times New Roman"/>
          <w:sz w:val="24"/>
          <w:szCs w:val="24"/>
        </w:rPr>
        <w:t xml:space="preserve"> </w:t>
      </w:r>
      <w:r w:rsidR="79979780" w:rsidRPr="00D44D33">
        <w:rPr>
          <w:rFonts w:ascii="Times New Roman" w:eastAsiaTheme="minorEastAsia" w:hAnsi="Times New Roman" w:cs="Times New Roman"/>
          <w:sz w:val="24"/>
          <w:szCs w:val="24"/>
        </w:rPr>
        <w:t>dwa</w:t>
      </w:r>
      <w:r w:rsidR="00970B2E" w:rsidRPr="00D44D33">
        <w:rPr>
          <w:rFonts w:ascii="Times New Roman" w:eastAsiaTheme="minorEastAsia" w:hAnsi="Times New Roman" w:cs="Times New Roman"/>
          <w:sz w:val="24"/>
          <w:szCs w:val="24"/>
        </w:rPr>
        <w:t xml:space="preserve"> </w:t>
      </w:r>
      <w:r w:rsidR="24D9CA05" w:rsidRPr="00D44D33">
        <w:rPr>
          <w:rFonts w:ascii="Times New Roman" w:eastAsiaTheme="minorEastAsia" w:hAnsi="Times New Roman" w:cs="Times New Roman"/>
          <w:sz w:val="24"/>
          <w:szCs w:val="24"/>
        </w:rPr>
        <w:t>odrębn</w:t>
      </w:r>
      <w:r w:rsidR="02256261"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24D9CA05" w:rsidRPr="00D44D33">
        <w:rPr>
          <w:rFonts w:ascii="Times New Roman" w:eastAsiaTheme="minorEastAsia" w:hAnsi="Times New Roman" w:cs="Times New Roman"/>
          <w:sz w:val="24"/>
          <w:szCs w:val="24"/>
        </w:rPr>
        <w:t>rozporządze</w:t>
      </w:r>
      <w:r w:rsidR="7C945F39" w:rsidRPr="00D44D33">
        <w:rPr>
          <w:rFonts w:ascii="Times New Roman" w:eastAsiaTheme="minorEastAsia" w:hAnsi="Times New Roman" w:cs="Times New Roman"/>
          <w:sz w:val="24"/>
          <w:szCs w:val="24"/>
        </w:rPr>
        <w:t>nia</w:t>
      </w:r>
      <w:r w:rsidR="000C76C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118BAC94"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odpowiedzialni</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ministrowie</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właściwi</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merytorycznie</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kwestiach</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4127284C" w:rsidRPr="00D44D33">
        <w:rPr>
          <w:rFonts w:ascii="Times New Roman" w:eastAsiaTheme="minorEastAsia" w:hAnsi="Times New Roman" w:cs="Times New Roman"/>
          <w:sz w:val="24"/>
          <w:szCs w:val="24"/>
        </w:rPr>
        <w:t>przewidziano</w:t>
      </w:r>
      <w:r w:rsidR="00970B2E" w:rsidRPr="00D44D33">
        <w:rPr>
          <w:rFonts w:ascii="Times New Roman" w:eastAsiaTheme="minorEastAsia" w:hAnsi="Times New Roman" w:cs="Times New Roman"/>
          <w:sz w:val="24"/>
          <w:szCs w:val="24"/>
        </w:rPr>
        <w:t xml:space="preserve"> </w:t>
      </w:r>
      <w:r w:rsidR="4127284C" w:rsidRPr="00D44D33">
        <w:rPr>
          <w:rFonts w:ascii="Times New Roman" w:eastAsiaTheme="minorEastAsia" w:hAnsi="Times New Roman" w:cs="Times New Roman"/>
          <w:sz w:val="24"/>
          <w:szCs w:val="24"/>
        </w:rPr>
        <w:t>dwie</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delegacj</w:t>
      </w:r>
      <w:r w:rsidR="3E34F69A" w:rsidRPr="00D44D33">
        <w:rPr>
          <w:rFonts w:ascii="Times New Roman" w:eastAsiaTheme="minorEastAsia" w:hAnsi="Times New Roman" w:cs="Times New Roman"/>
          <w:sz w:val="24"/>
          <w:szCs w:val="24"/>
        </w:rPr>
        <w:t>e</w:t>
      </w:r>
      <w:r w:rsidR="6626ABB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626ABB9" w:rsidRPr="00D44D33">
        <w:rPr>
          <w:rFonts w:ascii="Times New Roman" w:eastAsiaTheme="minorEastAsia" w:hAnsi="Times New Roman" w:cs="Times New Roman"/>
          <w:sz w:val="24"/>
          <w:szCs w:val="24"/>
        </w:rPr>
        <w:t>pierwszą</w:t>
      </w:r>
      <w:r w:rsidR="00970B2E" w:rsidRPr="00D44D33">
        <w:rPr>
          <w:rFonts w:ascii="Times New Roman" w:eastAsiaTheme="minorEastAsia" w:hAnsi="Times New Roman" w:cs="Times New Roman"/>
          <w:sz w:val="24"/>
          <w:szCs w:val="24"/>
        </w:rPr>
        <w:t xml:space="preserve"> </w:t>
      </w:r>
      <w:r w:rsidR="6626ABB9"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6626ABB9" w:rsidRPr="00D44D33">
        <w:rPr>
          <w:rFonts w:ascii="Times New Roman" w:eastAsiaTheme="minorEastAsia" w:hAnsi="Times New Roman" w:cs="Times New Roman"/>
          <w:sz w:val="24"/>
          <w:szCs w:val="24"/>
        </w:rPr>
        <w:t>m</w:t>
      </w:r>
      <w:r w:rsidR="6626ABB9" w:rsidRPr="00D44D33">
        <w:rPr>
          <w:rFonts w:ascii="Times New Roman" w:eastAsia="Times New Roman" w:hAnsi="Times New Roman" w:cs="Times New Roman"/>
          <w:sz w:val="24"/>
          <w:szCs w:val="24"/>
        </w:rPr>
        <w:t>inistr</w:t>
      </w:r>
      <w:r w:rsidR="4E18E88F"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właściw</w:t>
      </w:r>
      <w:r w:rsidR="200B7DB4" w:rsidRPr="00D44D33">
        <w:rPr>
          <w:rFonts w:ascii="Times New Roman" w:eastAsia="Times New Roman" w:hAnsi="Times New Roman" w:cs="Times New Roman"/>
          <w:sz w:val="24"/>
          <w:szCs w:val="24"/>
        </w:rPr>
        <w:t>ego</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żeglugi</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śródlądowej</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minist</w:t>
      </w:r>
      <w:r w:rsidR="529FAA4C" w:rsidRPr="00D44D33">
        <w:rPr>
          <w:rFonts w:ascii="Times New Roman" w:eastAsia="Times New Roman" w:hAnsi="Times New Roman" w:cs="Times New Roman"/>
          <w:sz w:val="24"/>
          <w:szCs w:val="24"/>
        </w:rPr>
        <w:t>ra</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właściw</w:t>
      </w:r>
      <w:r w:rsidR="7C02D272" w:rsidRPr="00D44D33">
        <w:rPr>
          <w:rFonts w:ascii="Times New Roman" w:eastAsia="Times New Roman" w:hAnsi="Times New Roman" w:cs="Times New Roman"/>
          <w:sz w:val="24"/>
          <w:szCs w:val="24"/>
        </w:rPr>
        <w:t>ego</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gospodarki</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morskiej</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porozumieniu</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ministrem</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6626ABB9"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32A9BB5B"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32A9BB5B" w:rsidRPr="00D44D33">
        <w:rPr>
          <w:rFonts w:ascii="Times New Roman" w:eastAsia="Times New Roman" w:hAnsi="Times New Roman" w:cs="Times New Roman"/>
          <w:sz w:val="24"/>
          <w:szCs w:val="24"/>
        </w:rPr>
        <w:t>drug</w:t>
      </w:r>
      <w:r w:rsidR="4CFC8D7F" w:rsidRPr="00D44D33">
        <w:rPr>
          <w:rFonts w:ascii="Times New Roman" w:eastAsia="Times New Roman" w:hAnsi="Times New Roman" w:cs="Times New Roman"/>
          <w:sz w:val="24"/>
          <w:szCs w:val="24"/>
        </w:rPr>
        <w:t>ą</w:t>
      </w:r>
      <w:r w:rsidR="00970B2E" w:rsidRPr="00D44D33">
        <w:rPr>
          <w:rFonts w:ascii="Times New Roman" w:eastAsia="Times New Roman" w:hAnsi="Times New Roman" w:cs="Times New Roman"/>
          <w:sz w:val="24"/>
          <w:szCs w:val="24"/>
        </w:rPr>
        <w:t xml:space="preserve"> </w:t>
      </w:r>
      <w:r w:rsidR="32A9BB5B"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000C76CB"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transportu</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porozumieniu</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ministrem</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0C76CB"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konstrukcja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merytorycznego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egzaminacyjne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radiokomunikacji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lotniczej,</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morskiej</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żeglugi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śródlądowej.</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pozostają</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właściwością</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merytoryczną</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doświadczenia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wydaniem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delegacji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świadectw</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działom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posiadają</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merytorycznym</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komórki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00BD00AA" w:rsidRPr="00D44D33">
        <w:rPr>
          <w:rFonts w:ascii="Times New Roman" w:eastAsiaTheme="minorEastAsia" w:hAnsi="Times New Roman" w:cs="Times New Roman"/>
          <w:sz w:val="24"/>
          <w:szCs w:val="24"/>
        </w:rPr>
        <w:t>kadrowe.</w:t>
      </w:r>
    </w:p>
    <w:p w14:paraId="39A54180" w14:textId="250ECFE8" w:rsidR="00177269" w:rsidRPr="00D44D33" w:rsidRDefault="00365F2B"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6702F6"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3</w:t>
      </w:r>
    </w:p>
    <w:p w14:paraId="5C4402BA" w14:textId="49908327" w:rsidR="00365F2B" w:rsidRPr="00D44D33" w:rsidRDefault="00365F2B"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Gospodarowanie</w:t>
      </w:r>
      <w:r w:rsidR="00970B2E" w:rsidRPr="00D44D33">
        <w:rPr>
          <w:rFonts w:ascii="Times New Roman" w:hAnsi="Times New Roman" w:cs="Times New Roman"/>
          <w:b/>
          <w:lang w:eastAsia="en-US"/>
        </w:rPr>
        <w:t xml:space="preserve"> </w:t>
      </w:r>
      <w:r w:rsidR="009D351F" w:rsidRPr="00D44D33">
        <w:rPr>
          <w:rFonts w:ascii="Times New Roman" w:hAnsi="Times New Roman" w:cs="Times New Roman"/>
          <w:b/>
          <w:lang w:eastAsia="en-US"/>
        </w:rPr>
        <w:t>zasobami</w:t>
      </w:r>
      <w:r w:rsidR="00970B2E" w:rsidRPr="00D44D33">
        <w:rPr>
          <w:rFonts w:ascii="Times New Roman" w:hAnsi="Times New Roman" w:cs="Times New Roman"/>
          <w:b/>
          <w:lang w:eastAsia="en-US"/>
        </w:rPr>
        <w:t xml:space="preserve"> </w:t>
      </w:r>
      <w:r w:rsidR="009D351F" w:rsidRPr="00D44D33">
        <w:rPr>
          <w:rFonts w:ascii="Times New Roman" w:hAnsi="Times New Roman" w:cs="Times New Roman"/>
          <w:b/>
          <w:lang w:eastAsia="en-US"/>
        </w:rPr>
        <w:t>numeracji</w:t>
      </w:r>
    </w:p>
    <w:p w14:paraId="1556E754" w14:textId="016B704C" w:rsidR="006702F6" w:rsidRPr="00D44D33" w:rsidRDefault="283D336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76511" w:rsidRPr="00D44D33">
        <w:rPr>
          <w:rFonts w:ascii="Times New Roman" w:eastAsiaTheme="minorEastAsia" w:hAnsi="Times New Roman" w:cs="Times New Roman"/>
          <w:b/>
          <w:bCs/>
          <w:sz w:val="24"/>
          <w:szCs w:val="24"/>
        </w:rPr>
        <w:t>159</w:t>
      </w:r>
      <w:r w:rsidR="00970B2E" w:rsidRPr="00D44D33">
        <w:rPr>
          <w:rFonts w:ascii="Times New Roman" w:eastAsiaTheme="minorEastAsia" w:hAnsi="Times New Roman" w:cs="Times New Roman"/>
          <w:b/>
          <w:bCs/>
          <w:sz w:val="24"/>
          <w:szCs w:val="24"/>
        </w:rPr>
        <w:t xml:space="preserve"> </w:t>
      </w:r>
    </w:p>
    <w:p w14:paraId="38299427" w14:textId="11BFC0B8" w:rsidR="00805650" w:rsidRPr="00D44D33" w:rsidRDefault="006702F6" w:rsidP="00D44D33">
      <w:pPr>
        <w:spacing w:before="120" w:after="120" w:line="360" w:lineRule="auto"/>
        <w:rPr>
          <w:rFonts w:ascii="Times New Roman" w:eastAsiaTheme="minorEastAsia" w:hAnsi="Times New Roman" w:cs="Times New Roman"/>
          <w:b/>
          <w:bCs/>
          <w:sz w:val="24"/>
          <w:szCs w:val="24"/>
        </w:rPr>
      </w:pPr>
      <w:r w:rsidRPr="00D44D33">
        <w:rPr>
          <w:rFonts w:ascii="Times New Roman" w:eastAsiaTheme="minorEastAsia" w:hAnsi="Times New Roman" w:cs="Times New Roman"/>
          <w:bCs/>
          <w:sz w:val="24"/>
          <w:szCs w:val="24"/>
        </w:rPr>
        <w:t>P</w:t>
      </w:r>
      <w:r w:rsidR="00793DD6" w:rsidRPr="00D44D33">
        <w:rPr>
          <w:rFonts w:ascii="Times New Roman" w:eastAsiaTheme="minorEastAsia" w:hAnsi="Times New Roman" w:cs="Times New Roman"/>
          <w:bCs/>
          <w:sz w:val="24"/>
          <w:szCs w:val="24"/>
        </w:rPr>
        <w:t>rzyznawanie</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prawa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00793DD6" w:rsidRPr="00D44D33">
        <w:rPr>
          <w:rFonts w:ascii="Times New Roman" w:eastAsiaTheme="minorEastAsia" w:hAnsi="Times New Roman" w:cs="Times New Roman"/>
          <w:bCs/>
          <w:sz w:val="24"/>
          <w:szCs w:val="24"/>
        </w:rPr>
        <w:t>numeracji</w:t>
      </w:r>
      <w:r w:rsidRPr="00D44D33">
        <w:rPr>
          <w:rFonts w:ascii="Times New Roman" w:eastAsiaTheme="minorEastAsia" w:hAnsi="Times New Roman" w:cs="Times New Roman"/>
          <w:bCs/>
          <w:sz w:val="24"/>
          <w:szCs w:val="24"/>
        </w:rPr>
        <w:t>.</w:t>
      </w:r>
    </w:p>
    <w:p w14:paraId="2E257C4D" w14:textId="356BFDF2"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159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73DF9C11"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73DF9C1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Krajowej</w:t>
      </w:r>
      <w:r w:rsidR="006702F6" w:rsidRPr="00D44D33">
        <w:rPr>
          <w:rFonts w:ascii="Times New Roman" w:eastAsiaTheme="minorEastAsia" w:hAnsi="Times New Roman" w:cs="Times New Roman"/>
          <w:sz w:val="24"/>
          <w:szCs w:val="24"/>
        </w:rPr>
        <w:t xml:space="preserve">, </w:t>
      </w:r>
      <w:r w:rsidR="004A5C60" w:rsidRPr="00D44D33">
        <w:rPr>
          <w:rFonts w:ascii="Times New Roman" w:eastAsiaTheme="minorEastAsia" w:hAnsi="Times New Roman" w:cs="Times New Roman"/>
          <w:sz w:val="24"/>
          <w:szCs w:val="24"/>
        </w:rPr>
        <w:t xml:space="preserve">zwany </w:t>
      </w:r>
      <w:r w:rsidR="006702F6" w:rsidRPr="00D44D33">
        <w:rPr>
          <w:rFonts w:ascii="Times New Roman" w:eastAsiaTheme="minorEastAsia" w:hAnsi="Times New Roman" w:cs="Times New Roman"/>
          <w:sz w:val="24"/>
          <w:szCs w:val="24"/>
        </w:rPr>
        <w:t>dalej „</w:t>
      </w:r>
      <w:r w:rsidRPr="00D44D33">
        <w:rPr>
          <w:rFonts w:ascii="Times New Roman" w:eastAsiaTheme="minorEastAsia" w:hAnsi="Times New Roman" w:cs="Times New Roman"/>
          <w:sz w:val="24"/>
          <w:szCs w:val="24"/>
        </w:rPr>
        <w:t>PNK</w:t>
      </w:r>
      <w:r w:rsidR="006702F6"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0FBC95F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paliw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elektrycznej.</w:t>
      </w:r>
      <w:r w:rsidR="00970B2E" w:rsidRPr="00D44D33">
        <w:rPr>
          <w:rFonts w:ascii="Times New Roman" w:eastAsiaTheme="minorEastAsia" w:hAnsi="Times New Roman" w:cs="Times New Roman"/>
          <w:sz w:val="24"/>
          <w:szCs w:val="24"/>
        </w:rPr>
        <w:t xml:space="preserve"> </w:t>
      </w:r>
    </w:p>
    <w:p w14:paraId="6F1E7188" w14:textId="5F7F1245"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Istotną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niebędących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inteligentnymi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licznikami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flotami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samochodów.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159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wyczerpania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w:t>
      </w:r>
      <w:r w:rsidR="09F0BDB2"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09F0BDB2"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162</w:t>
      </w:r>
      <w:r w:rsidR="00970B2E" w:rsidRPr="00D44D33">
        <w:rPr>
          <w:rFonts w:ascii="Times New Roman" w:eastAsiaTheme="minorEastAsia" w:hAnsi="Times New Roman" w:cs="Times New Roman"/>
          <w:sz w:val="24"/>
          <w:szCs w:val="24"/>
        </w:rPr>
        <w:t xml:space="preserve"> </w:t>
      </w:r>
      <w:r w:rsidR="28DE2DE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8DE2DE3"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28DE2DE3"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28DE2DE3"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w:t>
      </w:r>
    </w:p>
    <w:p w14:paraId="7DF66D42" w14:textId="6BC6AA1D" w:rsidR="054DCC3C" w:rsidRPr="00D44D33" w:rsidRDefault="054DCC3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6CA584AD" w:rsidRPr="00D44D33">
        <w:rPr>
          <w:rFonts w:ascii="Times New Roman" w:eastAsiaTheme="minorEastAsia" w:hAnsi="Times New Roman" w:cs="Times New Roman"/>
          <w:sz w:val="24"/>
          <w:szCs w:val="24"/>
        </w:rPr>
        <w:t>a</w:t>
      </w:r>
      <w:r w:rsidRPr="00D44D33">
        <w:rPr>
          <w:rFonts w:ascii="Times New Roman" w:eastAsiaTheme="minorEastAsia" w:hAnsi="Times New Roman" w:cs="Times New Roman"/>
          <w:sz w:val="24"/>
          <w:szCs w:val="24"/>
        </w:rPr>
        <w:t>cji</w:t>
      </w:r>
      <w:r w:rsidR="005E4FB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uregulowania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4A990E6A" w:rsidRPr="00D44D33">
        <w:rPr>
          <w:rFonts w:ascii="Times New Roman" w:eastAsiaTheme="minorEastAsia" w:hAnsi="Times New Roman" w:cs="Times New Roman"/>
          <w:sz w:val="24"/>
          <w:szCs w:val="24"/>
        </w:rPr>
        <w:t>usług.</w:t>
      </w:r>
    </w:p>
    <w:p w14:paraId="71CA6ABE" w14:textId="22D7C125"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ustępach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159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przebieg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numeracyjnych.</w:t>
      </w:r>
      <w:r w:rsidR="00970B2E" w:rsidRPr="00D44D33">
        <w:rPr>
          <w:rFonts w:ascii="Times New Roman" w:eastAsiaTheme="minorEastAsia" w:hAnsi="Times New Roman" w:cs="Times New Roman"/>
          <w:sz w:val="24"/>
          <w:szCs w:val="24"/>
        </w:rPr>
        <w:t xml:space="preserve"> </w:t>
      </w:r>
    </w:p>
    <w:p w14:paraId="7D6DFF45" w14:textId="026DE45B" w:rsidR="00805650" w:rsidRPr="00D44D33" w:rsidRDefault="006702F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w:t>
      </w:r>
      <w:r w:rsidR="21B8559C" w:rsidRPr="00D44D33">
        <w:rPr>
          <w:rFonts w:ascii="Times New Roman" w:eastAsiaTheme="minorEastAsia" w:hAnsi="Times New Roman" w:cs="Times New Roman"/>
          <w:sz w:val="24"/>
          <w:szCs w:val="24"/>
        </w:rPr>
        <w:t>st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maksymalny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załatwienia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wynoszący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tygodnie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terminem</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instrukcyjnym</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7E26B44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wpłynięcia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wpłynięcia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decyduje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zasadności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zakończyć</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dłuższym</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tygodni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przetarg</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ogłoszenie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opublikowane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prasie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codziennej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zasięgu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ogólnokrajowym</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lastRenderedPageBreak/>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u</w:t>
      </w:r>
      <w:r w:rsidR="21B8559C" w:rsidRPr="00D44D33">
        <w:rPr>
          <w:rFonts w:ascii="Times New Roman" w:eastAsiaTheme="minorEastAsia" w:hAnsi="Times New Roman" w:cs="Times New Roman"/>
          <w:sz w:val="24"/>
          <w:szCs w:val="24"/>
        </w:rPr>
        <w:t>st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aukcji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rezerwację</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decydującym</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kryterium</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zadeklarowanej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wnioskujący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zawrzeć</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przyznającej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przydzielonej</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odnoszące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przydzielane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przetargu,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wykorzystywana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transgranicznie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21B8559C"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p>
    <w:p w14:paraId="01262999" w14:textId="75F9E9AE" w:rsidR="006702F6" w:rsidRPr="00D44D33" w:rsidRDefault="1CD588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76511" w:rsidRPr="00D44D33">
        <w:rPr>
          <w:rFonts w:ascii="Times New Roman" w:eastAsiaTheme="minorEastAsia" w:hAnsi="Times New Roman" w:cs="Times New Roman"/>
          <w:b/>
          <w:bCs/>
          <w:sz w:val="24"/>
          <w:szCs w:val="24"/>
        </w:rPr>
        <w:t>160</w:t>
      </w:r>
    </w:p>
    <w:p w14:paraId="7FE6EAD4" w14:textId="0CDE20DB" w:rsidR="1CD5889F" w:rsidRPr="00D44D33" w:rsidRDefault="006702F6" w:rsidP="00D44D33">
      <w:pPr>
        <w:spacing w:before="120" w:after="120" w:line="360" w:lineRule="auto"/>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O</w:t>
      </w:r>
      <w:r w:rsidR="005E4FB8" w:rsidRPr="00D44D33">
        <w:rPr>
          <w:rFonts w:ascii="Times New Roman" w:eastAsiaTheme="minorEastAsia" w:hAnsi="Times New Roman" w:cs="Times New Roman"/>
          <w:bCs/>
          <w:sz w:val="24"/>
          <w:szCs w:val="24"/>
        </w:rPr>
        <w:t>dmowa</w:t>
      </w:r>
      <w:r w:rsidR="00970B2E" w:rsidRPr="00D44D33">
        <w:rPr>
          <w:rFonts w:ascii="Times New Roman" w:eastAsiaTheme="minorEastAsia" w:hAnsi="Times New Roman" w:cs="Times New Roman"/>
          <w:bCs/>
          <w:sz w:val="24"/>
          <w:szCs w:val="24"/>
        </w:rPr>
        <w:t xml:space="preserve"> </w:t>
      </w:r>
      <w:r w:rsidR="005E4FB8" w:rsidRPr="00D44D33">
        <w:rPr>
          <w:rFonts w:ascii="Times New Roman" w:eastAsiaTheme="minorEastAsia" w:hAnsi="Times New Roman" w:cs="Times New Roman"/>
          <w:bCs/>
          <w:sz w:val="24"/>
          <w:szCs w:val="24"/>
        </w:rPr>
        <w:t>przyznania</w:t>
      </w:r>
      <w:r w:rsidR="00970B2E" w:rsidRPr="00D44D33">
        <w:rPr>
          <w:rFonts w:ascii="Times New Roman" w:eastAsiaTheme="minorEastAsia" w:hAnsi="Times New Roman" w:cs="Times New Roman"/>
          <w:bCs/>
          <w:sz w:val="24"/>
          <w:szCs w:val="24"/>
        </w:rPr>
        <w:t xml:space="preserve"> </w:t>
      </w:r>
      <w:r w:rsidR="005E4FB8" w:rsidRPr="00D44D33">
        <w:rPr>
          <w:rFonts w:ascii="Times New Roman" w:eastAsiaTheme="minorEastAsia" w:hAnsi="Times New Roman" w:cs="Times New Roman"/>
          <w:bCs/>
          <w:sz w:val="24"/>
          <w:szCs w:val="24"/>
        </w:rPr>
        <w:t>prawa</w:t>
      </w:r>
      <w:r w:rsidR="00970B2E" w:rsidRPr="00D44D33">
        <w:rPr>
          <w:rFonts w:ascii="Times New Roman" w:eastAsiaTheme="minorEastAsia" w:hAnsi="Times New Roman" w:cs="Times New Roman"/>
          <w:bCs/>
          <w:sz w:val="24"/>
          <w:szCs w:val="24"/>
        </w:rPr>
        <w:t xml:space="preserve"> </w:t>
      </w:r>
      <w:r w:rsidR="005E4FB8"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5E4FB8"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5E4FB8"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005E4FB8" w:rsidRPr="00D44D33">
        <w:rPr>
          <w:rFonts w:ascii="Times New Roman" w:eastAsiaTheme="minorEastAsia" w:hAnsi="Times New Roman" w:cs="Times New Roman"/>
          <w:bCs/>
          <w:sz w:val="24"/>
          <w:szCs w:val="24"/>
        </w:rPr>
        <w:t>numeracji</w:t>
      </w:r>
      <w:r w:rsidRPr="00D44D33">
        <w:rPr>
          <w:rFonts w:ascii="Times New Roman" w:eastAsiaTheme="minorEastAsia" w:hAnsi="Times New Roman" w:cs="Times New Roman"/>
          <w:bCs/>
          <w:sz w:val="24"/>
          <w:szCs w:val="24"/>
        </w:rPr>
        <w:t>.</w:t>
      </w:r>
    </w:p>
    <w:p w14:paraId="58CBD574" w14:textId="0F86A071" w:rsidR="00805650" w:rsidRPr="00D44D33" w:rsidRDefault="2A46930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6702F6"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w:t>
      </w:r>
      <w:r w:rsidR="79BD31C6" w:rsidRPr="00D44D33">
        <w:rPr>
          <w:rFonts w:ascii="Times New Roman" w:eastAsiaTheme="minorEastAsia" w:hAnsi="Times New Roman" w:cs="Times New Roman"/>
          <w:sz w:val="24"/>
          <w:szCs w:val="24"/>
        </w:rPr>
        <w:t>ę</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w:t>
      </w:r>
      <w:r w:rsidR="27712E4E"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A9CC54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A9CC540"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11A0D981"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11A0D981"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D8EB2E5"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4D8EB2E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D8EB2E5"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5F3F972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4D8EB2E5"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4D8EB2E5"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Obligatoryjna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odmowa</w:t>
      </w:r>
      <w:r w:rsidR="00970B2E" w:rsidRPr="00D44D33">
        <w:rPr>
          <w:rFonts w:ascii="Times New Roman" w:eastAsiaTheme="minorEastAsia" w:hAnsi="Times New Roman" w:cs="Times New Roman"/>
          <w:sz w:val="24"/>
          <w:szCs w:val="24"/>
        </w:rPr>
        <w:t xml:space="preserve"> </w:t>
      </w:r>
      <w:r w:rsidR="005E4FB8" w:rsidRPr="00D44D33">
        <w:rPr>
          <w:rFonts w:ascii="Times New Roman" w:eastAsiaTheme="minorEastAsia" w:hAnsi="Times New Roman" w:cs="Times New Roman"/>
          <w:sz w:val="24"/>
          <w:szCs w:val="24"/>
        </w:rPr>
        <w:t>przyznania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160</w:t>
      </w:r>
      <w:r w:rsidR="00970B2E" w:rsidRPr="00D44D33">
        <w:rPr>
          <w:rFonts w:ascii="Times New Roman" w:eastAsiaTheme="minorEastAsia" w:hAnsi="Times New Roman" w:cs="Times New Roman"/>
          <w:sz w:val="24"/>
          <w:szCs w:val="24"/>
        </w:rPr>
        <w:t xml:space="preserve"> </w:t>
      </w:r>
      <w:r w:rsidR="015E47F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15E47F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przeznaczenie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zgodne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PNK.</w:t>
      </w:r>
      <w:r w:rsidR="00970B2E" w:rsidRPr="00D44D33">
        <w:rPr>
          <w:rFonts w:ascii="Times New Roman" w:eastAsiaTheme="minorEastAsia" w:hAnsi="Times New Roman" w:cs="Times New Roman"/>
          <w:sz w:val="24"/>
          <w:szCs w:val="24"/>
        </w:rPr>
        <w:t xml:space="preserve"> </w:t>
      </w:r>
      <w:r w:rsidR="0A95C5A2"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A95C5A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A95C5A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400AD4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00AD45E" w:rsidRPr="00D44D33">
        <w:rPr>
          <w:rFonts w:ascii="Times New Roman" w:eastAsiaTheme="minorEastAsia" w:hAnsi="Times New Roman" w:cs="Times New Roman"/>
          <w:sz w:val="24"/>
          <w:szCs w:val="24"/>
        </w:rPr>
        <w:t>p</w:t>
      </w:r>
      <w:r w:rsidR="2E0F2597" w:rsidRPr="00D44D33">
        <w:rPr>
          <w:rFonts w:ascii="Times New Roman" w:eastAsiaTheme="minorEastAsia" w:hAnsi="Times New Roman" w:cs="Times New Roman"/>
          <w:sz w:val="24"/>
          <w:szCs w:val="24"/>
        </w:rPr>
        <w:t>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nieefektywnego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przydzielonej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lastRenderedPageBreak/>
        <w:t>(wykorzystanie</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t>przyznanych</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zakresów</w:t>
      </w:r>
      <w:r w:rsidR="00970B2E" w:rsidRPr="00D44D33">
        <w:rPr>
          <w:rFonts w:ascii="Times New Roman" w:eastAsiaTheme="minorEastAsia" w:hAnsi="Times New Roman" w:cs="Times New Roman"/>
          <w:sz w:val="24"/>
          <w:szCs w:val="24"/>
        </w:rPr>
        <w:t xml:space="preserve"> </w:t>
      </w:r>
      <w:r w:rsidR="63CF40BA"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przyznanych</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00C76511" w:rsidRPr="00D44D33">
        <w:rPr>
          <w:rFonts w:ascii="Times New Roman" w:eastAsiaTheme="minorEastAsia" w:hAnsi="Times New Roman" w:cs="Times New Roman"/>
          <w:sz w:val="24"/>
          <w:szCs w:val="24"/>
        </w:rPr>
        <w:t>zakresów</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samego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wyróżnika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wskaźnika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strefy</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numeracyjnej,</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wnioskujący</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chce</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otrzymać</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przydział</w:t>
      </w:r>
      <w:r w:rsidR="63CF40BA" w:rsidRPr="00D44D33">
        <w:rPr>
          <w:rFonts w:ascii="Times New Roman" w:eastAsiaTheme="minorEastAsia" w:hAnsi="Times New Roman" w:cs="Times New Roman"/>
          <w:sz w:val="24"/>
          <w:szCs w:val="24"/>
        </w:rPr>
        <w:t>)</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275300DE" w14:textId="6E029D5C" w:rsidR="006702F6" w:rsidRPr="00D44D33" w:rsidRDefault="44D74F0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C76511" w:rsidRPr="00D44D33">
        <w:rPr>
          <w:rFonts w:ascii="Times New Roman" w:eastAsiaTheme="minorEastAsia" w:hAnsi="Times New Roman" w:cs="Times New Roman"/>
          <w:b/>
          <w:bCs/>
          <w:sz w:val="24"/>
          <w:szCs w:val="24"/>
        </w:rPr>
        <w:t>161</w:t>
      </w:r>
    </w:p>
    <w:p w14:paraId="1EC8A885" w14:textId="7754D78D" w:rsidR="44D74F05" w:rsidRPr="00D44D33" w:rsidRDefault="006702F6" w:rsidP="00D44D33">
      <w:pPr>
        <w:spacing w:before="120" w:after="120" w:line="360" w:lineRule="auto"/>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C</w:t>
      </w:r>
      <w:r w:rsidR="006C4477" w:rsidRPr="00D44D33">
        <w:rPr>
          <w:rFonts w:ascii="Times New Roman" w:eastAsiaTheme="minorEastAsia" w:hAnsi="Times New Roman" w:cs="Times New Roman"/>
          <w:bCs/>
          <w:sz w:val="24"/>
          <w:szCs w:val="24"/>
        </w:rPr>
        <w:t>ofnięcie</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zmiana</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zakresu</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prawa</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wykorzystywania</w:t>
      </w:r>
      <w:r w:rsidR="00970B2E" w:rsidRPr="00D44D33">
        <w:rPr>
          <w:rFonts w:ascii="Times New Roman" w:eastAsiaTheme="minorEastAsia" w:hAnsi="Times New Roman" w:cs="Times New Roman"/>
          <w:bCs/>
          <w:sz w:val="24"/>
          <w:szCs w:val="24"/>
        </w:rPr>
        <w:t xml:space="preserve"> </w:t>
      </w:r>
      <w:r w:rsidR="006C4477" w:rsidRPr="00D44D33">
        <w:rPr>
          <w:rFonts w:ascii="Times New Roman" w:eastAsiaTheme="minorEastAsia" w:hAnsi="Times New Roman" w:cs="Times New Roman"/>
          <w:bCs/>
          <w:sz w:val="24"/>
          <w:szCs w:val="24"/>
        </w:rPr>
        <w:t>numeracji</w:t>
      </w:r>
      <w:r w:rsidRPr="00D44D33">
        <w:rPr>
          <w:rFonts w:ascii="Times New Roman" w:eastAsiaTheme="minorEastAsia" w:hAnsi="Times New Roman" w:cs="Times New Roman"/>
          <w:bCs/>
          <w:sz w:val="24"/>
          <w:szCs w:val="24"/>
        </w:rPr>
        <w:t>.</w:t>
      </w:r>
    </w:p>
    <w:p w14:paraId="12F5C6F1" w14:textId="25BB8D64"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6DDF62DB"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6DDF62DB" w:rsidRPr="00D44D33">
        <w:rPr>
          <w:rFonts w:ascii="Times New Roman" w:eastAsiaTheme="minorEastAsia" w:hAnsi="Times New Roman" w:cs="Times New Roman"/>
          <w:sz w:val="24"/>
          <w:szCs w:val="24"/>
        </w:rPr>
        <w:t>numeracji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F112265"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F11226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F112265"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F112265"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F112265" w:rsidRPr="00D44D33">
        <w:rPr>
          <w:rFonts w:ascii="Times New Roman" w:eastAsiaTheme="minorEastAsia" w:hAnsi="Times New Roman" w:cs="Times New Roman"/>
          <w:sz w:val="24"/>
          <w:szCs w:val="24"/>
        </w:rPr>
        <w:t>numeracji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161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PNK,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niezgodne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niewnoszenie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582D0E26"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1)</w:t>
      </w:r>
      <w:r w:rsidR="00FE380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cofnąć</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FE3802"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3067F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3067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067F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73463F4C" w:rsidRPr="00D44D33">
        <w:rPr>
          <w:rFonts w:ascii="Times New Roman" w:eastAsiaTheme="minorEastAsia" w:hAnsi="Times New Roman" w:cs="Times New Roman"/>
          <w:sz w:val="24"/>
          <w:szCs w:val="24"/>
        </w:rPr>
        <w:t>stwierdzeni</w:t>
      </w:r>
      <w:r w:rsidR="003067F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60333" w:rsidRPr="00D44D33">
        <w:rPr>
          <w:rFonts w:ascii="Times New Roman" w:eastAsiaTheme="minorEastAsia" w:hAnsi="Times New Roman" w:cs="Times New Roman"/>
          <w:sz w:val="24"/>
          <w:szCs w:val="24"/>
        </w:rPr>
        <w:t>bezpośredniego</w:t>
      </w:r>
      <w:r w:rsidR="00970B2E" w:rsidRPr="00D44D33">
        <w:rPr>
          <w:rFonts w:ascii="Times New Roman" w:eastAsiaTheme="minorEastAsia" w:hAnsi="Times New Roman" w:cs="Times New Roman"/>
          <w:sz w:val="24"/>
          <w:szCs w:val="24"/>
        </w:rPr>
        <w:t xml:space="preserve"> </w:t>
      </w:r>
      <w:r w:rsidR="00860333" w:rsidRPr="00D44D33">
        <w:rPr>
          <w:rFonts w:ascii="Times New Roman" w:eastAsia="Times New Roman" w:hAnsi="Times New Roman" w:cs="Times New Roman"/>
          <w:sz w:val="24"/>
          <w:szCs w:val="24"/>
        </w:rPr>
        <w:t>zagrożenia</w:t>
      </w:r>
      <w:r w:rsidR="00970B2E" w:rsidRPr="00D44D33">
        <w:rPr>
          <w:rFonts w:ascii="Times New Roman" w:eastAsia="Times New Roman" w:hAnsi="Times New Roman" w:cs="Times New Roman"/>
          <w:sz w:val="24"/>
          <w:szCs w:val="24"/>
        </w:rPr>
        <w:t xml:space="preserve"> </w:t>
      </w:r>
      <w:r w:rsidR="0086033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860333" w:rsidRPr="00D44D33">
        <w:rPr>
          <w:rFonts w:ascii="Times New Roman" w:eastAsia="Times New Roman" w:hAnsi="Times New Roman" w:cs="Times New Roman"/>
          <w:sz w:val="24"/>
          <w:szCs w:val="24"/>
        </w:rPr>
        <w:t>krótkim</w:t>
      </w:r>
      <w:r w:rsidR="00970B2E" w:rsidRPr="00D44D33">
        <w:rPr>
          <w:rFonts w:ascii="Times New Roman" w:eastAsia="Times New Roman" w:hAnsi="Times New Roman" w:cs="Times New Roman"/>
          <w:sz w:val="24"/>
          <w:szCs w:val="24"/>
        </w:rPr>
        <w:t xml:space="preserve"> </w:t>
      </w:r>
      <w:r w:rsidR="00860333" w:rsidRPr="00D44D33">
        <w:rPr>
          <w:rFonts w:ascii="Times New Roman" w:eastAsia="Times New Roman" w:hAnsi="Times New Roman" w:cs="Times New Roman"/>
          <w:sz w:val="24"/>
          <w:szCs w:val="24"/>
        </w:rPr>
        <w:t>czasie</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naruszenia</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interoperacyjności</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ciągłości</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3463F4C"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00D008A2"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003067F6"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3067F6"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00D008A2" w:rsidRPr="00D44D33">
        <w:rPr>
          <w:rFonts w:ascii="Times New Roman" w:eastAsia="Times New Roman" w:hAnsi="Times New Roman" w:cs="Times New Roman"/>
          <w:sz w:val="24"/>
          <w:szCs w:val="24"/>
        </w:rPr>
        <w:t>jeśli</w:t>
      </w:r>
      <w:r w:rsidR="00970B2E" w:rsidRPr="00D44D33">
        <w:rPr>
          <w:rFonts w:ascii="Times New Roman" w:eastAsia="Times New Roman" w:hAnsi="Times New Roman" w:cs="Times New Roman"/>
          <w:sz w:val="24"/>
          <w:szCs w:val="24"/>
        </w:rPr>
        <w:t xml:space="preserve"> </w:t>
      </w:r>
      <w:r w:rsidR="00D008A2" w:rsidRPr="00D44D33">
        <w:rPr>
          <w:rFonts w:ascii="Times New Roman" w:eastAsia="Times New Roman" w:hAnsi="Times New Roman" w:cs="Times New Roman"/>
          <w:sz w:val="24"/>
          <w:szCs w:val="24"/>
        </w:rPr>
        <w:t>naruszenie</w:t>
      </w:r>
      <w:r w:rsidR="00970B2E" w:rsidRPr="00D44D33">
        <w:rPr>
          <w:rFonts w:ascii="Times New Roman" w:eastAsia="Times New Roman" w:hAnsi="Times New Roman" w:cs="Times New Roman"/>
          <w:sz w:val="24"/>
          <w:szCs w:val="24"/>
        </w:rPr>
        <w:t xml:space="preserve"> </w:t>
      </w:r>
      <w:r w:rsidR="00D008A2"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00D008A2" w:rsidRPr="00D44D33">
        <w:rPr>
          <w:rFonts w:ascii="Times New Roman" w:eastAsia="Times New Roman" w:hAnsi="Times New Roman" w:cs="Times New Roman"/>
          <w:sz w:val="24"/>
          <w:szCs w:val="24"/>
        </w:rPr>
        <w:t>wystąpiło</w:t>
      </w:r>
      <w:r w:rsidR="00970B2E" w:rsidRPr="00D44D33">
        <w:rPr>
          <w:rFonts w:ascii="Times New Roman" w:eastAsia="Times New Roman" w:hAnsi="Times New Roman" w:cs="Times New Roman"/>
          <w:sz w:val="24"/>
          <w:szCs w:val="24"/>
        </w:rPr>
        <w:t xml:space="preserve"> </w:t>
      </w:r>
      <w:r w:rsidR="007D543B"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7D543B" w:rsidRPr="00D44D33">
        <w:rPr>
          <w:rFonts w:ascii="Times New Roman" w:eastAsia="Times New Roman" w:hAnsi="Times New Roman" w:cs="Times New Roman"/>
          <w:sz w:val="24"/>
          <w:szCs w:val="24"/>
        </w:rPr>
        <w:t>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zachodzić</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upadłości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C4477" w:rsidRPr="00D44D33">
        <w:rPr>
          <w:rFonts w:ascii="Times New Roman" w:eastAsiaTheme="minorEastAsia" w:hAnsi="Times New Roman" w:cs="Times New Roman"/>
          <w:sz w:val="24"/>
          <w:szCs w:val="24"/>
        </w:rPr>
        <w:t>skutkującej</w:t>
      </w:r>
      <w:r w:rsidR="00970B2E" w:rsidRPr="00D44D33">
        <w:rPr>
          <w:rFonts w:ascii="Times New Roman" w:eastAsiaTheme="minorEastAsia" w:hAnsi="Times New Roman" w:cs="Times New Roman"/>
          <w:sz w:val="24"/>
          <w:szCs w:val="24"/>
        </w:rPr>
        <w:t xml:space="preserve"> </w:t>
      </w:r>
      <w:r w:rsidR="006C4477" w:rsidRPr="00D44D33">
        <w:rPr>
          <w:rFonts w:ascii="Times New Roman" w:eastAsiaTheme="minorEastAsia" w:hAnsi="Times New Roman" w:cs="Times New Roman"/>
          <w:sz w:val="24"/>
          <w:szCs w:val="24"/>
        </w:rPr>
        <w:t>brakiem</w:t>
      </w:r>
      <w:r w:rsidR="00970B2E" w:rsidRPr="00D44D33">
        <w:rPr>
          <w:rFonts w:ascii="Times New Roman" w:eastAsiaTheme="minorEastAsia" w:hAnsi="Times New Roman" w:cs="Times New Roman"/>
          <w:sz w:val="24"/>
          <w:szCs w:val="24"/>
        </w:rPr>
        <w:t xml:space="preserve"> </w:t>
      </w:r>
      <w:r w:rsidR="006C4477"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6C4477"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C447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C4477" w:rsidRPr="00D44D33">
        <w:rPr>
          <w:rFonts w:ascii="Times New Roman" w:eastAsiaTheme="minorEastAsia" w:hAnsi="Times New Roman" w:cs="Times New Roman"/>
          <w:sz w:val="24"/>
          <w:szCs w:val="24"/>
        </w:rPr>
        <w:t>abonentom.</w:t>
      </w:r>
    </w:p>
    <w:p w14:paraId="79DDD01B" w14:textId="0D9CA382" w:rsidR="005708C7" w:rsidRPr="00D44D33" w:rsidRDefault="74140D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C</w:t>
      </w:r>
      <w:r w:rsidR="00805650" w:rsidRPr="00D44D33">
        <w:rPr>
          <w:rFonts w:ascii="Times New Roman" w:eastAsiaTheme="minorEastAsia" w:hAnsi="Times New Roman" w:cs="Times New Roman"/>
          <w:sz w:val="24"/>
          <w:szCs w:val="24"/>
        </w:rPr>
        <w:t>ofnięcie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poprzedzone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wezwaniem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przyczyn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stwierdzonych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nieprawidłowości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cofnięciu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w:t>
      </w:r>
      <w:r w:rsidR="147684E3" w:rsidRPr="00D44D33">
        <w:rPr>
          <w:rFonts w:ascii="Times New Roman" w:eastAsiaTheme="minorEastAsia" w:hAnsi="Times New Roman" w:cs="Times New Roman"/>
          <w:sz w:val="24"/>
          <w:szCs w:val="24"/>
        </w:rPr>
        <w:t>awa</w:t>
      </w:r>
      <w:r w:rsidR="00970B2E" w:rsidRPr="00D44D33">
        <w:rPr>
          <w:rFonts w:ascii="Times New Roman" w:eastAsiaTheme="minorEastAsia" w:hAnsi="Times New Roman" w:cs="Times New Roman"/>
          <w:sz w:val="24"/>
          <w:szCs w:val="24"/>
        </w:rPr>
        <w:t xml:space="preserve"> </w:t>
      </w:r>
      <w:r w:rsidR="147684E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47684E3"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147684E3"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147684E3"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ECEB467"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D30869" w:rsidRPr="00D44D33">
        <w:rPr>
          <w:rFonts w:ascii="Times New Roman" w:eastAsiaTheme="minorEastAsia" w:hAnsi="Times New Roman" w:cs="Times New Roman"/>
          <w:sz w:val="24"/>
          <w:szCs w:val="24"/>
        </w:rPr>
        <w:t>uwzględniać</w:t>
      </w:r>
      <w:r w:rsidR="00970B2E" w:rsidRPr="00D44D33">
        <w:rPr>
          <w:rFonts w:ascii="Times New Roman" w:eastAsiaTheme="minorEastAsia" w:hAnsi="Times New Roman" w:cs="Times New Roman"/>
          <w:sz w:val="24"/>
          <w:szCs w:val="24"/>
        </w:rPr>
        <w:t xml:space="preserve"> </w:t>
      </w:r>
      <w:r w:rsidR="00D30869"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D30869"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0ECEB467"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555F52A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wydaniem</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prowadzącej</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konsultacyjne.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bezpośrednie</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krótkim</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wymagającego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pilnego</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708C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ogłosił</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upadłość</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zaprzestał</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abonentom</w:t>
      </w:r>
      <w:r w:rsidR="005708C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znacząco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opóźniłoby</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podjęcie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zmierzających</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innemu</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7D543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szybkiego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przywrócenia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stanie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upadłości.</w:t>
      </w:r>
    </w:p>
    <w:p w14:paraId="4D85A3BA" w14:textId="755BBC71" w:rsidR="00F13920" w:rsidRPr="00D44D33" w:rsidRDefault="49167F8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6702F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odstępstwa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podstawowych</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cofnięcia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bezpośredniego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krótkim</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F13920" w:rsidRPr="00D44D33">
        <w:rPr>
          <w:rFonts w:ascii="Times New Roman" w:eastAsiaTheme="minorEastAsia" w:hAnsi="Times New Roman" w:cs="Times New Roman"/>
          <w:sz w:val="24"/>
          <w:szCs w:val="24"/>
        </w:rPr>
        <w:t>wystąpiło.</w:t>
      </w:r>
    </w:p>
    <w:p w14:paraId="1AE70398" w14:textId="044A371A" w:rsidR="49167F88" w:rsidRPr="00D44D33" w:rsidRDefault="00F1392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w:t>
      </w:r>
      <w:r w:rsidR="20F4D0F5" w:rsidRPr="00D44D33">
        <w:rPr>
          <w:rFonts w:ascii="Times New Roman" w:eastAsiaTheme="minorEastAsia" w:hAnsi="Times New Roman" w:cs="Times New Roman"/>
          <w:sz w:val="24"/>
          <w:szCs w:val="24"/>
        </w:rPr>
        <w:t>ardzo</w:t>
      </w:r>
      <w:r w:rsidR="00970B2E" w:rsidRPr="00D44D33">
        <w:rPr>
          <w:rFonts w:ascii="Times New Roman" w:eastAsiaTheme="minorEastAsia" w:hAnsi="Times New Roman" w:cs="Times New Roman"/>
          <w:sz w:val="24"/>
          <w:szCs w:val="24"/>
        </w:rPr>
        <w:t xml:space="preserve"> </w:t>
      </w:r>
      <w:r w:rsidR="20F4D0F5" w:rsidRPr="00D44D33">
        <w:rPr>
          <w:rFonts w:ascii="Times New Roman" w:eastAsiaTheme="minorEastAsia" w:hAnsi="Times New Roman" w:cs="Times New Roman"/>
          <w:sz w:val="24"/>
          <w:szCs w:val="24"/>
        </w:rPr>
        <w:t>ważne</w:t>
      </w:r>
      <w:r w:rsidR="00970B2E" w:rsidRPr="00D44D33">
        <w:rPr>
          <w:rFonts w:ascii="Times New Roman" w:eastAsiaTheme="minorEastAsia" w:hAnsi="Times New Roman" w:cs="Times New Roman"/>
          <w:sz w:val="24"/>
          <w:szCs w:val="24"/>
        </w:rPr>
        <w:t xml:space="preserve"> </w:t>
      </w:r>
      <w:r w:rsidR="20F4D0F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0F4D0F5"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3AF2786C"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2DB632CC"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AF2786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7D039EF3"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3AF2786C" w:rsidRPr="00D44D33">
        <w:rPr>
          <w:rFonts w:ascii="Times New Roman" w:eastAsiaTheme="minorEastAsia" w:hAnsi="Times New Roman" w:cs="Times New Roman"/>
          <w:sz w:val="24"/>
          <w:szCs w:val="24"/>
        </w:rPr>
        <w:t>przeprowadzone</w:t>
      </w:r>
      <w:r w:rsidR="00970B2E" w:rsidRPr="00D44D33">
        <w:rPr>
          <w:rFonts w:ascii="Times New Roman" w:eastAsiaTheme="minorEastAsia" w:hAnsi="Times New Roman" w:cs="Times New Roman"/>
          <w:sz w:val="24"/>
          <w:szCs w:val="24"/>
        </w:rPr>
        <w:t xml:space="preserve"> </w:t>
      </w:r>
      <w:r w:rsidR="3AF2786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194B00E"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4194B00E" w:rsidRPr="00D44D33">
        <w:rPr>
          <w:rFonts w:ascii="Times New Roman" w:eastAsiaTheme="minorEastAsia" w:hAnsi="Times New Roman" w:cs="Times New Roman"/>
          <w:sz w:val="24"/>
          <w:szCs w:val="24"/>
        </w:rPr>
        <w:t>najkrótszym</w:t>
      </w:r>
      <w:r w:rsidR="00970B2E" w:rsidRPr="00D44D33">
        <w:rPr>
          <w:rFonts w:ascii="Times New Roman" w:eastAsiaTheme="minorEastAsia" w:hAnsi="Times New Roman" w:cs="Times New Roman"/>
          <w:sz w:val="24"/>
          <w:szCs w:val="24"/>
        </w:rPr>
        <w:t xml:space="preserve"> </w:t>
      </w:r>
      <w:r w:rsidR="3AF2786C" w:rsidRPr="00D44D33">
        <w:rPr>
          <w:rFonts w:ascii="Times New Roman" w:eastAsiaTheme="minorEastAsia" w:hAnsi="Times New Roman" w:cs="Times New Roman"/>
          <w:sz w:val="24"/>
          <w:szCs w:val="24"/>
        </w:rPr>
        <w:t>czasie</w:t>
      </w:r>
      <w:r w:rsidR="79ADFC4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może</w:t>
      </w:r>
      <w:r w:rsidR="006702F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cofając</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numeracji</w:t>
      </w:r>
      <w:r w:rsidR="006702F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pominąć</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wezwania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pominąć</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przetargowej</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przyznawaniu</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innemu</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2E27AEC3"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2E27AEC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E27AEC3" w:rsidRPr="00D44D33">
        <w:rPr>
          <w:rFonts w:ascii="Times New Roman" w:eastAsiaTheme="minorEastAsia" w:hAnsi="Times New Roman" w:cs="Times New Roman"/>
          <w:sz w:val="24"/>
          <w:szCs w:val="24"/>
        </w:rPr>
        <w:t>przy</w:t>
      </w:r>
      <w:r w:rsidR="000746D3" w:rsidRPr="00D44D33">
        <w:rPr>
          <w:rFonts w:ascii="Times New Roman" w:eastAsiaTheme="minorEastAsia" w:hAnsi="Times New Roman" w:cs="Times New Roman"/>
          <w:sz w:val="24"/>
          <w:szCs w:val="24"/>
        </w:rPr>
        <w:t>znaje</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0746D3"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numeracj</w:t>
      </w:r>
      <w:r w:rsidR="000746D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telekomunikacyjnemu</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2C164896" w:rsidRPr="00D44D33">
        <w:rPr>
          <w:rFonts w:ascii="Times New Roman" w:eastAsiaTheme="minorEastAsia" w:hAnsi="Times New Roman" w:cs="Times New Roman"/>
          <w:sz w:val="24"/>
          <w:szCs w:val="24"/>
        </w:rPr>
        <w:t>przesłanki</w:t>
      </w:r>
      <w:r w:rsidR="1E9821B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702F6" w:rsidRPr="00D44D33">
        <w:rPr>
          <w:rFonts w:ascii="Times New Roman" w:eastAsiaTheme="minorEastAsia" w:hAnsi="Times New Roman" w:cs="Times New Roman"/>
          <w:sz w:val="24"/>
          <w:szCs w:val="24"/>
        </w:rPr>
        <w:t xml:space="preserve">ust. 6 </w:t>
      </w:r>
      <w:r w:rsidR="1E9821B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przyjmowania</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kierowania</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przydzielanego</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bloku</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liczbę</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przeniesionych</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bloków</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cofnął</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liczbę</w:t>
      </w:r>
      <w:r w:rsidR="00970B2E" w:rsidRPr="00D44D33">
        <w:rPr>
          <w:rFonts w:ascii="Times New Roman" w:eastAsiaTheme="minorEastAsia" w:hAnsi="Times New Roman" w:cs="Times New Roman"/>
          <w:sz w:val="24"/>
          <w:szCs w:val="24"/>
        </w:rPr>
        <w:t xml:space="preserve"> </w:t>
      </w:r>
      <w:r w:rsidR="410B9AF2"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410B9AF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strefie</w:t>
      </w:r>
      <w:r w:rsidR="00970B2E" w:rsidRPr="00D44D33">
        <w:rPr>
          <w:rFonts w:ascii="Times New Roman" w:eastAsiaTheme="minorEastAsia" w:hAnsi="Times New Roman" w:cs="Times New Roman"/>
          <w:sz w:val="24"/>
          <w:szCs w:val="24"/>
        </w:rPr>
        <w:t xml:space="preserve"> </w:t>
      </w:r>
      <w:r w:rsidR="1E9821B8" w:rsidRPr="00D44D33">
        <w:rPr>
          <w:rFonts w:ascii="Times New Roman" w:eastAsiaTheme="minorEastAsia" w:hAnsi="Times New Roman" w:cs="Times New Roman"/>
          <w:sz w:val="24"/>
          <w:szCs w:val="24"/>
        </w:rPr>
        <w:t>numer</w:t>
      </w:r>
      <w:r w:rsidR="051A5E50" w:rsidRPr="00D44D33">
        <w:rPr>
          <w:rFonts w:ascii="Times New Roman" w:eastAsiaTheme="minorEastAsia" w:hAnsi="Times New Roman" w:cs="Times New Roman"/>
          <w:sz w:val="24"/>
          <w:szCs w:val="24"/>
        </w:rPr>
        <w:t>acyjnej</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bloku</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sąsiadującym</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przydzielanym</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blokiem</w:t>
      </w:r>
      <w:r w:rsidR="00970B2E" w:rsidRPr="00D44D33">
        <w:rPr>
          <w:rFonts w:ascii="Times New Roman" w:eastAsiaTheme="minorEastAsia" w:hAnsi="Times New Roman" w:cs="Times New Roman"/>
          <w:sz w:val="24"/>
          <w:szCs w:val="24"/>
        </w:rPr>
        <w:t xml:space="preserve"> </w:t>
      </w:r>
      <w:r w:rsidR="051A5E50"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p>
    <w:p w14:paraId="2B819CB6" w14:textId="5B593C27" w:rsidR="3E03CDC1" w:rsidRPr="00D44D33" w:rsidRDefault="3E03CDC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11D5CB54"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11D5CB54" w:rsidRPr="00D44D33">
        <w:rPr>
          <w:rFonts w:ascii="Times New Roman" w:eastAsiaTheme="minorEastAsia" w:hAnsi="Times New Roman" w:cs="Times New Roman"/>
          <w:sz w:val="24"/>
          <w:szCs w:val="24"/>
        </w:rPr>
        <w:t>UKE</w:t>
      </w:r>
      <w:r w:rsidR="006702F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702F6" w:rsidRPr="00D44D33">
        <w:rPr>
          <w:rFonts w:ascii="Times New Roman" w:eastAsiaTheme="minorEastAsia" w:hAnsi="Times New Roman" w:cs="Times New Roman"/>
          <w:sz w:val="24"/>
          <w:szCs w:val="24"/>
        </w:rPr>
        <w:t xml:space="preserve">w </w:t>
      </w:r>
      <w:r w:rsidR="11D5CB54" w:rsidRPr="00D44D33">
        <w:rPr>
          <w:rFonts w:ascii="Times New Roman" w:eastAsiaTheme="minorEastAsia" w:hAnsi="Times New Roman" w:cs="Times New Roman"/>
          <w:sz w:val="24"/>
          <w:szCs w:val="24"/>
        </w:rPr>
        <w:t>cel</w:t>
      </w:r>
      <w:r w:rsidR="006702F6"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58FF796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2B26B8AC" w:rsidRPr="00D44D33">
        <w:rPr>
          <w:rFonts w:ascii="Times New Roman" w:eastAsiaTheme="minorEastAsia" w:hAnsi="Times New Roman" w:cs="Times New Roman"/>
          <w:sz w:val="24"/>
          <w:szCs w:val="24"/>
        </w:rPr>
        <w:t>przejmującego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751C7" w:rsidRPr="00D44D33">
        <w:rPr>
          <w:rFonts w:ascii="Times New Roman" w:eastAsiaTheme="minorEastAsia" w:hAnsi="Times New Roman" w:cs="Times New Roman"/>
          <w:sz w:val="24"/>
          <w:szCs w:val="24"/>
        </w:rPr>
        <w:t>7</w:t>
      </w:r>
      <w:r w:rsidRPr="00D44D33">
        <w:rPr>
          <w:rFonts w:ascii="Times New Roman" w:eastAsiaTheme="minorEastAsia" w:hAnsi="Times New Roman" w:cs="Times New Roman"/>
          <w:sz w:val="24"/>
          <w:szCs w:val="24"/>
        </w:rPr>
        <w:t>)</w:t>
      </w:r>
      <w:r w:rsidR="76E84E02" w:rsidRPr="00D44D33">
        <w:rPr>
          <w:rFonts w:ascii="Times New Roman" w:eastAsiaTheme="minorEastAsia" w:hAnsi="Times New Roman" w:cs="Times New Roman"/>
          <w:sz w:val="24"/>
          <w:szCs w:val="24"/>
        </w:rPr>
        <w:t>.</w:t>
      </w:r>
    </w:p>
    <w:p w14:paraId="2665B854" w14:textId="525D7319" w:rsidR="00B751C7" w:rsidRPr="00D44D33" w:rsidRDefault="00B751C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cofnął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przedsiębiorca</w:t>
      </w:r>
      <w:r w:rsidR="20961F4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w:t>
      </w:r>
      <w:r w:rsidR="00970B2E" w:rsidRPr="00D44D33">
        <w:rPr>
          <w:rFonts w:ascii="Times New Roman" w:eastAsiaTheme="minorEastAsia" w:hAnsi="Times New Roman" w:cs="Times New Roman"/>
          <w:sz w:val="24"/>
          <w:szCs w:val="24"/>
        </w:rPr>
        <w:t xml:space="preserve"> </w:t>
      </w:r>
      <w:r w:rsidR="005D49E2" w:rsidRPr="00D44D33">
        <w:rPr>
          <w:rFonts w:ascii="Times New Roman" w:eastAsiaTheme="minorEastAsia" w:hAnsi="Times New Roman" w:cs="Times New Roman"/>
          <w:sz w:val="24"/>
          <w:szCs w:val="24"/>
        </w:rPr>
        <w:t>P</w:t>
      </w:r>
      <w:r w:rsidRPr="00D44D33">
        <w:rPr>
          <w:rFonts w:ascii="Times New Roman" w:eastAsiaTheme="minorEastAsia" w:hAnsi="Times New Roman" w:cs="Times New Roman"/>
          <w:sz w:val="24"/>
          <w:szCs w:val="24"/>
        </w:rPr>
        <w:t>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672BD6AE"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bookmarkStart w:id="4" w:name="_GoBack"/>
      <w:bookmarkEnd w:id="4"/>
    </w:p>
    <w:p w14:paraId="055CA544"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78D90CFC"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1CA14342" w14:textId="197D5957" w:rsidR="006702F6" w:rsidRPr="00D44D33" w:rsidRDefault="2EAB23E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15385A" w:rsidRPr="00D44D33">
        <w:rPr>
          <w:rFonts w:ascii="Times New Roman" w:eastAsiaTheme="minorEastAsia" w:hAnsi="Times New Roman" w:cs="Times New Roman"/>
          <w:b/>
          <w:bCs/>
          <w:sz w:val="24"/>
          <w:szCs w:val="24"/>
        </w:rPr>
        <w:t>162</w:t>
      </w:r>
    </w:p>
    <w:p w14:paraId="275D2990" w14:textId="70C22445" w:rsidR="00805650" w:rsidRPr="00D44D33" w:rsidRDefault="006702F6" w:rsidP="00D44D33">
      <w:pPr>
        <w:spacing w:before="120" w:after="120" w:line="360" w:lineRule="auto"/>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D</w:t>
      </w:r>
      <w:r w:rsidR="00CC6835" w:rsidRPr="00D44D33">
        <w:rPr>
          <w:rFonts w:ascii="Times New Roman" w:eastAsiaTheme="minorEastAsia" w:hAnsi="Times New Roman" w:cs="Times New Roman"/>
          <w:bCs/>
          <w:sz w:val="24"/>
          <w:szCs w:val="24"/>
        </w:rPr>
        <w:t>elegacje</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ustawowe</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wydania</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rozporządzeń</w:t>
      </w:r>
      <w:r w:rsidR="00D62CF8" w:rsidRPr="00D44D33">
        <w:rPr>
          <w:rFonts w:ascii="Times New Roman" w:eastAsiaTheme="minorEastAsia" w:hAnsi="Times New Roman" w:cs="Times New Roman"/>
          <w:bCs/>
          <w:sz w:val="24"/>
          <w:szCs w:val="24"/>
        </w:rPr>
        <w:t>.</w:t>
      </w:r>
    </w:p>
    <w:p w14:paraId="3C1031E2" w14:textId="132B52CE"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162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merytoryczne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tabeli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schematy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transgranicznego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F51F53"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odrębnym</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akcie</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wykonawczym</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124BB1C6" w:rsidRPr="00D44D33">
        <w:rPr>
          <w:rFonts w:ascii="Times New Roman" w:eastAsiaTheme="minorEastAsia" w:hAnsi="Times New Roman" w:cs="Times New Roman"/>
          <w:sz w:val="24"/>
          <w:szCs w:val="24"/>
        </w:rPr>
        <w:t>numeracją.</w:t>
      </w:r>
      <w:r w:rsidR="00970B2E" w:rsidRPr="00D44D33">
        <w:rPr>
          <w:rFonts w:ascii="Times New Roman" w:eastAsiaTheme="minorEastAsia" w:hAnsi="Times New Roman" w:cs="Times New Roman"/>
          <w:sz w:val="24"/>
          <w:szCs w:val="24"/>
        </w:rPr>
        <w:t xml:space="preserve"> </w:t>
      </w:r>
      <w:r w:rsidR="52C7B368"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52C7B368" w:rsidRPr="00D44D33">
        <w:rPr>
          <w:rFonts w:ascii="Times New Roman" w:eastAsiaTheme="minorEastAsia" w:hAnsi="Times New Roman" w:cs="Times New Roman"/>
          <w:sz w:val="24"/>
          <w:szCs w:val="24"/>
        </w:rPr>
        <w:t>fakultatywna</w:t>
      </w:r>
      <w:r w:rsidR="00970B2E" w:rsidRPr="00D44D33">
        <w:rPr>
          <w:rFonts w:ascii="Times New Roman" w:eastAsiaTheme="minorEastAsia" w:hAnsi="Times New Roman" w:cs="Times New Roman"/>
          <w:sz w:val="24"/>
          <w:szCs w:val="24"/>
        </w:rPr>
        <w:t xml:space="preserve"> </w:t>
      </w:r>
      <w:r w:rsidR="52C7B368" w:rsidRPr="00D44D33">
        <w:rPr>
          <w:rFonts w:ascii="Times New Roman" w:eastAsiaTheme="minorEastAsia" w:hAnsi="Times New Roman" w:cs="Times New Roman"/>
          <w:sz w:val="24"/>
          <w:szCs w:val="24"/>
        </w:rPr>
        <w:t>delegacja</w:t>
      </w:r>
      <w:r w:rsidR="00970B2E" w:rsidRPr="00D44D33">
        <w:rPr>
          <w:rFonts w:ascii="Times New Roman" w:eastAsiaTheme="minorEastAsia" w:hAnsi="Times New Roman" w:cs="Times New Roman"/>
          <w:sz w:val="24"/>
          <w:szCs w:val="24"/>
        </w:rPr>
        <w:t xml:space="preserve"> </w:t>
      </w:r>
      <w:r w:rsidR="52C7B368" w:rsidRPr="00D44D33">
        <w:rPr>
          <w:rFonts w:ascii="Times New Roman" w:eastAsiaTheme="minorEastAsia" w:hAnsi="Times New Roman" w:cs="Times New Roman"/>
          <w:sz w:val="24"/>
          <w:szCs w:val="24"/>
        </w:rPr>
        <w:t>ustawowa</w:t>
      </w:r>
      <w:r w:rsidR="00970B2E" w:rsidRPr="00D44D33">
        <w:rPr>
          <w:rFonts w:ascii="Times New Roman" w:eastAsiaTheme="minorEastAsia" w:hAnsi="Times New Roman" w:cs="Times New Roman"/>
          <w:sz w:val="24"/>
          <w:szCs w:val="24"/>
        </w:rPr>
        <w:t xml:space="preserve"> </w:t>
      </w:r>
      <w:r w:rsidR="52C7B36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2C7B36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73BB5"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4165B19F"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szczegółowych</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adresowania</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kierowania</w:t>
      </w:r>
      <w:r w:rsidR="00970B2E" w:rsidRPr="00D44D33">
        <w:rPr>
          <w:rFonts w:ascii="Times New Roman" w:eastAsiaTheme="minorEastAsia" w:hAnsi="Times New Roman" w:cs="Times New Roman"/>
          <w:sz w:val="24"/>
          <w:szCs w:val="24"/>
        </w:rPr>
        <w:t xml:space="preserve"> </w:t>
      </w:r>
      <w:r w:rsidR="5017CF91" w:rsidRPr="00D44D33">
        <w:rPr>
          <w:rFonts w:ascii="Times New Roman" w:eastAsiaTheme="minorEastAsia" w:hAnsi="Times New Roman" w:cs="Times New Roman"/>
          <w:sz w:val="24"/>
          <w:szCs w:val="24"/>
        </w:rPr>
        <w:t>połączeń</w:t>
      </w:r>
      <w:r w:rsidR="150B2E0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punktów</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sygnalizacyjnych</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two</w:t>
      </w:r>
      <w:r w:rsidR="150B2E01" w:rsidRPr="00D44D33">
        <w:rPr>
          <w:rFonts w:ascii="Times New Roman" w:eastAsiaTheme="minorEastAsia" w:hAnsi="Times New Roman" w:cs="Times New Roman"/>
          <w:sz w:val="24"/>
          <w:szCs w:val="24"/>
        </w:rPr>
        <w:lastRenderedPageBreak/>
        <w:t>rzenia</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znaków</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identyfikujących</w:t>
      </w:r>
      <w:r w:rsidR="00970B2E" w:rsidRPr="00D44D33">
        <w:rPr>
          <w:rFonts w:ascii="Times New Roman" w:eastAsiaTheme="minorEastAsia" w:hAnsi="Times New Roman" w:cs="Times New Roman"/>
          <w:sz w:val="24"/>
          <w:szCs w:val="24"/>
        </w:rPr>
        <w:t xml:space="preserve"> </w:t>
      </w:r>
      <w:r w:rsidR="150B2E01"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73BB5"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poinformowania</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krajowej</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przeznaczonym</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transgranicznego</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U</w:t>
      </w:r>
      <w:r w:rsidR="00F51F53"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interpersonalnej.</w:t>
      </w:r>
    </w:p>
    <w:p w14:paraId="1BB7D917" w14:textId="59DA4F8F" w:rsidR="00F51F53" w:rsidRPr="00D44D33" w:rsidRDefault="277EAFD3"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bCs/>
          <w:sz w:val="24"/>
          <w:szCs w:val="24"/>
        </w:rPr>
        <w:t>Art</w:t>
      </w:r>
      <w:r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b/>
          <w:sz w:val="24"/>
          <w:szCs w:val="24"/>
        </w:rPr>
        <w:t xml:space="preserve"> </w:t>
      </w:r>
      <w:r w:rsidR="0015385A" w:rsidRPr="00D44D33">
        <w:rPr>
          <w:rFonts w:ascii="Times New Roman" w:eastAsiaTheme="minorEastAsia" w:hAnsi="Times New Roman" w:cs="Times New Roman"/>
          <w:b/>
          <w:sz w:val="24"/>
          <w:szCs w:val="24"/>
        </w:rPr>
        <w:t>163</w:t>
      </w:r>
    </w:p>
    <w:p w14:paraId="54568A42" w14:textId="619DD1F6" w:rsidR="00805650" w:rsidRPr="00D44D33" w:rsidRDefault="00CC6835" w:rsidP="00D44D33">
      <w:pPr>
        <w:spacing w:before="120" w:after="120" w:line="360" w:lineRule="auto"/>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Tablice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F51F53" w:rsidRPr="00D44D33">
        <w:rPr>
          <w:rFonts w:ascii="Times New Roman" w:eastAsiaTheme="minorEastAsia" w:hAnsi="Times New Roman" w:cs="Times New Roman"/>
          <w:sz w:val="24"/>
          <w:szCs w:val="24"/>
        </w:rPr>
        <w:t>.</w:t>
      </w:r>
    </w:p>
    <w:p w14:paraId="1702FA0B" w14:textId="272B0834"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163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opracowywania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Tablic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gmin</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strefach</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numeracyjnych,</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463B81"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nieodpłatnego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p>
    <w:p w14:paraId="3FB15426" w14:textId="3608EABD" w:rsidR="00F51F53" w:rsidRPr="00D44D33" w:rsidRDefault="7C0AB099"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15385A" w:rsidRPr="00D44D33">
        <w:rPr>
          <w:rFonts w:ascii="Times New Roman" w:eastAsiaTheme="minorEastAsia" w:hAnsi="Times New Roman" w:cs="Times New Roman"/>
          <w:b/>
          <w:bCs/>
          <w:sz w:val="24"/>
          <w:szCs w:val="24"/>
        </w:rPr>
        <w:t>164</w:t>
      </w:r>
    </w:p>
    <w:p w14:paraId="683F3955" w14:textId="7E8CC7CB" w:rsidR="00805650" w:rsidRPr="00D44D33" w:rsidRDefault="00F51F53" w:rsidP="00D44D33">
      <w:pPr>
        <w:spacing w:before="120" w:after="120" w:line="360" w:lineRule="auto"/>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U</w:t>
      </w:r>
      <w:r w:rsidR="00CC6835" w:rsidRPr="00D44D33">
        <w:rPr>
          <w:rFonts w:ascii="Times New Roman" w:eastAsiaTheme="minorEastAsia" w:hAnsi="Times New Roman" w:cs="Times New Roman"/>
          <w:bCs/>
          <w:sz w:val="24"/>
          <w:szCs w:val="24"/>
        </w:rPr>
        <w:t>dostępnianie</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zasobów</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numeracji</w:t>
      </w:r>
      <w:r w:rsidRPr="00D44D33">
        <w:rPr>
          <w:rFonts w:ascii="Times New Roman" w:eastAsiaTheme="minorEastAsia" w:hAnsi="Times New Roman" w:cs="Times New Roman"/>
          <w:bCs/>
          <w:sz w:val="24"/>
          <w:szCs w:val="24"/>
        </w:rPr>
        <w:t>.</w:t>
      </w:r>
    </w:p>
    <w:p w14:paraId="5C875AB4" w14:textId="01EE3B59"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164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utrudnienia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dodanie</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1C83D0C4"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67DD6A50" w:rsidRPr="00D44D33">
        <w:rPr>
          <w:rFonts w:ascii="Times New Roman" w:eastAsiaTheme="minorEastAsia" w:hAnsi="Times New Roman" w:cs="Times New Roman"/>
          <w:sz w:val="24"/>
          <w:szCs w:val="24"/>
        </w:rPr>
        <w:t>t</w:t>
      </w:r>
      <w:r w:rsidR="2103A663" w:rsidRPr="00D44D33">
        <w:rPr>
          <w:rFonts w:ascii="Times New Roman" w:eastAsiaTheme="minorEastAsia" w:hAnsi="Times New Roman" w:cs="Times New Roman"/>
          <w:sz w:val="24"/>
          <w:szCs w:val="24"/>
        </w:rPr>
        <w:t>reś</w:t>
      </w:r>
      <w:r w:rsidR="039CEDC5" w:rsidRPr="00D44D33">
        <w:rPr>
          <w:rFonts w:ascii="Times New Roman" w:eastAsiaTheme="minorEastAsia" w:hAnsi="Times New Roman" w:cs="Times New Roman"/>
          <w:sz w:val="24"/>
          <w:szCs w:val="24"/>
        </w:rPr>
        <w:t>ci</w:t>
      </w:r>
      <w:r w:rsidR="00970B2E" w:rsidRPr="00D44D33">
        <w:rPr>
          <w:rFonts w:ascii="Times New Roman" w:eastAsiaTheme="minorEastAsia" w:hAnsi="Times New Roman" w:cs="Times New Roman"/>
          <w:sz w:val="24"/>
          <w:szCs w:val="24"/>
        </w:rPr>
        <w:t xml:space="preserve"> </w:t>
      </w:r>
      <w:r w:rsidR="2103A66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F3763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p>
    <w:p w14:paraId="119A4F11" w14:textId="097C72A6" w:rsidR="00F51F53" w:rsidRPr="00D44D33" w:rsidRDefault="45AC463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15385A" w:rsidRPr="00D44D33">
        <w:rPr>
          <w:rFonts w:ascii="Times New Roman" w:eastAsiaTheme="minorEastAsia" w:hAnsi="Times New Roman" w:cs="Times New Roman"/>
          <w:b/>
          <w:bCs/>
          <w:sz w:val="24"/>
          <w:szCs w:val="24"/>
        </w:rPr>
        <w:t>165</w:t>
      </w:r>
    </w:p>
    <w:p w14:paraId="4FAF89A6" w14:textId="63DAD2F3" w:rsidR="465737A0" w:rsidRPr="00151494" w:rsidRDefault="00F51F53" w:rsidP="00D44D33">
      <w:pPr>
        <w:spacing w:before="120" w:after="120" w:line="360" w:lineRule="auto"/>
        <w:rPr>
          <w:rFonts w:ascii="Times New Roman" w:eastAsiaTheme="minorEastAsia" w:hAnsi="Times New Roman" w:cs="Times New Roman"/>
          <w:bCs/>
          <w:sz w:val="24"/>
          <w:szCs w:val="24"/>
        </w:rPr>
      </w:pPr>
      <w:r w:rsidRPr="00151494">
        <w:rPr>
          <w:rFonts w:ascii="Times New Roman" w:eastAsiaTheme="minorEastAsia" w:hAnsi="Times New Roman" w:cs="Times New Roman"/>
          <w:bCs/>
          <w:sz w:val="24"/>
          <w:szCs w:val="24"/>
        </w:rPr>
        <w:t>N</w:t>
      </w:r>
      <w:r w:rsidR="00CC6835" w:rsidRPr="00151494">
        <w:rPr>
          <w:rFonts w:ascii="Times New Roman" w:eastAsiaTheme="minorEastAsia" w:hAnsi="Times New Roman" w:cs="Times New Roman"/>
          <w:bCs/>
          <w:sz w:val="24"/>
          <w:szCs w:val="24"/>
        </w:rPr>
        <w:t>umer</w:t>
      </w:r>
      <w:r w:rsidR="00970B2E" w:rsidRPr="00151494">
        <w:rPr>
          <w:rFonts w:ascii="Times New Roman" w:eastAsiaTheme="minorEastAsia" w:hAnsi="Times New Roman" w:cs="Times New Roman"/>
          <w:bCs/>
          <w:sz w:val="24"/>
          <w:szCs w:val="24"/>
        </w:rPr>
        <w:t xml:space="preserve"> </w:t>
      </w:r>
      <w:r w:rsidR="00CC6835" w:rsidRPr="00151494">
        <w:rPr>
          <w:rFonts w:ascii="Times New Roman" w:eastAsiaTheme="minorEastAsia" w:hAnsi="Times New Roman" w:cs="Times New Roman"/>
          <w:bCs/>
          <w:sz w:val="24"/>
          <w:szCs w:val="24"/>
        </w:rPr>
        <w:t>112</w:t>
      </w:r>
      <w:r w:rsidRPr="00151494">
        <w:rPr>
          <w:rFonts w:ascii="Times New Roman" w:eastAsiaTheme="minorEastAsia" w:hAnsi="Times New Roman" w:cs="Times New Roman"/>
          <w:bCs/>
          <w:sz w:val="24"/>
          <w:szCs w:val="24"/>
        </w:rPr>
        <w:t>.</w:t>
      </w:r>
    </w:p>
    <w:p w14:paraId="1C40927A" w14:textId="6F15B8FD"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6EEADCC7" w:rsidRPr="00D44D33">
        <w:rPr>
          <w:rFonts w:ascii="Times New Roman" w:eastAsiaTheme="minorEastAsia" w:hAnsi="Times New Roman" w:cs="Times New Roman"/>
          <w:sz w:val="24"/>
          <w:szCs w:val="24"/>
        </w:rPr>
        <w:t>145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alarmowy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powołanych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rozpoczynające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zharmonizowane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społecznym.</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numerami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bezpłatne.</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0015385A"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zwiększania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świadomości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społecznej</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wiedzy</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116000</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infolinii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umożliwiającej</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zgłaszanie</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przypadków</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zaginięcia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dzieci)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116111</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telefonu</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zaufania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C633F8" w:rsidRPr="00D44D33">
        <w:rPr>
          <w:rFonts w:ascii="Times New Roman" w:eastAsiaTheme="minorEastAsia" w:hAnsi="Times New Roman" w:cs="Times New Roman"/>
          <w:sz w:val="24"/>
          <w:szCs w:val="24"/>
        </w:rPr>
        <w:t>dzieci)</w:t>
      </w:r>
      <w:r w:rsidRPr="00D44D33">
        <w:rPr>
          <w:rFonts w:ascii="Times New Roman" w:eastAsiaTheme="minorEastAsia" w:hAnsi="Times New Roman" w:cs="Times New Roman"/>
          <w:sz w:val="24"/>
          <w:szCs w:val="24"/>
        </w:rPr>
        <w:t>.</w:t>
      </w:r>
    </w:p>
    <w:p w14:paraId="128557A1" w14:textId="02FD0999" w:rsidR="00F51F53" w:rsidRPr="00D44D33" w:rsidRDefault="692EDAF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56AAC" w:rsidRPr="00D44D33">
        <w:rPr>
          <w:rFonts w:ascii="Times New Roman" w:eastAsiaTheme="minorEastAsia" w:hAnsi="Times New Roman" w:cs="Times New Roman"/>
          <w:b/>
          <w:bCs/>
          <w:sz w:val="24"/>
          <w:szCs w:val="24"/>
        </w:rPr>
        <w:t>166</w:t>
      </w:r>
    </w:p>
    <w:p w14:paraId="74401EBF" w14:textId="55DED3BC" w:rsidR="54F58A26" w:rsidRPr="00D44D33" w:rsidRDefault="00F51F53" w:rsidP="00D44D33">
      <w:pPr>
        <w:spacing w:before="120" w:after="120" w:line="360" w:lineRule="auto"/>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O</w:t>
      </w:r>
      <w:r w:rsidR="00CC6835" w:rsidRPr="00D44D33">
        <w:rPr>
          <w:rFonts w:ascii="Times New Roman" w:eastAsiaTheme="minorEastAsia" w:hAnsi="Times New Roman" w:cs="Times New Roman"/>
          <w:bCs/>
          <w:sz w:val="24"/>
          <w:szCs w:val="24"/>
        </w:rPr>
        <w:t>dpowiednie</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stosowanie</w:t>
      </w:r>
      <w:r w:rsidR="00970B2E" w:rsidRPr="00D44D33">
        <w:rPr>
          <w:rFonts w:ascii="Times New Roman" w:eastAsiaTheme="minorEastAsia" w:hAnsi="Times New Roman" w:cs="Times New Roman"/>
          <w:bCs/>
          <w:sz w:val="24"/>
          <w:szCs w:val="24"/>
        </w:rPr>
        <w:t xml:space="preserve"> </w:t>
      </w:r>
      <w:r w:rsidR="00CC6835" w:rsidRPr="00D44D33">
        <w:rPr>
          <w:rFonts w:ascii="Times New Roman" w:eastAsiaTheme="minorEastAsia" w:hAnsi="Times New Roman" w:cs="Times New Roman"/>
          <w:bCs/>
          <w:sz w:val="24"/>
          <w:szCs w:val="24"/>
        </w:rPr>
        <w:t>przepisów</w:t>
      </w:r>
      <w:r w:rsidRPr="00D44D33">
        <w:rPr>
          <w:rFonts w:ascii="Times New Roman" w:eastAsiaTheme="minorEastAsia" w:hAnsi="Times New Roman" w:cs="Times New Roman"/>
          <w:bCs/>
          <w:sz w:val="24"/>
          <w:szCs w:val="24"/>
        </w:rPr>
        <w:t>.</w:t>
      </w:r>
    </w:p>
    <w:p w14:paraId="5AE869B7" w14:textId="4065E648"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C1EA8EB" w:rsidRPr="00D44D33">
        <w:rPr>
          <w:rFonts w:ascii="Times New Roman" w:eastAsiaTheme="minorEastAsia" w:hAnsi="Times New Roman" w:cs="Times New Roman"/>
          <w:sz w:val="24"/>
          <w:szCs w:val="24"/>
        </w:rPr>
        <w:t>146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udostępnienia.</w:t>
      </w:r>
    </w:p>
    <w:p w14:paraId="27BED229" w14:textId="139ADACD" w:rsidR="00F51F53" w:rsidRPr="00D44D33" w:rsidRDefault="42B9CB1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56AAC" w:rsidRPr="00D44D33">
        <w:rPr>
          <w:rFonts w:ascii="Times New Roman" w:eastAsiaTheme="minorEastAsia" w:hAnsi="Times New Roman" w:cs="Times New Roman"/>
          <w:b/>
          <w:bCs/>
          <w:sz w:val="24"/>
          <w:szCs w:val="24"/>
        </w:rPr>
        <w:t>167</w:t>
      </w:r>
    </w:p>
    <w:p w14:paraId="212C73B7" w14:textId="36C8AC7C" w:rsidR="00365F2B" w:rsidRPr="00D44D33" w:rsidDel="00A831A9" w:rsidRDefault="00F51F53" w:rsidP="00D44D33">
      <w:pPr>
        <w:spacing w:before="120" w:after="120" w:line="360" w:lineRule="auto"/>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lastRenderedPageBreak/>
        <w:t>Z</w:t>
      </w:r>
      <w:r w:rsidR="0003381A" w:rsidRPr="00D44D33">
        <w:rPr>
          <w:rFonts w:ascii="Times New Roman" w:eastAsiaTheme="minorEastAsia" w:hAnsi="Times New Roman" w:cs="Times New Roman"/>
          <w:bCs/>
          <w:sz w:val="24"/>
          <w:szCs w:val="24"/>
        </w:rPr>
        <w:t>miana</w:t>
      </w:r>
      <w:r w:rsidR="00970B2E" w:rsidRPr="00D44D33">
        <w:rPr>
          <w:rFonts w:ascii="Times New Roman" w:eastAsiaTheme="minorEastAsia" w:hAnsi="Times New Roman" w:cs="Times New Roman"/>
          <w:bCs/>
          <w:sz w:val="24"/>
          <w:szCs w:val="24"/>
        </w:rPr>
        <w:t xml:space="preserve"> </w:t>
      </w:r>
      <w:r w:rsidR="0003381A" w:rsidRPr="00D44D33">
        <w:rPr>
          <w:rFonts w:ascii="Times New Roman" w:eastAsiaTheme="minorEastAsia" w:hAnsi="Times New Roman" w:cs="Times New Roman"/>
          <w:bCs/>
          <w:sz w:val="24"/>
          <w:szCs w:val="24"/>
        </w:rPr>
        <w:t>numeracji</w:t>
      </w:r>
      <w:r w:rsidRPr="00D44D33">
        <w:rPr>
          <w:rFonts w:ascii="Times New Roman" w:eastAsiaTheme="minorEastAsia" w:hAnsi="Times New Roman" w:cs="Times New Roman"/>
          <w:bCs/>
          <w:sz w:val="24"/>
          <w:szCs w:val="24"/>
        </w:rPr>
        <w:t>.</w:t>
      </w:r>
    </w:p>
    <w:p w14:paraId="17ECAE04" w14:textId="369BF0AF" w:rsidR="00696205" w:rsidRPr="00D44D33" w:rsidRDefault="00805650"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Art</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56AAC" w:rsidRPr="00D44D33">
        <w:rPr>
          <w:rFonts w:ascii="Times New Roman" w:eastAsiaTheme="minorEastAsia" w:hAnsi="Times New Roman" w:cs="Times New Roman"/>
          <w:sz w:val="24"/>
          <w:szCs w:val="24"/>
        </w:rPr>
        <w:t>167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regulowane</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4CDB7F"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wprowadzają</w:t>
      </w:r>
      <w:r w:rsidR="00970B2E" w:rsidRPr="00D44D33">
        <w:rPr>
          <w:rFonts w:ascii="Times New Roman" w:eastAsiaTheme="minorEastAsia" w:hAnsi="Times New Roman" w:cs="Times New Roman"/>
          <w:sz w:val="24"/>
          <w:szCs w:val="24"/>
        </w:rPr>
        <w:t xml:space="preserve"> </w:t>
      </w:r>
      <w:r w:rsidR="5DC801F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DC801F2"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5DC801F2"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istotnych</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3E0964A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F51F53" w:rsidRPr="00D44D33">
        <w:rPr>
          <w:rFonts w:ascii="Times New Roman" w:eastAsiaTheme="minorEastAsia" w:hAnsi="Times New Roman" w:cs="Times New Roman"/>
          <w:sz w:val="24"/>
          <w:szCs w:val="24"/>
        </w:rPr>
        <w:t>Przepis u</w:t>
      </w:r>
      <w:r w:rsidRPr="00D44D33">
        <w:rPr>
          <w:rFonts w:ascii="Times New Roman" w:eastAsiaTheme="minorEastAsia" w:hAnsi="Times New Roman" w:cs="Times New Roman"/>
          <w:sz w:val="24"/>
          <w:szCs w:val="24"/>
        </w:rPr>
        <w:t>st</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przebudowy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rozbudowy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eksploatowanej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wyprzedzeniem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piśmie</w:t>
      </w:r>
      <w:r w:rsidR="32B1DF8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korespondencyjny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wyprzedzeniem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90-dniowym.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Skrócenie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korespondencyjnego,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56AAC" w:rsidRPr="00D44D33">
        <w:rPr>
          <w:rFonts w:ascii="Times New Roman" w:eastAsiaTheme="minorEastAsia" w:hAnsi="Times New Roman" w:cs="Times New Roman"/>
          <w:sz w:val="24"/>
          <w:szCs w:val="24"/>
        </w:rPr>
        <w:t>284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56AAC" w:rsidRPr="00D44D33">
        <w:rPr>
          <w:rFonts w:ascii="Times New Roman" w:eastAsiaTheme="minorEastAsia" w:hAnsi="Times New Roman" w:cs="Times New Roman"/>
          <w:sz w:val="24"/>
          <w:szCs w:val="24"/>
        </w:rPr>
        <w:t>2</w:t>
      </w:r>
      <w:r w:rsidR="00F51F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3381A"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w:t>
      </w:r>
      <w:r w:rsidRPr="00D44D33">
        <w:rPr>
          <w:rFonts w:ascii="Times New Roman" w:eastAsiaTheme="minorEastAsia" w:hAnsi="Times New Roman" w:cs="Times New Roman"/>
          <w:sz w:val="24"/>
          <w:szCs w:val="24"/>
        </w:rPr>
        <w:lastRenderedPageBreak/>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automatycznej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słownej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poprzednimi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0003381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3381A" w:rsidRPr="00D44D33">
        <w:rPr>
          <w:rFonts w:ascii="Times New Roman" w:eastAsiaTheme="minorEastAsia" w:hAnsi="Times New Roman" w:cs="Times New Roman"/>
          <w:sz w:val="24"/>
          <w:szCs w:val="24"/>
        </w:rPr>
        <w:t>6)</w:t>
      </w:r>
      <w:r w:rsidRPr="00D44D33">
        <w:rPr>
          <w:rFonts w:ascii="Times New Roman" w:eastAsiaTheme="minorEastAsia" w:hAnsi="Times New Roman" w:cs="Times New Roman"/>
          <w:sz w:val="24"/>
          <w:szCs w:val="24"/>
        </w:rPr>
        <w:t>.</w:t>
      </w:r>
    </w:p>
    <w:p w14:paraId="61CCEE54" w14:textId="176D3CAC" w:rsidR="00177269" w:rsidRPr="00D44D33" w:rsidRDefault="00365F2B"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D</w:t>
      </w:r>
      <w:r w:rsidR="00F51F53" w:rsidRPr="00D44D33">
        <w:rPr>
          <w:rFonts w:ascii="Times New Roman" w:hAnsi="Times New Roman"/>
          <w:lang w:eastAsia="en-US"/>
        </w:rPr>
        <w:t>ział</w:t>
      </w:r>
      <w:r w:rsidR="00970B2E" w:rsidRPr="00D44D33">
        <w:rPr>
          <w:rFonts w:ascii="Times New Roman" w:hAnsi="Times New Roman"/>
          <w:lang w:eastAsia="en-US"/>
        </w:rPr>
        <w:t xml:space="preserve"> </w:t>
      </w:r>
      <w:r w:rsidRPr="00D44D33">
        <w:rPr>
          <w:rFonts w:ascii="Times New Roman" w:hAnsi="Times New Roman"/>
        </w:rPr>
        <w:t>III</w:t>
      </w:r>
    </w:p>
    <w:p w14:paraId="6DDC7AE9" w14:textId="65F9F34D" w:rsidR="00365F2B" w:rsidRPr="00D44D33" w:rsidRDefault="00365F2B"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Dostęp</w:t>
      </w:r>
      <w:r w:rsidR="00F51F53" w:rsidRPr="00D44D33">
        <w:rPr>
          <w:rFonts w:ascii="Times New Roman" w:hAnsi="Times New Roman"/>
          <w:lang w:eastAsia="en-US"/>
        </w:rPr>
        <w:t xml:space="preserve"> telekomunikacyjny</w:t>
      </w:r>
    </w:p>
    <w:p w14:paraId="3E6423F9" w14:textId="276C9075" w:rsidR="00A831A9" w:rsidRPr="00D44D33" w:rsidRDefault="00A831A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otwartego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istnieć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sobą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TFUE.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kreowania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ogólnoeuropejskiego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cechującego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wierze.</w:t>
      </w:r>
    </w:p>
    <w:p w14:paraId="22C4CD84" w14:textId="54BD56D1" w:rsidR="00A831A9" w:rsidRPr="00D44D33" w:rsidRDefault="00A831A9"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różnice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cudzej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gwarantowałyby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wzajemnych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okażą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bezowocne.</w:t>
      </w:r>
    </w:p>
    <w:p w14:paraId="735DD4A7" w14:textId="7EB882F0" w:rsidR="00177269" w:rsidRPr="00D44D33" w:rsidRDefault="00365F2B"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F51F53"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1</w:t>
      </w:r>
    </w:p>
    <w:p w14:paraId="57D55A69" w14:textId="481C986C" w:rsidR="00A831A9" w:rsidRPr="00D44D33" w:rsidRDefault="00A831A9"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Zasady</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zapewnienia</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dostępu</w:t>
      </w:r>
      <w:r w:rsidR="00F51F53" w:rsidRPr="00D44D33">
        <w:rPr>
          <w:rFonts w:ascii="Times New Roman" w:hAnsi="Times New Roman" w:cs="Times New Roman"/>
          <w:b/>
          <w:lang w:eastAsia="en-US"/>
        </w:rPr>
        <w:t xml:space="preserve"> telekomunikacyjnego</w:t>
      </w:r>
    </w:p>
    <w:p w14:paraId="2EFA4CA1" w14:textId="0C4F3ED3" w:rsidR="00A831A9" w:rsidRPr="00D44D33" w:rsidDel="00E2246B" w:rsidRDefault="00A831A9" w:rsidP="00D44D33">
      <w:pPr>
        <w:spacing w:before="120" w:after="120" w:line="360" w:lineRule="auto"/>
        <w:jc w:val="center"/>
        <w:rPr>
          <w:rFonts w:ascii="Times New Roman" w:eastAsiaTheme="minorEastAsia" w:hAnsi="Times New Roman" w:cs="Times New Roman"/>
          <w:sz w:val="24"/>
          <w:szCs w:val="24"/>
          <w:shd w:val="clear" w:color="auto" w:fill="FFFFFF"/>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6</w:t>
      </w:r>
      <w:r w:rsidRPr="00D44D33">
        <w:rPr>
          <w:rFonts w:ascii="Times New Roman" w:eastAsiaTheme="minorEastAsia" w:hAnsi="Times New Roman" w:cs="Times New Roman"/>
          <w:b/>
          <w:bCs/>
          <w:sz w:val="24"/>
          <w:szCs w:val="24"/>
        </w:rPr>
        <w:t>8</w:t>
      </w:r>
    </w:p>
    <w:p w14:paraId="535A9833" w14:textId="68DC2DB5" w:rsidR="00A831A9" w:rsidRPr="00D44D33" w:rsidRDefault="00A831A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Zasadą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51F53"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nieważności.</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obowiązaną</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formą</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forma</w:t>
      </w:r>
      <w:r w:rsidR="00970B2E" w:rsidRPr="00D44D33">
        <w:rPr>
          <w:rFonts w:ascii="Times New Roman" w:eastAsiaTheme="minorEastAsia" w:hAnsi="Times New Roman" w:cs="Times New Roman"/>
          <w:sz w:val="24"/>
          <w:szCs w:val="24"/>
        </w:rPr>
        <w:t xml:space="preserve"> </w:t>
      </w:r>
      <w:r w:rsidR="00CC1B14" w:rsidRPr="00D44D33">
        <w:rPr>
          <w:rFonts w:ascii="Times New Roman" w:eastAsiaTheme="minorEastAsia" w:hAnsi="Times New Roman" w:cs="Times New Roman"/>
          <w:sz w:val="24"/>
          <w:szCs w:val="24"/>
        </w:rPr>
        <w:t>pisemna.</w:t>
      </w:r>
    </w:p>
    <w:p w14:paraId="558DC2F4" w14:textId="519803A0" w:rsidR="00A831A9" w:rsidRPr="00D44D33" w:rsidRDefault="00A831A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Forma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1964</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Kodeks</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cywilny</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202</w:t>
      </w:r>
      <w:r w:rsidR="00F51F53"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1</w:t>
      </w:r>
      <w:r w:rsidR="00F51F53" w:rsidRPr="00D44D33">
        <w:rPr>
          <w:rFonts w:ascii="Times New Roman" w:eastAsiaTheme="minorEastAsia" w:hAnsi="Times New Roman" w:cs="Times New Roman"/>
          <w:sz w:val="24"/>
          <w:szCs w:val="24"/>
        </w:rPr>
        <w:t>360</w:t>
      </w:r>
      <w:r w:rsidR="00862484" w:rsidRPr="00D44D33">
        <w:rPr>
          <w:rFonts w:ascii="Times New Roman" w:eastAsiaTheme="minorEastAsia" w:hAnsi="Times New Roman" w:cs="Times New Roman"/>
          <w:sz w:val="24"/>
          <w:szCs w:val="24"/>
        </w:rPr>
        <w:t>, z późn. zm.)</w:t>
      </w:r>
      <w:r w:rsidR="00CC5D2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zwanego</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7068D2" w:rsidRPr="00D44D33">
        <w:rPr>
          <w:rFonts w:ascii="Times New Roman" w:eastAsiaTheme="minorEastAsia" w:hAnsi="Times New Roman" w:cs="Times New Roman"/>
          <w:sz w:val="24"/>
          <w:szCs w:val="24"/>
        </w:rPr>
        <w:t>„</w:t>
      </w:r>
      <w:r w:rsidR="008908C9" w:rsidRPr="00D44D33">
        <w:rPr>
          <w:rFonts w:ascii="Times New Roman" w:eastAsiaTheme="minorEastAsia" w:hAnsi="Times New Roman" w:cs="Times New Roman"/>
          <w:sz w:val="24"/>
          <w:szCs w:val="24"/>
        </w:rPr>
        <w:t>K</w:t>
      </w:r>
      <w:r w:rsidR="00F94297" w:rsidRPr="00D44D33">
        <w:rPr>
          <w:rFonts w:ascii="Times New Roman" w:eastAsiaTheme="minorEastAsia" w:hAnsi="Times New Roman" w:cs="Times New Roman"/>
          <w:sz w:val="24"/>
          <w:szCs w:val="24"/>
        </w:rPr>
        <w:t>c</w:t>
      </w:r>
      <w:r w:rsidR="00CC5D2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zmierzające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myśl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773</w:t>
      </w:r>
      <w:r w:rsidR="00970B2E" w:rsidRPr="00D44D33">
        <w:rPr>
          <w:rFonts w:ascii="Times New Roman" w:eastAsiaTheme="minorEastAsia" w:hAnsi="Times New Roman" w:cs="Times New Roman"/>
          <w:sz w:val="24"/>
          <w:szCs w:val="24"/>
        </w:rPr>
        <w:t xml:space="preserve"> </w:t>
      </w:r>
      <w:r w:rsidR="00CC5D25" w:rsidRPr="00D44D33">
        <w:rPr>
          <w:rFonts w:ascii="Times New Roman" w:eastAsiaTheme="minorEastAsia" w:hAnsi="Times New Roman" w:cs="Times New Roman"/>
          <w:sz w:val="24"/>
          <w:szCs w:val="24"/>
        </w:rPr>
        <w:t>K</w:t>
      </w:r>
      <w:r w:rsidR="00F94297"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nieważności.</w:t>
      </w:r>
    </w:p>
    <w:p w14:paraId="3A7CF018" w14:textId="6553D632" w:rsidR="00A831A9" w:rsidRPr="00D44D33" w:rsidRDefault="00A831A9"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lastRenderedPageBreak/>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Kc</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dojdą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z dnia 7 maja 2010 r. o wspieraniu rozwoju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wieczyści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zarządcy.</w:t>
      </w:r>
    </w:p>
    <w:p w14:paraId="6613A04F" w14:textId="529AB835" w:rsidR="002455CA" w:rsidRPr="00D44D33" w:rsidRDefault="00894C3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6</w:t>
      </w:r>
      <w:r w:rsidRPr="00D44D33">
        <w:rPr>
          <w:rFonts w:ascii="Times New Roman" w:eastAsiaTheme="minorEastAsia" w:hAnsi="Times New Roman" w:cs="Times New Roman"/>
          <w:b/>
          <w:bCs/>
          <w:sz w:val="24"/>
          <w:szCs w:val="24"/>
        </w:rPr>
        <w:t>9</w:t>
      </w:r>
    </w:p>
    <w:p w14:paraId="19F9DD81" w14:textId="5C6F6A03" w:rsidR="002455CA" w:rsidRPr="00D44D33" w:rsidRDefault="002455C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169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w:t>
      </w:r>
      <w:r w:rsidR="00894C34" w:rsidRPr="00D44D33">
        <w:rPr>
          <w:rFonts w:ascii="Times New Roman" w:eastAsiaTheme="minorEastAsia" w:hAnsi="Times New Roman" w:cs="Times New Roman"/>
          <w:sz w:val="24"/>
          <w:szCs w:val="24"/>
        </w:rPr>
        <w:t>niania</w:t>
      </w:r>
      <w:r w:rsidR="00970B2E" w:rsidRPr="00D44D33">
        <w:rPr>
          <w:rFonts w:ascii="Times New Roman" w:eastAsiaTheme="minorEastAsia" w:hAnsi="Times New Roman" w:cs="Times New Roman"/>
          <w:sz w:val="24"/>
          <w:szCs w:val="24"/>
        </w:rPr>
        <w:t xml:space="preserve"> </w:t>
      </w:r>
      <w:r w:rsidR="00894C34"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spoczywającym</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w:t>
      </w:r>
      <w:r w:rsidR="00401436" w:rsidRPr="00D44D33">
        <w:rPr>
          <w:rFonts w:ascii="Times New Roman" w:eastAsiaTheme="minorEastAsia" w:hAnsi="Times New Roman" w:cs="Times New Roman"/>
          <w:sz w:val="24"/>
          <w:szCs w:val="24"/>
        </w:rPr>
        <w:t>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w:t>
      </w:r>
      <w:r w:rsidR="00401436"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ustawowe,</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symetryczne</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p>
    <w:p w14:paraId="21B3596F" w14:textId="55BF541B" w:rsidR="002455CA" w:rsidRPr="00D44D33" w:rsidRDefault="002455C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w:t>
      </w:r>
      <w:r w:rsidR="00894C34" w:rsidRPr="00D44D33">
        <w:rPr>
          <w:rFonts w:ascii="Times New Roman" w:eastAsiaTheme="minorEastAsia" w:hAnsi="Times New Roman" w:cs="Times New Roman"/>
          <w:sz w:val="24"/>
          <w:szCs w:val="24"/>
        </w:rPr>
        <w:t>ktowany</w:t>
      </w:r>
      <w:r w:rsidR="00970B2E" w:rsidRPr="00D44D33">
        <w:rPr>
          <w:rFonts w:ascii="Times New Roman" w:eastAsiaTheme="minorEastAsia" w:hAnsi="Times New Roman" w:cs="Times New Roman"/>
          <w:sz w:val="24"/>
          <w:szCs w:val="24"/>
        </w:rPr>
        <w:t xml:space="preserve"> </w:t>
      </w:r>
      <w:r w:rsidR="00894C3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169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poufności</w:t>
      </w:r>
      <w:r w:rsidR="0040143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zakończeniu</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787ABA4F" w14:textId="159EFA8D" w:rsidR="4FB16293" w:rsidRPr="00D44D33" w:rsidRDefault="00A831A9"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członkowskiego</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ubiegający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b/>
          <w:bCs/>
          <w:sz w:val="24"/>
          <w:szCs w:val="24"/>
        </w:rPr>
        <w:t xml:space="preserve"> </w:t>
      </w:r>
      <w:r w:rsidR="001C305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169</w:t>
      </w:r>
      <w:r w:rsidR="00970B2E" w:rsidRPr="00D44D33">
        <w:rPr>
          <w:rFonts w:ascii="Times New Roman" w:eastAsiaTheme="minorEastAsia" w:hAnsi="Times New Roman" w:cs="Times New Roman"/>
          <w:sz w:val="24"/>
          <w:szCs w:val="24"/>
          <w:vertAlign w:val="superscript"/>
        </w:rPr>
        <w:t xml:space="preserve"> </w:t>
      </w:r>
      <w:r w:rsidR="001C305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b/>
          <w:bCs/>
          <w:sz w:val="24"/>
          <w:szCs w:val="24"/>
        </w:rPr>
        <w:t xml:space="preserve"> </w:t>
      </w:r>
      <w:r w:rsidR="001C305E"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PT</w:t>
      </w:r>
      <w:r w:rsidR="001C305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lastRenderedPageBreak/>
        <w:t>wykonuje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odzwierciedla</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zawarty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59</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zdanie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drugie,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świadczący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ni</w:t>
      </w:r>
      <w:r w:rsidR="09E1F4BE" w:rsidRPr="00D44D33">
        <w:rPr>
          <w:rFonts w:ascii="Times New Roman" w:eastAsiaTheme="minorEastAsia" w:hAnsi="Times New Roman" w:cs="Times New Roman"/>
          <w:sz w:val="24"/>
          <w:szCs w:val="24"/>
        </w:rPr>
        <w:t>e</w:t>
      </w:r>
      <w:r w:rsidR="001C305E" w:rsidRPr="00D44D33">
        <w:rPr>
          <w:rFonts w:ascii="Times New Roman" w:eastAsiaTheme="minorEastAsia" w:hAnsi="Times New Roman" w:cs="Times New Roman"/>
          <w:sz w:val="24"/>
          <w:szCs w:val="24"/>
        </w:rPr>
        <w:t>obsługujący</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państwie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członkowskim</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ogólnemu</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zezwoleniu.</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podobnym</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brzmieniu</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funkcjonował</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już</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4FB16293" w:rsidRPr="00D44D33">
        <w:rPr>
          <w:rFonts w:ascii="Times New Roman" w:eastAsia="Times New Roman" w:hAnsi="Times New Roman" w:cs="Times New Roman"/>
          <w:sz w:val="24"/>
          <w:szCs w:val="24"/>
        </w:rPr>
        <w:t>26).</w:t>
      </w:r>
    </w:p>
    <w:p w14:paraId="174A5160" w14:textId="06B0D0AA" w:rsidR="00462FCB" w:rsidRPr="00D44D33" w:rsidRDefault="00894C3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70</w:t>
      </w:r>
    </w:p>
    <w:p w14:paraId="1920A047" w14:textId="45A1D691" w:rsidR="2D665749" w:rsidRPr="00D44D33" w:rsidRDefault="00B77EFB"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dążyć</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obrębie</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całej</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U</w:t>
      </w:r>
      <w:r w:rsidR="00501600" w:rsidRPr="00D44D33">
        <w:rPr>
          <w:rFonts w:ascii="Times New Roman" w:eastAsiaTheme="minorEastAsia" w:hAnsi="Times New Roman" w:cs="Times New Roman"/>
          <w:sz w:val="24"/>
          <w:szCs w:val="24"/>
        </w:rPr>
        <w:t>E</w:t>
      </w:r>
      <w:r w:rsidR="000A60FD" w:rsidRPr="00D44D33">
        <w:rPr>
          <w:rFonts w:ascii="Times New Roman" w:eastAsiaTheme="minorEastAsia" w:hAnsi="Times New Roman" w:cs="Times New Roman"/>
          <w:sz w:val="24"/>
          <w:szCs w:val="24"/>
        </w:rPr>
        <w:t>, uwzględniając jednocześnie zapewnienie ich interoperacyjności</w:t>
      </w:r>
      <w:r w:rsidR="00D0485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zjawiskiem</w:t>
      </w:r>
      <w:r w:rsidR="00970B2E" w:rsidRPr="00D44D33">
        <w:rPr>
          <w:rFonts w:ascii="Times New Roman" w:eastAsiaTheme="minorEastAsia" w:hAnsi="Times New Roman" w:cs="Times New Roman"/>
          <w:sz w:val="24"/>
          <w:szCs w:val="24"/>
        </w:rPr>
        <w:t xml:space="preserve"> </w:t>
      </w:r>
      <w:r w:rsidR="00B07D64" w:rsidRPr="00D44D33">
        <w:rPr>
          <w:rFonts w:ascii="Times New Roman" w:eastAsiaTheme="minorEastAsia" w:hAnsi="Times New Roman" w:cs="Times New Roman"/>
          <w:sz w:val="24"/>
          <w:szCs w:val="24"/>
        </w:rPr>
        <w:t>pożądanym</w:t>
      </w:r>
      <w:r w:rsidR="00A831A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korzyści</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przynosi</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00D04859" w:rsidRPr="00D44D33">
        <w:rPr>
          <w:rFonts w:ascii="Times New Roman" w:eastAsiaTheme="minorEastAsia" w:hAnsi="Times New Roman" w:cs="Times New Roman"/>
          <w:sz w:val="24"/>
          <w:szCs w:val="24"/>
        </w:rPr>
        <w:t>końcowym</w:t>
      </w:r>
      <w:r w:rsidR="001C305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94C34" w:rsidRPr="00D44D33">
        <w:rPr>
          <w:rFonts w:ascii="Times New Roman" w:eastAsiaTheme="minorEastAsia" w:hAnsi="Times New Roman" w:cs="Times New Roman"/>
          <w:sz w:val="24"/>
          <w:szCs w:val="24"/>
        </w:rPr>
        <w:t>Służy</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temu</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celowi</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1C305E"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przypadku</w:t>
      </w:r>
      <w:r w:rsidR="00894C3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wyrazi</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chęć</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operatorem</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Rzeczony</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towarzyszący</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9D1566"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60</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zdanie</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pierwsze</w:t>
      </w:r>
      <w:r w:rsidR="00970B2E" w:rsidRPr="00D44D33">
        <w:rPr>
          <w:rFonts w:ascii="Times New Roman" w:eastAsiaTheme="minorEastAsia" w:hAnsi="Times New Roman" w:cs="Times New Roman"/>
          <w:sz w:val="24"/>
          <w:szCs w:val="24"/>
        </w:rPr>
        <w:t xml:space="preserve"> </w:t>
      </w:r>
      <w:r w:rsidR="00462FCB"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B83E8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83E84"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7</w:t>
      </w:r>
      <w:r w:rsidR="00B83E84"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07D64" w:rsidRPr="00D44D33">
        <w:rPr>
          <w:rFonts w:ascii="Times New Roman" w:eastAsiaTheme="minorEastAsia" w:hAnsi="Times New Roman" w:cs="Times New Roman"/>
          <w:sz w:val="24"/>
          <w:szCs w:val="24"/>
        </w:rPr>
        <w:t>Pke</w:t>
      </w:r>
      <w:r w:rsidR="00FC606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Operator</w:t>
      </w:r>
      <w:r w:rsidR="00902B6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7</w:t>
      </w:r>
      <w:r w:rsidR="00902B6B"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negocjować</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C606A" w:rsidRPr="00D44D33">
        <w:rPr>
          <w:rFonts w:ascii="Times New Roman" w:eastAsiaTheme="minorEastAsia" w:hAnsi="Times New Roman" w:cs="Times New Roman"/>
          <w:sz w:val="24"/>
          <w:szCs w:val="24"/>
        </w:rPr>
        <w:t>dostę</w:t>
      </w:r>
      <w:r w:rsidR="00027C14" w:rsidRPr="00D44D33">
        <w:rPr>
          <w:rFonts w:ascii="Times New Roman" w:eastAsiaTheme="minorEastAsia" w:hAnsi="Times New Roman" w:cs="Times New Roman"/>
          <w:sz w:val="24"/>
          <w:szCs w:val="24"/>
        </w:rPr>
        <w:t>pie</w:t>
      </w:r>
      <w:r w:rsidR="00970B2E" w:rsidRPr="00D44D33">
        <w:rPr>
          <w:rFonts w:ascii="Times New Roman" w:eastAsiaTheme="minorEastAsia" w:hAnsi="Times New Roman" w:cs="Times New Roman"/>
          <w:sz w:val="24"/>
          <w:szCs w:val="24"/>
        </w:rPr>
        <w:t xml:space="preserve"> </w:t>
      </w:r>
      <w:r w:rsidR="00027C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27C14"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027C14"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00027C1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445296"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g</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źródło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r</w:t>
      </w:r>
      <w:r w:rsidR="00902B6B" w:rsidRPr="00D44D33">
        <w:rPr>
          <w:rFonts w:ascii="Times New Roman" w:eastAsiaTheme="minorEastAsia" w:hAnsi="Times New Roman" w:cs="Times New Roman"/>
          <w:sz w:val="24"/>
          <w:szCs w:val="24"/>
        </w:rPr>
        <w:t>ozporządzenia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 xml:space="preserve">z dnia 21 lipca 2008 r.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szczegółowych</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w:t>
      </w:r>
      <w:r w:rsidR="00371EEA">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919),</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wydanego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32</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podobnym</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brzmieniu</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funkcjonował</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już</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2D665749" w:rsidRPr="00D44D33">
        <w:rPr>
          <w:rFonts w:ascii="Times New Roman" w:eastAsia="Times New Roman" w:hAnsi="Times New Roman" w:cs="Times New Roman"/>
          <w:sz w:val="24"/>
          <w:szCs w:val="24"/>
        </w:rPr>
        <w:t>26a).</w:t>
      </w:r>
    </w:p>
    <w:p w14:paraId="13B17373" w14:textId="614E9516" w:rsidR="009D1566" w:rsidRPr="00D44D33" w:rsidRDefault="009D156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lastRenderedPageBreak/>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7</w:t>
      </w:r>
      <w:r w:rsidR="00894C34" w:rsidRPr="00D44D33">
        <w:rPr>
          <w:rFonts w:ascii="Times New Roman" w:eastAsiaTheme="minorEastAsia" w:hAnsi="Times New Roman" w:cs="Times New Roman"/>
          <w:b/>
          <w:bCs/>
          <w:sz w:val="24"/>
          <w:szCs w:val="24"/>
        </w:rPr>
        <w:t>1</w:t>
      </w:r>
    </w:p>
    <w:p w14:paraId="19A6CA56" w14:textId="03FCABFE" w:rsidR="009D1566" w:rsidRPr="00D44D33" w:rsidRDefault="009D1566"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w:t>
      </w:r>
      <w:r w:rsidR="00894C3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wyliczenie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0A60FD" w:rsidRPr="00D44D33">
        <w:rPr>
          <w:rFonts w:ascii="Times New Roman" w:eastAsiaTheme="minorEastAsia" w:hAnsi="Times New Roman" w:cs="Times New Roman"/>
          <w:sz w:val="24"/>
          <w:szCs w:val="24"/>
        </w:rPr>
        <w:t>e wskazanej w art. 170 umowie</w:t>
      </w:r>
      <w:r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p>
    <w:p w14:paraId="2EAD0AA1" w14:textId="0F5EEFCA" w:rsidR="009D1566" w:rsidRPr="00D44D33" w:rsidRDefault="009D1566" w:rsidP="00D44D33">
      <w:pPr>
        <w:numPr>
          <w:ilvl w:val="0"/>
          <w:numId w:val="44"/>
        </w:numPr>
        <w:spacing w:before="120" w:after="120" w:line="360" w:lineRule="auto"/>
        <w:ind w:left="709"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umiejscowienia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501600" w:rsidRPr="00D44D33">
        <w:rPr>
          <w:rFonts w:ascii="Times New Roman" w:eastAsiaTheme="minorEastAsia" w:hAnsi="Times New Roman" w:cs="Times New Roman"/>
          <w:sz w:val="24"/>
          <w:szCs w:val="24"/>
        </w:rPr>
        <w:t>,</w:t>
      </w:r>
    </w:p>
    <w:p w14:paraId="3F7D7D9B" w14:textId="4821DAEB" w:rsidR="009D1566" w:rsidRPr="00D44D33" w:rsidRDefault="009D1566" w:rsidP="00D44D33">
      <w:pPr>
        <w:numPr>
          <w:ilvl w:val="0"/>
          <w:numId w:val="44"/>
        </w:numPr>
        <w:spacing w:before="120" w:after="120" w:line="360" w:lineRule="auto"/>
        <w:ind w:left="709"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501600" w:rsidRPr="00D44D33">
        <w:rPr>
          <w:rFonts w:ascii="Times New Roman" w:eastAsiaTheme="minorEastAsia" w:hAnsi="Times New Roman" w:cs="Times New Roman"/>
          <w:sz w:val="24"/>
          <w:szCs w:val="24"/>
        </w:rPr>
        <w:t>,</w:t>
      </w:r>
    </w:p>
    <w:p w14:paraId="4C488936" w14:textId="55D84E99" w:rsidR="009D1566" w:rsidRPr="00D44D33" w:rsidRDefault="009D1566" w:rsidP="00D44D33">
      <w:pPr>
        <w:numPr>
          <w:ilvl w:val="0"/>
          <w:numId w:val="44"/>
        </w:numPr>
        <w:spacing w:before="120" w:after="120" w:line="360" w:lineRule="auto"/>
        <w:ind w:left="709"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rozliczeń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nienależytego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501600" w:rsidRPr="00D44D33">
        <w:rPr>
          <w:rFonts w:ascii="Times New Roman" w:eastAsiaTheme="minorEastAsia" w:hAnsi="Times New Roman" w:cs="Times New Roman"/>
          <w:sz w:val="24"/>
          <w:szCs w:val="24"/>
        </w:rPr>
        <w:t>,</w:t>
      </w:r>
    </w:p>
    <w:p w14:paraId="15C4B7A8" w14:textId="664C2CA1" w:rsidR="009D1566" w:rsidRPr="00D44D33" w:rsidRDefault="009D1566" w:rsidP="00D44D33">
      <w:pPr>
        <w:numPr>
          <w:ilvl w:val="0"/>
          <w:numId w:val="44"/>
        </w:numPr>
        <w:spacing w:before="120" w:after="120" w:line="360" w:lineRule="auto"/>
        <w:ind w:left="709"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wypełniania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integralności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awarii,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00B07D64"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B07D64"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r w:rsidR="00501600" w:rsidRPr="00D44D33">
        <w:rPr>
          <w:rFonts w:ascii="Times New Roman" w:eastAsiaTheme="minorEastAsia" w:hAnsi="Times New Roman" w:cs="Times New Roman"/>
          <w:sz w:val="24"/>
          <w:szCs w:val="24"/>
        </w:rPr>
        <w:t>,</w:t>
      </w:r>
    </w:p>
    <w:p w14:paraId="36C6761B" w14:textId="13590FA8" w:rsidR="009D1566" w:rsidRPr="00D44D33" w:rsidRDefault="009D1566" w:rsidP="00D44D33">
      <w:pPr>
        <w:numPr>
          <w:ilvl w:val="0"/>
          <w:numId w:val="44"/>
        </w:numPr>
        <w:spacing w:before="120" w:after="120" w:line="360" w:lineRule="auto"/>
        <w:ind w:left="709" w:hanging="425"/>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procedur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501600" w:rsidRPr="00D44D33">
        <w:rPr>
          <w:rFonts w:ascii="Times New Roman" w:eastAsiaTheme="minorEastAsia" w:hAnsi="Times New Roman" w:cs="Times New Roman"/>
          <w:sz w:val="24"/>
          <w:szCs w:val="24"/>
        </w:rPr>
        <w:t>,</w:t>
      </w:r>
    </w:p>
    <w:p w14:paraId="04C43722" w14:textId="3A2DC7DF" w:rsidR="009D1566" w:rsidRPr="00D44D33" w:rsidRDefault="009D1566" w:rsidP="00D44D33">
      <w:pPr>
        <w:numPr>
          <w:ilvl w:val="0"/>
          <w:numId w:val="44"/>
        </w:numPr>
        <w:spacing w:before="120" w:after="120" w:line="360" w:lineRule="auto"/>
        <w:ind w:left="709" w:hanging="425"/>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przebudowy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501600" w:rsidRPr="00D44D33">
        <w:rPr>
          <w:rFonts w:ascii="Times New Roman" w:eastAsiaTheme="minorEastAsia" w:hAnsi="Times New Roman" w:cs="Times New Roman"/>
          <w:sz w:val="24"/>
          <w:szCs w:val="24"/>
        </w:rPr>
        <w:t>,</w:t>
      </w:r>
      <w:r w:rsidR="00501600" w:rsidRPr="00D44D33" w:rsidDel="00501600">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501600" w:rsidRPr="00D44D33">
        <w:rPr>
          <w:rFonts w:ascii="Times New Roman" w:eastAsiaTheme="minorEastAsia" w:hAnsi="Times New Roman" w:cs="Times New Roman"/>
          <w:sz w:val="24"/>
          <w:szCs w:val="24"/>
        </w:rPr>
        <w:t>,</w:t>
      </w:r>
    </w:p>
    <w:p w14:paraId="7683CD1E" w14:textId="09598FC8" w:rsidR="009D1566" w:rsidRPr="00D44D33" w:rsidRDefault="009D1566" w:rsidP="00D44D33">
      <w:pPr>
        <w:numPr>
          <w:ilvl w:val="0"/>
          <w:numId w:val="44"/>
        </w:numPr>
        <w:spacing w:before="120" w:after="120" w:line="360" w:lineRule="auto"/>
        <w:ind w:left="709"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wzajemnie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w:t>
      </w:r>
      <w:r w:rsidR="00894C34" w:rsidRPr="00D44D33">
        <w:rPr>
          <w:rFonts w:ascii="Times New Roman" w:eastAsiaTheme="minorEastAsia" w:hAnsi="Times New Roman" w:cs="Times New Roman"/>
          <w:sz w:val="24"/>
          <w:szCs w:val="24"/>
        </w:rPr>
        <w:t>onych</w:t>
      </w:r>
      <w:r w:rsidR="00970B2E" w:rsidRPr="00D44D33">
        <w:rPr>
          <w:rFonts w:ascii="Times New Roman" w:eastAsiaTheme="minorEastAsia" w:hAnsi="Times New Roman" w:cs="Times New Roman"/>
          <w:sz w:val="24"/>
          <w:szCs w:val="24"/>
        </w:rPr>
        <w:t xml:space="preserve"> </w:t>
      </w:r>
      <w:r w:rsidR="00894C3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94C34" w:rsidRPr="00D44D33">
        <w:rPr>
          <w:rFonts w:ascii="Times New Roman" w:eastAsiaTheme="minorEastAsia" w:hAnsi="Times New Roman" w:cs="Times New Roman"/>
          <w:sz w:val="24"/>
          <w:szCs w:val="24"/>
        </w:rPr>
        <w:t>telekomunikacyjnych</w:t>
      </w:r>
      <w:r w:rsidR="00501600" w:rsidRPr="00D44D33">
        <w:rPr>
          <w:rFonts w:ascii="Times New Roman" w:eastAsiaTheme="minorEastAsia" w:hAnsi="Times New Roman" w:cs="Times New Roman"/>
          <w:sz w:val="24"/>
          <w:szCs w:val="24"/>
        </w:rPr>
        <w:t>,</w:t>
      </w:r>
    </w:p>
    <w:p w14:paraId="3960F9D3" w14:textId="1B6A2F63" w:rsidR="00894C34" w:rsidRPr="00D44D33" w:rsidRDefault="00894C34" w:rsidP="00D44D33">
      <w:pPr>
        <w:numPr>
          <w:ilvl w:val="0"/>
          <w:numId w:val="44"/>
        </w:numPr>
        <w:spacing w:before="120" w:after="120" w:line="360" w:lineRule="auto"/>
        <w:ind w:left="709"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p>
    <w:p w14:paraId="585CEC4B" w14:textId="5035876F" w:rsidR="00B07D64" w:rsidRPr="00D44D33" w:rsidRDefault="00B07D64" w:rsidP="00D44D33">
      <w:pPr>
        <w:spacing w:before="120" w:after="120" w:line="360" w:lineRule="auto"/>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podobnym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brzmieniu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funkcjonował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już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31).</w:t>
      </w:r>
    </w:p>
    <w:p w14:paraId="7FE1CE83" w14:textId="73BA0725" w:rsidR="00B07D64" w:rsidRPr="00D44D33" w:rsidRDefault="00B07D6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02B6B" w:rsidRPr="00D44D33">
        <w:rPr>
          <w:rFonts w:ascii="Times New Roman" w:eastAsiaTheme="minorEastAsia" w:hAnsi="Times New Roman" w:cs="Times New Roman"/>
          <w:sz w:val="24"/>
          <w:szCs w:val="24"/>
        </w:rPr>
        <w:t>edakcja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w:t>
      </w:r>
      <w:r w:rsidR="00902B6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70D3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dotychczasowej</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r</w:t>
      </w:r>
      <w:r w:rsidR="00902B6B" w:rsidRPr="00D44D33">
        <w:rPr>
          <w:rFonts w:ascii="Times New Roman" w:eastAsiaTheme="minorEastAsia" w:hAnsi="Times New Roman" w:cs="Times New Roman"/>
          <w:sz w:val="24"/>
          <w:szCs w:val="24"/>
        </w:rPr>
        <w:t>ozporządzeniu</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 xml:space="preserve">z dnia 21 lipca 2008 r.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szczegółowych</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telekomunikacyjnego</w:t>
      </w:r>
      <w:r w:rsidR="0017726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Przepis u</w:t>
      </w:r>
      <w:r w:rsidR="00902B6B" w:rsidRPr="00D44D33">
        <w:rPr>
          <w:rFonts w:ascii="Times New Roman" w:eastAsiaTheme="minorEastAsia" w:hAnsi="Times New Roman" w:cs="Times New Roman"/>
          <w:sz w:val="24"/>
          <w:szCs w:val="24"/>
        </w:rPr>
        <w:t>st</w:t>
      </w:r>
      <w:r w:rsidR="0050160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70D3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rządowy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8</w:t>
      </w:r>
      <w:r w:rsidR="00445296"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g</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rozbudową</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potrzebami</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p>
    <w:p w14:paraId="14BC6C8E" w14:textId="22351069" w:rsidR="00B07D64" w:rsidRPr="00D44D33" w:rsidRDefault="00B77EFB"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172</w:t>
      </w:r>
    </w:p>
    <w:p w14:paraId="1B9D4BE5" w14:textId="42B10AA8" w:rsidR="00726BCE" w:rsidRPr="00D44D33" w:rsidRDefault="00B07D6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50160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czasowego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odłączenia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02B6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zastrzeżeniu,</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użytkowniku</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spoczywa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poinformowania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fakcie</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przyłączony</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902B6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w:t>
      </w:r>
      <w:r w:rsidR="00726BCE" w:rsidRPr="00D44D33">
        <w:rPr>
          <w:rFonts w:ascii="Times New Roman" w:eastAsiaTheme="minorEastAsia" w:hAnsi="Times New Roman" w:cs="Times New Roman"/>
          <w:sz w:val="24"/>
          <w:szCs w:val="24"/>
        </w:rPr>
        <w:t>ienie</w:t>
      </w:r>
      <w:r w:rsidR="00970B2E" w:rsidRPr="00D44D33">
        <w:rPr>
          <w:rFonts w:ascii="Times New Roman" w:eastAsiaTheme="minorEastAsia" w:hAnsi="Times New Roman" w:cs="Times New Roman"/>
          <w:sz w:val="24"/>
          <w:szCs w:val="24"/>
        </w:rPr>
        <w:t xml:space="preserve"> </w:t>
      </w:r>
      <w:r w:rsidR="00726BCE" w:rsidRPr="00D44D33">
        <w:rPr>
          <w:rFonts w:ascii="Times New Roman" w:eastAsiaTheme="minorEastAsia" w:hAnsi="Times New Roman" w:cs="Times New Roman"/>
          <w:sz w:val="24"/>
          <w:szCs w:val="24"/>
        </w:rPr>
        <w:lastRenderedPageBreak/>
        <w:t>to</w:t>
      </w:r>
      <w:r w:rsidR="00970B2E" w:rsidRPr="00D44D33">
        <w:rPr>
          <w:rFonts w:ascii="Times New Roman" w:eastAsiaTheme="minorEastAsia" w:hAnsi="Times New Roman" w:cs="Times New Roman"/>
          <w:sz w:val="24"/>
          <w:szCs w:val="24"/>
        </w:rPr>
        <w:t xml:space="preserve"> </w:t>
      </w:r>
      <w:r w:rsidR="00726BCE"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00726BCE" w:rsidRPr="00D44D33">
        <w:rPr>
          <w:rFonts w:ascii="Times New Roman" w:eastAsiaTheme="minorEastAsia" w:hAnsi="Times New Roman" w:cs="Times New Roman"/>
          <w:sz w:val="24"/>
          <w:szCs w:val="24"/>
        </w:rPr>
        <w:t>przeniesione</w:t>
      </w:r>
      <w:r w:rsidR="00970B2E" w:rsidRPr="00D44D33">
        <w:rPr>
          <w:rFonts w:ascii="Times New Roman" w:eastAsiaTheme="minorEastAsia" w:hAnsi="Times New Roman" w:cs="Times New Roman"/>
          <w:sz w:val="24"/>
          <w:szCs w:val="24"/>
        </w:rPr>
        <w:t xml:space="preserve"> </w:t>
      </w:r>
      <w:r w:rsidR="00726BC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ozporządzeni</w:t>
      </w:r>
      <w:r w:rsidR="00726BC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177269" w:rsidRPr="00D44D33">
        <w:rPr>
          <w:rFonts w:ascii="Times New Roman" w:eastAsiaTheme="minorEastAsia" w:hAnsi="Times New Roman" w:cs="Times New Roman"/>
          <w:sz w:val="24"/>
          <w:szCs w:val="24"/>
        </w:rPr>
        <w:t xml:space="preserve">z dnia 21 lipca 2008 r.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50160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7C754E87" w14:textId="451D5216" w:rsidR="00A7158A" w:rsidRPr="00D44D33" w:rsidRDefault="00A7158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73</w:t>
      </w:r>
    </w:p>
    <w:p w14:paraId="3B52960B" w14:textId="37CC1E19" w:rsidR="1114BD91" w:rsidRPr="00D44D33" w:rsidRDefault="081F3FB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postulatami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legislacyjnych</w:t>
      </w:r>
      <w:r w:rsidR="00970B2E" w:rsidRPr="00D44D33">
        <w:rPr>
          <w:rFonts w:ascii="Times New Roman" w:eastAsiaTheme="minorEastAsia" w:hAnsi="Times New Roman" w:cs="Times New Roman"/>
          <w:sz w:val="24"/>
          <w:szCs w:val="24"/>
        </w:rPr>
        <w:t xml:space="preserve"> </w:t>
      </w:r>
      <w:r w:rsidR="2C17C9A5"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2C17C9A5" w:rsidRPr="00D44D33">
        <w:rPr>
          <w:rFonts w:ascii="Times New Roman" w:eastAsiaTheme="minorEastAsia" w:hAnsi="Times New Roman" w:cs="Times New Roman"/>
          <w:sz w:val="24"/>
          <w:szCs w:val="24"/>
        </w:rPr>
        <w:t>zwalczania</w:t>
      </w:r>
      <w:r w:rsidR="00970B2E" w:rsidRPr="00D44D33">
        <w:rPr>
          <w:rFonts w:ascii="Times New Roman" w:eastAsiaTheme="minorEastAsia" w:hAnsi="Times New Roman" w:cs="Times New Roman"/>
          <w:sz w:val="24"/>
          <w:szCs w:val="24"/>
        </w:rPr>
        <w:t xml:space="preserve"> </w:t>
      </w:r>
      <w:r w:rsidR="2C17C9A5"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legislacyjnych,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stopniu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zwalczania</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46F632"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umiejscowiony</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d</w:t>
      </w:r>
      <w:r w:rsidR="1145FD27" w:rsidRPr="00D44D33">
        <w:rPr>
          <w:rFonts w:ascii="Times New Roman" w:eastAsiaTheme="minorEastAsia" w:hAnsi="Times New Roman" w:cs="Times New Roman"/>
          <w:sz w:val="24"/>
          <w:szCs w:val="24"/>
        </w:rPr>
        <w:t>ziale</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d</w:t>
      </w:r>
      <w:r w:rsidR="1145FD27" w:rsidRPr="00D44D33">
        <w:rPr>
          <w:rFonts w:ascii="Times New Roman" w:eastAsiaTheme="minorEastAsia" w:hAnsi="Times New Roman" w:cs="Times New Roman"/>
          <w:sz w:val="24"/>
          <w:szCs w:val="24"/>
        </w:rPr>
        <w:t>ozdzia</w:t>
      </w:r>
      <w:r w:rsidR="00501600" w:rsidRPr="00D44D33">
        <w:rPr>
          <w:rFonts w:ascii="Times New Roman" w:eastAsiaTheme="minorEastAsia" w:hAnsi="Times New Roman" w:cs="Times New Roman"/>
          <w:sz w:val="24"/>
          <w:szCs w:val="24"/>
        </w:rPr>
        <w:t>le</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1145FD27" w:rsidRPr="00D44D33">
        <w:rPr>
          <w:rFonts w:ascii="Times New Roman" w:eastAsiaTheme="minorEastAsia" w:hAnsi="Times New Roman" w:cs="Times New Roman"/>
          <w:sz w:val="24"/>
          <w:szCs w:val="24"/>
        </w:rPr>
        <w:t>dostępu</w:t>
      </w:r>
      <w:r w:rsidR="00501600" w:rsidRPr="00D44D33">
        <w:rPr>
          <w:rFonts w:ascii="Times New Roman" w:eastAsiaTheme="minorEastAsia" w:hAnsi="Times New Roman" w:cs="Times New Roman"/>
          <w:sz w:val="24"/>
          <w:szCs w:val="24"/>
        </w:rPr>
        <w:t xml:space="preserve"> telekomunikacyjnego</w:t>
      </w:r>
      <w:r w:rsidR="74E9425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znacznej</w:t>
      </w:r>
      <w:r w:rsidR="00970B2E" w:rsidRPr="00D44D33">
        <w:rPr>
          <w:rFonts w:ascii="Times New Roman" w:eastAsiaTheme="minorEastAsia" w:hAnsi="Times New Roman" w:cs="Times New Roman"/>
          <w:sz w:val="24"/>
          <w:szCs w:val="24"/>
        </w:rPr>
        <w:t xml:space="preserve"> </w:t>
      </w:r>
      <w:r w:rsidR="6E4B8A77" w:rsidRPr="00D44D33">
        <w:rPr>
          <w:rFonts w:ascii="Times New Roman" w:eastAsiaTheme="minorEastAsia" w:hAnsi="Times New Roman" w:cs="Times New Roman"/>
          <w:sz w:val="24"/>
          <w:szCs w:val="24"/>
        </w:rPr>
        <w:t>mierze</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wiąże</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zasadami</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międzyoperatorskiej</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74E94259" w:rsidRPr="00D44D33">
        <w:rPr>
          <w:rFonts w:ascii="Times New Roman" w:eastAsiaTheme="minorEastAsia" w:hAnsi="Times New Roman" w:cs="Times New Roman"/>
          <w:sz w:val="24"/>
          <w:szCs w:val="24"/>
        </w:rPr>
        <w:t>hurtowym.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działań</w:t>
      </w:r>
      <w:r w:rsidR="4A37FDC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A37FDC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4A37FDC0" w:rsidRPr="00D44D33">
        <w:rPr>
          <w:rFonts w:ascii="Times New Roman" w:eastAsiaTheme="minorEastAsia" w:hAnsi="Times New Roman" w:cs="Times New Roman"/>
          <w:sz w:val="24"/>
          <w:szCs w:val="24"/>
        </w:rPr>
        <w:t>odpowiadają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0D46A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1451E00C"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otwarty</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zawierający</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charakterystykę</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najbardziej</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uciążliwych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występujących</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generowanie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sztucznego</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ruchu</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nieuprawniona</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adresowej</w:t>
      </w:r>
      <w:r w:rsidR="7C7E29E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kolejnym</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1B0EF0E7" w:rsidRPr="00D44D33">
        <w:rPr>
          <w:rFonts w:ascii="Times New Roman" w:eastAsiaTheme="minorEastAsia" w:hAnsi="Times New Roman" w:cs="Times New Roman"/>
          <w:sz w:val="24"/>
          <w:szCs w:val="24"/>
        </w:rPr>
        <w:t>p</w:t>
      </w:r>
      <w:r w:rsidR="000D46A7" w:rsidRPr="00D44D33">
        <w:rPr>
          <w:rFonts w:ascii="Times New Roman" w:eastAsiaTheme="minorEastAsia" w:hAnsi="Times New Roman" w:cs="Times New Roman"/>
          <w:sz w:val="24"/>
          <w:szCs w:val="24"/>
        </w:rPr>
        <w:t>odejmowane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winny</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proporcjonalne</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zidentyfikowanego</w:t>
      </w:r>
      <w:r w:rsidR="00970B2E" w:rsidRPr="00D44D33">
        <w:rPr>
          <w:rFonts w:ascii="Times New Roman" w:eastAsiaTheme="minorEastAsia" w:hAnsi="Times New Roman" w:cs="Times New Roman"/>
          <w:sz w:val="24"/>
          <w:szCs w:val="24"/>
        </w:rPr>
        <w:t xml:space="preserve"> </w:t>
      </w:r>
      <w:r w:rsidR="000D46A7" w:rsidRPr="00D44D33">
        <w:rPr>
          <w:rFonts w:ascii="Times New Roman" w:eastAsiaTheme="minorEastAsia" w:hAnsi="Times New Roman" w:cs="Times New Roman"/>
          <w:sz w:val="24"/>
          <w:szCs w:val="24"/>
        </w:rPr>
        <w:t>zagrożenia.</w:t>
      </w:r>
    </w:p>
    <w:p w14:paraId="6A52E75B" w14:textId="2CAB788E" w:rsidR="615087F2" w:rsidRPr="00D44D33" w:rsidRDefault="0050160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 u</w:t>
      </w:r>
      <w:r w:rsidR="615087F2" w:rsidRPr="00D44D33">
        <w:rPr>
          <w:rFonts w:ascii="Times New Roman" w:eastAsia="Times New Roman" w:hAnsi="Times New Roman" w:cs="Times New Roman"/>
          <w:sz w:val="24"/>
          <w:szCs w:val="24"/>
        </w:rPr>
        <w:t>st.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bezpośrednio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koresponduje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nakłada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zobowiązanie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zwalczania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nadużyć.</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dokonujące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nadużyć</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działają</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lastRenderedPageBreak/>
        <w:t>sieci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podziału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poszczególnych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operatorów.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uzyskując</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jednego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operatorów,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automatycznie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uzyskują</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innych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operatorów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zapewniania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pewności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prawnej</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wprowadza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regulujące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wymianę</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podlegających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prawnej</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ochronie,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umożliwiające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współpracę</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wewnątrz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sektora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skutecznej</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klientów,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samych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Dodatkowo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umożliwić</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występowanie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wspólnymi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zawiadomieniami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organów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ścigania,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nadużycie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dotyczyć</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więcej</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jednego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ułatwi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dochodzenie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roszczeń.</w:t>
      </w:r>
    </w:p>
    <w:p w14:paraId="0794C1BB" w14:textId="33ED5D71" w:rsidR="4FF1FC0A" w:rsidRPr="00D44D33" w:rsidRDefault="0050160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4</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bezpośrednio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powiązany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przepisem</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dotyczącym</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możliwości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wymiany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między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przedsiębiorcami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bazuje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tożsamych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rozwiązaniach</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bankowego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106e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29</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sierpnia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1997</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008D0E44" w:rsidRPr="00D44D33">
        <w:rPr>
          <w:rFonts w:ascii="Times New Roman" w:eastAsiaTheme="minorEastAsia"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Prawo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bankowe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(Dz.</w:t>
      </w:r>
      <w:r w:rsidR="008D0E44"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202</w:t>
      </w:r>
      <w:r w:rsidR="00A00CB6"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poz.</w:t>
      </w:r>
      <w:r w:rsidR="00970B2E" w:rsidRPr="00D44D33">
        <w:rPr>
          <w:rFonts w:ascii="Times New Roman" w:eastAsia="Times New Roman" w:hAnsi="Times New Roman" w:cs="Times New Roman"/>
          <w:sz w:val="24"/>
          <w:szCs w:val="24"/>
        </w:rPr>
        <w:t xml:space="preserve"> </w:t>
      </w:r>
      <w:r w:rsidR="00A00CB6" w:rsidRPr="00D44D33">
        <w:rPr>
          <w:rFonts w:ascii="Times New Roman" w:eastAsia="Times New Roman" w:hAnsi="Times New Roman" w:cs="Times New Roman"/>
          <w:sz w:val="24"/>
          <w:szCs w:val="24"/>
        </w:rPr>
        <w:t>2324</w:t>
      </w:r>
      <w:r w:rsidR="615087F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ubezpieczeń</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35a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11</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września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2015</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ubezpiecze</w:t>
      </w:r>
      <w:r w:rsidR="002C7319" w:rsidRPr="00D44D33">
        <w:rPr>
          <w:rFonts w:ascii="Times New Roman" w:eastAsia="Times New Roman" w:hAnsi="Times New Roman" w:cs="Times New Roman"/>
          <w:sz w:val="24"/>
          <w:szCs w:val="24"/>
        </w:rPr>
        <w:t>niowej</w:t>
      </w:r>
      <w:r w:rsidR="00970B2E" w:rsidRPr="00D44D33">
        <w:rPr>
          <w:rFonts w:ascii="Times New Roman" w:eastAsia="Times New Roman" w:hAnsi="Times New Roman" w:cs="Times New Roman"/>
          <w:sz w:val="24"/>
          <w:szCs w:val="24"/>
        </w:rPr>
        <w:t xml:space="preserve"> </w:t>
      </w:r>
      <w:r w:rsidR="002C7319"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2C7319" w:rsidRPr="00D44D33">
        <w:rPr>
          <w:rFonts w:ascii="Times New Roman" w:eastAsia="Times New Roman" w:hAnsi="Times New Roman" w:cs="Times New Roman"/>
          <w:sz w:val="24"/>
          <w:szCs w:val="24"/>
        </w:rPr>
        <w:t>reasekuracyjnej</w:t>
      </w:r>
      <w:r w:rsidR="00970B2E" w:rsidRPr="00D44D33">
        <w:rPr>
          <w:rFonts w:ascii="Times New Roman" w:eastAsia="Times New Roman" w:hAnsi="Times New Roman" w:cs="Times New Roman"/>
          <w:sz w:val="24"/>
          <w:szCs w:val="24"/>
        </w:rPr>
        <w:t xml:space="preserve"> </w:t>
      </w:r>
      <w:r w:rsidR="002C7319" w:rsidRPr="00D44D33">
        <w:rPr>
          <w:rFonts w:ascii="Times New Roman" w:eastAsia="Times New Roman" w:hAnsi="Times New Roman" w:cs="Times New Roman"/>
          <w:sz w:val="24"/>
          <w:szCs w:val="24"/>
        </w:rPr>
        <w:t>(</w:t>
      </w:r>
      <w:r w:rsidR="615087F2" w:rsidRPr="00D44D33">
        <w:rPr>
          <w:rFonts w:ascii="Times New Roman" w:eastAsia="Times New Roman" w:hAnsi="Times New Roman" w:cs="Times New Roman"/>
          <w:sz w:val="24"/>
          <w:szCs w:val="24"/>
        </w:rPr>
        <w:t>Dz.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202</w:t>
      </w:r>
      <w:r w:rsidR="00A00CB6"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poz.</w:t>
      </w:r>
      <w:r w:rsidR="00970B2E" w:rsidRPr="00D44D33">
        <w:rPr>
          <w:rFonts w:ascii="Times New Roman" w:eastAsia="Times New Roman" w:hAnsi="Times New Roman" w:cs="Times New Roman"/>
          <w:sz w:val="24"/>
          <w:szCs w:val="24"/>
        </w:rPr>
        <w:t xml:space="preserve"> </w:t>
      </w:r>
      <w:r w:rsidR="00A00CB6" w:rsidRPr="00D44D33">
        <w:rPr>
          <w:rFonts w:ascii="Times New Roman" w:eastAsia="Times New Roman" w:hAnsi="Times New Roman" w:cs="Times New Roman"/>
          <w:sz w:val="24"/>
          <w:szCs w:val="24"/>
        </w:rPr>
        <w:t>2283</w:t>
      </w:r>
      <w:r w:rsidR="615087F2" w:rsidRPr="00D44D33">
        <w:rPr>
          <w:rFonts w:ascii="Times New Roman" w:eastAsia="Times New Roman" w:hAnsi="Times New Roman" w:cs="Times New Roman"/>
          <w:sz w:val="24"/>
          <w:szCs w:val="24"/>
        </w:rPr>
        <w:t>))</w:t>
      </w:r>
      <w:r w:rsidR="6C34ED9F"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rozwiązania</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wprowadzone</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służącej stosowaniu</w:t>
      </w:r>
      <w:r w:rsidR="00970B2E" w:rsidRPr="00D44D33">
        <w:rPr>
          <w:rFonts w:ascii="Times New Roman" w:eastAsia="Times New Roman" w:hAnsi="Times New Roman" w:cs="Times New Roman"/>
          <w:sz w:val="24"/>
          <w:szCs w:val="24"/>
        </w:rPr>
        <w:t xml:space="preserve"> </w:t>
      </w:r>
      <w:r w:rsidR="4889B409" w:rsidRPr="00D44D33">
        <w:rPr>
          <w:rFonts w:ascii="Times New Roman" w:eastAsia="Times New Roman" w:hAnsi="Times New Roman" w:cs="Times New Roman"/>
          <w:sz w:val="24"/>
          <w:szCs w:val="24"/>
        </w:rPr>
        <w:t>rozporządzeni</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 xml:space="preserve">Parlamentu Europejskiego i Rady (UE) 2016/679 z dnia 27 kwietnia 2016 r. w sprawie </w:t>
      </w:r>
      <w:r w:rsidRPr="00D44D33">
        <w:rPr>
          <w:rFonts w:ascii="Times New Roman" w:eastAsia="Times New Roman" w:hAnsi="Times New Roman" w:cs="Times New Roman"/>
          <w:sz w:val="24"/>
          <w:szCs w:val="24"/>
        </w:rPr>
        <w:lastRenderedPageBreak/>
        <w:t xml:space="preserve">ochrony osób fizycznych w związku z przetwarzaniem danych osobowych i w sprawie swobodnego przepływu takich danych oraz uchylenia dyrektywy 95/46/WE (ogólne rozporządzenie o ochronie danych) (Dz. Urz. UE L 119 z 04.05.2016, str. 1, z późn. zm.), zwanego dalej „rozporządzeniem </w:t>
      </w:r>
      <w:r w:rsidR="4889B409" w:rsidRPr="00D44D33">
        <w:rPr>
          <w:rFonts w:ascii="Times New Roman" w:eastAsia="Times New Roman" w:hAnsi="Times New Roman" w:cs="Times New Roman"/>
          <w:sz w:val="24"/>
          <w:szCs w:val="24"/>
        </w:rPr>
        <w:t>2016/679</w:t>
      </w:r>
      <w:r w:rsidRPr="00D44D33">
        <w:rPr>
          <w:rFonts w:ascii="Times New Roman" w:eastAsia="Times New Roman" w:hAnsi="Times New Roman" w:cs="Times New Roman"/>
          <w:sz w:val="24"/>
          <w:szCs w:val="24"/>
        </w:rPr>
        <w:t>”</w:t>
      </w:r>
      <w:r w:rsidR="4889B409"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Proponowany</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ustęp</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wyłącza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stosowanie</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15</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615087F2" w:rsidRPr="00D44D33">
        <w:rPr>
          <w:rFonts w:ascii="Times New Roman" w:eastAsia="Times New Roman" w:hAnsi="Times New Roman" w:cs="Times New Roman"/>
          <w:sz w:val="24"/>
          <w:szCs w:val="24"/>
        </w:rPr>
        <w:t>2016/679</w:t>
      </w:r>
      <w:r w:rsidR="05CBB4C4"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ustanawia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prawo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osoby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dotyczą</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uzyskania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administratora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potwierdzenia,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przetwarzane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osobowe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jej</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jeżeli</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miejsce,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prawo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uzyskania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innych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(m.in.</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celach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przetwarzania,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odbiorcach,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jeżeli</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osobowe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zebrane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osoby,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dotyczą</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wszelkie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dostępne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źródle).</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Wyłączenie</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stosowania</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art.</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15</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rozporządzenia</w:t>
      </w:r>
      <w:r w:rsidR="00970B2E" w:rsidRPr="00D44D33">
        <w:rPr>
          <w:rFonts w:ascii="Times New Roman" w:eastAsia="Calibri" w:hAnsi="Times New Roman" w:cs="Times New Roman"/>
          <w:sz w:val="24"/>
          <w:szCs w:val="24"/>
        </w:rPr>
        <w:t xml:space="preserve"> </w:t>
      </w:r>
      <w:r w:rsidR="37335093" w:rsidRPr="00D44D33">
        <w:rPr>
          <w:rFonts w:ascii="Times New Roman" w:eastAsia="Times New Roman" w:hAnsi="Times New Roman" w:cs="Times New Roman"/>
          <w:sz w:val="24"/>
          <w:szCs w:val="24"/>
        </w:rPr>
        <w:t>2016/679</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miało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zastosowanie</w:t>
      </w:r>
      <w:r w:rsidR="00970B2E" w:rsidRPr="00D44D33">
        <w:rPr>
          <w:rFonts w:ascii="Times New Roman" w:eastAsia="Times New Roman" w:hAnsi="Times New Roman" w:cs="Times New Roman"/>
          <w:sz w:val="24"/>
          <w:szCs w:val="24"/>
        </w:rPr>
        <w:t xml:space="preserve"> </w:t>
      </w:r>
      <w:r w:rsidR="37335093" w:rsidRPr="00D44D33">
        <w:rPr>
          <w:rFonts w:ascii="Times New Roman" w:eastAsia="Arial" w:hAnsi="Times New Roman" w:cs="Times New Roman"/>
          <w:sz w:val="24"/>
          <w:szCs w:val="24"/>
        </w:rPr>
        <w:t>jedynie</w:t>
      </w:r>
      <w:r w:rsidR="00970B2E" w:rsidRPr="00D44D33">
        <w:rPr>
          <w:rFonts w:ascii="Times New Roman" w:eastAsia="Arial" w:hAnsi="Times New Roman" w:cs="Times New Roman"/>
          <w:sz w:val="24"/>
          <w:szCs w:val="24"/>
        </w:rPr>
        <w:t xml:space="preserve"> </w:t>
      </w:r>
      <w:r w:rsidR="3733509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przetwarzanie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niezbędne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zapobiegania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zwalczania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nadużyć.</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Nadużycia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telekomunikacyjne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stanowią</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perspektywy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prawa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karnego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przestępstwa,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proponowane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wyłączenie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zgodne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23</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2016/679.</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Brak</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wprowadzonego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wyłączenia</w:t>
      </w:r>
      <w:r w:rsidR="00970B2E" w:rsidRPr="00D44D33">
        <w:rPr>
          <w:rFonts w:ascii="Times New Roman" w:eastAsia="Times New Roman" w:hAnsi="Times New Roman" w:cs="Times New Roman"/>
          <w:sz w:val="24"/>
          <w:szCs w:val="24"/>
        </w:rPr>
        <w:t xml:space="preserve"> </w:t>
      </w:r>
      <w:r w:rsidR="37335093" w:rsidRPr="00D44D33">
        <w:rPr>
          <w:rFonts w:ascii="Times New Roman" w:eastAsia="Arial" w:hAnsi="Times New Roman" w:cs="Times New Roman"/>
          <w:sz w:val="24"/>
          <w:szCs w:val="24"/>
        </w:rPr>
        <w:t>i</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realizowanie</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obowiązku</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powiadomienia</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osób</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działających</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w</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celach</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przestępczych</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o</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przetwarzaniu</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ich</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danych</w:t>
      </w:r>
      <w:r w:rsidR="00970B2E" w:rsidRPr="00D44D33">
        <w:rPr>
          <w:rFonts w:ascii="Times New Roman" w:eastAsia="Arial" w:hAnsi="Times New Roman" w:cs="Times New Roman"/>
          <w:sz w:val="24"/>
          <w:szCs w:val="24"/>
        </w:rPr>
        <w:t xml:space="preserve"> </w:t>
      </w:r>
      <w:r w:rsidR="37335093" w:rsidRPr="00D44D33">
        <w:rPr>
          <w:rFonts w:ascii="Times New Roman" w:eastAsia="Arial" w:hAnsi="Times New Roman" w:cs="Times New Roman"/>
          <w:sz w:val="24"/>
          <w:szCs w:val="24"/>
        </w:rPr>
        <w:t>osobowych,</w:t>
      </w:r>
      <w:r w:rsidR="00970B2E" w:rsidRPr="00D44D33">
        <w:rPr>
          <w:rFonts w:ascii="Times New Roman" w:eastAsia="Arial" w:hAnsi="Times New Roman" w:cs="Times New Roman"/>
          <w:sz w:val="24"/>
          <w:szCs w:val="24"/>
        </w:rPr>
        <w:t xml:space="preserve"> </w:t>
      </w:r>
      <w:r w:rsidR="37335093" w:rsidRPr="00D44D33">
        <w:rPr>
          <w:rFonts w:ascii="Times New Roman" w:eastAsia="Calibri" w:hAnsi="Times New Roman" w:cs="Times New Roman"/>
          <w:sz w:val="24"/>
          <w:szCs w:val="24"/>
        </w:rPr>
        <w:t>mógłby</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niweczyć</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cel</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art.</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173</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(jakim</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jest</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walka</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z</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nadużyciami).</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Realizacja</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prawa</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dostępu</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do</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informacji</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o</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przetwarzanych</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danych</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mogłaby</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dostarczyć</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potencjalnemu</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podmiotowi,</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który</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dopuszcza</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się</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nadużyć</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informacji</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o</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podejmowanych</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przez</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przedsiębiorców</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działaniach</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mających</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na</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celu</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wykrycie</w:t>
      </w:r>
      <w:r w:rsidR="00970B2E" w:rsidRPr="00D44D33">
        <w:rPr>
          <w:rFonts w:ascii="Times New Roman" w:eastAsia="Calibri" w:hAnsi="Times New Roman" w:cs="Times New Roman"/>
          <w:sz w:val="24"/>
          <w:szCs w:val="24"/>
        </w:rPr>
        <w:t xml:space="preserve"> </w:t>
      </w:r>
      <w:r w:rsidR="37335093" w:rsidRPr="00D44D33">
        <w:rPr>
          <w:rFonts w:ascii="Times New Roman" w:eastAsia="Calibri" w:hAnsi="Times New Roman" w:cs="Times New Roman"/>
          <w:sz w:val="24"/>
          <w:szCs w:val="24"/>
        </w:rPr>
        <w:t>nadużycia.</w:t>
      </w:r>
      <w:r w:rsidR="00970B2E" w:rsidRPr="00D44D33">
        <w:rPr>
          <w:rFonts w:ascii="Times New Roman" w:eastAsia="Calibri" w:hAnsi="Times New Roman" w:cs="Times New Roman"/>
          <w:sz w:val="24"/>
          <w:szCs w:val="24"/>
        </w:rPr>
        <w:t xml:space="preserve"> </w:t>
      </w:r>
      <w:r w:rsidR="37335093" w:rsidRPr="00D44D33">
        <w:rPr>
          <w:rFonts w:ascii="Times New Roman" w:eastAsia="Times New Roman" w:hAnsi="Times New Roman" w:cs="Times New Roman"/>
          <w:sz w:val="24"/>
          <w:szCs w:val="24"/>
        </w:rPr>
        <w:t>Narażałoby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administratora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zarzut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utrudnienia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prowadzonego,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wobec</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dopuszczających</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lastRenderedPageBreak/>
        <w:t>nadużyć,</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postępowania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karnego.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wprowadzone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wyłączenie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uznać</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AA25BD2" w:rsidRPr="00D44D33">
        <w:rPr>
          <w:rFonts w:ascii="Times New Roman" w:eastAsia="Times New Roman" w:hAnsi="Times New Roman" w:cs="Times New Roman"/>
          <w:sz w:val="24"/>
          <w:szCs w:val="24"/>
        </w:rPr>
        <w:t>niezbędne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proporcjonalne</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jakim</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walka</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37335093" w:rsidRPr="00D44D33">
        <w:rPr>
          <w:rFonts w:ascii="Times New Roman" w:eastAsia="Times New Roman" w:hAnsi="Times New Roman" w:cs="Times New Roman"/>
          <w:sz w:val="24"/>
          <w:szCs w:val="24"/>
        </w:rPr>
        <w:t>nadużyciami.</w:t>
      </w:r>
    </w:p>
    <w:p w14:paraId="1C397896" w14:textId="6B07B47E" w:rsidR="00612EAA" w:rsidRPr="00D44D33" w:rsidRDefault="37335093" w:rsidP="00D44D33">
      <w:pPr>
        <w:spacing w:line="360" w:lineRule="auto"/>
        <w:jc w:val="both"/>
        <w:rPr>
          <w:rFonts w:ascii="Times New Roman" w:hAnsi="Times New Roman" w:cs="Times New Roman"/>
          <w:sz w:val="24"/>
          <w:szCs w:val="24"/>
        </w:rPr>
      </w:pPr>
      <w:r w:rsidRPr="00D44D33">
        <w:rPr>
          <w:rFonts w:ascii="Times New Roman" w:eastAsia="Calibri" w:hAnsi="Times New Roman" w:cs="Times New Roman"/>
          <w:sz w:val="24"/>
          <w:szCs w:val="24"/>
        </w:rPr>
        <w:t>Ponadto</w:t>
      </w:r>
      <w:r w:rsidR="00970B2E" w:rsidRPr="00D44D33">
        <w:rPr>
          <w:rFonts w:ascii="Times New Roman" w:eastAsia="Calibri" w:hAnsi="Times New Roman" w:cs="Times New Roman"/>
          <w:sz w:val="24"/>
          <w:szCs w:val="24"/>
        </w:rPr>
        <w:t xml:space="preserve"> </w:t>
      </w:r>
      <w:r w:rsidR="00612EAA" w:rsidRPr="00D44D33">
        <w:rPr>
          <w:rFonts w:ascii="Times New Roman" w:eastAsia="Calibri" w:hAnsi="Times New Roman" w:cs="Times New Roman"/>
          <w:sz w:val="24"/>
          <w:szCs w:val="24"/>
        </w:rPr>
        <w:t>należy</w:t>
      </w:r>
      <w:r w:rsidR="00970B2E" w:rsidRPr="00D44D33">
        <w:rPr>
          <w:rFonts w:ascii="Times New Roman" w:eastAsia="Calibri" w:hAnsi="Times New Roman" w:cs="Times New Roman"/>
          <w:sz w:val="24"/>
          <w:szCs w:val="24"/>
        </w:rPr>
        <w:t xml:space="preserve"> </w:t>
      </w:r>
      <w:r w:rsidR="00612EAA" w:rsidRPr="00D44D33">
        <w:rPr>
          <w:rFonts w:ascii="Times New Roman" w:eastAsia="Calibri" w:hAnsi="Times New Roman" w:cs="Times New Roman"/>
          <w:sz w:val="24"/>
          <w:szCs w:val="24"/>
        </w:rPr>
        <w:t>wskazać,</w:t>
      </w:r>
      <w:r w:rsidR="00970B2E" w:rsidRPr="00D44D33">
        <w:rPr>
          <w:rFonts w:ascii="Times New Roman" w:eastAsia="Calibri" w:hAnsi="Times New Roman" w:cs="Times New Roman"/>
          <w:sz w:val="24"/>
          <w:szCs w:val="24"/>
        </w:rPr>
        <w:t xml:space="preserve"> </w:t>
      </w:r>
      <w:r w:rsidR="00612EAA" w:rsidRPr="00D44D33">
        <w:rPr>
          <w:rFonts w:ascii="Times New Roman" w:eastAsia="Calibri" w:hAnsi="Times New Roman" w:cs="Times New Roman"/>
          <w:sz w:val="24"/>
          <w:szCs w:val="24"/>
        </w:rPr>
        <w:t>że</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art.</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23</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ust.</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2</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rozporządzenia</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2016/679</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zawiera</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wymogi</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jakie</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powinien</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zawierać</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akt</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prawny,</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który</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ogranicza</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stosowanie</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m.in.</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art.</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15</w:t>
      </w:r>
      <w:r w:rsidR="00612EAA" w:rsidRPr="00D44D33">
        <w:rPr>
          <w:rFonts w:ascii="Times New Roman" w:eastAsia="Calibri" w:hAnsi="Times New Roman" w:cs="Times New Roman"/>
          <w:sz w:val="24"/>
          <w:szCs w:val="24"/>
        </w:rPr>
        <w:t>.</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przepisem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akt</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prawny,</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który</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wprowadzać</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ograniczenia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przepisach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dotyczących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zakresu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praw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obowiązków,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15</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rozporządzenia,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musi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zawierać</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szczegółowe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przepisy</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przynajmniej</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stosownym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celach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przetwarzania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kategorii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przetwarzania,</w:t>
      </w:r>
      <w:r w:rsidR="00371EEA">
        <w:rPr>
          <w:rFonts w:ascii="Times New Roman" w:hAnsi="Times New Roman" w:cs="Times New Roman"/>
          <w:sz w:val="24"/>
          <w:szCs w:val="24"/>
        </w:rPr>
        <w:t xml:space="preserve"> </w:t>
      </w:r>
      <w:r w:rsidR="00612EAA" w:rsidRPr="00D44D33">
        <w:rPr>
          <w:rFonts w:ascii="Times New Roman" w:hAnsi="Times New Roman" w:cs="Times New Roman"/>
          <w:sz w:val="24"/>
          <w:szCs w:val="24"/>
        </w:rPr>
        <w:t>kategoriach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danych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osobowych,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zakresie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wprowadzonych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ograniczeń,</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zabezpieczeniach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zapobiegających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nadużyciom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niezgodnemu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prawem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dostępowi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przekazywaniu,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określeniu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administratora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kategorii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administratorów,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okresach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przechowywania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mających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zastosowanie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zabezpieczeniach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uwzględnieniem</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charakteru,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zakresu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celów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przetwarzania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kategorii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przetwarzania,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ryzykach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naruszenia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praw</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wolności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osoby,</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dane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dotyczą,</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prawie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osób,</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dane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dotyczą,</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uzyskania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ograniczeniach,</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ile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narusza</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00612EAA" w:rsidRPr="00D44D33">
        <w:rPr>
          <w:rFonts w:ascii="Times New Roman" w:hAnsi="Times New Roman" w:cs="Times New Roman"/>
          <w:sz w:val="24"/>
          <w:szCs w:val="24"/>
        </w:rPr>
        <w:t>ograniczenia.</w:t>
      </w:r>
    </w:p>
    <w:p w14:paraId="507E957C" w14:textId="0AE26A8D" w:rsidR="00612EAA" w:rsidRPr="00D44D33" w:rsidRDefault="00612EAA" w:rsidP="00D44D33">
      <w:pPr>
        <w:spacing w:line="360" w:lineRule="auto"/>
        <w:jc w:val="both"/>
        <w:rPr>
          <w:rFonts w:ascii="Times New Roman" w:hAnsi="Times New Roman" w:cs="Times New Roman"/>
          <w:sz w:val="24"/>
          <w:szCs w:val="24"/>
        </w:rPr>
      </w:pPr>
      <w:r w:rsidRPr="00D44D33">
        <w:rPr>
          <w:rFonts w:ascii="Times New Roman" w:eastAsia="Times New Roman" w:hAnsi="Times New Roman" w:cs="Times New Roman"/>
          <w:sz w:val="24"/>
          <w:szCs w:val="24"/>
        </w:rPr>
        <w:t>Wymogi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2016/679</w:t>
      </w:r>
      <w:r w:rsidR="00AC40E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stosowania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projektowanym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spełnione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zasadniczo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oparciu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zabezpieczenia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ochronę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wynikającą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tajemnicy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względzie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zwalczania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381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naliczania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zestawione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odebrane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przerwanie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zestawianych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następowało,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zwalczania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przestępstw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501600" w:rsidRPr="00D44D33">
        <w:rPr>
          <w:rFonts w:ascii="Times New Roman" w:eastAsiaTheme="minorEastAsia" w:hAnsi="Times New Roman" w:cs="Times New Roman"/>
          <w:sz w:val="24"/>
          <w:szCs w:val="24"/>
        </w:rPr>
        <w:t>Przepis u</w:t>
      </w:r>
      <w:r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wyraźnie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2016/679.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50160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przestępstw,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niezgodnym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381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8D0E44" w:rsidRPr="00D44D33">
        <w:rPr>
          <w:rFonts w:ascii="Times New Roman" w:hAnsi="Times New Roman" w:cs="Times New Roman"/>
          <w:sz w:val="24"/>
          <w:szCs w:val="24"/>
        </w:rPr>
        <w:t>–</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396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2016/679.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przechowywania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retencji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p>
    <w:p w14:paraId="6333ACF1" w14:textId="32CA7FD9" w:rsidR="00612EAA" w:rsidRPr="00D44D33" w:rsidRDefault="00612EA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2016/679,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dopisek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potencjalnemu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niweczyć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173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walka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udzielenie</w:t>
      </w:r>
      <w:r w:rsidR="00970B2E" w:rsidRPr="00D44D33">
        <w:rPr>
          <w:rFonts w:ascii="Times New Roman" w:eastAsiaTheme="minorEastAsia" w:hAnsi="Times New Roman" w:cs="Times New Roman"/>
          <w:sz w:val="24"/>
          <w:szCs w:val="24"/>
        </w:rPr>
        <w:t xml:space="preserve"> </w:t>
      </w:r>
      <w:r w:rsidR="00AC40E7" w:rsidRPr="00D44D33">
        <w:rPr>
          <w:rFonts w:ascii="Times New Roman" w:eastAsiaTheme="minorEastAsia" w:hAnsi="Times New Roman" w:cs="Times New Roman"/>
          <w:sz w:val="24"/>
          <w:szCs w:val="24"/>
        </w:rPr>
        <w:t>szczegółowej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p>
    <w:p w14:paraId="437A41B6" w14:textId="34B09FA3" w:rsidR="00FD7BF5" w:rsidRPr="00D44D33" w:rsidRDefault="00FD7BF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74</w:t>
      </w:r>
    </w:p>
    <w:p w14:paraId="4437B431" w14:textId="4774F13D" w:rsidR="00FD7BF5" w:rsidRPr="00D44D33" w:rsidRDefault="00FD7BF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najbliższym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niewykonalne</w:t>
      </w:r>
      <w:r w:rsidR="00A467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E0F4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0C5342" w:rsidRPr="00D44D33">
        <w:rPr>
          <w:rFonts w:ascii="Times New Roman" w:eastAsiaTheme="minorEastAsia" w:hAnsi="Times New Roman" w:cs="Times New Roman"/>
          <w:sz w:val="24"/>
          <w:szCs w:val="24"/>
        </w:rPr>
        <w:t xml:space="preserve"> 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lastRenderedPageBreak/>
        <w:t>w</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8</w:t>
      </w:r>
      <w:r w:rsidR="00445296"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g</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h.</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właścicielem</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004365FF" w:rsidRPr="00D44D33">
        <w:rPr>
          <w:rFonts w:ascii="Times New Roman" w:hAnsi="Times New Roman" w:cs="Times New Roman"/>
          <w:sz w:val="24"/>
          <w:szCs w:val="24"/>
        </w:rPr>
        <w:t>między</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zakończeniami</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sieci</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obiekcie</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budowlanym</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najbliższym</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punktem</w:t>
      </w:r>
      <w:r w:rsidR="00970B2E" w:rsidRPr="00D44D33">
        <w:rPr>
          <w:rFonts w:ascii="Times New Roman" w:hAnsi="Times New Roman" w:cs="Times New Roman"/>
          <w:sz w:val="24"/>
          <w:szCs w:val="24"/>
        </w:rPr>
        <w:t xml:space="preserve"> </w:t>
      </w:r>
      <w:r w:rsidR="004365FF" w:rsidRPr="00D44D33">
        <w:rPr>
          <w:rFonts w:ascii="Times New Roman"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dysponentem</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budynkowej)</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rządowi,</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infrastruktura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infrastrukturę</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szczególnego</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znaczenia,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przeznaczoną</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niezbędnej</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004365FF" w:rsidRPr="00D44D33">
        <w:rPr>
          <w:rFonts w:ascii="Times New Roman" w:eastAsiaTheme="minorEastAsia" w:hAnsi="Times New Roman" w:cs="Times New Roman"/>
          <w:sz w:val="24"/>
          <w:szCs w:val="24"/>
        </w:rPr>
        <w:t>narodowego.</w:t>
      </w:r>
    </w:p>
    <w:p w14:paraId="280883CF" w14:textId="3035B5B8" w:rsidR="00C37B4E" w:rsidRPr="00D44D33" w:rsidRDefault="00C37B4E" w:rsidP="00D44D33">
      <w:p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E0F4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zasoby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A467A5"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A467A5"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wieczysty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p>
    <w:p w14:paraId="69B56507" w14:textId="4B8851AC" w:rsidR="0011362E" w:rsidRPr="00D44D33" w:rsidRDefault="00726BCE" w:rsidP="00D44D33">
      <w:p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vertAlign w:val="superscript"/>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odesłanie</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stosowania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5</w:t>
      </w:r>
      <w:r w:rsidR="00EA77B7"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ustawy</w:t>
      </w:r>
      <w:r w:rsidR="000C5342" w:rsidRPr="00D44D33">
        <w:rPr>
          <w:rFonts w:ascii="Times New Roman" w:eastAsiaTheme="minorEastAsia" w:hAnsi="Times New Roman" w:cs="Times New Roman"/>
          <w:sz w:val="24"/>
          <w:szCs w:val="24"/>
        </w:rPr>
        <w:t xml:space="preserve"> z dnia 7 maja 2010 r. o wspieraniu rozwoju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z:</w:t>
      </w:r>
    </w:p>
    <w:p w14:paraId="6EF1ACA9" w14:textId="2F8DA18C" w:rsidR="0011362E" w:rsidRPr="00D44D33" w:rsidRDefault="00C37B4E" w:rsidP="00D44D33">
      <w:pPr>
        <w:pStyle w:val="Akapitzlist"/>
        <w:numPr>
          <w:ilvl w:val="0"/>
          <w:numId w:val="82"/>
        </w:num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z dnia 7 maja 2010 r. o wspieraniu rozwoju usług i sieci telekomunikacyjnych</w:t>
      </w:r>
      <w:r w:rsidR="001136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czynność</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zwykłego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zarządu.</w:t>
      </w:r>
      <w:r w:rsidR="00970B2E" w:rsidRPr="00D44D33">
        <w:rPr>
          <w:rFonts w:ascii="Times New Roman" w:eastAsiaTheme="minorEastAsia" w:hAnsi="Times New Roman" w:cs="Times New Roman"/>
          <w:sz w:val="24"/>
          <w:szCs w:val="24"/>
        </w:rPr>
        <w:t xml:space="preserve"> </w:t>
      </w:r>
    </w:p>
    <w:p w14:paraId="4879B78B" w14:textId="677B5166" w:rsidR="0011362E" w:rsidRPr="00D44D33" w:rsidRDefault="0011362E" w:rsidP="00D44D33">
      <w:pPr>
        <w:pStyle w:val="Akapitzlist"/>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przywołanego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B40B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7E2272" w:rsidRPr="00D44D33">
        <w:rPr>
          <w:rFonts w:ascii="Times New Roman" w:eastAsiaTheme="minorEastAsia" w:hAnsi="Times New Roman" w:cs="Times New Roman"/>
          <w:sz w:val="24"/>
          <w:szCs w:val="24"/>
        </w:rPr>
        <w:t>Pke</w:t>
      </w:r>
      <w:r w:rsidR="00B40B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okablowanie</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powiązanymi</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częścią</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składową</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czynność</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zwykłego</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zarządu</w:t>
      </w:r>
      <w:r w:rsidR="000C5342" w:rsidRPr="00D44D33">
        <w:rPr>
          <w:rFonts w:ascii="Times New Roman" w:eastAsiaTheme="minorEastAsia" w:hAnsi="Times New Roman" w:cs="Times New Roman"/>
          <w:sz w:val="24"/>
          <w:szCs w:val="24"/>
        </w:rPr>
        <w:t>,</w:t>
      </w:r>
    </w:p>
    <w:p w14:paraId="00833BEC" w14:textId="26B6B828" w:rsidR="0011362E" w:rsidRPr="00D44D33" w:rsidRDefault="00B40BD7" w:rsidP="00D44D33">
      <w:pPr>
        <w:pStyle w:val="Akapitzlist"/>
        <w:numPr>
          <w:ilvl w:val="0"/>
          <w:numId w:val="82"/>
        </w:num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a</w:t>
      </w:r>
      <w:r w:rsidR="0011362E"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ustawy</w:t>
      </w:r>
      <w:r w:rsidR="000C5342" w:rsidRPr="00D44D33">
        <w:rPr>
          <w:rFonts w:ascii="Times New Roman" w:eastAsiaTheme="minorEastAsia" w:hAnsi="Times New Roman" w:cs="Times New Roman"/>
          <w:sz w:val="24"/>
          <w:szCs w:val="24"/>
        </w:rPr>
        <w:t xml:space="preserve"> z dnia 7 maja 2010 r. o wspieraniu rozwoju usług i sieci telekomunikacyjnych</w:t>
      </w:r>
      <w:r w:rsidR="001136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ustawy</w:t>
      </w:r>
      <w:r w:rsidR="001136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wieczysty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zarządca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wystąpił</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zarządcy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ustania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zarządu</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utraty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zarządcę</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wstępuje</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zarządca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705005" w:rsidRPr="00D44D33">
        <w:rPr>
          <w:rFonts w:ascii="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wieczysty</w:t>
      </w:r>
      <w:r w:rsidR="00970B2E" w:rsidRPr="00D44D33">
        <w:rPr>
          <w:rFonts w:ascii="Times New Roman" w:eastAsiaTheme="minorEastAsia" w:hAnsi="Times New Roman" w:cs="Times New Roman"/>
          <w:sz w:val="24"/>
          <w:szCs w:val="24"/>
        </w:rPr>
        <w:t xml:space="preserve"> </w:t>
      </w:r>
      <w:r w:rsidR="0011362E" w:rsidRPr="00D44D33">
        <w:rPr>
          <w:rFonts w:ascii="Times New Roman" w:eastAsiaTheme="minorEastAsia" w:hAnsi="Times New Roman" w:cs="Times New Roman"/>
          <w:sz w:val="24"/>
          <w:szCs w:val="24"/>
        </w:rPr>
        <w:t>nieruchomości</w:t>
      </w:r>
      <w:r w:rsidR="000C5342" w:rsidRPr="00D44D33">
        <w:rPr>
          <w:rFonts w:ascii="Times New Roman" w:eastAsiaTheme="minorEastAsia" w:hAnsi="Times New Roman" w:cs="Times New Roman"/>
          <w:sz w:val="24"/>
          <w:szCs w:val="24"/>
        </w:rPr>
        <w:t>.</w:t>
      </w:r>
    </w:p>
    <w:p w14:paraId="459E79D7" w14:textId="4F4653E2" w:rsidR="00B40BD7" w:rsidRPr="00D44D33" w:rsidRDefault="0011362E" w:rsidP="00D44D33">
      <w:pPr>
        <w:pStyle w:val="Akapitzlist"/>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przywołanego</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przepisu</w:t>
      </w:r>
      <w:r w:rsidR="00EE160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B40BD7" w:rsidRPr="00D44D33">
        <w:rPr>
          <w:rFonts w:ascii="Times New Roman" w:eastAsiaTheme="minorEastAsia" w:hAnsi="Times New Roman" w:cs="Times New Roman"/>
          <w:sz w:val="24"/>
          <w:szCs w:val="24"/>
        </w:rPr>
        <w:t>Pke</w:t>
      </w:r>
      <w:r w:rsidR="00EE160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B77EFB" w:rsidRPr="00D44D33">
        <w:rPr>
          <w:rFonts w:ascii="Times New Roman" w:eastAsiaTheme="minorEastAsia" w:hAnsi="Times New Roman" w:cs="Times New Roman"/>
          <w:sz w:val="24"/>
          <w:szCs w:val="24"/>
        </w:rPr>
        <w:t>ostępu,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z dnia 7 maja 2010 r. o wspieraniu rozwoju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pozostałym</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stosowany</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E1607" w:rsidRPr="00D44D33">
        <w:rPr>
          <w:rFonts w:ascii="Times New Roman" w:eastAsiaTheme="minorEastAsia" w:hAnsi="Times New Roman" w:cs="Times New Roman"/>
          <w:sz w:val="24"/>
          <w:szCs w:val="24"/>
        </w:rPr>
        <w:t>gru</w:t>
      </w:r>
      <w:r w:rsidR="00A467A5" w:rsidRPr="00D44D33">
        <w:rPr>
          <w:rFonts w:ascii="Times New Roman" w:eastAsiaTheme="minorEastAsia" w:hAnsi="Times New Roman" w:cs="Times New Roman"/>
          <w:sz w:val="24"/>
          <w:szCs w:val="24"/>
        </w:rPr>
        <w:t>ncie</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z dnia 7 maja 2010 r. o wspieraniu rozwoju usług i sieci telekomunikacyjnych,</w:t>
      </w:r>
    </w:p>
    <w:p w14:paraId="6BB51448" w14:textId="49214DFB" w:rsidR="00EE1607" w:rsidRPr="00D44D33" w:rsidRDefault="00B40BD7" w:rsidP="00D44D33">
      <w:pPr>
        <w:pStyle w:val="Akapitzlist"/>
        <w:numPr>
          <w:ilvl w:val="0"/>
          <w:numId w:val="82"/>
        </w:num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z dnia 7 maja 2010 r. o wspieraniu rozwoju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wieczystych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władających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nieruchomością.</w:t>
      </w:r>
    </w:p>
    <w:p w14:paraId="1CD7F808" w14:textId="49B545EF" w:rsidR="00B40BD7" w:rsidRPr="00D44D33" w:rsidRDefault="00B40BD7" w:rsidP="00D44D33">
      <w:pPr>
        <w:pStyle w:val="Akapitzlist"/>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przywołanego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B77EF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B77EFB" w:rsidRPr="00D44D33">
        <w:rPr>
          <w:rFonts w:ascii="Times New Roman" w:eastAsiaTheme="minorEastAsia" w:hAnsi="Times New Roman" w:cs="Times New Roman"/>
          <w:sz w:val="24"/>
          <w:szCs w:val="24"/>
        </w:rPr>
        <w:t>ostępu,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z dnia 7 maja 2010 r. o wspieraniu rozwoju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z dnia 7 maja 2010 r. o wspieraniu rozwoju usług i sieci telekomunikacyjnych</w:t>
      </w:r>
      <w:r w:rsidR="007E2272" w:rsidRPr="00D44D33">
        <w:rPr>
          <w:rFonts w:ascii="Times New Roman" w:eastAsiaTheme="minorEastAsia" w:hAnsi="Times New Roman" w:cs="Times New Roman"/>
          <w:sz w:val="24"/>
          <w:szCs w:val="24"/>
        </w:rPr>
        <w:t>.</w:t>
      </w:r>
    </w:p>
    <w:p w14:paraId="245317B6" w14:textId="4A48BD16" w:rsidR="00B40BD7" w:rsidRPr="00D44D33" w:rsidRDefault="00BA36D9" w:rsidP="00D44D33">
      <w:p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hAnsi="Times New Roman" w:cs="Times New Roman"/>
          <w:color w:val="242424"/>
          <w:sz w:val="24"/>
          <w:szCs w:val="24"/>
          <w:shd w:val="clear" w:color="auto" w:fill="FFFFFF"/>
        </w:rPr>
        <w:t>W projektowanym</w:t>
      </w:r>
      <w:r w:rsidRPr="00D44D33">
        <w:rPr>
          <w:rFonts w:ascii="Times New Roman" w:hAnsi="Times New Roman" w:cs="Times New Roman"/>
          <w:color w:val="242424"/>
          <w:sz w:val="24"/>
          <w:szCs w:val="24"/>
          <w:shd w:val="clear" w:color="auto" w:fill="FFFFFF"/>
          <w:vertAlign w:val="superscript"/>
        </w:rPr>
        <w:t xml:space="preserve"> </w:t>
      </w:r>
      <w:r w:rsidRPr="00D44D33">
        <w:rPr>
          <w:rFonts w:ascii="Times New Roman" w:hAnsi="Times New Roman" w:cs="Times New Roman"/>
          <w:color w:val="242424"/>
          <w:sz w:val="24"/>
          <w:szCs w:val="24"/>
          <w:shd w:val="clear" w:color="auto" w:fill="FFFFFF"/>
        </w:rPr>
        <w:t>art. 174 ust. 4 Pke znajduje się odesłanie do odpowiedniego stosowania: art. 30 ust. 5 pkt 5 ustawy</w:t>
      </w:r>
      <w:r w:rsidR="000C5342" w:rsidRPr="00D44D33">
        <w:rPr>
          <w:rFonts w:ascii="Times New Roman" w:hAnsi="Times New Roman" w:cs="Times New Roman"/>
          <w:color w:val="242424"/>
          <w:sz w:val="24"/>
          <w:szCs w:val="24"/>
          <w:shd w:val="clear" w:color="auto" w:fill="FFFFFF"/>
        </w:rPr>
        <w:t xml:space="preserve"> z dnia 7 maja 2010 r.</w:t>
      </w:r>
      <w:r w:rsidRPr="00D44D33">
        <w:rPr>
          <w:rFonts w:ascii="Times New Roman" w:hAnsi="Times New Roman" w:cs="Times New Roman"/>
          <w:color w:val="242424"/>
          <w:sz w:val="24"/>
          <w:szCs w:val="24"/>
          <w:shd w:val="clear" w:color="auto" w:fill="FFFFFF"/>
        </w:rPr>
        <w:t xml:space="preserve"> o wspieraniu rozwoju sieci i usług telekomunikacyjnych, jak i art. 30 § 4 </w:t>
      </w:r>
      <w:r w:rsidR="000C5342" w:rsidRPr="00D44D33">
        <w:rPr>
          <w:rFonts w:ascii="Times New Roman" w:hAnsi="Times New Roman" w:cs="Times New Roman"/>
          <w:color w:val="242424"/>
          <w:sz w:val="24"/>
          <w:szCs w:val="24"/>
          <w:shd w:val="clear" w:color="auto" w:fill="FFFFFF"/>
        </w:rPr>
        <w:t>k</w:t>
      </w:r>
      <w:r w:rsidRPr="00D44D33">
        <w:rPr>
          <w:rFonts w:ascii="Times New Roman" w:hAnsi="Times New Roman" w:cs="Times New Roman"/>
          <w:color w:val="242424"/>
          <w:sz w:val="24"/>
          <w:szCs w:val="24"/>
          <w:shd w:val="clear" w:color="auto" w:fill="FFFFFF"/>
        </w:rPr>
        <w:t>pa, w przypadku dokonania zmiany właściciela, użytkownika wieczystego lub zarządcy nieruchomości, po wystąpieniu z wnioskiem o zawarcie umowy o dostępie, o którym mowa w art. 174 ust. 1 Pke, a przed złożeniem wniosku w sprawie rozstrzygnięcia sporu przez Prezesa UKE</w:t>
      </w:r>
      <w:r w:rsidRPr="00D44D33">
        <w:rPr>
          <w:rFonts w:ascii="Times New Roman" w:eastAsiaTheme="minorEastAsia" w:hAnsi="Times New Roman" w:cs="Times New Roman"/>
          <w:sz w:val="24"/>
          <w:szCs w:val="24"/>
        </w:rPr>
        <w:t xml:space="preserve">. </w:t>
      </w:r>
      <w:r w:rsidR="007E2272"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wyjaśnić</w:t>
      </w:r>
      <w:r w:rsidR="007E227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E2272"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7E2272"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7E2272" w:rsidRPr="00D44D33">
        <w:rPr>
          <w:rFonts w:ascii="Times New Roman" w:eastAsiaTheme="minorEastAsia" w:hAnsi="Times New Roman" w:cs="Times New Roman"/>
          <w:sz w:val="24"/>
          <w:szCs w:val="24"/>
        </w:rPr>
        <w:t>z:</w:t>
      </w:r>
    </w:p>
    <w:p w14:paraId="22C15B90" w14:textId="608C4345" w:rsidR="007E2272" w:rsidRPr="00D44D33" w:rsidRDefault="007E2272" w:rsidP="00D44D33">
      <w:pPr>
        <w:pStyle w:val="Akapitzlist"/>
        <w:numPr>
          <w:ilvl w:val="0"/>
          <w:numId w:val="82"/>
        </w:num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 xml:space="preserve">z dnia 7 maja 2010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1F28F0" w:rsidRPr="00D44D33">
        <w:rPr>
          <w:rFonts w:ascii="Times New Roman" w:eastAsiaTheme="minorEastAsia" w:hAnsi="Times New Roman" w:cs="Times New Roman"/>
          <w:bCs/>
          <w:sz w:val="24"/>
          <w:szCs w:val="24"/>
        </w:rPr>
        <w:t xml:space="preserve">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wieczysty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705005" w:rsidRPr="00D44D33">
        <w:rPr>
          <w:rFonts w:ascii="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wieczysty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001729" w:rsidRPr="00D44D33">
        <w:rPr>
          <w:rFonts w:ascii="Times New Roman" w:eastAsiaTheme="minorEastAsia" w:hAnsi="Times New Roman" w:cs="Times New Roman"/>
          <w:sz w:val="24"/>
          <w:szCs w:val="24"/>
        </w:rPr>
        <w:t>.</w:t>
      </w:r>
    </w:p>
    <w:p w14:paraId="6EE270DC" w14:textId="74C4335D" w:rsidR="00BE64D4" w:rsidRPr="00D44D33" w:rsidRDefault="007E2272" w:rsidP="00D44D33">
      <w:pPr>
        <w:pStyle w:val="Akapitzlist"/>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przywołanego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w:t>
      </w:r>
      <w:r w:rsidR="00B77EFB" w:rsidRPr="00D44D33">
        <w:rPr>
          <w:rFonts w:ascii="Times New Roman" w:eastAsiaTheme="minorEastAsia" w:hAnsi="Times New Roman" w:cs="Times New Roman"/>
          <w:sz w:val="24"/>
          <w:szCs w:val="24"/>
        </w:rPr>
        <w:t>isu,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w:t>
      </w:r>
      <w:r w:rsidR="00BE64D4" w:rsidRPr="00D44D33">
        <w:rPr>
          <w:rFonts w:ascii="Times New Roman" w:eastAsiaTheme="minorEastAsia" w:hAnsi="Times New Roman" w:cs="Times New Roman"/>
          <w:sz w:val="24"/>
          <w:szCs w:val="24"/>
        </w:rPr>
        <w:t>a</w:t>
      </w:r>
      <w:r w:rsidR="00A467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B77EFB" w:rsidRPr="00D44D33">
        <w:rPr>
          <w:rFonts w:ascii="Times New Roman" w:eastAsiaTheme="minorEastAsia" w:hAnsi="Times New Roman" w:cs="Times New Roman"/>
          <w:sz w:val="24"/>
          <w:szCs w:val="24"/>
        </w:rPr>
        <w:t>ostępu,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0C5342" w:rsidRPr="00D44D33">
        <w:rPr>
          <w:rFonts w:ascii="Times New Roman" w:eastAsiaTheme="minorEastAsia" w:hAnsi="Times New Roman" w:cs="Times New Roman"/>
          <w:sz w:val="24"/>
          <w:szCs w:val="24"/>
        </w:rPr>
        <w:t xml:space="preserve"> z dnia 7 maja 2010 r. o wspieraniu rozwoju</w:t>
      </w:r>
      <w:r w:rsidR="000C5342" w:rsidRPr="00D44D33">
        <w:rPr>
          <w:rFonts w:ascii="Times New Roman" w:eastAsiaTheme="minorEastAsia" w:hAnsi="Times New Roman" w:cs="Times New Roman"/>
          <w:bCs/>
          <w:sz w:val="24"/>
          <w:szCs w:val="24"/>
        </w:rPr>
        <w:t xml:space="preserve">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7C0314" w:rsidRPr="00D44D33">
        <w:rPr>
          <w:rFonts w:ascii="Times New Roman" w:eastAsiaTheme="minorEastAsia" w:hAnsi="Times New Roman" w:cs="Times New Roman"/>
          <w:sz w:val="24"/>
          <w:szCs w:val="24"/>
        </w:rPr>
        <w:t xml:space="preserve">z dnia 7 maja 2010 r. </w:t>
      </w:r>
      <w:r w:rsidR="002F0DD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7C0314" w:rsidRPr="00D44D33">
        <w:rPr>
          <w:rFonts w:ascii="Times New Roman" w:eastAsiaTheme="minorEastAsia" w:hAnsi="Times New Roman" w:cs="Times New Roman"/>
          <w:sz w:val="24"/>
          <w:szCs w:val="24"/>
        </w:rPr>
        <w:t xml:space="preserve">usług i sieci telekomunikacyjnych </w:t>
      </w:r>
      <w:r w:rsidR="002F0D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zw</w:t>
      </w:r>
      <w:r w:rsidR="000C5342" w:rsidRPr="00D44D33">
        <w:rPr>
          <w:rFonts w:ascii="Times New Roman" w:eastAsiaTheme="minorEastAsia" w:hAnsi="Times New Roman" w:cs="Times New Roman"/>
          <w:sz w:val="24"/>
          <w:szCs w:val="24"/>
        </w:rPr>
        <w:t>iązku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Pke)</w:t>
      </w:r>
      <w:r w:rsidR="000C534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negocjacji”</w:t>
      </w:r>
      <w:r w:rsidR="00A467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N</w:t>
      </w:r>
      <w:r w:rsidR="00BE64D4" w:rsidRPr="00D44D33">
        <w:rPr>
          <w:rFonts w:ascii="Times New Roman" w:eastAsiaTheme="minorEastAsia" w:hAnsi="Times New Roman" w:cs="Times New Roman"/>
          <w:sz w:val="24"/>
          <w:szCs w:val="24"/>
        </w:rPr>
        <w:t>egocjacje</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rozpoczynają</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momentem</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zobowiązanemu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dostępie</w:t>
      </w:r>
      <w:r w:rsidR="00B77EF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Pke</w:t>
      </w:r>
      <w:r w:rsidR="00A467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prowadzone</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zobowiązanym</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w:t>
      </w:r>
      <w:r w:rsidR="00BE64D4" w:rsidRPr="00D44D33">
        <w:rPr>
          <w:rFonts w:ascii="Times New Roman" w:eastAsiaTheme="minorEastAsia" w:hAnsi="Times New Roman" w:cs="Times New Roman"/>
          <w:sz w:val="24"/>
          <w:szCs w:val="24"/>
        </w:rPr>
        <w:t>róba</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niezbędna</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ewentualnego,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późniejszego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BE64D4"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wszczęte</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nastąpi</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zarządcy</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ustanie</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zarządu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utrata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zarządcę</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Pke</w:t>
      </w:r>
      <w:r w:rsidR="005D526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wstąpi</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lastRenderedPageBreak/>
        <w:t>zarządca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AB2D30" w:rsidRPr="00D44D33">
        <w:rPr>
          <w:rFonts w:ascii="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wieczysty</w:t>
      </w:r>
      <w:r w:rsidR="00970B2E" w:rsidRPr="00D44D33">
        <w:rPr>
          <w:rFonts w:ascii="Times New Roman" w:eastAsiaTheme="minorEastAsia" w:hAnsi="Times New Roman" w:cs="Times New Roman"/>
          <w:sz w:val="24"/>
          <w:szCs w:val="24"/>
        </w:rPr>
        <w:t xml:space="preserve"> </w:t>
      </w:r>
      <w:r w:rsidR="002F0DD5" w:rsidRPr="00D44D33">
        <w:rPr>
          <w:rFonts w:ascii="Times New Roman" w:eastAsiaTheme="minorEastAsia" w:hAnsi="Times New Roman" w:cs="Times New Roman"/>
          <w:sz w:val="24"/>
          <w:szCs w:val="24"/>
        </w:rPr>
        <w:t>nieruchomości</w:t>
      </w:r>
      <w:r w:rsidR="005D526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stan</w:t>
      </w:r>
      <w:r w:rsidR="00A467A5" w:rsidRPr="00D44D33">
        <w:rPr>
          <w:rFonts w:ascii="Times New Roman" w:eastAsiaTheme="minorEastAsia" w:hAnsi="Times New Roman" w:cs="Times New Roman"/>
          <w:sz w:val="24"/>
          <w:szCs w:val="24"/>
        </w:rPr>
        <w:t>ie</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A467A5"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prowadzonego</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D5264" w:rsidRPr="00D44D33">
        <w:rPr>
          <w:rFonts w:ascii="Times New Roman" w:eastAsiaTheme="minorEastAsia" w:hAnsi="Times New Roman" w:cs="Times New Roman"/>
          <w:sz w:val="24"/>
          <w:szCs w:val="24"/>
        </w:rPr>
        <w:t>UKE</w:t>
      </w:r>
      <w:r w:rsidR="000C5342" w:rsidRPr="00D44D33">
        <w:rPr>
          <w:rFonts w:ascii="Times New Roman" w:eastAsiaTheme="minorEastAsia" w:hAnsi="Times New Roman" w:cs="Times New Roman"/>
          <w:sz w:val="24"/>
          <w:szCs w:val="24"/>
        </w:rPr>
        <w:t>,</w:t>
      </w:r>
    </w:p>
    <w:p w14:paraId="0010A80E" w14:textId="042667E8" w:rsidR="00BE64D4" w:rsidRPr="00D44D33" w:rsidRDefault="00A467A5" w:rsidP="00D44D33">
      <w:pPr>
        <w:pStyle w:val="Akapitzlist"/>
        <w:numPr>
          <w:ilvl w:val="0"/>
          <w:numId w:val="82"/>
        </w:num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sprawach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dotyczących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zbywalnych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dziedzicznych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243F2A"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zbycia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śmierci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strony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miejsce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dotychczasowej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strony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wstępują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następcy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prawni.</w:t>
      </w:r>
    </w:p>
    <w:p w14:paraId="1A0BC594" w14:textId="7A8C31EF" w:rsidR="00A831A9" w:rsidRPr="00D44D33" w:rsidRDefault="00A467A5" w:rsidP="00D44D33">
      <w:pPr>
        <w:pStyle w:val="Akapitzlist"/>
        <w:spacing w:before="120" w:after="120" w:line="360" w:lineRule="auto"/>
        <w:jc w:val="both"/>
        <w:rPr>
          <w:rFonts w:ascii="Times New Roman" w:eastAsiaTheme="minorEastAsia" w:hAnsi="Times New Roman" w:cs="Times New Roman"/>
          <w:sz w:val="24"/>
          <w:szCs w:val="24"/>
        </w:rPr>
      </w:pPr>
      <w:r w:rsidRPr="00D44D33">
        <w:rPr>
          <w:rFonts w:ascii="Times New Roman" w:hAnsi="Times New Roman" w:cs="Times New Roman"/>
          <w:sz w:val="24"/>
          <w:szCs w:val="24"/>
        </w:rPr>
        <w:t>Odpowiednio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stosowanie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30</w:t>
      </w:r>
      <w:r w:rsidR="00970B2E" w:rsidRPr="00D44D33">
        <w:rPr>
          <w:rFonts w:ascii="Times New Roman" w:hAnsi="Times New Roman" w:cs="Times New Roman"/>
          <w:sz w:val="24"/>
          <w:szCs w:val="24"/>
        </w:rPr>
        <w:t xml:space="preserve"> </w:t>
      </w:r>
      <w:r w:rsidR="00B77EF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k</w:t>
      </w:r>
      <w:r w:rsidR="00B77EFB"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w:t>
      </w:r>
      <w:r w:rsidR="000C5342" w:rsidRPr="00D44D33">
        <w:rPr>
          <w:rFonts w:ascii="Times New Roman" w:eastAsiaTheme="minorEastAsia" w:hAnsi="Times New Roman" w:cs="Times New Roman"/>
          <w:sz w:val="24"/>
          <w:szCs w:val="24"/>
        </w:rPr>
        <w:t>iązku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3E7B5D" w:rsidRPr="00D44D33">
        <w:rPr>
          <w:rFonts w:ascii="Times New Roman" w:hAnsi="Times New Roman" w:cs="Times New Roman"/>
          <w:sz w:val="24"/>
          <w:szCs w:val="24"/>
        </w:rPr>
        <w:t>zmiany</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właściciela,</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użytkownika</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wieczystego</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zarządcy</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nieruchomości</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zobowiązanych</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zapewn</w:t>
      </w:r>
      <w:r w:rsidR="00B77EFB" w:rsidRPr="00D44D33">
        <w:rPr>
          <w:rFonts w:ascii="Times New Roman" w:hAnsi="Times New Roman" w:cs="Times New Roman"/>
          <w:sz w:val="24"/>
          <w:szCs w:val="24"/>
        </w:rPr>
        <w:t>ienia</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dostępu</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174</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związku</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zbyciem</w:t>
      </w:r>
      <w:r w:rsidR="00970B2E" w:rsidRPr="00D44D33">
        <w:rPr>
          <w:rFonts w:ascii="Times New Roman" w:hAnsi="Times New Roman" w:cs="Times New Roman"/>
          <w:sz w:val="24"/>
          <w:szCs w:val="24"/>
        </w:rPr>
        <w:t xml:space="preserve"> </w:t>
      </w:r>
      <w:r w:rsidR="003E7B5D"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budynku</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częścią</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składową</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śmiercią</w:t>
      </w:r>
      <w:r w:rsidR="00970B2E" w:rsidRPr="00D44D33">
        <w:rPr>
          <w:rFonts w:ascii="Times New Roman" w:eastAsiaTheme="minorEastAsia" w:hAnsi="Times New Roman" w:cs="Times New Roman"/>
          <w:sz w:val="24"/>
          <w:szCs w:val="24"/>
        </w:rPr>
        <w:t xml:space="preserve"> </w:t>
      </w:r>
      <w:r w:rsidR="003E7B5D" w:rsidRPr="00D44D33">
        <w:rPr>
          <w:rFonts w:ascii="Times New Roman" w:eastAsiaTheme="minorEastAsia" w:hAnsi="Times New Roman" w:cs="Times New Roman"/>
          <w:sz w:val="24"/>
          <w:szCs w:val="24"/>
        </w:rPr>
        <w:t>dysponenta</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budynku</w:t>
      </w:r>
      <w:r w:rsidR="003E7B5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momencie</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po</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wystąpienia</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przedsiębiorcę</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telekomunikacyjnego</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wnioskiem</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zawarcie</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umowy</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3E7B5D" w:rsidRPr="00D44D33">
        <w:rPr>
          <w:rFonts w:ascii="Times New Roman" w:hAnsi="Times New Roman" w:cs="Times New Roman"/>
          <w:sz w:val="24"/>
          <w:szCs w:val="24"/>
        </w:rPr>
        <w:t>dostępie</w:t>
      </w:r>
      <w:r w:rsidR="00650B59"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czyli</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etapie</w:t>
      </w:r>
      <w:r w:rsidR="00970B2E" w:rsidRPr="00D44D33">
        <w:rPr>
          <w:rFonts w:ascii="Times New Roman" w:hAnsi="Times New Roman" w:cs="Times New Roman"/>
          <w:sz w:val="24"/>
          <w:szCs w:val="24"/>
        </w:rPr>
        <w:t xml:space="preserve"> </w:t>
      </w:r>
      <w:r w:rsidR="00650B59" w:rsidRPr="00D44D33">
        <w:rPr>
          <w:rFonts w:ascii="Times New Roman" w:hAnsi="Times New Roman" w:cs="Times New Roman"/>
          <w:sz w:val="24"/>
          <w:szCs w:val="24"/>
        </w:rPr>
        <w:t>negocjacji</w:t>
      </w:r>
      <w:r w:rsidR="003E7B5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dysponent</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wstępuje</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dostępu</w:t>
      </w:r>
      <w:r w:rsidR="004D68E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kontynuować</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skierowania</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rzeczonej</w:t>
      </w:r>
      <w:r w:rsidR="00970B2E" w:rsidRPr="00D44D33">
        <w:rPr>
          <w:rFonts w:ascii="Times New Roman" w:eastAsiaTheme="minorEastAsia" w:hAnsi="Times New Roman" w:cs="Times New Roman"/>
          <w:sz w:val="24"/>
          <w:szCs w:val="24"/>
        </w:rPr>
        <w:t xml:space="preserve"> </w:t>
      </w:r>
      <w:r w:rsidR="00650B59" w:rsidRPr="00D44D33">
        <w:rPr>
          <w:rFonts w:ascii="Times New Roman" w:eastAsiaTheme="minorEastAsia" w:hAnsi="Times New Roman" w:cs="Times New Roman"/>
          <w:sz w:val="24"/>
          <w:szCs w:val="24"/>
        </w:rPr>
        <w:t>umowy.</w:t>
      </w:r>
    </w:p>
    <w:p w14:paraId="50A783DA" w14:textId="7EBF4A5D" w:rsidR="00FD7BF5" w:rsidRPr="00D44D33" w:rsidRDefault="00FD7BF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E0F4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C37B4E" w:rsidRPr="00D44D33">
        <w:rPr>
          <w:rFonts w:ascii="Times New Roman" w:eastAsiaTheme="minorEastAsia" w:hAnsi="Times New Roman" w:cs="Times New Roman"/>
          <w:sz w:val="24"/>
          <w:szCs w:val="24"/>
        </w:rPr>
        <w:t>ostępu,</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C37B4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8E11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E0F4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008E114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E114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E114D"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E114D" w:rsidRPr="00D44D33">
        <w:rPr>
          <w:rFonts w:ascii="Times New Roman" w:eastAsiaTheme="minorEastAsia" w:hAnsi="Times New Roman" w:cs="Times New Roman"/>
          <w:sz w:val="24"/>
          <w:szCs w:val="24"/>
        </w:rPr>
        <w:t>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rzeczonym</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szczególnym</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ogólnego</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te</w:t>
      </w:r>
      <w:r w:rsidR="00E64860" w:rsidRPr="00D44D33">
        <w:rPr>
          <w:rFonts w:ascii="Times New Roman" w:eastAsiaTheme="minorEastAsia" w:hAnsi="Times New Roman" w:cs="Times New Roman"/>
          <w:sz w:val="24"/>
          <w:szCs w:val="24"/>
        </w:rPr>
        <w:t>rminu</w:t>
      </w:r>
      <w:r w:rsidR="00970B2E" w:rsidRPr="00D44D33">
        <w:rPr>
          <w:rFonts w:ascii="Times New Roman" w:eastAsiaTheme="minorEastAsia" w:hAnsi="Times New Roman" w:cs="Times New Roman"/>
          <w:sz w:val="24"/>
          <w:szCs w:val="24"/>
        </w:rPr>
        <w:t xml:space="preserve"> </w:t>
      </w:r>
      <w:r w:rsidR="00E64860"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E64860"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E64860"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6</w:t>
      </w:r>
      <w:r w:rsidR="00FE4BFA"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00FE4BFA" w:rsidRPr="00D44D33">
        <w:rPr>
          <w:rFonts w:ascii="Times New Roman" w:eastAsiaTheme="minorEastAsia" w:hAnsi="Times New Roman" w:cs="Times New Roman"/>
          <w:sz w:val="24"/>
          <w:szCs w:val="24"/>
        </w:rPr>
        <w:t>dni.</w:t>
      </w:r>
    </w:p>
    <w:p w14:paraId="457A1576" w14:textId="2FB2E0F0" w:rsidR="00FD7BF5" w:rsidRPr="00D44D33" w:rsidRDefault="002028F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w:t>
      </w:r>
      <w:r w:rsidR="00401436" w:rsidRPr="00D44D33">
        <w:rPr>
          <w:rFonts w:ascii="Times New Roman" w:eastAsiaTheme="minorEastAsia" w:hAnsi="Times New Roman" w:cs="Times New Roman"/>
          <w:sz w:val="24"/>
          <w:szCs w:val="24"/>
        </w:rPr>
        <w:t>rojektowany</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odpłatności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4D68E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0C534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nieodpłatny,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ponosi</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proporcj</w:t>
      </w:r>
      <w:r w:rsidR="00EC2DEE" w:rsidRPr="00D44D33">
        <w:rPr>
          <w:rFonts w:ascii="Times New Roman" w:eastAsiaTheme="minorEastAsia" w:hAnsi="Times New Roman" w:cs="Times New Roman"/>
          <w:sz w:val="24"/>
          <w:szCs w:val="24"/>
        </w:rPr>
        <w:t>on</w:t>
      </w:r>
      <w:r w:rsidR="00401436" w:rsidRPr="00D44D33">
        <w:rPr>
          <w:rFonts w:ascii="Times New Roman" w:eastAsiaTheme="minorEastAsia" w:hAnsi="Times New Roman" w:cs="Times New Roman"/>
          <w:sz w:val="24"/>
          <w:szCs w:val="24"/>
        </w:rPr>
        <w:t>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ponoszonych</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zapewniającego</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udostępnionej</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infrastruktury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odpłatny,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budowlanym</w:t>
      </w:r>
      <w:r w:rsidR="004D68E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najbliższym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własnością</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przeważającym</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401436" w:rsidRPr="00D44D33">
        <w:rPr>
          <w:rFonts w:ascii="Times New Roman" w:eastAsiaTheme="minorEastAsia" w:hAnsi="Times New Roman" w:cs="Times New Roman"/>
          <w:sz w:val="24"/>
          <w:szCs w:val="24"/>
        </w:rPr>
        <w:t>proporcjonalnej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poniesionych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uwzględniać</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plan</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biznesowy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4D68E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inwestycje</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szybkich</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004D68E7"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słowy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odpłatny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zapewnionym</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sensu</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stricto,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chociażby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chęć</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odpłatnego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udostępnienia</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swoich</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wykazać,</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wykonuje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po</w:t>
      </w:r>
      <w:r w:rsidR="00583F3D" w:rsidRPr="00D44D33">
        <w:rPr>
          <w:rFonts w:ascii="Times New Roman" w:eastAsiaTheme="minorEastAsia" w:hAnsi="Times New Roman" w:cs="Times New Roman"/>
          <w:sz w:val="24"/>
          <w:szCs w:val="24"/>
        </w:rPr>
        <w:lastRenderedPageBreak/>
        <w:t>nieważ</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PT</w:t>
      </w:r>
      <w:r w:rsidR="00583F3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spełniające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warunku</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udostępniają</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nieodpłatnie,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im</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p>
    <w:p w14:paraId="77961A45" w14:textId="70E113A0" w:rsidR="00EC2DEE" w:rsidRPr="00D44D33" w:rsidRDefault="00EC2DE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Kwalifikacja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„przeważającego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uwzględnieniu</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przeważającej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podklasy</w:t>
      </w:r>
      <w:r w:rsidR="00970B2E" w:rsidRPr="00D44D33">
        <w:rPr>
          <w:rFonts w:ascii="Times New Roman" w:eastAsiaTheme="minorEastAsia" w:hAnsi="Times New Roman" w:cs="Times New Roman"/>
          <w:sz w:val="24"/>
          <w:szCs w:val="24"/>
        </w:rPr>
        <w:t xml:space="preserve"> </w:t>
      </w:r>
      <w:r w:rsidR="00F909A1"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F909A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909A1" w:rsidRPr="00D44D33">
        <w:rPr>
          <w:rFonts w:ascii="Times New Roman" w:eastAsiaTheme="minorEastAsia" w:hAnsi="Times New Roman" w:cs="Times New Roman"/>
          <w:sz w:val="24"/>
          <w:szCs w:val="24"/>
        </w:rPr>
        <w:t>PKD,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AB2D30" w:rsidRPr="00D44D33">
        <w:rPr>
          <w:rFonts w:ascii="Times New Roman" w:eastAsiaTheme="minorEastAsia" w:hAnsi="Times New Roman" w:cs="Times New Roman"/>
          <w:sz w:val="24"/>
          <w:szCs w:val="24"/>
        </w:rPr>
        <w:t xml:space="preserve">z dnia 20 sierpnia 1997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Sądowym</w:t>
      </w:r>
      <w:r w:rsidR="00AB2D30" w:rsidRPr="00D44D33">
        <w:rPr>
          <w:rFonts w:ascii="Times New Roman" w:eastAsiaTheme="minorEastAsia" w:hAnsi="Times New Roman" w:cs="Times New Roman"/>
          <w:sz w:val="24"/>
          <w:szCs w:val="24"/>
        </w:rPr>
        <w:t xml:space="preserve"> (</w:t>
      </w:r>
      <w:r w:rsidR="00AB2D30" w:rsidRPr="00D44D33">
        <w:rPr>
          <w:rFonts w:ascii="Times New Roman" w:hAnsi="Times New Roman" w:cs="Times New Roman"/>
          <w:sz w:val="24"/>
          <w:szCs w:val="24"/>
        </w:rPr>
        <w:t>Dz. U. z 202</w:t>
      </w:r>
      <w:r w:rsidR="000C5342" w:rsidRPr="00D44D33">
        <w:rPr>
          <w:rFonts w:ascii="Times New Roman" w:hAnsi="Times New Roman" w:cs="Times New Roman"/>
          <w:sz w:val="24"/>
          <w:szCs w:val="24"/>
        </w:rPr>
        <w:t>1</w:t>
      </w:r>
      <w:r w:rsidR="00AB2D30" w:rsidRPr="00D44D33">
        <w:rPr>
          <w:rFonts w:ascii="Times New Roman" w:hAnsi="Times New Roman" w:cs="Times New Roman"/>
          <w:sz w:val="24"/>
          <w:szCs w:val="24"/>
        </w:rPr>
        <w:t xml:space="preserve"> r. poz. </w:t>
      </w:r>
      <w:r w:rsidR="000C5342" w:rsidRPr="00D44D33">
        <w:rPr>
          <w:rFonts w:ascii="Times New Roman" w:hAnsi="Times New Roman" w:cs="Times New Roman"/>
          <w:sz w:val="24"/>
          <w:szCs w:val="24"/>
        </w:rPr>
        <w:t>11</w:t>
      </w:r>
      <w:r w:rsidR="00AB2D30" w:rsidRPr="00D44D33">
        <w:rPr>
          <w:rFonts w:ascii="Times New Roman" w:hAnsi="Times New Roman" w:cs="Times New Roman"/>
          <w:sz w:val="24"/>
          <w:szCs w:val="24"/>
        </w:rPr>
        <w:t>2</w:t>
      </w:r>
      <w:r w:rsidR="00862484" w:rsidRPr="00D44D33">
        <w:rPr>
          <w:rFonts w:ascii="Times New Roman" w:hAnsi="Times New Roman" w:cs="Times New Roman"/>
          <w:sz w:val="24"/>
          <w:szCs w:val="24"/>
        </w:rPr>
        <w:t>,</w:t>
      </w:r>
      <w:r w:rsidR="00862484" w:rsidRPr="00D44D33">
        <w:rPr>
          <w:rFonts w:ascii="Times New Roman" w:eastAsiaTheme="minorEastAsia" w:hAnsi="Times New Roman" w:cs="Times New Roman"/>
          <w:sz w:val="24"/>
          <w:szCs w:val="24"/>
        </w:rPr>
        <w:t xml:space="preserve"> z późn. zm.).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1D0EBA" w:rsidRPr="00D44D33">
        <w:rPr>
          <w:rFonts w:ascii="Times New Roman" w:eastAsiaTheme="minorEastAsia" w:hAnsi="Times New Roman" w:cs="Times New Roman"/>
          <w:sz w:val="24"/>
          <w:szCs w:val="24"/>
        </w:rPr>
        <w:t>rzedsiębiorców</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zarejestrowanych</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CEIDG</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pewnym</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odpowiedniej</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kwalifikacji</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kod</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PKD</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62F0" w:rsidRPr="00D44D33">
        <w:rPr>
          <w:rFonts w:ascii="Times New Roman" w:eastAsiaTheme="minorEastAsia" w:hAnsi="Times New Roman" w:cs="Times New Roman"/>
          <w:sz w:val="24"/>
          <w:szCs w:val="24"/>
        </w:rPr>
        <w:t>Telekomunikacja</w:t>
      </w:r>
      <w:r w:rsidR="001D0EB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F909A1" w:rsidRPr="00D44D33">
        <w:rPr>
          <w:rFonts w:ascii="Times New Roman" w:eastAsiaTheme="minorEastAsia" w:hAnsi="Times New Roman" w:cs="Times New Roman"/>
          <w:sz w:val="24"/>
          <w:szCs w:val="24"/>
        </w:rPr>
        <w:t>„</w:t>
      </w:r>
      <w:r w:rsidR="001D0EBA" w:rsidRPr="00D44D33">
        <w:rPr>
          <w:rFonts w:ascii="Times New Roman" w:eastAsiaTheme="minorEastAsia" w:hAnsi="Times New Roman" w:cs="Times New Roman"/>
          <w:sz w:val="24"/>
          <w:szCs w:val="24"/>
        </w:rPr>
        <w:t>przeważającym</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telekomunikacyjna</w:t>
      </w:r>
      <w:r w:rsidR="00F909A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1D0EBA" w:rsidRPr="00D44D33">
        <w:rPr>
          <w:rFonts w:ascii="Times New Roman" w:eastAsiaTheme="minorEastAsia" w:hAnsi="Times New Roman" w:cs="Times New Roman"/>
          <w:sz w:val="24"/>
          <w:szCs w:val="24"/>
        </w:rPr>
        <w:t>kwalifikacji.</w:t>
      </w:r>
    </w:p>
    <w:p w14:paraId="547AB111" w14:textId="1F22A27C" w:rsidR="00C5392E" w:rsidRPr="00D44D33" w:rsidRDefault="009D5DE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1E0F46"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75</w:t>
      </w:r>
    </w:p>
    <w:p w14:paraId="01E7B784" w14:textId="5E97091D" w:rsidR="00C5392E" w:rsidRPr="00D44D33" w:rsidRDefault="12A8CB6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C5342" w:rsidRPr="00D44D33">
        <w:rPr>
          <w:rFonts w:ascii="Times New Roman" w:eastAsiaTheme="minorEastAsia" w:hAnsi="Times New Roman" w:cs="Times New Roman"/>
          <w:sz w:val="24"/>
          <w:szCs w:val="24"/>
        </w:rPr>
        <w:t xml:space="preserve">Pke </w:t>
      </w:r>
      <w:r w:rsidR="200310B5"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obiektywnych,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przejrzystych,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niedyskryminujących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proporcjonalnych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warunk</w:t>
      </w:r>
      <w:r w:rsidR="000C5342" w:rsidRPr="00D44D33">
        <w:rPr>
          <w:rFonts w:ascii="Times New Roman" w:eastAsiaTheme="minorEastAsia" w:hAnsi="Times New Roman" w:cs="Times New Roman"/>
          <w:sz w:val="24"/>
          <w:szCs w:val="24"/>
        </w:rPr>
        <w:t>ów</w:t>
      </w:r>
      <w:r w:rsidR="200310B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jakich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zapewniany</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24DEAE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w:t>
      </w:r>
      <w:r w:rsidR="124DEAE6"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Pke</w:t>
      </w:r>
      <w:r w:rsidR="200310B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przemawia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interes</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lastRenderedPageBreak/>
        <w:t>Podmioty</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zobowiązane</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odesłanie</w:t>
      </w:r>
      <w:r w:rsidR="00970B2E" w:rsidRPr="00D44D33">
        <w:rPr>
          <w:rFonts w:ascii="Times New Roman" w:eastAsiaTheme="minorEastAsia" w:hAnsi="Times New Roman" w:cs="Times New Roman"/>
          <w:sz w:val="24"/>
          <w:szCs w:val="24"/>
        </w:rPr>
        <w:t xml:space="preserve"> </w:t>
      </w:r>
      <w:r w:rsidR="00583F3D"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zawiera</w:t>
      </w:r>
      <w:r w:rsidR="000C5342" w:rsidRPr="00D44D33">
        <w:rPr>
          <w:rFonts w:ascii="Times New Roman" w:eastAsiaTheme="minorEastAsia" w:hAnsi="Times New Roman" w:cs="Times New Roman"/>
          <w:sz w:val="24"/>
          <w:szCs w:val="24"/>
        </w:rPr>
        <w:t>ją</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gorszych</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wy</w:t>
      </w:r>
      <w:r w:rsidRPr="00D44D33">
        <w:rPr>
          <w:rFonts w:ascii="Times New Roman" w:eastAsiaTheme="minorEastAsia" w:hAnsi="Times New Roman" w:cs="Times New Roman"/>
          <w:sz w:val="24"/>
          <w:szCs w:val="24"/>
        </w:rPr>
        <w:t>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D</w:t>
      </w:r>
      <w:r w:rsidR="200310B5" w:rsidRPr="00D44D33">
        <w:rPr>
          <w:rFonts w:ascii="Times New Roman" w:eastAsiaTheme="minorEastAsia" w:hAnsi="Times New Roman" w:cs="Times New Roman"/>
          <w:sz w:val="24"/>
          <w:szCs w:val="24"/>
        </w:rPr>
        <w:t>ecyzje</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 xml:space="preserve">te </w:t>
      </w:r>
      <w:r w:rsidR="200310B5"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00310B5" w:rsidRPr="00D44D33">
        <w:rPr>
          <w:rFonts w:ascii="Times New Roman" w:eastAsiaTheme="minorEastAsia" w:hAnsi="Times New Roman" w:cs="Times New Roman"/>
          <w:sz w:val="24"/>
          <w:szCs w:val="24"/>
        </w:rPr>
        <w:t>podstawie:</w:t>
      </w:r>
    </w:p>
    <w:p w14:paraId="3177EA5E" w14:textId="7AA293D0" w:rsidR="00C5392E" w:rsidRPr="00D44D33" w:rsidRDefault="00583F3D" w:rsidP="00D44D33">
      <w:pPr>
        <w:pStyle w:val="Akapitzlist"/>
        <w:numPr>
          <w:ilvl w:val="0"/>
          <w:numId w:val="24"/>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D5DEA"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C539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adresatem</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ustawowego</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247B1B" w:rsidRPr="00D44D33">
        <w:rPr>
          <w:rFonts w:ascii="Times New Roman" w:hAnsi="Times New Roman" w:cs="Times New Roman"/>
          <w:sz w:val="24"/>
          <w:szCs w:val="24"/>
        </w:rPr>
        <w:t>przedsiębiorca</w:t>
      </w:r>
      <w:r w:rsidR="00970B2E" w:rsidRPr="00D44D33">
        <w:rPr>
          <w:rFonts w:ascii="Times New Roman" w:hAnsi="Times New Roman" w:cs="Times New Roman"/>
          <w:sz w:val="24"/>
          <w:szCs w:val="24"/>
        </w:rPr>
        <w:t xml:space="preserve"> </w:t>
      </w:r>
      <w:r w:rsidR="00247B1B" w:rsidRPr="00D44D33">
        <w:rPr>
          <w:rFonts w:ascii="Times New Roman" w:hAnsi="Times New Roman" w:cs="Times New Roman"/>
          <w:sz w:val="24"/>
          <w:szCs w:val="24"/>
        </w:rPr>
        <w:t>telekomunikacyjny</w:t>
      </w:r>
      <w:r w:rsidR="00970B2E" w:rsidRPr="00D44D33">
        <w:rPr>
          <w:rFonts w:ascii="Times New Roman" w:hAnsi="Times New Roman" w:cs="Times New Roman"/>
          <w:sz w:val="24"/>
          <w:szCs w:val="24"/>
        </w:rPr>
        <w:t xml:space="preserve"> </w:t>
      </w:r>
      <w:r w:rsidR="00247B1B"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niebędący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przedsiębiorcą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telekomunikacyjnym,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ile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właścicielem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okablowania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pomiędzy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zakończeniami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sieci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obiekcie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budowlanym,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najbliższym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punktem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dystrybucji,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także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zobowiązany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zapewnienia</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dostępu</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B77EFB" w:rsidRPr="00D44D33">
        <w:rPr>
          <w:rFonts w:ascii="Times New Roman" w:hAnsi="Times New Roman" w:cs="Times New Roman"/>
          <w:sz w:val="24"/>
          <w:szCs w:val="24"/>
        </w:rPr>
        <w:t>174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Pke</w:t>
      </w:r>
      <w:r w:rsidR="00725C32" w:rsidRPr="00D44D33">
        <w:rPr>
          <w:rFonts w:ascii="Times New Roman" w:eastAsiaTheme="minorEastAsia" w:hAnsi="Times New Roman" w:cs="Times New Roman"/>
          <w:sz w:val="24"/>
          <w:szCs w:val="24"/>
        </w:rPr>
        <w:t>,</w:t>
      </w:r>
    </w:p>
    <w:p w14:paraId="6066E074" w14:textId="4266EAA0" w:rsidR="00C5392E" w:rsidRPr="00D44D33" w:rsidRDefault="00583F3D" w:rsidP="00D44D33">
      <w:pPr>
        <w:pStyle w:val="Akapitzlist"/>
        <w:numPr>
          <w:ilvl w:val="0"/>
          <w:numId w:val="24"/>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175</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C539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nałożony</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odnosić</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rozszerzonego</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C5392E" w:rsidRPr="00D44D33">
        <w:rPr>
          <w:rFonts w:ascii="Times New Roman" w:eastAsiaTheme="minorEastAsia" w:hAnsi="Times New Roman" w:cs="Times New Roman"/>
          <w:sz w:val="24"/>
          <w:szCs w:val="24"/>
        </w:rPr>
        <w:t>dostę</w:t>
      </w:r>
      <w:r w:rsidR="009D5DEA" w:rsidRPr="00D44D33">
        <w:rPr>
          <w:rFonts w:ascii="Times New Roman" w:eastAsiaTheme="minorEastAsia" w:hAnsi="Times New Roman" w:cs="Times New Roman"/>
          <w:sz w:val="24"/>
          <w:szCs w:val="24"/>
        </w:rPr>
        <w:t>powego,</w:t>
      </w:r>
      <w:r w:rsidR="00970B2E" w:rsidRPr="00D44D33">
        <w:rPr>
          <w:rFonts w:ascii="Times New Roman" w:eastAsiaTheme="minorEastAsia" w:hAnsi="Times New Roman" w:cs="Times New Roman"/>
          <w:sz w:val="24"/>
          <w:szCs w:val="24"/>
        </w:rPr>
        <w:t xml:space="preserve"> </w:t>
      </w:r>
      <w:r w:rsidR="009D5DE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D5DEA"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9D5DE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9D5DE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D5DE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E0F4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w:t>
      </w:r>
      <w:r w:rsidR="001E0F46"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C5392E" w:rsidRPr="00D44D33">
        <w:rPr>
          <w:rFonts w:ascii="Times New Roman" w:eastAsiaTheme="minorEastAsia" w:hAnsi="Times New Roman" w:cs="Times New Roman"/>
          <w:sz w:val="24"/>
          <w:szCs w:val="24"/>
        </w:rPr>
        <w:t>.</w:t>
      </w:r>
    </w:p>
    <w:p w14:paraId="65BDBDD8" w14:textId="5825975B" w:rsidR="009F71F6" w:rsidRPr="00D44D33" w:rsidRDefault="675CD7C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przesłankami</w:t>
      </w:r>
      <w:r w:rsidR="00371EEA">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 xml:space="preserve">są: zapewnienie </w:t>
      </w:r>
      <w:r w:rsidR="00001729"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zapewnieni</w:t>
      </w:r>
      <w:r w:rsidR="00725C32"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konkurencji</w:t>
      </w:r>
      <w:r w:rsidR="56DC58D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użytym</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spójnikiem</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podstawa</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którejkolwiek</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wymienionych</w:t>
      </w:r>
      <w:r w:rsidR="00970B2E" w:rsidRPr="00D44D33">
        <w:rPr>
          <w:rFonts w:ascii="Times New Roman" w:eastAsiaTheme="minorEastAsia" w:hAnsi="Times New Roman" w:cs="Times New Roman"/>
          <w:sz w:val="24"/>
          <w:szCs w:val="24"/>
        </w:rPr>
        <w:t xml:space="preserve"> </w:t>
      </w:r>
      <w:r w:rsidR="56DC58D4" w:rsidRPr="00D44D33">
        <w:rPr>
          <w:rFonts w:ascii="Times New Roman" w:eastAsiaTheme="minorEastAsia" w:hAnsi="Times New Roman" w:cs="Times New Roman"/>
          <w:sz w:val="24"/>
          <w:szCs w:val="24"/>
        </w:rPr>
        <w:t>przesłanek.</w:t>
      </w:r>
    </w:p>
    <w:p w14:paraId="4EA6637F" w14:textId="4F7C4319" w:rsidR="00B47ECA" w:rsidRPr="00D44D33" w:rsidRDefault="00B47EC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inteligentnemu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opomiarowaniu,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725C32" w:rsidRPr="00D44D33">
        <w:rPr>
          <w:rFonts w:ascii="Times New Roman" w:eastAsiaTheme="minorEastAsia" w:hAnsi="Times New Roman" w:cs="Times New Roman"/>
          <w:sz w:val="24"/>
          <w:szCs w:val="24"/>
        </w:rPr>
        <w:t xml:space="preserve">rzędu </w:t>
      </w:r>
      <w:r w:rsidRPr="00D44D33">
        <w:rPr>
          <w:rFonts w:ascii="Times New Roman" w:eastAsiaTheme="minorEastAsia" w:hAnsi="Times New Roman" w:cs="Times New Roman"/>
          <w:sz w:val="24"/>
          <w:szCs w:val="24"/>
        </w:rPr>
        <w:t>R</w:t>
      </w:r>
      <w:r w:rsidR="00725C32" w:rsidRPr="00D44D33">
        <w:rPr>
          <w:rFonts w:ascii="Times New Roman" w:eastAsiaTheme="minorEastAsia" w:hAnsi="Times New Roman" w:cs="Times New Roman"/>
          <w:sz w:val="24"/>
          <w:szCs w:val="24"/>
        </w:rPr>
        <w:t xml:space="preserve">egulacji </w:t>
      </w:r>
      <w:r w:rsidRPr="00D44D33">
        <w:rPr>
          <w:rFonts w:ascii="Times New Roman" w:eastAsiaTheme="minorEastAsia" w:hAnsi="Times New Roman" w:cs="Times New Roman"/>
          <w:sz w:val="24"/>
          <w:szCs w:val="24"/>
        </w:rPr>
        <w:t>E</w:t>
      </w:r>
      <w:r w:rsidR="00725C32" w:rsidRPr="00D44D33">
        <w:rPr>
          <w:rFonts w:ascii="Times New Roman" w:eastAsiaTheme="minorEastAsia" w:hAnsi="Times New Roman" w:cs="Times New Roman"/>
          <w:sz w:val="24"/>
          <w:szCs w:val="24"/>
        </w:rPr>
        <w:t>nergetyki, zwanym dalej „Prezesem URE”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Uzgodnienie</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AD2095"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obejmuje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finansowych</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warunków</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współpracy.</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zakresie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URE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przedstawi</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opinię.</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analogiczne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rozwiązanie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jakie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przyjęte</w:t>
      </w:r>
      <w:r w:rsidR="00970B2E" w:rsidRPr="00D44D33">
        <w:rPr>
          <w:rFonts w:ascii="Times New Roman" w:hAnsi="Times New Roman" w:cs="Times New Roman"/>
          <w:sz w:val="24"/>
          <w:szCs w:val="24"/>
        </w:rPr>
        <w:t xml:space="preserve"> </w:t>
      </w:r>
      <w:r w:rsidR="00AD2095" w:rsidRPr="00D44D33">
        <w:rPr>
          <w:rFonts w:ascii="Times New Roman"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z dnia 7 maja 2010 r. o wspieraniu rozwoju usług i sieci telekomunikacyjnych</w:t>
      </w:r>
      <w:r w:rsidR="00AD20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odnoszących</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przedsiębiorstw</w:t>
      </w:r>
      <w:r w:rsidR="00970B2E" w:rsidRPr="00D44D33">
        <w:rPr>
          <w:rFonts w:ascii="Times New Roman" w:eastAsiaTheme="minorEastAsia" w:hAnsi="Times New Roman" w:cs="Times New Roman"/>
          <w:sz w:val="24"/>
          <w:szCs w:val="24"/>
        </w:rPr>
        <w:t xml:space="preserve"> </w:t>
      </w:r>
      <w:r w:rsidR="00AD2095" w:rsidRPr="00D44D33">
        <w:rPr>
          <w:rFonts w:ascii="Times New Roman" w:eastAsiaTheme="minorEastAsia" w:hAnsi="Times New Roman" w:cs="Times New Roman"/>
          <w:sz w:val="24"/>
          <w:szCs w:val="24"/>
        </w:rPr>
        <w:t>energetycznych.</w:t>
      </w:r>
    </w:p>
    <w:p w14:paraId="3B290367" w14:textId="058F17E6" w:rsidR="003F2BE4" w:rsidRPr="00D44D33" w:rsidRDefault="001E0F4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B77EFB" w:rsidRPr="00D44D33">
        <w:rPr>
          <w:rFonts w:ascii="Times New Roman" w:eastAsiaTheme="minorEastAsia" w:hAnsi="Times New Roman" w:cs="Times New Roman"/>
          <w:b/>
          <w:bCs/>
          <w:sz w:val="24"/>
          <w:szCs w:val="24"/>
        </w:rPr>
        <w:t>76</w:t>
      </w:r>
    </w:p>
    <w:p w14:paraId="2F744A87" w14:textId="0EB829E3" w:rsidR="003F2BE4" w:rsidRPr="00D44D33" w:rsidRDefault="003F2BE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E0F46" w:rsidRPr="00D44D33">
        <w:rPr>
          <w:rFonts w:ascii="Times New Roman" w:eastAsiaTheme="minorEastAsia" w:hAnsi="Times New Roman" w:cs="Times New Roman"/>
          <w:sz w:val="24"/>
          <w:szCs w:val="24"/>
        </w:rPr>
        <w:t>1</w:t>
      </w:r>
      <w:r w:rsidR="00B77EFB" w:rsidRPr="00D44D33">
        <w:rPr>
          <w:rFonts w:ascii="Times New Roman" w:eastAsiaTheme="minorEastAsia" w:hAnsi="Times New Roman" w:cs="Times New Roman"/>
          <w:sz w:val="24"/>
          <w:szCs w:val="24"/>
        </w:rPr>
        <w:t>76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725C32" w:rsidRPr="00D44D33">
        <w:rPr>
          <w:rFonts w:ascii="Times New Roman" w:eastAsiaTheme="minorEastAsia" w:hAnsi="Times New Roman" w:cs="Times New Roman"/>
          <w:sz w:val="24"/>
          <w:szCs w:val="24"/>
        </w:rPr>
        <w:t xml:space="preserve"> 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utrwalonej</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przekazuje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p>
    <w:p w14:paraId="1B5BFB28" w14:textId="6D26FFF4" w:rsidR="003F2BE4" w:rsidRPr="00D44D33" w:rsidRDefault="262989B6"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7390AC6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211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regulacyjnym</w:t>
      </w:r>
      <w:r w:rsidR="00725C32" w:rsidRPr="00D44D33">
        <w:rPr>
          <w:rFonts w:ascii="Times New Roman" w:eastAsiaTheme="minorEastAsia" w:hAnsi="Times New Roman" w:cs="Times New Roman"/>
          <w:sz w:val="24"/>
          <w:szCs w:val="24"/>
        </w:rPr>
        <w:t>,</w:t>
      </w:r>
    </w:p>
    <w:p w14:paraId="32BEE667" w14:textId="0C3626BC" w:rsidR="00001729" w:rsidRPr="00D44D33" w:rsidRDefault="00B52ED4"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3F2BE4" w:rsidRPr="00D44D33">
        <w:rPr>
          <w:rFonts w:ascii="Times New Roman" w:eastAsiaTheme="minorEastAsia" w:hAnsi="Times New Roman" w:cs="Times New Roman"/>
          <w:sz w:val="24"/>
          <w:szCs w:val="24"/>
        </w:rPr>
        <w:t>obowiązan</w:t>
      </w:r>
      <w:r w:rsidR="00001729"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F2BE4" w:rsidRPr="00D44D33">
        <w:rPr>
          <w:rFonts w:ascii="Times New Roman" w:eastAsiaTheme="minorEastAsia" w:hAnsi="Times New Roman" w:cs="Times New Roman"/>
          <w:sz w:val="24"/>
          <w:szCs w:val="24"/>
        </w:rPr>
        <w:t>1</w:t>
      </w:r>
      <w:r w:rsidR="0000172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przeważającym</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specyficzny</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85757" w:rsidRPr="00D44D33">
        <w:rPr>
          <w:rFonts w:ascii="Times New Roman" w:eastAsiaTheme="minorEastAsia" w:hAnsi="Times New Roman" w:cs="Times New Roman"/>
          <w:sz w:val="24"/>
          <w:szCs w:val="24"/>
        </w:rPr>
        <w:t>odpłatny</w:t>
      </w:r>
      <w:r w:rsidR="00725C32" w:rsidRPr="00D44D33">
        <w:rPr>
          <w:rFonts w:ascii="Times New Roman" w:eastAsiaTheme="minorEastAsia" w:hAnsi="Times New Roman" w:cs="Times New Roman"/>
          <w:sz w:val="24"/>
          <w:szCs w:val="24"/>
        </w:rPr>
        <w:t>,</w:t>
      </w:r>
    </w:p>
    <w:p w14:paraId="6099D216" w14:textId="1478ADC7" w:rsidR="00B52ED4" w:rsidRPr="00D44D33" w:rsidRDefault="00001729" w:rsidP="00D44D33">
      <w:pPr>
        <w:numPr>
          <w:ilvl w:val="0"/>
          <w:numId w:val="44"/>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77EFB" w:rsidRPr="00D44D33">
        <w:rPr>
          <w:rFonts w:ascii="Times New Roman" w:eastAsiaTheme="minorEastAsia" w:hAnsi="Times New Roman" w:cs="Times New Roman"/>
          <w:sz w:val="24"/>
          <w:szCs w:val="24"/>
        </w:rPr>
        <w:t>17</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725C32" w:rsidRPr="00D44D33">
        <w:rPr>
          <w:rFonts w:ascii="Times New Roman" w:eastAsiaTheme="minorEastAsia" w:hAnsi="Times New Roman" w:cs="Times New Roman"/>
          <w:sz w:val="24"/>
          <w:szCs w:val="24"/>
        </w:rPr>
        <w:t>,</w:t>
      </w:r>
    </w:p>
    <w:p w14:paraId="081D7993" w14:textId="7DFBEF96" w:rsidR="003F2BE4" w:rsidRPr="00D44D33" w:rsidRDefault="003F2BE4"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w:t>
      </w:r>
      <w:r w:rsidR="00001729"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7</w:t>
      </w:r>
      <w:r w:rsidR="00001729"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01729"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w:t>
      </w:r>
    </w:p>
    <w:p w14:paraId="6DCDBF3C" w14:textId="067D508C" w:rsidR="00001729" w:rsidRPr="00D44D33" w:rsidRDefault="00B52ED4" w:rsidP="00D44D33">
      <w:pPr>
        <w:pStyle w:val="ARTartustawynprozporzdzenia"/>
        <w:tabs>
          <w:tab w:val="left" w:pos="2367"/>
        </w:tabs>
        <w:spacing w:after="120"/>
        <w:ind w:firstLine="0"/>
        <w:rPr>
          <w:rFonts w:ascii="Times New Roman" w:hAnsi="Times New Roman" w:cs="Times New Roman"/>
          <w:szCs w:val="24"/>
        </w:rPr>
      </w:pP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1</w:t>
      </w:r>
      <w:r w:rsidR="00382752" w:rsidRPr="00D44D33">
        <w:rPr>
          <w:rFonts w:ascii="Times New Roman" w:hAnsi="Times New Roman" w:cs="Times New Roman"/>
          <w:szCs w:val="24"/>
        </w:rPr>
        <w:t>76</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2</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doprecyzowan</w:t>
      </w:r>
      <w:r w:rsidR="00725C32" w:rsidRPr="00D44D33">
        <w:rPr>
          <w:rFonts w:ascii="Times New Roman" w:hAnsi="Times New Roman" w:cs="Times New Roman"/>
          <w:szCs w:val="24"/>
        </w:rPr>
        <w:t>o</w:t>
      </w:r>
      <w:r w:rsidR="003F2BE4"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którym</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mowa</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1</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aktualizuje</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zmiany</w:t>
      </w:r>
      <w:r w:rsidR="00970B2E" w:rsidRPr="00D44D33">
        <w:rPr>
          <w:rFonts w:ascii="Times New Roman" w:hAnsi="Times New Roman" w:cs="Times New Roman"/>
          <w:szCs w:val="24"/>
        </w:rPr>
        <w:t xml:space="preserve"> </w:t>
      </w:r>
      <w:r w:rsidR="003F2BE4" w:rsidRPr="00D44D33">
        <w:rPr>
          <w:rFonts w:ascii="Times New Roman" w:hAnsi="Times New Roman" w:cs="Times New Roman"/>
          <w:szCs w:val="24"/>
        </w:rPr>
        <w:t>umowy.</w:t>
      </w:r>
      <w:r w:rsidR="00970B2E" w:rsidRPr="00D44D33">
        <w:rPr>
          <w:rFonts w:ascii="Times New Roman" w:hAnsi="Times New Roman" w:cs="Times New Roman"/>
          <w:szCs w:val="24"/>
        </w:rPr>
        <w:t xml:space="preserve"> </w:t>
      </w:r>
    </w:p>
    <w:p w14:paraId="092E61E7" w14:textId="3A2CC9A8" w:rsidR="0F2B87F3" w:rsidRPr="00D44D33" w:rsidRDefault="003F2BE4" w:rsidP="00D44D33">
      <w:pPr>
        <w:pStyle w:val="ARTartustawynprozporzdzenia"/>
        <w:tabs>
          <w:tab w:val="left" w:pos="2367"/>
        </w:tabs>
        <w:spacing w:after="120"/>
        <w:ind w:firstLine="0"/>
        <w:rPr>
          <w:rFonts w:ascii="Times New Roman" w:eastAsia="Times New Roman" w:hAnsi="Times New Roman" w:cs="Times New Roman"/>
          <w:szCs w:val="24"/>
        </w:rPr>
      </w:pPr>
      <w:r w:rsidRPr="00D44D33">
        <w:rPr>
          <w:rFonts w:ascii="Times New Roman" w:hAnsi="Times New Roman" w:cs="Times New Roman"/>
          <w:szCs w:val="24"/>
        </w:rPr>
        <w:t>Umowy</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dostęp</w:t>
      </w:r>
      <w:r w:rsidR="00970B2E" w:rsidRPr="00D44D33">
        <w:rPr>
          <w:rFonts w:ascii="Times New Roman" w:hAnsi="Times New Roman" w:cs="Times New Roman"/>
          <w:szCs w:val="24"/>
        </w:rPr>
        <w:t xml:space="preserve"> </w:t>
      </w:r>
      <w:r w:rsidRPr="00D44D33">
        <w:rPr>
          <w:rFonts w:ascii="Times New Roman" w:hAnsi="Times New Roman" w:cs="Times New Roman"/>
          <w:szCs w:val="24"/>
        </w:rPr>
        <w:t>są</w:t>
      </w:r>
      <w:r w:rsidR="00970B2E" w:rsidRPr="00D44D33">
        <w:rPr>
          <w:rFonts w:ascii="Times New Roman" w:hAnsi="Times New Roman" w:cs="Times New Roman"/>
          <w:szCs w:val="24"/>
        </w:rPr>
        <w:t xml:space="preserve"> </w:t>
      </w:r>
      <w:r w:rsidRPr="00D44D33">
        <w:rPr>
          <w:rFonts w:ascii="Times New Roman" w:hAnsi="Times New Roman" w:cs="Times New Roman"/>
          <w:szCs w:val="24"/>
        </w:rPr>
        <w:t>co</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zasady</w:t>
      </w:r>
      <w:r w:rsidR="00970B2E" w:rsidRPr="00D44D33">
        <w:rPr>
          <w:rFonts w:ascii="Times New Roman" w:hAnsi="Times New Roman" w:cs="Times New Roman"/>
          <w:szCs w:val="24"/>
        </w:rPr>
        <w:t xml:space="preserve"> </w:t>
      </w:r>
      <w:r w:rsidRPr="00D44D33">
        <w:rPr>
          <w:rFonts w:ascii="Times New Roman" w:hAnsi="Times New Roman" w:cs="Times New Roman"/>
          <w:szCs w:val="24"/>
        </w:rPr>
        <w:t>jawne</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podlegają,</w:t>
      </w:r>
      <w:r w:rsidR="00970B2E" w:rsidRPr="00D44D33">
        <w:rPr>
          <w:rFonts w:ascii="Times New Roman" w:hAnsi="Times New Roman" w:cs="Times New Roman"/>
          <w:szCs w:val="24"/>
        </w:rPr>
        <w:t xml:space="preserve"> </w:t>
      </w:r>
      <w:r w:rsidR="00E72EDF" w:rsidRPr="00D44D33">
        <w:rPr>
          <w:rFonts w:ascii="Times New Roman" w:hAnsi="Times New Roman" w:cs="Times New Roman"/>
          <w:szCs w:val="24"/>
        </w:rPr>
        <w:t>zgodnie</w:t>
      </w:r>
      <w:r w:rsidR="00970B2E" w:rsidRPr="00D44D33">
        <w:rPr>
          <w:rFonts w:ascii="Times New Roman" w:hAnsi="Times New Roman" w:cs="Times New Roman"/>
          <w:szCs w:val="24"/>
        </w:rPr>
        <w:t xml:space="preserve"> </w:t>
      </w:r>
      <w:r w:rsidR="00E72EDF"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E72EDF" w:rsidRPr="00D44D33">
        <w:rPr>
          <w:rFonts w:ascii="Times New Roman" w:hAnsi="Times New Roman" w:cs="Times New Roman"/>
          <w:szCs w:val="24"/>
        </w:rPr>
        <w:t>projektowanym</w:t>
      </w:r>
      <w:r w:rsidR="00970B2E" w:rsidRPr="00D44D33">
        <w:rPr>
          <w:rFonts w:ascii="Times New Roman" w:hAnsi="Times New Roman" w:cs="Times New Roman"/>
          <w:szCs w:val="24"/>
        </w:rPr>
        <w:t xml:space="preserve"> </w:t>
      </w:r>
      <w:r w:rsidR="00E72EDF"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00E72EDF" w:rsidRPr="00D44D33">
        <w:rPr>
          <w:rFonts w:ascii="Times New Roman" w:hAnsi="Times New Roman" w:cs="Times New Roman"/>
          <w:szCs w:val="24"/>
        </w:rPr>
        <w:t>1</w:t>
      </w:r>
      <w:r w:rsidR="00382752" w:rsidRPr="00D44D33">
        <w:rPr>
          <w:rFonts w:ascii="Times New Roman" w:hAnsi="Times New Roman" w:cs="Times New Roman"/>
          <w:szCs w:val="24"/>
        </w:rPr>
        <w:t>76</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Pr="00D44D33">
        <w:rPr>
          <w:rFonts w:ascii="Times New Roman" w:hAnsi="Times New Roman" w:cs="Times New Roman"/>
          <w:szCs w:val="24"/>
        </w:rPr>
        <w:t>3,</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bezpłatnemu</w:t>
      </w:r>
      <w:r w:rsidR="00970B2E" w:rsidRPr="00D44D33">
        <w:rPr>
          <w:rFonts w:ascii="Times New Roman" w:hAnsi="Times New Roman" w:cs="Times New Roman"/>
          <w:szCs w:val="24"/>
        </w:rPr>
        <w:t xml:space="preserve"> </w:t>
      </w:r>
      <w:r w:rsidRPr="00D44D33">
        <w:rPr>
          <w:rFonts w:ascii="Times New Roman" w:hAnsi="Times New Roman" w:cs="Times New Roman"/>
          <w:szCs w:val="24"/>
        </w:rPr>
        <w:t>udostępnieniu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wniosek.</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Projektowany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zawiera</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zastrzeżenie,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wyłączenie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jawności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może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obejmować</w:t>
      </w:r>
      <w:r w:rsidR="00970B2E" w:rsidRPr="00D44D33">
        <w:rPr>
          <w:rFonts w:ascii="Times New Roman" w:hAnsi="Times New Roman" w:cs="Times New Roman"/>
          <w:szCs w:val="24"/>
        </w:rPr>
        <w:t xml:space="preserve"> </w:t>
      </w:r>
      <w:r w:rsidRPr="00D44D33">
        <w:rPr>
          <w:rFonts w:ascii="Times New Roman" w:hAnsi="Times New Roman" w:cs="Times New Roman"/>
          <w:szCs w:val="24"/>
        </w:rPr>
        <w:t>rozliczeń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tytułu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dostępu.</w:t>
      </w:r>
      <w:r w:rsidR="00970B2E" w:rsidRPr="00D44D33">
        <w:rPr>
          <w:rFonts w:ascii="Times New Roman" w:hAnsi="Times New Roman" w:cs="Times New Roman"/>
          <w:bCs/>
          <w:szCs w:val="24"/>
        </w:rPr>
        <w:t xml:space="preserve"> </w:t>
      </w:r>
      <w:r w:rsidR="0F2B87F3" w:rsidRPr="00D44D33">
        <w:rPr>
          <w:rFonts w:ascii="Times New Roman" w:eastAsia="Times New Roman" w:hAnsi="Times New Roman" w:cs="Times New Roman"/>
          <w:szCs w:val="24"/>
        </w:rPr>
        <w:t>Podobny</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przepis</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funkcjonował</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już</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w</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Pt</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(art.</w:t>
      </w:r>
      <w:r w:rsidR="00970B2E" w:rsidRPr="00D44D33">
        <w:rPr>
          <w:rFonts w:ascii="Times New Roman" w:eastAsia="Times New Roman" w:hAnsi="Times New Roman" w:cs="Times New Roman"/>
          <w:szCs w:val="24"/>
        </w:rPr>
        <w:t xml:space="preserve"> </w:t>
      </w:r>
      <w:r w:rsidR="0F2B87F3" w:rsidRPr="00D44D33">
        <w:rPr>
          <w:rFonts w:ascii="Times New Roman" w:eastAsia="Times New Roman" w:hAnsi="Times New Roman" w:cs="Times New Roman"/>
          <w:szCs w:val="24"/>
        </w:rPr>
        <w:t>33).</w:t>
      </w:r>
    </w:p>
    <w:p w14:paraId="41AF00C4" w14:textId="77777777" w:rsidR="00371EEA" w:rsidRDefault="00371EEA" w:rsidP="00D44D33">
      <w:pPr>
        <w:spacing w:before="120" w:after="120" w:line="360" w:lineRule="auto"/>
        <w:jc w:val="center"/>
        <w:rPr>
          <w:rFonts w:ascii="Times New Roman" w:eastAsiaTheme="minorEastAsia" w:hAnsi="Times New Roman" w:cs="Times New Roman"/>
          <w:b/>
          <w:bCs/>
          <w:sz w:val="24"/>
          <w:szCs w:val="24"/>
        </w:rPr>
      </w:pPr>
    </w:p>
    <w:p w14:paraId="220DFB0C" w14:textId="07B18E5B" w:rsidR="00F41646" w:rsidRPr="00D44D33" w:rsidRDefault="001633C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R</w:t>
      </w:r>
      <w:r w:rsidR="00725C32" w:rsidRPr="00D44D33">
        <w:rPr>
          <w:rFonts w:ascii="Times New Roman" w:eastAsiaTheme="minorEastAsia" w:hAnsi="Times New Roman" w:cs="Times New Roman"/>
          <w:b/>
          <w:bCs/>
          <w:sz w:val="24"/>
          <w:szCs w:val="24"/>
        </w:rPr>
        <w:t>ozdział</w:t>
      </w:r>
      <w:r w:rsidR="00970B2E" w:rsidRPr="00D44D33">
        <w:rPr>
          <w:rFonts w:ascii="Times New Roman" w:eastAsiaTheme="minorEastAsia" w:hAnsi="Times New Roman" w:cs="Times New Roman"/>
          <w:b/>
          <w:bCs/>
          <w:sz w:val="24"/>
          <w:szCs w:val="24"/>
        </w:rPr>
        <w:t xml:space="preserve"> </w:t>
      </w:r>
      <w:r w:rsidR="00A639CC" w:rsidRPr="00D44D33">
        <w:rPr>
          <w:rFonts w:ascii="Times New Roman" w:eastAsiaTheme="minorEastAsia" w:hAnsi="Times New Roman" w:cs="Times New Roman"/>
          <w:b/>
          <w:bCs/>
          <w:sz w:val="24"/>
          <w:szCs w:val="24"/>
        </w:rPr>
        <w:t>2</w:t>
      </w:r>
    </w:p>
    <w:p w14:paraId="536E8D32" w14:textId="0D64C5B1" w:rsidR="003F2BE4" w:rsidRPr="00D44D33" w:rsidRDefault="00963CA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Obowiązki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dostępowe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symetryczne</w:t>
      </w:r>
    </w:p>
    <w:p w14:paraId="532B8C6E" w14:textId="7BB0A490" w:rsidR="006A73E7" w:rsidRPr="00D44D33" w:rsidRDefault="005133C5"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Art.</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1</w:t>
      </w:r>
      <w:r w:rsidR="00382752" w:rsidRPr="00D44D33">
        <w:rPr>
          <w:rFonts w:ascii="Times New Roman" w:hAnsi="Times New Roman" w:cs="Times New Roman"/>
          <w:b/>
          <w:lang w:eastAsia="en-US"/>
        </w:rPr>
        <w:t>7</w:t>
      </w:r>
      <w:r w:rsidRPr="00D44D33">
        <w:rPr>
          <w:rFonts w:ascii="Times New Roman" w:hAnsi="Times New Roman" w:cs="Times New Roman"/>
          <w:b/>
          <w:lang w:eastAsia="en-US"/>
        </w:rPr>
        <w:t>7</w:t>
      </w:r>
    </w:p>
    <w:p w14:paraId="48B74CEC" w14:textId="60F59894" w:rsidR="006A73E7" w:rsidRPr="00D44D33" w:rsidRDefault="006A73E7"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lang w:eastAsia="en-US"/>
        </w:rPr>
        <w:t>Przepis</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ten</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określa</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dostępowe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obowiązki</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symetryczne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(ust.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1)</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oraz</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nakłada</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na</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Prezesa</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UKE</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obowiązek</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zapewnienia</w:t>
      </w:r>
      <w:r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aby</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obowiązek</w:t>
      </w:r>
      <w:r w:rsidR="00725C32" w:rsidRPr="00D44D33">
        <w:rPr>
          <w:rFonts w:ascii="Times New Roman" w:hAnsi="Times New Roman" w:cs="Times New Roman"/>
          <w:szCs w:val="24"/>
          <w:lang w:eastAsia="en-US"/>
        </w:rPr>
        <w:t xml:space="preserve"> dostępowy symetryczny</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lang w:eastAsia="en-US"/>
        </w:rPr>
        <w:t>był</w:t>
      </w:r>
      <w:r w:rsidR="00970B2E" w:rsidRPr="00D44D33">
        <w:rPr>
          <w:rFonts w:ascii="Times New Roman" w:hAnsi="Times New Roman" w:cs="Times New Roman"/>
          <w:szCs w:val="24"/>
          <w:lang w:eastAsia="en-US"/>
        </w:rPr>
        <w:t xml:space="preserve"> </w:t>
      </w:r>
      <w:r w:rsidR="00385757" w:rsidRPr="00D44D33">
        <w:rPr>
          <w:rFonts w:ascii="Times New Roman" w:hAnsi="Times New Roman" w:cs="Times New Roman"/>
          <w:szCs w:val="24"/>
        </w:rPr>
        <w:t>obiektywny,</w:t>
      </w:r>
      <w:r w:rsidR="00970B2E" w:rsidRPr="00D44D33">
        <w:rPr>
          <w:rFonts w:ascii="Times New Roman" w:hAnsi="Times New Roman" w:cs="Times New Roman"/>
          <w:szCs w:val="24"/>
        </w:rPr>
        <w:t xml:space="preserve"> </w:t>
      </w:r>
      <w:r w:rsidR="00385757" w:rsidRPr="00D44D33">
        <w:rPr>
          <w:rFonts w:ascii="Times New Roman" w:hAnsi="Times New Roman" w:cs="Times New Roman"/>
          <w:szCs w:val="24"/>
        </w:rPr>
        <w:t>przejrzysty,</w:t>
      </w:r>
      <w:r w:rsidR="00970B2E" w:rsidRPr="00D44D33">
        <w:rPr>
          <w:rFonts w:ascii="Times New Roman" w:hAnsi="Times New Roman" w:cs="Times New Roman"/>
          <w:szCs w:val="24"/>
        </w:rPr>
        <w:t xml:space="preserve"> </w:t>
      </w:r>
      <w:r w:rsidR="00385757" w:rsidRPr="00D44D33">
        <w:rPr>
          <w:rFonts w:ascii="Times New Roman" w:hAnsi="Times New Roman" w:cs="Times New Roman"/>
          <w:szCs w:val="24"/>
        </w:rPr>
        <w:t>proporcjonalny</w:t>
      </w:r>
      <w:r w:rsidR="00970B2E" w:rsidRPr="00D44D33">
        <w:rPr>
          <w:rFonts w:ascii="Times New Roman" w:hAnsi="Times New Roman" w:cs="Times New Roman"/>
          <w:szCs w:val="24"/>
        </w:rPr>
        <w:t xml:space="preserve"> </w:t>
      </w:r>
      <w:r w:rsidR="00385757"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385757" w:rsidRPr="00D44D33">
        <w:rPr>
          <w:rFonts w:ascii="Times New Roman" w:hAnsi="Times New Roman" w:cs="Times New Roman"/>
          <w:szCs w:val="24"/>
        </w:rPr>
        <w:t>niedyskryminacyjny</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(ust.</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2).</w:t>
      </w:r>
    </w:p>
    <w:p w14:paraId="3B0EE854" w14:textId="3083F98D" w:rsidR="001633C4" w:rsidRPr="00D44D33" w:rsidRDefault="005133C5" w:rsidP="00D44D33">
      <w:pPr>
        <w:tabs>
          <w:tab w:val="left" w:pos="7065"/>
        </w:tabs>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85757" w:rsidRPr="00D44D33">
        <w:rPr>
          <w:rFonts w:ascii="Times New Roman" w:eastAsiaTheme="minorEastAsia" w:hAnsi="Times New Roman" w:cs="Times New Roman"/>
          <w:b/>
          <w:bCs/>
          <w:sz w:val="24"/>
          <w:szCs w:val="24"/>
        </w:rPr>
        <w:t>178</w:t>
      </w:r>
    </w:p>
    <w:p w14:paraId="45F3BC40" w14:textId="48EB59AE" w:rsidR="001633C4" w:rsidRPr="00D44D33" w:rsidRDefault="005133C5"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7</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kompetencja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obszarów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geograficznych,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podmiot</w:t>
      </w:r>
      <w:r w:rsidR="00FA2D97" w:rsidRPr="00D44D33">
        <w:rPr>
          <w:rFonts w:ascii="Times New Roman" w:eastAsiaTheme="minorEastAsia" w:hAnsi="Times New Roman" w:cs="Times New Roman"/>
          <w:sz w:val="24"/>
          <w:szCs w:val="24"/>
        </w:rPr>
        <w:t>u</w:t>
      </w:r>
      <w:r w:rsidR="00EB010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41646" w:rsidRPr="00D44D33">
        <w:rPr>
          <w:rFonts w:ascii="Times New Roman" w:eastAsiaTheme="minorEastAsia" w:hAnsi="Times New Roman" w:cs="Times New Roman"/>
          <w:sz w:val="24"/>
          <w:szCs w:val="24"/>
        </w:rPr>
        <w:t xml:space="preserve">z dnia 7 maja 2010 r. </w:t>
      </w:r>
      <w:r w:rsidR="00EB010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lastRenderedPageBreak/>
        <w:t>usług</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wykorzystał</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publiczne</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sierpnia</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2009</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finansach</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pu</w:t>
      </w:r>
      <w:r w:rsidR="002C7319" w:rsidRPr="00D44D33">
        <w:rPr>
          <w:rFonts w:ascii="Times New Roman" w:eastAsiaTheme="minorEastAsia" w:hAnsi="Times New Roman" w:cs="Times New Roman"/>
          <w:sz w:val="24"/>
          <w:szCs w:val="24"/>
        </w:rPr>
        <w:t>blicznych</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budowy,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przebudowy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remontu</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nabycia</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nabył</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zbudowanej,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przebudowanej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wyremontowanej</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wykorzystaniu</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publicznych)</w:t>
      </w:r>
      <w:r w:rsidR="00EB010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najbliższym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rozszerzony</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powiązanymi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punktami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znajdują</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najbliżej</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zakończeń</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budynkach,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liczba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obsługiwanych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zakończeń</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uzasadnia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ubieganie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efektywnie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działającego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telekomunikacyjnego.</w:t>
      </w:r>
      <w:r w:rsidR="00970B2E" w:rsidRPr="00D44D33">
        <w:rPr>
          <w:rFonts w:ascii="Times New Roman" w:hAnsi="Times New Roman" w:cs="Times New Roman"/>
          <w:sz w:val="24"/>
          <w:szCs w:val="24"/>
        </w:rPr>
        <w:t xml:space="preserve"> </w:t>
      </w:r>
      <w:r w:rsidR="001633C4"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91</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EB010E" w:rsidRPr="00D44D33">
        <w:rPr>
          <w:rFonts w:ascii="Times New Roman" w:eastAsiaTheme="minorEastAsia" w:hAnsi="Times New Roman" w:cs="Times New Roman"/>
          <w:sz w:val="24"/>
          <w:szCs w:val="24"/>
        </w:rPr>
        <w:t>Pke</w:t>
      </w:r>
      <w:r w:rsidR="001633C4" w:rsidRPr="00D44D33">
        <w:rPr>
          <w:rFonts w:ascii="Times New Roman" w:eastAsiaTheme="minorEastAsia" w:hAnsi="Times New Roman" w:cs="Times New Roman"/>
          <w:sz w:val="24"/>
          <w:szCs w:val="24"/>
        </w:rPr>
        <w:t>.</w:t>
      </w:r>
    </w:p>
    <w:p w14:paraId="3289C602" w14:textId="287360CE" w:rsidR="001633C4" w:rsidRPr="00D44D33" w:rsidRDefault="005133C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382752" w:rsidRPr="00D44D33">
        <w:rPr>
          <w:rFonts w:ascii="Times New Roman" w:hAnsi="Times New Roman" w:cs="Times New Roman"/>
          <w:sz w:val="24"/>
          <w:szCs w:val="24"/>
        </w:rPr>
        <w:t>7</w:t>
      </w:r>
      <w:r w:rsidRPr="00D44D33">
        <w:rPr>
          <w:rFonts w:ascii="Times New Roman" w:hAnsi="Times New Roman" w:cs="Times New Roman"/>
          <w:sz w:val="24"/>
          <w:szCs w:val="24"/>
        </w:rPr>
        <w:t>8</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001633C4"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b/>
          <w:bCs/>
          <w:sz w:val="24"/>
          <w:szCs w:val="24"/>
        </w:rPr>
        <w:t xml:space="preserve"> </w:t>
      </w:r>
      <w:r w:rsidR="001633C4"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obszar</w:t>
      </w:r>
      <w:r w:rsidR="00385757" w:rsidRPr="00D44D33">
        <w:rPr>
          <w:rFonts w:ascii="Times New Roman" w:eastAsiaTheme="minorEastAsia" w:hAnsi="Times New Roman" w:cs="Times New Roman"/>
          <w:sz w:val="24"/>
          <w:szCs w:val="24"/>
        </w:rPr>
        <w:t>u</w:t>
      </w:r>
      <w:r w:rsidR="001633C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który</w:t>
      </w:r>
      <w:r w:rsidR="00385757"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powiązanymi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najbliższym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niewystarczającym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stopniu</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przyczynia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stałych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wysokich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barier</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inwestycyjnych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zagrażających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ograniczeniem</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ograniczających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korzyści</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konkurencji</w:t>
      </w:r>
      <w:r w:rsidR="00516C5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633C4"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516C58" w:rsidRPr="00D44D33">
        <w:rPr>
          <w:rFonts w:ascii="Times New Roman" w:hAnsi="Times New Roman" w:cs="Times New Roman"/>
          <w:sz w:val="24"/>
          <w:szCs w:val="24"/>
        </w:rPr>
        <w:t>korzystając</w:t>
      </w:r>
      <w:r w:rsidR="00970B2E" w:rsidRPr="00D44D33">
        <w:rPr>
          <w:rFonts w:ascii="Times New Roman" w:hAnsi="Times New Roman" w:cs="Times New Roman"/>
          <w:sz w:val="24"/>
          <w:szCs w:val="24"/>
        </w:rPr>
        <w:t xml:space="preserve"> </w:t>
      </w:r>
      <w:r w:rsidR="00516C58"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00516C58" w:rsidRPr="00D44D33">
        <w:rPr>
          <w:rFonts w:ascii="Times New Roman" w:hAnsi="Times New Roman" w:cs="Times New Roman"/>
          <w:sz w:val="24"/>
          <w:szCs w:val="24"/>
        </w:rPr>
        <w:t>wskazanej</w:t>
      </w:r>
      <w:r w:rsidR="00970B2E" w:rsidRPr="00D44D33">
        <w:rPr>
          <w:rFonts w:ascii="Times New Roman" w:hAnsi="Times New Roman" w:cs="Times New Roman"/>
          <w:sz w:val="24"/>
          <w:szCs w:val="24"/>
        </w:rPr>
        <w:t xml:space="preserve"> </w:t>
      </w:r>
      <w:r w:rsidR="00516C58" w:rsidRPr="00D44D33">
        <w:rPr>
          <w:rFonts w:ascii="Times New Roman" w:hAnsi="Times New Roman" w:cs="Times New Roman"/>
          <w:sz w:val="24"/>
          <w:szCs w:val="24"/>
        </w:rPr>
        <w:t>kompetencji</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zobowiązany</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wziąć</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uwagę</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nałożone</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obowiązki</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regulacyjne</w:t>
      </w:r>
      <w:r w:rsidR="00970B2E" w:rsidRPr="00D44D33">
        <w:rPr>
          <w:rFonts w:ascii="Times New Roman" w:hAnsi="Times New Roman" w:cs="Times New Roman"/>
          <w:sz w:val="24"/>
          <w:szCs w:val="24"/>
        </w:rPr>
        <w:t xml:space="preserve"> </w:t>
      </w:r>
      <w:r w:rsidR="001633C4"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1633C4"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1633C4" w:rsidRPr="00D44D33">
        <w:rPr>
          <w:rFonts w:ascii="Times New Roman" w:eastAsiaTheme="minorEastAsia" w:hAnsi="Times New Roman" w:cs="Times New Roman"/>
          <w:sz w:val="24"/>
          <w:szCs w:val="24"/>
        </w:rPr>
        <w:t>zdanie</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drugie</w:t>
      </w:r>
      <w:r w:rsidR="001633C4" w:rsidRPr="00D44D33">
        <w:rPr>
          <w:rFonts w:ascii="Times New Roman" w:eastAsiaTheme="minorEastAsia" w:hAnsi="Times New Roman" w:cs="Times New Roman"/>
          <w:sz w:val="24"/>
          <w:szCs w:val="24"/>
        </w:rPr>
        <w:t>)</w:t>
      </w:r>
      <w:r w:rsidR="00516C58"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
          <w:bCs/>
          <w:sz w:val="24"/>
          <w:szCs w:val="24"/>
        </w:rPr>
        <w:t xml:space="preserve"> </w:t>
      </w:r>
      <w:r w:rsidR="00725C32"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„trwałe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wysokie”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bariery</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(„przeszkody”</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wersji</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językowej</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lastRenderedPageBreak/>
        <w:t>zostało</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wyjaśnione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Wytycznych</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wydanych</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obowiązującymi</w:t>
      </w:r>
      <w:r w:rsidR="00970B2E" w:rsidRPr="00D44D33">
        <w:rPr>
          <w:rFonts w:ascii="Times New Roman" w:eastAsiaTheme="minorEastAsia" w:hAnsi="Times New Roman" w:cs="Times New Roman"/>
          <w:sz w:val="24"/>
          <w:szCs w:val="24"/>
        </w:rPr>
        <w:t xml:space="preserve"> </w:t>
      </w:r>
      <w:r w:rsidR="0023121E" w:rsidRPr="00D44D33">
        <w:rPr>
          <w:rFonts w:ascii="Times New Roman" w:eastAsiaTheme="minorEastAsia" w:hAnsi="Times New Roman" w:cs="Times New Roman"/>
          <w:sz w:val="24"/>
          <w:szCs w:val="24"/>
        </w:rPr>
        <w:t>wytycznymi</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23121E"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23121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23121E"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BEREC</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Guidelines</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on</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the</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Criteria</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for</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a</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Consistent</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Application</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of</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Article</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61</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(3)</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i/>
          <w:sz w:val="24"/>
          <w:szCs w:val="24"/>
        </w:rPr>
        <w:t>EECC</w:t>
      </w:r>
      <w:r w:rsidR="00970B2E" w:rsidRPr="00D44D33">
        <w:rPr>
          <w:rFonts w:ascii="Times New Roman" w:eastAsiaTheme="minorEastAsia" w:hAnsi="Times New Roman" w:cs="Times New Roman"/>
          <w:i/>
          <w:sz w:val="24"/>
          <w:szCs w:val="24"/>
        </w:rPr>
        <w:t xml:space="preserve"> </w:t>
      </w:r>
      <w:r w:rsidR="00013A9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2020</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013A92" w:rsidRPr="00D44D33">
        <w:rPr>
          <w:rFonts w:ascii="Times New Roman" w:eastAsiaTheme="minorEastAsia" w:hAnsi="Times New Roman" w:cs="Times New Roman"/>
          <w:sz w:val="24"/>
          <w:szCs w:val="24"/>
        </w:rPr>
        <w:t>(</w:t>
      </w:r>
      <w:r w:rsidR="00013A92" w:rsidRPr="00D44D33">
        <w:rPr>
          <w:rFonts w:ascii="Times New Roman" w:hAnsi="Times New Roman" w:cs="Times New Roman"/>
          <w:sz w:val="24"/>
          <w:szCs w:val="24"/>
        </w:rPr>
        <w:t>BoR</w:t>
      </w:r>
      <w:r w:rsidR="00970B2E" w:rsidRPr="00D44D33">
        <w:rPr>
          <w:rFonts w:ascii="Times New Roman" w:hAnsi="Times New Roman" w:cs="Times New Roman"/>
          <w:sz w:val="24"/>
          <w:szCs w:val="24"/>
        </w:rPr>
        <w:t xml:space="preserve"> </w:t>
      </w:r>
      <w:r w:rsidR="00013A92" w:rsidRPr="00D44D33">
        <w:rPr>
          <w:rFonts w:ascii="Times New Roman" w:hAnsi="Times New Roman" w:cs="Times New Roman"/>
          <w:sz w:val="24"/>
          <w:szCs w:val="24"/>
        </w:rPr>
        <w:t>(20)</w:t>
      </w:r>
      <w:r w:rsidR="00970B2E" w:rsidRPr="00D44D33">
        <w:rPr>
          <w:rFonts w:ascii="Times New Roman" w:hAnsi="Times New Roman" w:cs="Times New Roman"/>
          <w:sz w:val="24"/>
          <w:szCs w:val="24"/>
        </w:rPr>
        <w:t xml:space="preserve"> </w:t>
      </w:r>
      <w:r w:rsidR="00013A92" w:rsidRPr="00D44D33">
        <w:rPr>
          <w:rFonts w:ascii="Times New Roman" w:hAnsi="Times New Roman" w:cs="Times New Roman"/>
          <w:sz w:val="24"/>
          <w:szCs w:val="24"/>
        </w:rPr>
        <w:t>225)</w:t>
      </w:r>
      <w:r w:rsidR="0023121E" w:rsidRPr="00D44D33">
        <w:rPr>
          <w:rFonts w:ascii="Times New Roman" w:hAnsi="Times New Roman" w:cs="Times New Roman"/>
          <w:sz w:val="24"/>
          <w:szCs w:val="24"/>
        </w:rPr>
        <w:t>.</w:t>
      </w:r>
    </w:p>
    <w:p w14:paraId="6A7DFDA3" w14:textId="0023D084" w:rsidR="001633C4" w:rsidRPr="00D44D33" w:rsidRDefault="001633C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w:t>
      </w:r>
      <w:r w:rsidR="005133C5" w:rsidRPr="00D44D33">
        <w:rPr>
          <w:rFonts w:ascii="Times New Roman" w:eastAsiaTheme="minorEastAsia" w:hAnsi="Times New Roman" w:cs="Times New Roman"/>
          <w:sz w:val="24"/>
          <w:szCs w:val="24"/>
        </w:rPr>
        <w:t>epis</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7</w:t>
      </w:r>
      <w:r w:rsidR="005133C5"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najbliżej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obsługiwanych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ubieganie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371EEA">
        <w:rPr>
          <w:rFonts w:ascii="Times New Roman" w:eastAsiaTheme="minorEastAsia" w:hAnsi="Times New Roman" w:cs="Times New Roman"/>
          <w:b/>
          <w:bCs/>
          <w:sz w:val="24"/>
          <w:szCs w:val="24"/>
        </w:rPr>
        <w:t xml:space="preserve"> </w:t>
      </w:r>
      <w:r w:rsidR="00516C58"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204</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skrócie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języku</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prawniczym</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obrotu</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516C58" w:rsidRPr="00D44D33">
        <w:rPr>
          <w:rFonts w:ascii="Times New Roman" w:eastAsiaTheme="minorEastAsia" w:hAnsi="Times New Roman" w:cs="Times New Roman"/>
          <w:sz w:val="24"/>
          <w:szCs w:val="24"/>
        </w:rPr>
        <w:t>„hurtowe”)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rozmiar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podważyłyby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w:t>
      </w:r>
      <w:r w:rsidR="005133C5"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finansowych</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pokrywać</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podziałem</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mikro,</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małych</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średnich</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stwierdzi</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spełnienie</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którejś</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226E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17</w:t>
      </w:r>
      <w:r w:rsidR="00FA2D97"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00FA2D97"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7E7837EB" w14:textId="3E366DA9" w:rsidR="00783F82" w:rsidRPr="00D44D33" w:rsidDel="00462FCB" w:rsidRDefault="00783F82" w:rsidP="00D44D33">
      <w:pPr>
        <w:spacing w:before="120" w:after="120" w:line="360" w:lineRule="auto"/>
        <w:jc w:val="center"/>
        <w:rPr>
          <w:rFonts w:ascii="Times New Roman" w:eastAsiaTheme="minorEastAsia" w:hAnsi="Times New Roman" w:cs="Times New Roman"/>
          <w:sz w:val="24"/>
          <w:szCs w:val="24"/>
          <w:vertAlign w:val="superscript"/>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1</w:t>
      </w:r>
      <w:r w:rsidR="00382752" w:rsidRPr="00D44D33">
        <w:rPr>
          <w:rFonts w:ascii="Times New Roman" w:eastAsiaTheme="minorEastAsia" w:hAnsi="Times New Roman" w:cs="Times New Roman"/>
          <w:b/>
          <w:sz w:val="24"/>
          <w:szCs w:val="24"/>
        </w:rPr>
        <w:t>79</w:t>
      </w:r>
    </w:p>
    <w:p w14:paraId="65062D2D" w14:textId="7542F4E9" w:rsidR="0044188F" w:rsidRPr="00D44D33" w:rsidRDefault="79ECB19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7</w:t>
      </w:r>
      <w:r w:rsidR="1CA6A1A1"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725C32" w:rsidRPr="00D44D33">
        <w:rPr>
          <w:rFonts w:ascii="Times New Roman" w:eastAsiaTheme="minorEastAsia" w:hAnsi="Times New Roman" w:cs="Times New Roman"/>
          <w:sz w:val="24"/>
          <w:szCs w:val="24"/>
        </w:rPr>
        <w:t xml:space="preserve"> oraz </w:t>
      </w:r>
      <w:r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5BF46A0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5BF46A0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BF46A0B"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BDF4D4A" w:rsidRPr="00D44D33">
        <w:rPr>
          <w:rFonts w:ascii="Times New Roman" w:hAnsi="Times New Roman" w:cs="Times New Roman"/>
          <w:sz w:val="24"/>
          <w:szCs w:val="24"/>
        </w:rPr>
        <w:t>łączności</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użytkownikiem</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końcowym</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BDF4D4A"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jeżeli</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jeszcze</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BDF4D4A" w:rsidRPr="00D44D33">
        <w:rPr>
          <w:rFonts w:ascii="Times New Roman" w:hAnsi="Times New Roman" w:cs="Times New Roman"/>
          <w:sz w:val="24"/>
          <w:szCs w:val="24"/>
        </w:rPr>
        <w:t>zrealizowane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796FC0F"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hAnsi="Times New Roman" w:cs="Times New Roman"/>
          <w:sz w:val="24"/>
          <w:szCs w:val="24"/>
        </w:rPr>
        <w:t>179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interfejsów</w:t>
      </w:r>
      <w:r w:rsidR="00970B2E" w:rsidRPr="00D44D33">
        <w:rPr>
          <w:rFonts w:ascii="Times New Roman" w:eastAsiaTheme="minorEastAsia" w:hAnsi="Times New Roman" w:cs="Times New Roman"/>
          <w:sz w:val="24"/>
          <w:szCs w:val="24"/>
        </w:rPr>
        <w:t xml:space="preserve"> </w:t>
      </w:r>
      <w:r w:rsidR="71D6087E" w:rsidRPr="00D44D33">
        <w:rPr>
          <w:rFonts w:ascii="Times New Roman" w:eastAsiaTheme="minorEastAsia" w:hAnsi="Times New Roman" w:cs="Times New Roman"/>
          <w:sz w:val="24"/>
          <w:szCs w:val="24"/>
        </w:rPr>
        <w:t>programistycznych</w:t>
      </w:r>
      <w:r w:rsidR="00970B2E" w:rsidRPr="00D44D33">
        <w:rPr>
          <w:rFonts w:ascii="Times New Roman" w:eastAsiaTheme="minorEastAsia" w:hAnsi="Times New Roman" w:cs="Times New Roman"/>
          <w:sz w:val="24"/>
          <w:szCs w:val="24"/>
        </w:rPr>
        <w:t xml:space="preserve"> </w:t>
      </w:r>
      <w:r w:rsidR="71D6087E" w:rsidRPr="00D44D33">
        <w:rPr>
          <w:rFonts w:ascii="Times New Roman" w:eastAsiaTheme="minorEastAsia" w:hAnsi="Times New Roman" w:cs="Times New Roman"/>
          <w:sz w:val="24"/>
          <w:szCs w:val="24"/>
        </w:rPr>
        <w:t>aplikacji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rozsądnych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t>
      </w:r>
      <w:r w:rsidR="673F0724" w:rsidRPr="00D44D33">
        <w:rPr>
          <w:rFonts w:ascii="Times New Roman" w:eastAsiaTheme="minorEastAsia" w:hAnsi="Times New Roman" w:cs="Times New Roman"/>
          <w:sz w:val="24"/>
          <w:szCs w:val="24"/>
        </w:rPr>
        <w:t>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796FC0F" w:rsidRPr="00D44D33">
        <w:rPr>
          <w:rFonts w:ascii="Times New Roman" w:hAnsi="Times New Roman" w:cs="Times New Roman"/>
          <w:sz w:val="24"/>
          <w:szCs w:val="24"/>
        </w:rPr>
        <w:t>udogodnień</w:t>
      </w:r>
      <w:r w:rsidR="00970B2E" w:rsidRPr="00D44D33">
        <w:rPr>
          <w:rFonts w:ascii="Times New Roman" w:hAnsi="Times New Roman" w:cs="Times New Roman"/>
          <w:sz w:val="24"/>
          <w:szCs w:val="24"/>
        </w:rPr>
        <w:t xml:space="preserve"> </w:t>
      </w:r>
      <w:r w:rsidR="2A1DBA94"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2A1DBA94" w:rsidRPr="00D44D33">
        <w:rPr>
          <w:rFonts w:ascii="Times New Roman" w:hAnsi="Times New Roman" w:cs="Times New Roman"/>
          <w:sz w:val="24"/>
          <w:szCs w:val="24"/>
        </w:rPr>
        <w:t>osób</w:t>
      </w:r>
      <w:r w:rsidR="00970B2E" w:rsidRPr="00D44D33">
        <w:rPr>
          <w:rFonts w:ascii="Times New Roman" w:hAnsi="Times New Roman" w:cs="Times New Roman"/>
          <w:sz w:val="24"/>
          <w:szCs w:val="24"/>
        </w:rPr>
        <w:t xml:space="preserve"> </w:t>
      </w:r>
      <w:r w:rsidR="2A1DBA94"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2A1DBA94" w:rsidRPr="00D44D33">
        <w:rPr>
          <w:rFonts w:ascii="Times New Roman" w:hAnsi="Times New Roman" w:cs="Times New Roman"/>
          <w:sz w:val="24"/>
          <w:szCs w:val="24"/>
        </w:rPr>
        <w:t>niepełnosprawnościami</w:t>
      </w:r>
      <w:r w:rsidR="00970B2E" w:rsidRPr="00D44D33">
        <w:rPr>
          <w:rFonts w:ascii="Times New Roman" w:hAnsi="Times New Roman" w:cs="Times New Roman"/>
          <w:sz w:val="24"/>
          <w:szCs w:val="24"/>
        </w:rPr>
        <w:t xml:space="preserve"> </w:t>
      </w:r>
      <w:r w:rsidR="4796FC0F" w:rsidRPr="00D44D33">
        <w:rPr>
          <w:rFonts w:ascii="Times New Roman" w:hAnsi="Times New Roman" w:cs="Times New Roman"/>
          <w:sz w:val="24"/>
          <w:szCs w:val="24"/>
        </w:rPr>
        <w:t>związanych</w:t>
      </w:r>
      <w:r w:rsidR="00970B2E" w:rsidRPr="00D44D33">
        <w:rPr>
          <w:rFonts w:ascii="Times New Roman" w:hAnsi="Times New Roman" w:cs="Times New Roman"/>
          <w:sz w:val="24"/>
          <w:szCs w:val="24"/>
        </w:rPr>
        <w:t xml:space="preserve"> </w:t>
      </w:r>
      <w:r w:rsidR="4796FC0F"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4796FC0F" w:rsidRPr="00D44D33">
        <w:rPr>
          <w:rFonts w:ascii="Times New Roman" w:hAnsi="Times New Roman" w:cs="Times New Roman"/>
          <w:sz w:val="24"/>
          <w:szCs w:val="24"/>
        </w:rPr>
        <w:t>tymi</w:t>
      </w:r>
      <w:r w:rsidR="00970B2E" w:rsidRPr="00D44D33">
        <w:rPr>
          <w:rFonts w:ascii="Times New Roman" w:hAnsi="Times New Roman" w:cs="Times New Roman"/>
          <w:sz w:val="24"/>
          <w:szCs w:val="24"/>
        </w:rPr>
        <w:t xml:space="preserve"> </w:t>
      </w:r>
      <w:r w:rsidR="4796FC0F" w:rsidRPr="00D44D33">
        <w:rPr>
          <w:rFonts w:ascii="Times New Roman" w:hAnsi="Times New Roman" w:cs="Times New Roman"/>
          <w:sz w:val="24"/>
          <w:szCs w:val="24"/>
        </w:rPr>
        <w:t>usługami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eastAsiaTheme="minorEastAsia" w:hAnsi="Times New Roman" w:cs="Times New Roman"/>
          <w:sz w:val="24"/>
          <w:szCs w:val="24"/>
        </w:rPr>
        <w:t>179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p>
    <w:p w14:paraId="39000C76" w14:textId="2174AA46" w:rsidR="00783F82" w:rsidRPr="00D44D33" w:rsidRDefault="0044188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p>
    <w:p w14:paraId="51EAE109" w14:textId="6DF6AD1F" w:rsidR="008829F1"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osiągnęły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upowszechnienia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wśród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Spełnienie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upowszechnienia”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910AC9" w:rsidRPr="00D44D33">
        <w:rPr>
          <w:rFonts w:ascii="Times New Roman" w:eastAsiaTheme="minorEastAsia" w:hAnsi="Times New Roman" w:cs="Times New Roman"/>
          <w:sz w:val="24"/>
          <w:szCs w:val="24"/>
        </w:rPr>
        <w:t>UKE</w:t>
      </w:r>
      <w:r w:rsidR="00E53B3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3B39"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725C32"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koniec–koniec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725C32"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trzech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1A1482"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179</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zw</w:t>
      </w:r>
      <w:r w:rsidR="001A1482" w:rsidRPr="00D44D33">
        <w:rPr>
          <w:rFonts w:ascii="Times New Roman" w:eastAsiaTheme="minorEastAsia" w:hAnsi="Times New Roman" w:cs="Times New Roman"/>
          <w:sz w:val="24"/>
          <w:szCs w:val="24"/>
        </w:rPr>
        <w:t>iązku</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3AC7EBC3" w14:textId="02F68CA8" w:rsidR="008829F1" w:rsidRPr="00D44D33" w:rsidRDefault="006A73E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179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otwarty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8829F1" w:rsidRPr="00D44D33">
        <w:rPr>
          <w:rFonts w:ascii="Times New Roman" w:eastAsiaTheme="minorEastAsia" w:hAnsi="Times New Roman" w:cs="Times New Roman"/>
          <w:sz w:val="24"/>
          <w:szCs w:val="24"/>
        </w:rPr>
        <w:t>dogodnie</w:t>
      </w:r>
      <w:r w:rsidRPr="00D44D33">
        <w:rPr>
          <w:rFonts w:ascii="Times New Roman" w:eastAsiaTheme="minorEastAsia" w:hAnsi="Times New Roman" w:cs="Times New Roman"/>
          <w:sz w:val="24"/>
          <w:szCs w:val="24"/>
        </w:rPr>
        <w:t>ń</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różnymi</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rodzajami</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niepełnosprawności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związa</w:t>
      </w:r>
      <w:r w:rsidRPr="00D44D33">
        <w:rPr>
          <w:rFonts w:ascii="Times New Roman" w:eastAsiaTheme="minorEastAsia" w:hAnsi="Times New Roman" w:cs="Times New Roman"/>
          <w:sz w:val="24"/>
          <w:szCs w:val="24"/>
        </w:rPr>
        <w:t>nych</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radia</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cyfrowego</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8829F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829F1" w:rsidRPr="00D44D33">
        <w:rPr>
          <w:rFonts w:ascii="Times New Roman" w:eastAsiaTheme="minorEastAsia" w:hAnsi="Times New Roman" w:cs="Times New Roman"/>
          <w:sz w:val="24"/>
          <w:szCs w:val="24"/>
        </w:rPr>
        <w:t>szczególności:</w:t>
      </w:r>
    </w:p>
    <w:p w14:paraId="22AC7B59" w14:textId="7935D7C3" w:rsidR="005133C5" w:rsidRPr="00D44D33" w:rsidRDefault="008829F1" w:rsidP="00D44D33">
      <w:pPr>
        <w:pStyle w:val="Akapitzlist"/>
        <w:numPr>
          <w:ilvl w:val="0"/>
          <w:numId w:val="56"/>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niesłyszących</w:t>
      </w:r>
      <w:r w:rsidR="00B36B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E04C133" w14:textId="2B5C7D1E" w:rsidR="006A73E7" w:rsidRPr="00D44D33" w:rsidRDefault="008829F1" w:rsidP="00D44D33">
      <w:pPr>
        <w:pStyle w:val="Akapitzlist"/>
        <w:numPr>
          <w:ilvl w:val="0"/>
          <w:numId w:val="56"/>
        </w:numPr>
        <w:spacing w:before="120" w:after="120" w:line="360" w:lineRule="auto"/>
        <w:contextualSpacing w:val="0"/>
        <w:jc w:val="both"/>
        <w:rPr>
          <w:rFonts w:ascii="Times New Roman" w:hAnsi="Times New Roman" w:cs="Times New Roman"/>
          <w:sz w:val="24"/>
          <w:szCs w:val="24"/>
        </w:rPr>
      </w:pPr>
      <w:r w:rsidRPr="00D44D33">
        <w:rPr>
          <w:rFonts w:ascii="Times New Roman" w:eastAsiaTheme="minorEastAsia" w:hAnsi="Times New Roman" w:cs="Times New Roman"/>
          <w:sz w:val="24"/>
          <w:szCs w:val="24"/>
        </w:rPr>
        <w:t>audiodeskrypcj</w:t>
      </w:r>
      <w:r w:rsidR="001A1482" w:rsidRPr="00D44D33">
        <w:rPr>
          <w:rFonts w:ascii="Times New Roman" w:eastAsiaTheme="minorEastAsia" w:hAnsi="Times New Roman" w:cs="Times New Roman"/>
          <w:sz w:val="24"/>
          <w:szCs w:val="24"/>
        </w:rPr>
        <w:t>a</w:t>
      </w:r>
      <w:r w:rsidR="00B36B93" w:rsidRPr="00D44D33">
        <w:rPr>
          <w:rFonts w:ascii="Times New Roman" w:eastAsiaTheme="minorEastAsia" w:hAnsi="Times New Roman" w:cs="Times New Roman"/>
          <w:sz w:val="24"/>
          <w:szCs w:val="24"/>
        </w:rPr>
        <w:t>,</w:t>
      </w:r>
    </w:p>
    <w:p w14:paraId="2774A063" w14:textId="1221ADA2" w:rsidR="006A73E7" w:rsidRPr="00D44D33" w:rsidRDefault="008829F1" w:rsidP="00D44D33">
      <w:pPr>
        <w:pStyle w:val="Akapitzlist"/>
        <w:numPr>
          <w:ilvl w:val="0"/>
          <w:numId w:val="56"/>
        </w:numPr>
        <w:spacing w:before="120" w:after="120" w:line="360" w:lineRule="auto"/>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tłumaczenie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język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migowy.</w:t>
      </w:r>
    </w:p>
    <w:p w14:paraId="4039CE28" w14:textId="310ED7F9" w:rsidR="00783F82" w:rsidRPr="00D44D33" w:rsidRDefault="00783F8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0D7641" w:rsidRPr="00D44D33">
        <w:rPr>
          <w:rFonts w:ascii="Times New Roman" w:eastAsiaTheme="minorEastAsia" w:hAnsi="Times New Roman" w:cs="Times New Roman"/>
          <w:b/>
          <w:bCs/>
          <w:sz w:val="24"/>
          <w:szCs w:val="24"/>
        </w:rPr>
        <w:t>8</w:t>
      </w:r>
      <w:r w:rsidR="005133C5" w:rsidRPr="00D44D33">
        <w:rPr>
          <w:rFonts w:ascii="Times New Roman" w:eastAsiaTheme="minorEastAsia" w:hAnsi="Times New Roman" w:cs="Times New Roman"/>
          <w:b/>
          <w:bCs/>
          <w:sz w:val="24"/>
          <w:szCs w:val="24"/>
        </w:rPr>
        <w:t>0</w:t>
      </w:r>
    </w:p>
    <w:p w14:paraId="04A6A65B" w14:textId="1DE6F3D7" w:rsidR="00863E0B" w:rsidRPr="00D44D33" w:rsidRDefault="131B29E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w:t>
      </w:r>
      <w:r w:rsidR="00FD3F93" w:rsidRPr="00D44D33">
        <w:rPr>
          <w:rFonts w:ascii="Times New Roman" w:eastAsiaTheme="minorEastAsia" w:hAnsi="Times New Roman" w:cs="Times New Roman"/>
          <w:sz w:val="24"/>
          <w:szCs w:val="24"/>
        </w:rPr>
        <w:t>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1A148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A148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863E0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D5D4D4E"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0D5D4D4E" w:rsidRPr="00D44D33">
        <w:rPr>
          <w:rFonts w:ascii="Times New Roman" w:eastAsiaTheme="minorEastAsia" w:hAnsi="Times New Roman" w:cs="Times New Roman"/>
          <w:sz w:val="24"/>
          <w:szCs w:val="24"/>
        </w:rPr>
        <w:t>adresatem</w:t>
      </w:r>
      <w:r w:rsidR="00970B2E" w:rsidRPr="00D44D33">
        <w:rPr>
          <w:rFonts w:ascii="Times New Roman" w:eastAsiaTheme="minorEastAsia" w:hAnsi="Times New Roman" w:cs="Times New Roman"/>
          <w:sz w:val="24"/>
          <w:szCs w:val="24"/>
        </w:rPr>
        <w:t xml:space="preserve"> </w:t>
      </w:r>
      <w:r w:rsidR="0D5D4D4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D5D4D4E" w:rsidRPr="00D44D33">
        <w:rPr>
          <w:rFonts w:ascii="Times New Roman" w:eastAsiaTheme="minorEastAsia" w:hAnsi="Times New Roman" w:cs="Times New Roman"/>
          <w:sz w:val="24"/>
          <w:szCs w:val="24"/>
        </w:rPr>
        <w:t>rezerwacyjnej,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w:t>
      </w:r>
      <w:r w:rsidR="00863E0B"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nieaktywnych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46258"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00A46258" w:rsidRPr="00D44D33">
        <w:rPr>
          <w:rFonts w:ascii="Times New Roman" w:eastAsiaTheme="minorEastAsia" w:hAnsi="Times New Roman" w:cs="Times New Roman"/>
          <w:sz w:val="24"/>
          <w:szCs w:val="24"/>
        </w:rPr>
        <w:t>zasobów</w:t>
      </w:r>
      <w:r w:rsidR="00863E0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8</w:t>
      </w:r>
      <w:r w:rsidR="00863E0B"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niewystarczające,</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obowiązek</w:t>
      </w:r>
      <w:r w:rsidR="001A1482" w:rsidRPr="00D44D33">
        <w:rPr>
          <w:rFonts w:ascii="Times New Roman" w:eastAsiaTheme="minorEastAsia" w:hAnsi="Times New Roman" w:cs="Times New Roman"/>
          <w:sz w:val="24"/>
          <w:szCs w:val="24"/>
        </w:rPr>
        <w:t>:</w:t>
      </w:r>
    </w:p>
    <w:p w14:paraId="0848B206" w14:textId="40254889" w:rsidR="00783F82" w:rsidRPr="00D44D33" w:rsidRDefault="00783F82"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aktywnych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46258"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00A46258"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A1482" w:rsidRPr="00D44D33">
        <w:rPr>
          <w:rFonts w:ascii="Times New Roman" w:eastAsiaTheme="minorEastAsia" w:hAnsi="Times New Roman" w:cs="Times New Roman"/>
          <w:sz w:val="24"/>
          <w:szCs w:val="24"/>
        </w:rPr>
        <w:t>,</w:t>
      </w:r>
    </w:p>
    <w:p w14:paraId="67E25629" w14:textId="26FA195F" w:rsidR="00783F82" w:rsidRPr="00D44D33" w:rsidRDefault="00E53B39"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roamingu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lokalnego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3</w:t>
      </w:r>
      <w:r w:rsidR="00783F82" w:rsidRPr="00D44D33">
        <w:rPr>
          <w:rFonts w:ascii="Times New Roman" w:eastAsiaTheme="minorEastAsia" w:hAnsi="Times New Roman" w:cs="Times New Roman"/>
          <w:sz w:val="24"/>
          <w:szCs w:val="24"/>
        </w:rPr>
        <w:t>).</w:t>
      </w:r>
    </w:p>
    <w:p w14:paraId="711055C2" w14:textId="2D8BB297" w:rsidR="00783F82" w:rsidRPr="00D44D33" w:rsidRDefault="00F16F0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0655B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gdy:</w:t>
      </w:r>
    </w:p>
    <w:p w14:paraId="1AB6DEC7" w14:textId="715C89E8" w:rsidR="00783F82" w:rsidRPr="00D44D33" w:rsidRDefault="00783F82" w:rsidP="0047172A">
      <w:pPr>
        <w:numPr>
          <w:ilvl w:val="0"/>
          <w:numId w:val="44"/>
        </w:numPr>
        <w:spacing w:before="120" w:after="120" w:line="360" w:lineRule="auto"/>
        <w:ind w:left="709" w:hanging="425"/>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uzależnione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00863E0B"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1)</w:t>
      </w:r>
      <w:r w:rsidR="001A1482" w:rsidRPr="00D44D33">
        <w:rPr>
          <w:rFonts w:ascii="Times New Roman" w:eastAsiaTheme="minorEastAsia" w:hAnsi="Times New Roman" w:cs="Times New Roman"/>
          <w:sz w:val="24"/>
          <w:szCs w:val="24"/>
        </w:rPr>
        <w:t>,</w:t>
      </w:r>
    </w:p>
    <w:p w14:paraId="748D2FF6" w14:textId="062376D5" w:rsidR="00783F82" w:rsidRPr="00D44D33" w:rsidRDefault="00863E0B" w:rsidP="0047172A">
      <w:pPr>
        <w:numPr>
          <w:ilvl w:val="0"/>
          <w:numId w:val="44"/>
        </w:numPr>
        <w:spacing w:before="120" w:after="120" w:line="360" w:lineRule="auto"/>
        <w:ind w:left="709" w:hanging="425"/>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alternatywnego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uczciwych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rozsądnych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8</w:t>
      </w:r>
      <w:r w:rsidR="005133C5"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2)</w:t>
      </w:r>
      <w:r w:rsidR="001A1482" w:rsidRPr="00D44D33">
        <w:rPr>
          <w:rFonts w:ascii="Times New Roman" w:eastAsiaTheme="minorEastAsia" w:hAnsi="Times New Roman" w:cs="Times New Roman"/>
          <w:sz w:val="24"/>
          <w:szCs w:val="24"/>
        </w:rPr>
        <w:t>,</w:t>
      </w:r>
    </w:p>
    <w:p w14:paraId="6775EEFE" w14:textId="0C8B384A" w:rsidR="00783F82" w:rsidRPr="00D44D33" w:rsidRDefault="00783F82" w:rsidP="0047172A">
      <w:pPr>
        <w:numPr>
          <w:ilvl w:val="0"/>
          <w:numId w:val="44"/>
        </w:numPr>
        <w:spacing w:before="120" w:after="120" w:line="360" w:lineRule="auto"/>
        <w:ind w:left="709" w:hanging="425"/>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trudne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bariery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lastRenderedPageBreak/>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4754F"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655B8" w:rsidRPr="00D44D33">
        <w:rPr>
          <w:rFonts w:ascii="Times New Roman" w:eastAsiaTheme="minorEastAsia" w:hAnsi="Times New Roman" w:cs="Times New Roman"/>
          <w:sz w:val="24"/>
          <w:szCs w:val="24"/>
        </w:rPr>
        <w:t>3)</w:t>
      </w:r>
      <w:r w:rsidRPr="00D44D33">
        <w:rPr>
          <w:rFonts w:ascii="Times New Roman" w:eastAsiaTheme="minorEastAsia" w:hAnsi="Times New Roman" w:cs="Times New Roman"/>
          <w:sz w:val="24"/>
          <w:szCs w:val="24"/>
        </w:rPr>
        <w:t>.</w:t>
      </w:r>
    </w:p>
    <w:p w14:paraId="325E8594" w14:textId="19926C13" w:rsidR="00783F82" w:rsidRPr="00D44D33" w:rsidRDefault="00A4625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5133C5" w:rsidRPr="00D44D33">
        <w:rPr>
          <w:rFonts w:ascii="Times New Roman" w:eastAsiaTheme="minorEastAsia" w:hAnsi="Times New Roman" w:cs="Times New Roman"/>
          <w:sz w:val="24"/>
          <w:szCs w:val="24"/>
        </w:rPr>
        <w:t>godnie</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w:t>
      </w:r>
      <w:r w:rsidR="00783F82" w:rsidRPr="00D44D33">
        <w:rPr>
          <w:rFonts w:ascii="Times New Roman" w:eastAsiaTheme="minorEastAsia" w:hAnsi="Times New Roman" w:cs="Times New Roman"/>
          <w:sz w:val="24"/>
          <w:szCs w:val="24"/>
        </w:rPr>
        <w:t>akładając</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b/>
          <w:bCs/>
          <w:sz w:val="24"/>
          <w:szCs w:val="24"/>
        </w:rPr>
        <w:t xml:space="preserve"> </w:t>
      </w:r>
      <w:r w:rsidR="00783F82"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wspierania</w:t>
      </w:r>
      <w:r w:rsidR="0064754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skierowanych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1A148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zachęt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uruchamiania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836045"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Redakcja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ukształtowana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skierowanych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zachęt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uruchamiania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najważniejsz</w:t>
      </w:r>
      <w:r w:rsidR="0010395A"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10395A" w:rsidRPr="00D44D33">
        <w:rPr>
          <w:rFonts w:ascii="Times New Roman" w:eastAsiaTheme="minorEastAsia" w:hAnsi="Times New Roman" w:cs="Times New Roman"/>
          <w:sz w:val="24"/>
          <w:szCs w:val="24"/>
        </w:rPr>
        <w:t>okolicznością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„nadrzędn</w:t>
      </w:r>
      <w:r w:rsidR="0010395A" w:rsidRPr="00D44D33">
        <w:rPr>
          <w:rFonts w:ascii="Times New Roman" w:eastAsiaTheme="minorEastAsia" w:hAnsi="Times New Roman" w:cs="Times New Roman"/>
          <w:sz w:val="24"/>
          <w:szCs w:val="24"/>
        </w:rPr>
        <w:t>ą</w:t>
      </w:r>
      <w:r w:rsidRPr="00D44D33">
        <w:rPr>
          <w:rFonts w:ascii="Times New Roman" w:eastAsiaTheme="minorEastAsia" w:hAnsi="Times New Roman" w:cs="Times New Roman"/>
          <w:sz w:val="24"/>
          <w:szCs w:val="24"/>
        </w:rPr>
        <w:t>”</w:t>
      </w:r>
      <w:r w:rsidR="00605FA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05FA3"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605FA3" w:rsidRPr="00D44D33">
        <w:rPr>
          <w:rFonts w:ascii="Times New Roman" w:eastAsiaTheme="minorEastAsia" w:hAnsi="Times New Roman" w:cs="Times New Roman"/>
          <w:sz w:val="24"/>
          <w:szCs w:val="24"/>
        </w:rPr>
        <w:t>o</w:t>
      </w:r>
      <w:r w:rsidRPr="00D44D33">
        <w:rPr>
          <w:rFonts w:ascii="Times New Roman" w:eastAsiaTheme="minorEastAsia" w:hAnsi="Times New Roman" w:cs="Times New Roman"/>
          <w:sz w:val="24"/>
          <w:szCs w:val="24"/>
        </w:rPr>
        <w:t>znacz</w:t>
      </w:r>
      <w:r w:rsidR="0064754F" w:rsidRPr="00D44D33">
        <w:rPr>
          <w:rFonts w:ascii="Times New Roman" w:eastAsiaTheme="minorEastAsia" w:hAnsi="Times New Roman" w:cs="Times New Roman"/>
          <w:sz w:val="24"/>
          <w:szCs w:val="24"/>
        </w:rPr>
        <w:t>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10395A" w:rsidRPr="00D44D33">
        <w:rPr>
          <w:rFonts w:ascii="Times New Roman" w:eastAsiaTheme="minorEastAsia" w:hAnsi="Times New Roman" w:cs="Times New Roman"/>
          <w:sz w:val="24"/>
          <w:szCs w:val="24"/>
        </w:rPr>
        <w:t>identyfikacja</w:t>
      </w:r>
      <w:r w:rsidR="00970B2E" w:rsidRPr="00D44D33">
        <w:rPr>
          <w:rFonts w:ascii="Times New Roman" w:eastAsiaTheme="minorEastAsia" w:hAnsi="Times New Roman" w:cs="Times New Roman"/>
          <w:sz w:val="24"/>
          <w:szCs w:val="24"/>
        </w:rPr>
        <w:t xml:space="preserve"> </w:t>
      </w:r>
      <w:r w:rsidR="0010395A" w:rsidRPr="00D44D33">
        <w:rPr>
          <w:rFonts w:ascii="Times New Roman" w:eastAsiaTheme="minorEastAsia" w:hAnsi="Times New Roman" w:cs="Times New Roman"/>
          <w:sz w:val="24"/>
          <w:szCs w:val="24"/>
        </w:rPr>
        <w:t>rzeczonej</w:t>
      </w:r>
      <w:r w:rsidR="00970B2E" w:rsidRPr="00D44D33">
        <w:rPr>
          <w:rFonts w:ascii="Times New Roman" w:eastAsiaTheme="minorEastAsia" w:hAnsi="Times New Roman" w:cs="Times New Roman"/>
          <w:sz w:val="24"/>
          <w:szCs w:val="24"/>
        </w:rPr>
        <w:t xml:space="preserve"> </w:t>
      </w:r>
      <w:r w:rsidR="0010395A"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w:t>
      </w:r>
      <w:r w:rsidR="0010395A"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039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0395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732DA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uwagę</w:t>
      </w:r>
      <w:r w:rsidRPr="00D44D33">
        <w:rPr>
          <w:rFonts w:ascii="Times New Roman" w:eastAsiaTheme="minorEastAsia" w:hAnsi="Times New Roman" w:cs="Times New Roman"/>
          <w:sz w:val="24"/>
          <w:szCs w:val="24"/>
        </w:rPr>
        <w:t>:</w:t>
      </w:r>
    </w:p>
    <w:p w14:paraId="6F37498B" w14:textId="2148CC34" w:rsidR="0010395A" w:rsidRPr="00D44D33" w:rsidRDefault="0010395A" w:rsidP="00D44D33">
      <w:pPr>
        <w:numPr>
          <w:ilvl w:val="0"/>
          <w:numId w:val="44"/>
        </w:numPr>
        <w:spacing w:before="120" w:after="120" w:line="360" w:lineRule="auto"/>
        <w:ind w:left="567" w:hanging="283"/>
        <w:jc w:val="both"/>
        <w:rPr>
          <w:rFonts w:ascii="Times New Roman" w:hAnsi="Times New Roman" w:cs="Times New Roman"/>
          <w:sz w:val="24"/>
          <w:szCs w:val="24"/>
        </w:rPr>
      </w:pPr>
      <w:r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usługowej</w:t>
      </w:r>
      <w:r w:rsidR="001A1482" w:rsidRPr="00D44D33">
        <w:rPr>
          <w:rFonts w:ascii="Times New Roman" w:eastAsiaTheme="minorEastAsia" w:hAnsi="Times New Roman" w:cs="Times New Roman"/>
          <w:sz w:val="24"/>
          <w:szCs w:val="24"/>
        </w:rPr>
        <w:t>,</w:t>
      </w:r>
    </w:p>
    <w:p w14:paraId="370D3DFA" w14:textId="00CE9C52" w:rsidR="0010395A" w:rsidRPr="00D44D33" w:rsidRDefault="0010395A" w:rsidP="00D44D33">
      <w:pPr>
        <w:numPr>
          <w:ilvl w:val="0"/>
          <w:numId w:val="44"/>
        </w:numPr>
        <w:spacing w:before="120" w:after="120" w:line="360" w:lineRule="auto"/>
        <w:ind w:left="567" w:hanging="283"/>
        <w:jc w:val="both"/>
        <w:rPr>
          <w:rFonts w:ascii="Times New Roman" w:hAnsi="Times New Roman" w:cs="Times New Roman"/>
          <w:sz w:val="24"/>
          <w:szCs w:val="24"/>
        </w:rPr>
      </w:pPr>
      <w:r w:rsidRPr="00D44D33">
        <w:rPr>
          <w:rFonts w:ascii="Times New Roman" w:eastAsiaTheme="minorEastAsia" w:hAnsi="Times New Roman" w:cs="Times New Roman"/>
          <w:sz w:val="24"/>
          <w:szCs w:val="24"/>
        </w:rPr>
        <w:t>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1A1482" w:rsidRPr="00D44D33">
        <w:rPr>
          <w:rFonts w:ascii="Times New Roman" w:eastAsiaTheme="minorEastAsia" w:hAnsi="Times New Roman" w:cs="Times New Roman"/>
          <w:sz w:val="24"/>
          <w:szCs w:val="24"/>
        </w:rPr>
        <w:t>,</w:t>
      </w:r>
    </w:p>
    <w:p w14:paraId="120F69A1" w14:textId="114F9676" w:rsidR="0010395A" w:rsidRPr="00D44D33" w:rsidRDefault="0010395A" w:rsidP="00D44D33">
      <w:pPr>
        <w:numPr>
          <w:ilvl w:val="0"/>
          <w:numId w:val="44"/>
        </w:numPr>
        <w:spacing w:before="120" w:after="120" w:line="360" w:lineRule="auto"/>
        <w:ind w:left="567" w:hanging="283"/>
        <w:jc w:val="both"/>
        <w:rPr>
          <w:rFonts w:ascii="Times New Roman" w:hAnsi="Times New Roman" w:cs="Times New Roman"/>
          <w:sz w:val="24"/>
          <w:szCs w:val="24"/>
        </w:rPr>
      </w:pPr>
      <w:r w:rsidRPr="00D44D33">
        <w:rPr>
          <w:rFonts w:ascii="Times New Roman" w:eastAsiaTheme="minorEastAsia" w:hAnsi="Times New Roman" w:cs="Times New Roman"/>
          <w:sz w:val="24"/>
          <w:szCs w:val="24"/>
        </w:rPr>
        <w:t>innowacje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technologiczne</w:t>
      </w:r>
      <w:r w:rsidR="001A1482" w:rsidRPr="00D44D33">
        <w:rPr>
          <w:rFonts w:ascii="Times New Roman" w:eastAsiaTheme="minorEastAsia" w:hAnsi="Times New Roman" w:cs="Times New Roman"/>
          <w:sz w:val="24"/>
          <w:szCs w:val="24"/>
        </w:rPr>
        <w:t>,</w:t>
      </w:r>
    </w:p>
    <w:p w14:paraId="7453F5BD" w14:textId="354BE7D7" w:rsidR="0010395A" w:rsidRPr="00D44D33" w:rsidRDefault="0010395A" w:rsidP="00D44D33">
      <w:pPr>
        <w:numPr>
          <w:ilvl w:val="0"/>
          <w:numId w:val="44"/>
        </w:numPr>
        <w:spacing w:before="120" w:after="120" w:line="360" w:lineRule="auto"/>
        <w:ind w:left="567" w:hanging="283"/>
        <w:jc w:val="both"/>
        <w:rPr>
          <w:rFonts w:ascii="Times New Roman" w:hAnsi="Times New Roman" w:cs="Times New Roman"/>
          <w:sz w:val="24"/>
          <w:szCs w:val="24"/>
        </w:rPr>
      </w:pPr>
      <w:r w:rsidRPr="00D44D33">
        <w:rPr>
          <w:rFonts w:ascii="Times New Roman" w:eastAsiaTheme="minorEastAsia" w:hAnsi="Times New Roman" w:cs="Times New Roman"/>
          <w:sz w:val="24"/>
          <w:szCs w:val="24"/>
        </w:rPr>
        <w:t>techniczną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1A1482" w:rsidRPr="00D44D33">
        <w:rPr>
          <w:rFonts w:ascii="Times New Roman" w:eastAsiaTheme="minorEastAsia" w:hAnsi="Times New Roman" w:cs="Times New Roman"/>
          <w:sz w:val="24"/>
          <w:szCs w:val="24"/>
        </w:rPr>
        <w:t>,</w:t>
      </w:r>
    </w:p>
    <w:p w14:paraId="540752F6" w14:textId="3C09E036" w:rsidR="0010395A" w:rsidRPr="00D44D33" w:rsidRDefault="0010395A" w:rsidP="00D44D33">
      <w:pPr>
        <w:numPr>
          <w:ilvl w:val="0"/>
          <w:numId w:val="44"/>
        </w:numPr>
        <w:spacing w:before="120" w:after="120" w:line="360" w:lineRule="auto"/>
        <w:ind w:left="567" w:hanging="283"/>
        <w:jc w:val="both"/>
        <w:rPr>
          <w:rFonts w:ascii="Times New Roman" w:hAnsi="Times New Roman" w:cs="Times New Roman"/>
          <w:sz w:val="24"/>
          <w:szCs w:val="24"/>
        </w:rPr>
      </w:pP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poszerzania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wzdłuż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szlaków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gęstości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zaludnienia</w:t>
      </w:r>
      <w:r w:rsidR="001A1482" w:rsidRPr="00D44D33">
        <w:rPr>
          <w:rFonts w:ascii="Times New Roman" w:eastAsiaTheme="minorEastAsia" w:hAnsi="Times New Roman" w:cs="Times New Roman"/>
          <w:sz w:val="24"/>
          <w:szCs w:val="24"/>
        </w:rPr>
        <w:t>,</w:t>
      </w:r>
    </w:p>
    <w:p w14:paraId="38069896" w14:textId="5D5B34DA" w:rsidR="0010395A" w:rsidRPr="00D44D33" w:rsidRDefault="0010395A" w:rsidP="00D44D33">
      <w:pPr>
        <w:numPr>
          <w:ilvl w:val="0"/>
          <w:numId w:val="44"/>
        </w:numPr>
        <w:spacing w:before="120" w:after="120" w:line="360" w:lineRule="auto"/>
        <w:ind w:left="567" w:hanging="283"/>
        <w:jc w:val="both"/>
        <w:rPr>
          <w:rFonts w:ascii="Times New Roman" w:hAnsi="Times New Roman" w:cs="Times New Roman"/>
          <w:sz w:val="24"/>
          <w:szCs w:val="24"/>
        </w:rPr>
      </w:pPr>
      <w:r w:rsidRPr="00D44D33">
        <w:rPr>
          <w:rFonts w:ascii="Times New Roman" w:eastAsiaTheme="minorEastAsia" w:hAnsi="Times New Roman" w:cs="Times New Roman"/>
          <w:sz w:val="24"/>
          <w:szCs w:val="24"/>
        </w:rPr>
        <w:lastRenderedPageBreak/>
        <w:t>zwiększenie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konkurencyjności</w:t>
      </w:r>
      <w:r w:rsidRPr="00D44D33">
        <w:rPr>
          <w:rFonts w:ascii="Times New Roman" w:hAnsi="Times New Roman" w:cs="Times New Roman"/>
          <w:sz w:val="24"/>
          <w:szCs w:val="24"/>
        </w:rPr>
        <w:tab/>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732DA9" w:rsidRPr="00D44D33">
        <w:rPr>
          <w:rFonts w:ascii="Times New Roman" w:eastAsiaTheme="minorEastAsia" w:hAnsi="Times New Roman" w:cs="Times New Roman"/>
          <w:sz w:val="24"/>
          <w:szCs w:val="24"/>
        </w:rPr>
        <w:t>.</w:t>
      </w:r>
    </w:p>
    <w:p w14:paraId="15A8D719" w14:textId="77777777" w:rsidR="0047172A" w:rsidRDefault="0047172A" w:rsidP="00D44D33">
      <w:pPr>
        <w:spacing w:before="120" w:after="120" w:line="360" w:lineRule="auto"/>
        <w:jc w:val="center"/>
        <w:rPr>
          <w:rFonts w:ascii="Times New Roman" w:eastAsiaTheme="minorEastAsia" w:hAnsi="Times New Roman" w:cs="Times New Roman"/>
          <w:b/>
          <w:bCs/>
          <w:sz w:val="24"/>
          <w:szCs w:val="24"/>
        </w:rPr>
      </w:pPr>
    </w:p>
    <w:p w14:paraId="70187793" w14:textId="270F6BD7" w:rsidR="00E53B39" w:rsidRPr="00D44D33" w:rsidRDefault="5B42174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338AECF7" w:rsidRPr="00D44D33">
        <w:rPr>
          <w:rFonts w:ascii="Times New Roman" w:eastAsiaTheme="minorEastAsia" w:hAnsi="Times New Roman" w:cs="Times New Roman"/>
          <w:b/>
          <w:bCs/>
          <w:sz w:val="24"/>
          <w:szCs w:val="24"/>
        </w:rPr>
        <w:t>1</w:t>
      </w:r>
      <w:r w:rsidR="6692197C" w:rsidRPr="00D44D33">
        <w:rPr>
          <w:rFonts w:ascii="Times New Roman" w:eastAsiaTheme="minorEastAsia" w:hAnsi="Times New Roman" w:cs="Times New Roman"/>
          <w:b/>
          <w:bCs/>
          <w:sz w:val="24"/>
          <w:szCs w:val="24"/>
        </w:rPr>
        <w:t>8</w:t>
      </w:r>
      <w:r w:rsidR="338AECF7" w:rsidRPr="00D44D33">
        <w:rPr>
          <w:rFonts w:ascii="Times New Roman" w:eastAsiaTheme="minorEastAsia" w:hAnsi="Times New Roman" w:cs="Times New Roman"/>
          <w:b/>
          <w:bCs/>
          <w:sz w:val="24"/>
          <w:szCs w:val="24"/>
        </w:rPr>
        <w:t>1</w:t>
      </w:r>
    </w:p>
    <w:p w14:paraId="75B02E5F" w14:textId="61EB432E" w:rsidR="00EB010E" w:rsidRPr="00D44D33" w:rsidRDefault="00E53B3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181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vertAlign w:val="superscript"/>
        </w:rPr>
        <w:t xml:space="preserve"> </w:t>
      </w:r>
      <w:r w:rsidRPr="00D44D33">
        <w:rPr>
          <w:rFonts w:ascii="Times New Roman" w:eastAsiaTheme="minorEastAsia" w:hAnsi="Times New Roman" w:cs="Times New Roman"/>
          <w:sz w:val="24"/>
          <w:szCs w:val="24"/>
        </w:rPr>
        <w:t>kompetencję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32DA9"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kolokacji</w:t>
      </w:r>
      <w:r w:rsidR="00732DA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klauzul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zdrowia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w:t>
      </w:r>
      <w:r w:rsidR="0060743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607438"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607438"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00607438" w:rsidRPr="00D44D33">
        <w:rPr>
          <w:rFonts w:ascii="Times New Roman" w:eastAsiaTheme="minorEastAsia" w:hAnsi="Times New Roman" w:cs="Times New Roman"/>
          <w:sz w:val="24"/>
          <w:szCs w:val="24"/>
        </w:rPr>
        <w:t>planowania</w:t>
      </w:r>
      <w:r w:rsidR="00970B2E" w:rsidRPr="00D44D33">
        <w:rPr>
          <w:rFonts w:ascii="Times New Roman" w:eastAsiaTheme="minorEastAsia" w:hAnsi="Times New Roman" w:cs="Times New Roman"/>
          <w:sz w:val="24"/>
          <w:szCs w:val="24"/>
        </w:rPr>
        <w:t xml:space="preserve"> </w:t>
      </w:r>
      <w:r w:rsidR="006074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zagospodarowania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chociażby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desygnatów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walor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niezbędności.</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44</w:t>
      </w:r>
      <w:r w:rsidR="00970B2E" w:rsidRPr="00D44D33">
        <w:rPr>
          <w:rFonts w:ascii="Times New Roman" w:eastAsiaTheme="minorEastAsia" w:hAnsi="Times New Roman" w:cs="Times New Roman"/>
          <w:sz w:val="24"/>
          <w:szCs w:val="24"/>
        </w:rPr>
        <w:t xml:space="preserve"> </w:t>
      </w:r>
      <w:r w:rsidR="00F16F0F" w:rsidRPr="00D44D33">
        <w:rPr>
          <w:rFonts w:ascii="Times New Roman" w:eastAsiaTheme="minorEastAsia" w:hAnsi="Times New Roman" w:cs="Times New Roman"/>
          <w:sz w:val="24"/>
          <w:szCs w:val="24"/>
        </w:rPr>
        <w:t>EKŁE.</w:t>
      </w:r>
    </w:p>
    <w:p w14:paraId="02EFE8FA" w14:textId="005383A0" w:rsidR="00EB010E" w:rsidRPr="00D44D33" w:rsidRDefault="00EB010E" w:rsidP="00D44D33">
      <w:pPr>
        <w:pStyle w:val="ARTartustawynprozporzdzenia"/>
        <w:tabs>
          <w:tab w:val="left" w:pos="2367"/>
        </w:tabs>
        <w:spacing w:after="120"/>
        <w:ind w:firstLine="0"/>
        <w:jc w:val="center"/>
        <w:rPr>
          <w:rFonts w:ascii="Times New Roman" w:hAnsi="Times New Roman" w:cs="Times New Roman"/>
          <w:b/>
          <w:szCs w:val="24"/>
          <w:lang w:eastAsia="en-US"/>
        </w:rPr>
      </w:pPr>
      <w:r w:rsidRPr="00D44D33">
        <w:rPr>
          <w:rFonts w:ascii="Times New Roman" w:hAnsi="Times New Roman" w:cs="Times New Roman"/>
          <w:b/>
          <w:szCs w:val="24"/>
          <w:lang w:eastAsia="en-US"/>
        </w:rPr>
        <w:t>Art.</w:t>
      </w:r>
      <w:r w:rsidR="00970B2E" w:rsidRPr="00D44D33">
        <w:rPr>
          <w:rFonts w:ascii="Times New Roman" w:hAnsi="Times New Roman" w:cs="Times New Roman"/>
          <w:b/>
          <w:szCs w:val="24"/>
          <w:lang w:eastAsia="en-US"/>
        </w:rPr>
        <w:t xml:space="preserve"> </w:t>
      </w:r>
      <w:r w:rsidR="00382752" w:rsidRPr="00D44D33">
        <w:rPr>
          <w:rFonts w:ascii="Times New Roman" w:hAnsi="Times New Roman" w:cs="Times New Roman"/>
          <w:b/>
          <w:szCs w:val="24"/>
          <w:lang w:eastAsia="en-US"/>
        </w:rPr>
        <w:t>182</w:t>
      </w:r>
    </w:p>
    <w:p w14:paraId="48C9790A" w14:textId="734DC686" w:rsidR="0033465A" w:rsidRPr="00D44D33" w:rsidRDefault="00EB010E"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Projektowany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182</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przewiduje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procedurę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przeglądu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nałożonych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w:t>
      </w:r>
      <w:r w:rsidR="00382752" w:rsidRPr="00D44D33">
        <w:rPr>
          <w:rFonts w:ascii="Times New Roman" w:hAnsi="Times New Roman" w:cs="Times New Roman"/>
          <w:sz w:val="24"/>
          <w:szCs w:val="24"/>
        </w:rPr>
        <w:t>iązków,</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178</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17</w:t>
      </w:r>
      <w:r w:rsidRPr="00D44D33">
        <w:rPr>
          <w:rFonts w:ascii="Times New Roman" w:hAnsi="Times New Roman" w:cs="Times New Roman"/>
          <w:sz w:val="24"/>
          <w:szCs w:val="24"/>
        </w:rPr>
        <w:t>9</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18</w:t>
      </w:r>
      <w:r w:rsidRPr="00D44D33">
        <w:rPr>
          <w:rFonts w:ascii="Times New Roman" w:hAnsi="Times New Roman" w:cs="Times New Roman"/>
          <w:sz w:val="24"/>
          <w:szCs w:val="24"/>
        </w:rPr>
        <w:t>0.</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Przegląd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polega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analizie,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uzasadnione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aby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utrzymać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nałożony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obowiązującym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kształcie.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Przegląd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musi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zostać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przeprowadzony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ciągu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lat</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ostatecznej</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lastRenderedPageBreak/>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182</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ramach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przeglądu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postanowienie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1A1482" w:rsidRPr="00D44D33">
        <w:rPr>
          <w:rFonts w:ascii="Times New Roman" w:hAnsi="Times New Roman" w:cs="Times New Roman"/>
          <w:sz w:val="24"/>
          <w:szCs w:val="24"/>
        </w:rPr>
        <w:t>przeprowadzeniu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postepowania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braku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podstaw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je</w:t>
      </w:r>
      <w:r w:rsidR="001A1482" w:rsidRPr="00D44D33">
        <w:rPr>
          <w:rFonts w:ascii="Times New Roman" w:hAnsi="Times New Roman" w:cs="Times New Roman"/>
          <w:sz w:val="24"/>
          <w:szCs w:val="24"/>
        </w:rPr>
        <w:t>go</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przeprowadzenia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sprawie,</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wydano</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tę</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decyzję.</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Wydanie</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postanowienia</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poprzedzone</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przeprowadzeniem</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konsultacyjnego</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i</w:t>
      </w:r>
      <w:r w:rsidR="001A1482"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stosownych</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przypadkach,</w:t>
      </w:r>
      <w:r w:rsidR="00970B2E" w:rsidRPr="00D44D33">
        <w:rPr>
          <w:rFonts w:ascii="Times New Roman" w:hAnsi="Times New Roman" w:cs="Times New Roman"/>
          <w:sz w:val="24"/>
          <w:szCs w:val="24"/>
        </w:rPr>
        <w:t xml:space="preserve"> </w:t>
      </w:r>
      <w:r w:rsidR="00E23462"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00E23462" w:rsidRPr="00D44D33">
        <w:rPr>
          <w:rFonts w:ascii="Times New Roman" w:hAnsi="Times New Roman" w:cs="Times New Roman"/>
          <w:sz w:val="24"/>
          <w:szCs w:val="24"/>
        </w:rPr>
        <w:t>konsolidacyjnego</w:t>
      </w:r>
      <w:r w:rsidR="00970B2E" w:rsidRPr="00D44D33">
        <w:rPr>
          <w:rFonts w:ascii="Times New Roman" w:hAnsi="Times New Roman" w:cs="Times New Roman"/>
          <w:sz w:val="24"/>
          <w:szCs w:val="24"/>
        </w:rPr>
        <w:t xml:space="preserve"> </w:t>
      </w:r>
      <w:r w:rsidR="00E23462" w:rsidRPr="00D44D33">
        <w:rPr>
          <w:rFonts w:ascii="Times New Roman" w:hAnsi="Times New Roman" w:cs="Times New Roman"/>
          <w:sz w:val="24"/>
          <w:szCs w:val="24"/>
        </w:rPr>
        <w:t>(</w:t>
      </w:r>
      <w:r w:rsidR="0033465A"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wynika</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odpowiednio</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treści</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30</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35</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zw</w:t>
      </w:r>
      <w:r w:rsidR="001A1482" w:rsidRPr="00D44D33">
        <w:rPr>
          <w:rFonts w:ascii="Times New Roman" w:hAnsi="Times New Roman" w:cs="Times New Roman"/>
          <w:sz w:val="24"/>
          <w:szCs w:val="24"/>
        </w:rPr>
        <w:t>iązku</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30</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Pke</w:t>
      </w:r>
      <w:r w:rsidR="00E23462" w:rsidRPr="00D44D33">
        <w:rPr>
          <w:rFonts w:ascii="Times New Roman" w:hAnsi="Times New Roman" w:cs="Times New Roman"/>
          <w:sz w:val="24"/>
          <w:szCs w:val="24"/>
        </w:rPr>
        <w:t>)</w:t>
      </w:r>
      <w:r w:rsidR="0033465A" w:rsidRPr="00D44D33">
        <w:rPr>
          <w:rFonts w:ascii="Times New Roman" w:hAnsi="Times New Roman" w:cs="Times New Roman"/>
          <w:sz w:val="24"/>
          <w:szCs w:val="24"/>
        </w:rPr>
        <w:t>.</w:t>
      </w:r>
    </w:p>
    <w:p w14:paraId="743553A4" w14:textId="2D6460C4" w:rsidR="00732DA9" w:rsidRPr="00D44D33" w:rsidRDefault="00EB010E"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1</w:t>
      </w:r>
      <w:r w:rsidR="00382752" w:rsidRPr="00D44D33">
        <w:rPr>
          <w:rFonts w:ascii="Times New Roman" w:hAnsi="Times New Roman" w:cs="Times New Roman"/>
          <w:sz w:val="24"/>
          <w:szCs w:val="24"/>
        </w:rPr>
        <w:t>82</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przesądzon</w:t>
      </w:r>
      <w:r w:rsidR="001A1482" w:rsidRPr="00D44D33">
        <w:rPr>
          <w:rFonts w:ascii="Times New Roman" w:hAnsi="Times New Roman" w:cs="Times New Roman"/>
          <w:sz w:val="24"/>
          <w:szCs w:val="24"/>
        </w:rPr>
        <w:t>o</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zobowiązany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postanowienie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1A1482" w:rsidRPr="00D44D33">
        <w:rPr>
          <w:rFonts w:ascii="Times New Roman" w:hAnsi="Times New Roman" w:cs="Times New Roman"/>
          <w:sz w:val="24"/>
          <w:szCs w:val="24"/>
        </w:rPr>
        <w:t>przeprowadzeniu</w:t>
      </w:r>
      <w:r w:rsidR="00970B2E" w:rsidRPr="00D44D33">
        <w:rPr>
          <w:rFonts w:ascii="Times New Roman" w:hAnsi="Times New Roman" w:cs="Times New Roman"/>
          <w:sz w:val="24"/>
          <w:szCs w:val="24"/>
        </w:rPr>
        <w:t xml:space="preserve"> </w:t>
      </w:r>
      <w:r w:rsidR="0033465A" w:rsidRPr="00D44D33">
        <w:rPr>
          <w:rFonts w:ascii="Times New Roman" w:hAnsi="Times New Roman" w:cs="Times New Roman"/>
          <w:sz w:val="24"/>
          <w:szCs w:val="24"/>
        </w:rPr>
        <w:t>postępowania</w:t>
      </w:r>
      <w:r w:rsidR="001A1482" w:rsidRPr="00D44D33">
        <w:rPr>
          <w:rFonts w:ascii="Times New Roman" w:hAnsi="Times New Roman" w:cs="Times New Roman"/>
          <w:sz w:val="24"/>
          <w:szCs w:val="24"/>
        </w:rPr>
        <w:t xml:space="preserve"> w sprawie przeglądu decyzji</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gdy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zachodzą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poważne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wątpliwości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przesłanki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nałożenia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nadal</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spełnione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albo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uchylenia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nadal</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byłyby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pods</w:t>
      </w:r>
      <w:r w:rsidR="00732DA9" w:rsidRPr="00D44D33">
        <w:rPr>
          <w:rFonts w:ascii="Times New Roman" w:hAnsi="Times New Roman" w:cs="Times New Roman"/>
          <w:sz w:val="24"/>
          <w:szCs w:val="24"/>
        </w:rPr>
        <w:t>tawy</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jego</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nałożenia</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takim</w:t>
      </w:r>
      <w:r w:rsidR="00970B2E" w:rsidRPr="00D44D33">
        <w:rPr>
          <w:rFonts w:ascii="Times New Roman" w:hAnsi="Times New Roman" w:cs="Times New Roman"/>
          <w:sz w:val="24"/>
          <w:szCs w:val="24"/>
        </w:rPr>
        <w:t xml:space="preserve"> </w:t>
      </w:r>
      <w:r w:rsidR="00732DA9" w:rsidRPr="00D44D33">
        <w:rPr>
          <w:rFonts w:ascii="Times New Roman" w:hAnsi="Times New Roman" w:cs="Times New Roman"/>
          <w:sz w:val="24"/>
          <w:szCs w:val="24"/>
        </w:rPr>
        <w:t>zakresie</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jaki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przewidywała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decyzja.</w:t>
      </w:r>
      <w:r w:rsidR="00970B2E" w:rsidRPr="00D44D33">
        <w:rPr>
          <w:rFonts w:ascii="Times New Roman" w:hAnsi="Times New Roman" w:cs="Times New Roman"/>
          <w:sz w:val="24"/>
          <w:szCs w:val="24"/>
        </w:rPr>
        <w:t xml:space="preserve"> </w:t>
      </w:r>
    </w:p>
    <w:p w14:paraId="3CD6B7B5" w14:textId="7EE0FD8A" w:rsidR="0033465A" w:rsidRPr="00D44D33" w:rsidRDefault="0033465A"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Postępowanie,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wydane</w:t>
      </w:r>
      <w:r w:rsidR="00970B2E" w:rsidRPr="00D44D33">
        <w:rPr>
          <w:rFonts w:ascii="Times New Roman" w:hAnsi="Times New Roman" w:cs="Times New Roman"/>
          <w:sz w:val="24"/>
          <w:szCs w:val="24"/>
        </w:rPr>
        <w:t xml:space="preserve"> </w:t>
      </w:r>
      <w:r w:rsidR="00EB010E" w:rsidRPr="00D44D33">
        <w:rPr>
          <w:rFonts w:ascii="Times New Roman" w:hAnsi="Times New Roman" w:cs="Times New Roman"/>
          <w:sz w:val="24"/>
          <w:szCs w:val="24"/>
        </w:rPr>
        <w:t>postanowienia</w:t>
      </w:r>
      <w:r w:rsidR="00970B2E" w:rsidRPr="00D44D33">
        <w:rPr>
          <w:rFonts w:ascii="Times New Roman" w:hAnsi="Times New Roman" w:cs="Times New Roman"/>
          <w:sz w:val="24"/>
          <w:szCs w:val="24"/>
        </w:rPr>
        <w:t xml:space="preserve"> </w:t>
      </w:r>
      <w:r w:rsidR="00EB010E"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1A1482" w:rsidRPr="00D44D33">
        <w:rPr>
          <w:rFonts w:ascii="Times New Roman" w:hAnsi="Times New Roman" w:cs="Times New Roman"/>
          <w:sz w:val="24"/>
          <w:szCs w:val="24"/>
        </w:rPr>
        <w:t>przeprowadzeniu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001A1482" w:rsidRPr="00D44D33">
        <w:rPr>
          <w:rFonts w:ascii="Times New Roman" w:hAnsi="Times New Roman" w:cs="Times New Roman"/>
          <w:sz w:val="24"/>
          <w:szCs w:val="24"/>
        </w:rPr>
        <w:t xml:space="preserve">w sprawie przeglądu decyzji </w:t>
      </w:r>
      <w:r w:rsidR="00EB010E" w:rsidRPr="00D44D33">
        <w:rPr>
          <w:rFonts w:ascii="Times New Roman" w:hAnsi="Times New Roman" w:cs="Times New Roman"/>
          <w:sz w:val="24"/>
          <w:szCs w:val="24"/>
        </w:rPr>
        <w:t>kończy</w:t>
      </w:r>
      <w:r w:rsidR="00970B2E" w:rsidRPr="00D44D33">
        <w:rPr>
          <w:rFonts w:ascii="Times New Roman" w:hAnsi="Times New Roman" w:cs="Times New Roman"/>
          <w:sz w:val="24"/>
          <w:szCs w:val="24"/>
        </w:rPr>
        <w:t xml:space="preserve"> </w:t>
      </w:r>
      <w:r w:rsidR="00EB010E"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182</w:t>
      </w:r>
      <w:r w:rsidR="00970B2E" w:rsidRPr="00D44D33">
        <w:rPr>
          <w:rFonts w:ascii="Times New Roman" w:hAnsi="Times New Roman" w:cs="Times New Roman"/>
          <w:sz w:val="24"/>
          <w:szCs w:val="24"/>
        </w:rPr>
        <w:t xml:space="preserve"> </w:t>
      </w:r>
      <w:r w:rsidR="00BA6204"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BA6204"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BA6204"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EB010E" w:rsidRPr="00D44D33">
        <w:rPr>
          <w:rFonts w:ascii="Times New Roman" w:hAnsi="Times New Roman" w:cs="Times New Roman"/>
          <w:sz w:val="24"/>
          <w:szCs w:val="24"/>
        </w:rPr>
        <w:t>rozstrzygnięciem:</w:t>
      </w:r>
      <w:r w:rsidR="00970B2E" w:rsidRPr="00D44D33">
        <w:rPr>
          <w:rFonts w:ascii="Times New Roman" w:hAnsi="Times New Roman" w:cs="Times New Roman"/>
          <w:sz w:val="24"/>
          <w:szCs w:val="24"/>
        </w:rPr>
        <w:t xml:space="preserve"> </w:t>
      </w:r>
    </w:p>
    <w:p w14:paraId="145281C9" w14:textId="186B9C22" w:rsidR="0033465A" w:rsidRPr="00D44D33" w:rsidRDefault="00EB010E" w:rsidP="00D44D33">
      <w:pPr>
        <w:pStyle w:val="Akapitzlist"/>
        <w:numPr>
          <w:ilvl w:val="0"/>
          <w:numId w:val="87"/>
        </w:num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stwierdzającym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brak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podstaw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zmiany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uchylenia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1A1482"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p>
    <w:p w14:paraId="3C49A621" w14:textId="04D0D5D4" w:rsidR="0033465A" w:rsidRPr="00D44D33" w:rsidRDefault="00EB010E" w:rsidP="00D44D33">
      <w:pPr>
        <w:pStyle w:val="Akapitzlist"/>
        <w:numPr>
          <w:ilvl w:val="0"/>
          <w:numId w:val="87"/>
        </w:num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zmianie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p>
    <w:p w14:paraId="70771CF9" w14:textId="75803ABC" w:rsidR="00BA6204" w:rsidRPr="00D44D33" w:rsidRDefault="00BA6204" w:rsidP="00D44D33">
      <w:pPr>
        <w:pStyle w:val="Akapitzlist"/>
        <w:numPr>
          <w:ilvl w:val="0"/>
          <w:numId w:val="87"/>
        </w:num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uchyleniu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EB010E"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p>
    <w:p w14:paraId="249F6642" w14:textId="72BA71C3" w:rsidR="00BA6204" w:rsidRPr="00D44D33" w:rsidRDefault="00EB010E"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wydanie</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tego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rozstrzygnięcia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musi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zostać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poprzedzone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postępowaniem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konsultacyjnym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30</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konsolidacyjnego,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jeżeli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zachodzą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przesłanki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przeprowadzenia.</w:t>
      </w:r>
    </w:p>
    <w:p w14:paraId="1222B7BD" w14:textId="6E19B8E3" w:rsidR="00696205" w:rsidRPr="00D44D33" w:rsidRDefault="00D449FA"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lastRenderedPageBreak/>
        <w:t>Przegląd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charakter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cyklicz</w:t>
      </w:r>
      <w:r w:rsidR="00662BDE" w:rsidRPr="00D44D33">
        <w:rPr>
          <w:rFonts w:ascii="Times New Roman" w:hAnsi="Times New Roman" w:cs="Times New Roman"/>
          <w:sz w:val="24"/>
          <w:szCs w:val="24"/>
        </w:rPr>
        <w:t>ny,</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czym</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stanowi</w:t>
      </w:r>
      <w:r w:rsidR="00970B2E" w:rsidRPr="00D44D33">
        <w:rPr>
          <w:rFonts w:ascii="Times New Roman" w:hAnsi="Times New Roman" w:cs="Times New Roman"/>
          <w:sz w:val="24"/>
          <w:szCs w:val="24"/>
        </w:rPr>
        <w:t xml:space="preserve"> </w:t>
      </w:r>
      <w:r w:rsidR="00E4443E"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E4443E" w:rsidRPr="00D44D33">
        <w:rPr>
          <w:rFonts w:ascii="Times New Roman" w:hAnsi="Times New Roman" w:cs="Times New Roman"/>
          <w:sz w:val="24"/>
          <w:szCs w:val="24"/>
        </w:rPr>
        <w:t>4</w:t>
      </w:r>
      <w:r w:rsidR="00662BDE"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oznacza,</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przegląd</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wykonywany</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jedynie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jednokrotnie,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tj.</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terminie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lat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ostatecznej</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nakładającej</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dostępowy</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symetryczny</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wyłączeniem</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18</w:t>
      </w:r>
      <w:r w:rsidR="00662BDE"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1</w:t>
      </w:r>
      <w:r w:rsidR="000D764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ale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terminie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1A1482"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lat,</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liczon</w:t>
      </w:r>
      <w:r w:rsidR="001A1482" w:rsidRPr="00D44D33">
        <w:rPr>
          <w:rFonts w:ascii="Times New Roman" w:hAnsi="Times New Roman" w:cs="Times New Roman"/>
          <w:sz w:val="24"/>
          <w:szCs w:val="24"/>
        </w:rPr>
        <w:t>ych</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każdego</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postanowienia</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braku</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podstaw</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1A1482" w:rsidRPr="00D44D33">
        <w:rPr>
          <w:rFonts w:ascii="Times New Roman" w:hAnsi="Times New Roman" w:cs="Times New Roman"/>
          <w:sz w:val="24"/>
          <w:szCs w:val="24"/>
        </w:rPr>
        <w:t xml:space="preserve">przeprowadzenia postępowania w sprawie przeglądu decyzji </w:t>
      </w:r>
      <w:r w:rsidR="00662BDE"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sprawie,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także</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62BDE"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braku</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podstaw</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zmiany</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uchylenia</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zmianą</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2</w:t>
      </w:r>
      <w:r w:rsidR="00F4567C" w:rsidRPr="00D44D33">
        <w:rPr>
          <w:rFonts w:ascii="Times New Roman" w:hAnsi="Times New Roman" w:cs="Times New Roman"/>
          <w:sz w:val="24"/>
          <w:szCs w:val="24"/>
        </w:rPr>
        <w:t>)</w:t>
      </w:r>
      <w:r w:rsidR="000D764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jeżeli</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takie</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rozstrzygnięcie</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nadal</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obrocie</w:t>
      </w:r>
      <w:r w:rsidR="00970B2E" w:rsidRPr="00D44D33">
        <w:rPr>
          <w:rFonts w:ascii="Times New Roman" w:hAnsi="Times New Roman" w:cs="Times New Roman"/>
          <w:sz w:val="24"/>
          <w:szCs w:val="24"/>
        </w:rPr>
        <w:t xml:space="preserve"> </w:t>
      </w:r>
      <w:r w:rsidR="000D7641" w:rsidRPr="00D44D33">
        <w:rPr>
          <w:rFonts w:ascii="Times New Roman" w:hAnsi="Times New Roman" w:cs="Times New Roman"/>
          <w:sz w:val="24"/>
          <w:szCs w:val="24"/>
        </w:rPr>
        <w:t>prawnym</w:t>
      </w:r>
      <w:r w:rsidR="00F4567C"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podlegają</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przeglądowi</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decyzje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uchylające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decyzje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82752" w:rsidRPr="00D44D33">
        <w:rPr>
          <w:rFonts w:ascii="Times New Roman" w:hAnsi="Times New Roman" w:cs="Times New Roman"/>
          <w:sz w:val="24"/>
          <w:szCs w:val="24"/>
        </w:rPr>
        <w:t>182</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także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takie,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inny</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sposób</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zostały</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wyeliminowane</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obrotu</w:t>
      </w:r>
      <w:r w:rsidR="00970B2E" w:rsidRPr="00D44D33">
        <w:rPr>
          <w:rFonts w:ascii="Times New Roman" w:hAnsi="Times New Roman" w:cs="Times New Roman"/>
          <w:sz w:val="24"/>
          <w:szCs w:val="24"/>
        </w:rPr>
        <w:t xml:space="preserve"> </w:t>
      </w:r>
      <w:r w:rsidR="00F4567C" w:rsidRPr="00D44D33">
        <w:rPr>
          <w:rFonts w:ascii="Times New Roman" w:hAnsi="Times New Roman" w:cs="Times New Roman"/>
          <w:sz w:val="24"/>
          <w:szCs w:val="24"/>
        </w:rPr>
        <w:t>prawnego.</w:t>
      </w:r>
    </w:p>
    <w:p w14:paraId="3E361B5C" w14:textId="6BD6C9C8" w:rsidR="00836045" w:rsidRPr="00D44D33" w:rsidRDefault="724E20E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1A1482"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73588B65" w:rsidRPr="00D44D33">
        <w:rPr>
          <w:rFonts w:ascii="Times New Roman" w:hAnsi="Times New Roman" w:cs="Times New Roman"/>
          <w:b/>
          <w:lang w:eastAsia="en-US"/>
        </w:rPr>
        <w:t>3</w:t>
      </w:r>
    </w:p>
    <w:p w14:paraId="58EF8541" w14:textId="3CC467FF" w:rsidR="00A145BC" w:rsidRPr="00D44D33" w:rsidRDefault="724E20E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Koordynacja</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dostępu</w:t>
      </w:r>
      <w:r w:rsidR="00970B2E" w:rsidRPr="00D44D33">
        <w:rPr>
          <w:rFonts w:ascii="Times New Roman" w:hAnsi="Times New Roman" w:cs="Times New Roman"/>
          <w:b/>
          <w:lang w:eastAsia="en-US"/>
        </w:rPr>
        <w:t xml:space="preserve"> </w:t>
      </w:r>
      <w:r w:rsidR="38A30E35" w:rsidRPr="00D44D33">
        <w:rPr>
          <w:rFonts w:ascii="Times New Roman" w:hAnsi="Times New Roman" w:cs="Times New Roman"/>
          <w:b/>
          <w:lang w:eastAsia="en-US"/>
        </w:rPr>
        <w:t>telekomunikacyjnego</w:t>
      </w:r>
    </w:p>
    <w:p w14:paraId="77D80645" w14:textId="199157DB" w:rsidR="00A31D09" w:rsidRPr="00D44D33" w:rsidRDefault="006C0F7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w:t>
      </w:r>
      <w:r w:rsidR="00783F82"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obowiązując</w:t>
      </w:r>
      <w:r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podstawy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spor</w:t>
      </w:r>
      <w:r w:rsidRPr="00D44D33">
        <w:rPr>
          <w:rFonts w:ascii="Times New Roman" w:eastAsiaTheme="minorEastAsia" w:hAnsi="Times New Roman" w:cs="Times New Roman"/>
          <w:sz w:val="24"/>
          <w:szCs w:val="24"/>
        </w:rPr>
        <w:t>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rozproszone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B38C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836045" w:rsidRPr="00D44D33">
        <w:rPr>
          <w:rFonts w:ascii="Times New Roman" w:eastAsiaTheme="minorEastAsia" w:hAnsi="Times New Roman" w:cs="Times New Roman"/>
          <w:sz w:val="24"/>
          <w:szCs w:val="24"/>
        </w:rPr>
        <w:t xml:space="preserve">z dnia 7 maja 2010 r. </w:t>
      </w:r>
      <w:r w:rsidR="00783F8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rozwoju</w:t>
      </w:r>
      <w:r w:rsidR="001A1482" w:rsidRPr="00D44D33">
        <w:rPr>
          <w:rFonts w:ascii="Times New Roman" w:eastAsiaTheme="minorEastAsia" w:hAnsi="Times New Roman" w:cs="Times New Roman"/>
          <w:sz w:val="24"/>
          <w:szCs w:val="24"/>
        </w:rPr>
        <w:t xml:space="preserve"> usług</w:t>
      </w:r>
      <w:r w:rsidR="00F21A8C" w:rsidRPr="00D44D33">
        <w:rPr>
          <w:rFonts w:ascii="Times New Roman" w:eastAsiaTheme="minorEastAsia" w:hAnsi="Times New Roman" w:cs="Times New Roman"/>
          <w:bCs/>
          <w:sz w:val="24"/>
          <w:szCs w:val="24"/>
        </w:rPr>
        <w:t xml:space="preserve"> i sieci telekomunikacyjnych</w:t>
      </w:r>
      <w:r w:rsidR="00783F8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sporne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zbudowane,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przebudowane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wyremontowane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telekomunikacji</w:t>
      </w:r>
      <w:r w:rsidR="00483D2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budynk</w:t>
      </w:r>
      <w:r w:rsidR="00483D26" w:rsidRPr="00D44D33">
        <w:rPr>
          <w:rFonts w:ascii="Times New Roman" w:eastAsiaTheme="minorEastAsia" w:hAnsi="Times New Roman" w:cs="Times New Roman"/>
          <w:sz w:val="24"/>
          <w:szCs w:val="24"/>
        </w:rPr>
        <w:t>ów</w:t>
      </w:r>
      <w:r w:rsidR="00A31D0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5758857" w14:textId="61E0799A" w:rsidR="00783F82" w:rsidRPr="00D44D33" w:rsidRDefault="00A31D0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ujednolicenie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choćby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33</w:t>
      </w:r>
      <w:r w:rsidR="00970B2E" w:rsidRPr="00D44D33">
        <w:rPr>
          <w:rFonts w:ascii="Times New Roman" w:eastAsiaTheme="minorEastAsia" w:hAnsi="Times New Roman" w:cs="Times New Roman"/>
          <w:sz w:val="24"/>
          <w:szCs w:val="24"/>
        </w:rPr>
        <w:t xml:space="preserve"> </w:t>
      </w:r>
      <w:r w:rsidR="008F1090" w:rsidRPr="00D44D33">
        <w:rPr>
          <w:rFonts w:ascii="Times New Roman" w:eastAsiaTheme="minorEastAsia" w:hAnsi="Times New Roman" w:cs="Times New Roman"/>
          <w:sz w:val="24"/>
          <w:szCs w:val="24"/>
        </w:rPr>
        <w:t>u</w:t>
      </w:r>
      <w:r w:rsidR="008F1090" w:rsidRPr="00D44D33">
        <w:rPr>
          <w:rFonts w:ascii="Times New Roman" w:eastAsiaTheme="minorEastAsia" w:hAnsi="Times New Roman" w:cs="Times New Roman"/>
          <w:bCs/>
          <w:sz w:val="24"/>
          <w:szCs w:val="24"/>
        </w:rPr>
        <w:t>stawy</w:t>
      </w:r>
      <w:bookmarkStart w:id="5" w:name="highlightHit_1"/>
      <w:bookmarkEnd w:id="5"/>
      <w:r w:rsidR="00970B2E" w:rsidRPr="00D44D33">
        <w:rPr>
          <w:rFonts w:ascii="Times New Roman" w:eastAsiaTheme="minorEastAsia" w:hAnsi="Times New Roman" w:cs="Times New Roman"/>
          <w:bCs/>
          <w:sz w:val="24"/>
          <w:szCs w:val="24"/>
        </w:rPr>
        <w:t xml:space="preserve"> </w:t>
      </w:r>
      <w:r w:rsidR="00F41646" w:rsidRPr="00D44D33">
        <w:rPr>
          <w:rFonts w:ascii="Times New Roman" w:eastAsiaTheme="minorEastAsia" w:hAnsi="Times New Roman" w:cs="Times New Roman"/>
          <w:bCs/>
          <w:sz w:val="24"/>
          <w:szCs w:val="24"/>
        </w:rPr>
        <w:t xml:space="preserve">z dnia 7 maja 2010 r. </w:t>
      </w:r>
      <w:r w:rsidR="008F1090" w:rsidRPr="00D44D33">
        <w:rPr>
          <w:rFonts w:ascii="Times New Roman" w:eastAsiaTheme="minorEastAsia" w:hAnsi="Times New Roman" w:cs="Times New Roman"/>
          <w:bCs/>
          <w:sz w:val="24"/>
          <w:szCs w:val="24"/>
        </w:rPr>
        <w:t>o</w:t>
      </w:r>
      <w:bookmarkStart w:id="6" w:name="highlightHit_2"/>
      <w:bookmarkEnd w:id="6"/>
      <w:r w:rsidR="00970B2E" w:rsidRPr="00D44D33">
        <w:rPr>
          <w:rFonts w:ascii="Times New Roman" w:eastAsiaTheme="minorEastAsia" w:hAnsi="Times New Roman" w:cs="Times New Roman"/>
          <w:bCs/>
          <w:sz w:val="24"/>
          <w:szCs w:val="24"/>
        </w:rPr>
        <w:t xml:space="preserve"> </w:t>
      </w:r>
      <w:r w:rsidR="008F1090" w:rsidRPr="00D44D33">
        <w:rPr>
          <w:rFonts w:ascii="Times New Roman" w:eastAsiaTheme="minorEastAsia" w:hAnsi="Times New Roman" w:cs="Times New Roman"/>
          <w:bCs/>
          <w:sz w:val="24"/>
          <w:szCs w:val="24"/>
        </w:rPr>
        <w:t>wspieraniu</w:t>
      </w:r>
      <w:bookmarkStart w:id="7" w:name="highlightHit_3"/>
      <w:bookmarkEnd w:id="7"/>
      <w:r w:rsidR="00970B2E" w:rsidRPr="00D44D33">
        <w:rPr>
          <w:rFonts w:ascii="Times New Roman" w:eastAsiaTheme="minorEastAsia" w:hAnsi="Times New Roman" w:cs="Times New Roman"/>
          <w:bCs/>
          <w:sz w:val="24"/>
          <w:szCs w:val="24"/>
        </w:rPr>
        <w:t xml:space="preserve"> </w:t>
      </w:r>
      <w:r w:rsidR="008F1090" w:rsidRPr="00D44D33">
        <w:rPr>
          <w:rFonts w:ascii="Times New Roman" w:eastAsiaTheme="minorEastAsia" w:hAnsi="Times New Roman" w:cs="Times New Roman"/>
          <w:bCs/>
          <w:sz w:val="24"/>
          <w:szCs w:val="24"/>
        </w:rPr>
        <w:t>rozwoju</w:t>
      </w:r>
      <w:bookmarkStart w:id="8" w:name="highlightHit_4"/>
      <w:bookmarkEnd w:id="8"/>
      <w:r w:rsidR="00970B2E" w:rsidRPr="00D44D33">
        <w:rPr>
          <w:rFonts w:ascii="Times New Roman" w:eastAsiaTheme="minorEastAsia" w:hAnsi="Times New Roman" w:cs="Times New Roman"/>
          <w:bCs/>
          <w:sz w:val="24"/>
          <w:szCs w:val="24"/>
        </w:rPr>
        <w:t xml:space="preserve"> </w:t>
      </w:r>
      <w:r w:rsidR="008F1090"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8F1090"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8F1090" w:rsidRPr="00D44D33">
        <w:rPr>
          <w:rFonts w:ascii="Times New Roman" w:eastAsiaTheme="minorEastAsia" w:hAnsi="Times New Roman" w:cs="Times New Roman"/>
          <w:bCs/>
          <w:sz w:val="24"/>
          <w:szCs w:val="24"/>
        </w:rPr>
        <w:t>sieci</w:t>
      </w:r>
      <w:r w:rsidR="00970B2E" w:rsidRPr="00D44D33">
        <w:rPr>
          <w:rFonts w:ascii="Times New Roman" w:eastAsiaTheme="minorEastAsia" w:hAnsi="Times New Roman" w:cs="Times New Roman"/>
          <w:bCs/>
          <w:sz w:val="24"/>
          <w:szCs w:val="24"/>
        </w:rPr>
        <w:t xml:space="preserve"> </w:t>
      </w:r>
      <w:r w:rsidR="008F1090" w:rsidRPr="00D44D33">
        <w:rPr>
          <w:rFonts w:ascii="Times New Roman" w:eastAsiaTheme="minorEastAsia" w:hAnsi="Times New Roman" w:cs="Times New Roman"/>
          <w:bCs/>
          <w:sz w:val="24"/>
          <w:szCs w:val="24"/>
        </w:rPr>
        <w:t>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w:t>
      </w:r>
      <w:r w:rsidR="00E23462" w:rsidRPr="00D44D33">
        <w:rPr>
          <w:rFonts w:ascii="Times New Roman" w:eastAsiaTheme="minorEastAsia" w:hAnsi="Times New Roman" w:cs="Times New Roman"/>
          <w:sz w:val="24"/>
          <w:szCs w:val="24"/>
        </w:rPr>
        <w:t>mpetencje</w:t>
      </w:r>
      <w:r w:rsidR="00970B2E" w:rsidRPr="00D44D33">
        <w:rPr>
          <w:rFonts w:ascii="Times New Roman" w:eastAsiaTheme="minorEastAsia" w:hAnsi="Times New Roman" w:cs="Times New Roman"/>
          <w:sz w:val="24"/>
          <w:szCs w:val="24"/>
        </w:rPr>
        <w:t xml:space="preserve"> </w:t>
      </w:r>
      <w:r w:rsidR="00E2346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23462"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00E23462"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00E23462" w:rsidRPr="00D44D33">
        <w:rPr>
          <w:rFonts w:ascii="Times New Roman" w:eastAsiaTheme="minorEastAsia" w:hAnsi="Times New Roman" w:cs="Times New Roman"/>
          <w:sz w:val="24"/>
          <w:szCs w:val="24"/>
        </w:rPr>
        <w:t>spornej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(choćby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d</w:t>
      </w:r>
      <w:r w:rsidRPr="00D44D33">
        <w:rPr>
          <w:rFonts w:ascii="Times New Roman" w:eastAsiaTheme="minorEastAsia" w:hAnsi="Times New Roman" w:cs="Times New Roman"/>
          <w:sz w:val="24"/>
          <w:szCs w:val="24"/>
        </w:rPr>
        <w:t>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311E70" w:rsidRPr="00D44D33">
        <w:rPr>
          <w:rFonts w:ascii="Times New Roman" w:eastAsiaTheme="minorEastAsia" w:hAnsi="Times New Roman" w:cs="Times New Roman"/>
          <w:sz w:val="24"/>
          <w:szCs w:val="24"/>
        </w:rPr>
        <w:t>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wykładać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sz w:val="24"/>
          <w:szCs w:val="24"/>
        </w:rPr>
        <w:t>lex</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specialis</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derogat</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legi</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generali</w:t>
      </w:r>
      <w:r w:rsidRPr="00D44D33">
        <w:rPr>
          <w:rFonts w:ascii="Times New Roman" w:eastAsiaTheme="minorEastAsia" w:hAnsi="Times New Roman" w:cs="Times New Roman"/>
          <w:sz w:val="24"/>
          <w:szCs w:val="24"/>
        </w:rPr>
        <w:t>.</w:t>
      </w:r>
    </w:p>
    <w:p w14:paraId="78FC546F" w14:textId="6795661B" w:rsidR="00783F82" w:rsidRPr="00D44D33" w:rsidRDefault="00783F8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382752" w:rsidRPr="00D44D33">
        <w:rPr>
          <w:rFonts w:ascii="Times New Roman" w:eastAsiaTheme="minorEastAsia" w:hAnsi="Times New Roman" w:cs="Times New Roman"/>
          <w:b/>
          <w:bCs/>
          <w:sz w:val="24"/>
          <w:szCs w:val="24"/>
        </w:rPr>
        <w:t>83</w:t>
      </w:r>
    </w:p>
    <w:p w14:paraId="03401692" w14:textId="1CE3C96E" w:rsidR="00783F82"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w:t>
      </w:r>
      <w:r w:rsidR="00970B2E" w:rsidRPr="00D44D33">
        <w:rPr>
          <w:rFonts w:ascii="Times New Roman" w:eastAsiaTheme="minorEastAsia" w:hAnsi="Times New Roman" w:cs="Times New Roman"/>
          <w:sz w:val="24"/>
          <w:szCs w:val="24"/>
        </w:rPr>
        <w:t xml:space="preserve"> </w:t>
      </w:r>
      <w:r w:rsidR="00340477" w:rsidRPr="00D44D33">
        <w:rPr>
          <w:rFonts w:ascii="Times New Roman" w:eastAsiaTheme="minorEastAsia" w:hAnsi="Times New Roman" w:cs="Times New Roman"/>
          <w:sz w:val="24"/>
          <w:szCs w:val="24"/>
        </w:rPr>
        <w:t>60</w:t>
      </w:r>
      <w:r w:rsidR="009265F4"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dniowy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p>
    <w:p w14:paraId="4CAE9669" w14:textId="7B09FDC2" w:rsidR="00007A9B"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007A9B" w:rsidRPr="00D44D33">
        <w:rPr>
          <w:rFonts w:ascii="Times New Roman" w:eastAsiaTheme="minorEastAsia" w:hAnsi="Times New Roman" w:cs="Times New Roman"/>
          <w:sz w:val="24"/>
          <w:szCs w:val="24"/>
        </w:rPr>
        <w:t>:</w:t>
      </w:r>
    </w:p>
    <w:p w14:paraId="60CD1CE7" w14:textId="7BA5FC68" w:rsidR="00783F82" w:rsidRPr="00D44D33" w:rsidRDefault="00C83A1B"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1)</w:t>
      </w:r>
      <w:r w:rsidR="00311E70" w:rsidRPr="00D44D33">
        <w:rPr>
          <w:rFonts w:ascii="Times New Roman" w:eastAsiaTheme="minorEastAsia" w:hAnsi="Times New Roman" w:cs="Times New Roman"/>
          <w:sz w:val="24"/>
          <w:szCs w:val="24"/>
        </w:rPr>
        <w:t>,</w:t>
      </w:r>
    </w:p>
    <w:p w14:paraId="37DAA3D5" w14:textId="0D730E7B" w:rsidR="00382752" w:rsidRPr="00D44D33" w:rsidRDefault="00C83A1B"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2752" w:rsidRPr="00D44D33">
        <w:rPr>
          <w:rFonts w:ascii="Times New Roman" w:eastAsiaTheme="minorEastAsia" w:hAnsi="Times New Roman" w:cs="Times New Roman"/>
          <w:sz w:val="24"/>
          <w:szCs w:val="24"/>
        </w:rPr>
        <w:lastRenderedPageBreak/>
        <w:t>174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1</w:t>
      </w:r>
      <w:r w:rsidR="00382752"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07A9B" w:rsidRPr="00D44D33">
        <w:rPr>
          <w:rFonts w:ascii="Times New Roman" w:eastAsiaTheme="minorEastAsia" w:hAnsi="Times New Roman" w:cs="Times New Roman"/>
          <w:sz w:val="24"/>
          <w:szCs w:val="24"/>
        </w:rPr>
        <w:t>2)</w:t>
      </w:r>
      <w:r w:rsidR="005133C5" w:rsidRPr="00D44D33">
        <w:rPr>
          <w:rFonts w:ascii="Times New Roman" w:eastAsiaTheme="minorEastAsia" w:hAnsi="Times New Roman" w:cs="Times New Roman"/>
          <w:sz w:val="24"/>
          <w:szCs w:val="24"/>
        </w:rPr>
        <w:t>.</w:t>
      </w:r>
    </w:p>
    <w:p w14:paraId="59CBFB05" w14:textId="0AD15328" w:rsidR="00783F82"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340477"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340477"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postanowienia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Skrócenie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 xml:space="preserve">braku </w:t>
      </w:r>
      <w:r w:rsidRPr="00D44D33">
        <w:rPr>
          <w:rFonts w:ascii="Times New Roman" w:eastAsiaTheme="minorEastAsia" w:hAnsi="Times New Roman" w:cs="Times New Roman"/>
          <w:sz w:val="24"/>
          <w:szCs w:val="24"/>
        </w:rPr>
        <w:t>porozumienia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skierowanie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rozstrzygające</w:t>
      </w:r>
      <w:r w:rsidR="000975CF"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975CF" w:rsidRPr="00D44D33">
        <w:rPr>
          <w:rFonts w:ascii="Times New Roman" w:eastAsiaTheme="minorEastAsia" w:hAnsi="Times New Roman" w:cs="Times New Roman"/>
          <w:sz w:val="24"/>
          <w:szCs w:val="24"/>
        </w:rPr>
        <w:t>spór</w:t>
      </w:r>
      <w:r w:rsidR="00970B2E" w:rsidRPr="00D44D33">
        <w:rPr>
          <w:rFonts w:ascii="Times New Roman" w:eastAsiaTheme="minorEastAsia" w:hAnsi="Times New Roman" w:cs="Times New Roman"/>
          <w:sz w:val="24"/>
          <w:szCs w:val="24"/>
        </w:rPr>
        <w:t xml:space="preserve"> </w:t>
      </w:r>
      <w:r w:rsidR="000975CF"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0975CF"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0975CF" w:rsidRPr="00D44D33">
        <w:rPr>
          <w:rFonts w:ascii="Times New Roman" w:eastAsiaTheme="minorEastAsia" w:hAnsi="Times New Roman" w:cs="Times New Roman"/>
          <w:sz w:val="24"/>
          <w:szCs w:val="24"/>
        </w:rPr>
        <w:t>szybciej.</w:t>
      </w:r>
    </w:p>
    <w:p w14:paraId="0169C417" w14:textId="52BD8129" w:rsidR="00C83A1B"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C83A1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83A1B" w:rsidRPr="00D44D33">
        <w:rPr>
          <w:rFonts w:ascii="Times New Roman" w:eastAsiaTheme="minorEastAsia" w:hAnsi="Times New Roman" w:cs="Times New Roman"/>
          <w:sz w:val="24"/>
          <w:szCs w:val="24"/>
        </w:rPr>
        <w:t>celu:</w:t>
      </w:r>
    </w:p>
    <w:p w14:paraId="51944E97" w14:textId="1B6FD62A" w:rsidR="00C83A1B" w:rsidRPr="00D44D33" w:rsidRDefault="00783F82" w:rsidP="00D44D33">
      <w:pPr>
        <w:pStyle w:val="Akapitzlist"/>
        <w:numPr>
          <w:ilvl w:val="0"/>
          <w:numId w:val="110"/>
        </w:numPr>
        <w:spacing w:before="120" w:after="120" w:line="360" w:lineRule="auto"/>
        <w:ind w:left="709" w:hanging="502"/>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ukształtowania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wpadkowej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bezprzedmiotowy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C83A1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p>
    <w:p w14:paraId="4197E573" w14:textId="2E2646B8" w:rsidR="00C83A1B" w:rsidRPr="00D44D33" w:rsidRDefault="00783F82" w:rsidP="00D44D33">
      <w:pPr>
        <w:pStyle w:val="Akapitzlist"/>
        <w:numPr>
          <w:ilvl w:val="0"/>
          <w:numId w:val="110"/>
        </w:numPr>
        <w:spacing w:before="120" w:after="120" w:line="360" w:lineRule="auto"/>
        <w:ind w:left="709" w:hanging="502"/>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p>
    <w:p w14:paraId="7B4A55F9" w14:textId="3023628D" w:rsidR="00783F82" w:rsidRPr="00D44D33" w:rsidRDefault="00C83A1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przedłożenie:</w:t>
      </w:r>
    </w:p>
    <w:p w14:paraId="6DD1328E" w14:textId="2C77B850" w:rsidR="00783F82" w:rsidRPr="00D44D33" w:rsidRDefault="00783F82" w:rsidP="00D44D33">
      <w:pPr>
        <w:numPr>
          <w:ilvl w:val="0"/>
          <w:numId w:val="10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przekazana</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002832D3" w:rsidRPr="00D44D33">
        <w:rPr>
          <w:rFonts w:ascii="Times New Roman" w:eastAsiaTheme="minorEastAsia" w:hAnsi="Times New Roman" w:cs="Times New Roman"/>
          <w:sz w:val="24"/>
          <w:szCs w:val="24"/>
        </w:rPr>
        <w:t>stronie</w:t>
      </w:r>
      <w:r w:rsidR="00311E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D8D7098" w14:textId="07E6B19A" w:rsidR="00783F82" w:rsidRPr="00D44D33" w:rsidRDefault="00783F82" w:rsidP="00D44D33">
      <w:pPr>
        <w:numPr>
          <w:ilvl w:val="0"/>
          <w:numId w:val="10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negocjacje</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E4443E" w:rsidRPr="00D44D33">
        <w:rPr>
          <w:rFonts w:ascii="Times New Roman" w:eastAsiaTheme="minorEastAsia" w:hAnsi="Times New Roman" w:cs="Times New Roman"/>
          <w:sz w:val="24"/>
          <w:szCs w:val="24"/>
        </w:rPr>
        <w:t>przeprowadzone</w:t>
      </w:r>
      <w:r w:rsidR="00311E70" w:rsidRPr="00D44D33">
        <w:rPr>
          <w:rFonts w:ascii="Times New Roman" w:eastAsiaTheme="minorEastAsia" w:hAnsi="Times New Roman" w:cs="Times New Roman"/>
          <w:sz w:val="24"/>
          <w:szCs w:val="24"/>
        </w:rPr>
        <w:t>,</w:t>
      </w:r>
    </w:p>
    <w:p w14:paraId="1C08CDCD" w14:textId="3B6901B1" w:rsidR="009F6F73" w:rsidRPr="00D44D33" w:rsidRDefault="00783F82" w:rsidP="00D44D33">
      <w:pPr>
        <w:numPr>
          <w:ilvl w:val="0"/>
          <w:numId w:val="10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zaznaczeniem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doszły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porozumienia</w:t>
      </w:r>
      <w:r w:rsidR="009F6F73" w:rsidRPr="00D44D33">
        <w:rPr>
          <w:rFonts w:ascii="Times New Roman" w:eastAsiaTheme="minorEastAsia" w:hAnsi="Times New Roman" w:cs="Times New Roman"/>
          <w:sz w:val="24"/>
          <w:szCs w:val="24"/>
        </w:rPr>
        <w:t>.</w:t>
      </w:r>
    </w:p>
    <w:p w14:paraId="06252634" w14:textId="0DA53F2A" w:rsidR="00783F82" w:rsidRPr="00D44D33" w:rsidRDefault="009F6F7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E0004A" w:rsidRPr="00D44D33">
        <w:rPr>
          <w:rFonts w:ascii="Times New Roman" w:hAnsi="Times New Roman" w:cs="Times New Roman"/>
          <w:sz w:val="24"/>
          <w:szCs w:val="24"/>
        </w:rPr>
        <w:t>25%</w:t>
      </w:r>
      <w:r w:rsidR="00970B2E" w:rsidRPr="00D44D33">
        <w:rPr>
          <w:rFonts w:ascii="Times New Roman" w:hAnsi="Times New Roman" w:cs="Times New Roman"/>
          <w:sz w:val="24"/>
          <w:szCs w:val="24"/>
        </w:rPr>
        <w:t xml:space="preserve"> </w:t>
      </w:r>
      <w:r w:rsidR="00E0004A" w:rsidRPr="00D44D33">
        <w:rPr>
          <w:rFonts w:ascii="Times New Roman" w:hAnsi="Times New Roman" w:cs="Times New Roman"/>
          <w:sz w:val="24"/>
          <w:szCs w:val="24"/>
        </w:rPr>
        <w:t>przeciętnego</w:t>
      </w:r>
      <w:r w:rsidR="00970B2E" w:rsidRPr="00D44D33">
        <w:rPr>
          <w:rFonts w:ascii="Times New Roman" w:hAnsi="Times New Roman" w:cs="Times New Roman"/>
          <w:sz w:val="24"/>
          <w:szCs w:val="24"/>
        </w:rPr>
        <w:t xml:space="preserve"> </w:t>
      </w:r>
      <w:r w:rsidR="00E0004A" w:rsidRPr="00D44D33">
        <w:rPr>
          <w:rFonts w:ascii="Times New Roman" w:hAnsi="Times New Roman" w:cs="Times New Roman"/>
          <w:sz w:val="24"/>
          <w:szCs w:val="24"/>
        </w:rPr>
        <w:t>wynagrodzenia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EC12BA" w:rsidRPr="00D44D33">
        <w:rPr>
          <w:rFonts w:ascii="Times New Roman" w:eastAsiaTheme="minorEastAsia" w:hAnsi="Times New Roman" w:cs="Times New Roman"/>
          <w:sz w:val="24"/>
          <w:szCs w:val="24"/>
        </w:rPr>
        <w:t>pobierana</w:t>
      </w:r>
      <w:r w:rsidR="00970B2E" w:rsidRPr="00D44D33">
        <w:rPr>
          <w:rFonts w:ascii="Times New Roman" w:eastAsiaTheme="minorEastAsia" w:hAnsi="Times New Roman" w:cs="Times New Roman"/>
          <w:sz w:val="24"/>
          <w:szCs w:val="24"/>
        </w:rPr>
        <w:t xml:space="preserve"> </w:t>
      </w:r>
      <w:r w:rsidR="00EC12B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EC12B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EC12B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B6795" w:rsidRPr="00D44D33">
        <w:rPr>
          <w:rFonts w:ascii="Times New Roman" w:hAnsi="Times New Roman" w:cs="Times New Roman"/>
          <w:sz w:val="24"/>
          <w:szCs w:val="24"/>
        </w:rPr>
        <w:t>zgodnie z przepisem ust. 12 stanowi dochód budżetu państwa</w:t>
      </w:r>
      <w:r w:rsidR="00EC12BA" w:rsidRPr="00D44D33">
        <w:rPr>
          <w:rFonts w:ascii="Times New Roman" w:eastAsiaTheme="minorEastAsia" w:hAnsi="Times New Roman" w:cs="Times New Roman"/>
          <w:sz w:val="24"/>
          <w:szCs w:val="24"/>
        </w:rPr>
        <w:t>.</w:t>
      </w:r>
    </w:p>
    <w:p w14:paraId="5A374818" w14:textId="6AA46C2C" w:rsidR="00891C0F" w:rsidRPr="00D44D33" w:rsidRDefault="00783F82"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91C0F" w:rsidRPr="00D44D33">
        <w:rPr>
          <w:rFonts w:ascii="Times New Roman" w:hAnsi="Times New Roman" w:cs="Times New Roman"/>
          <w:sz w:val="24"/>
          <w:szCs w:val="24"/>
        </w:rPr>
        <w:t>gdy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spór</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dotyczy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zawartej</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umowy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dostępie</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gdy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treść</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stosunku</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zobowiązanego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określona</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częściowo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decyzję,</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k</w:t>
      </w:r>
      <w:r w:rsidR="005747C8" w:rsidRPr="00D44D33">
        <w:rPr>
          <w:rFonts w:ascii="Times New Roman" w:hAnsi="Times New Roman" w:cs="Times New Roman"/>
          <w:sz w:val="24"/>
          <w:szCs w:val="24"/>
        </w:rPr>
        <w:t>tórej</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483D2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5747C8" w:rsidRPr="00D44D33">
        <w:rPr>
          <w:rFonts w:ascii="Times New Roman" w:hAnsi="Times New Roman" w:cs="Times New Roman"/>
          <w:sz w:val="24"/>
          <w:szCs w:val="24"/>
        </w:rPr>
        <w:t>187</w:t>
      </w:r>
      <w:r w:rsidR="00891C0F"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częściowo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umowę</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dostępie,</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wniosku,</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1</w:t>
      </w:r>
      <w:r w:rsidR="00311E70"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dołącza</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jednolity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tekst</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umowy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zawierający</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postanowienia</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wynikające</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891C0F" w:rsidRPr="00D44D33">
        <w:rPr>
          <w:rFonts w:ascii="Times New Roman" w:hAnsi="Times New Roman" w:cs="Times New Roman"/>
          <w:sz w:val="24"/>
          <w:szCs w:val="24"/>
        </w:rPr>
        <w:t>decyzji.</w:t>
      </w:r>
    </w:p>
    <w:p w14:paraId="15D5AB32" w14:textId="1774D6F2" w:rsidR="00783F82" w:rsidRPr="00D44D33" w:rsidRDefault="00F21E7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jednoznaczny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rozpoznawanie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spornych</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obejmującego</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przedmiot</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wniosków)</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83D26"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w:t>
      </w:r>
      <w:r w:rsidR="00A551F0" w:rsidRPr="00D44D33">
        <w:rPr>
          <w:rFonts w:ascii="Times New Roman" w:eastAsiaTheme="minorEastAsia" w:hAnsi="Times New Roman" w:cs="Times New Roman"/>
          <w:sz w:val="24"/>
          <w:szCs w:val="24"/>
        </w:rPr>
        <w:t>zą</w:t>
      </w:r>
      <w:r w:rsidR="00970B2E" w:rsidRPr="00D44D33">
        <w:rPr>
          <w:rFonts w:ascii="Times New Roman" w:eastAsiaTheme="minorEastAsia" w:hAnsi="Times New Roman" w:cs="Times New Roman"/>
          <w:sz w:val="24"/>
          <w:szCs w:val="24"/>
        </w:rPr>
        <w:t xml:space="preserve"> </w:t>
      </w:r>
      <w:r w:rsidR="00A551F0"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A551F0"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00A551F0"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00A551F0"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A551F0" w:rsidRPr="00D44D33">
        <w:rPr>
          <w:rFonts w:ascii="Times New Roman" w:eastAsiaTheme="minorEastAsia" w:hAnsi="Times New Roman" w:cs="Times New Roman"/>
          <w:sz w:val="24"/>
          <w:szCs w:val="24"/>
        </w:rPr>
        <w:t>konstytuuje</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FC7346" w:rsidRPr="00D44D33">
        <w:rPr>
          <w:rFonts w:ascii="Times New Roman" w:eastAsiaTheme="minorEastAsia" w:hAnsi="Times New Roman" w:cs="Times New Roman"/>
          <w:sz w:val="24"/>
          <w:szCs w:val="24"/>
        </w:rPr>
        <w:t>Pke.</w:t>
      </w:r>
    </w:p>
    <w:p w14:paraId="47B14336" w14:textId="08A44F54" w:rsidR="00E57AEF" w:rsidRPr="00D44D33" w:rsidRDefault="009F6F7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wniesienia</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wnioskodawca</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niewypełnienie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64</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k</w:t>
      </w:r>
      <w:r w:rsidR="008E32A5" w:rsidRPr="00D44D33">
        <w:rPr>
          <w:rFonts w:ascii="Times New Roman" w:eastAsiaTheme="minorEastAsia" w:hAnsi="Times New Roman" w:cs="Times New Roman"/>
          <w:sz w:val="24"/>
          <w:szCs w:val="24"/>
        </w:rPr>
        <w:t>pa)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faktycznie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poniesie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koszty</w:t>
      </w:r>
      <w:r w:rsidR="00E57AE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przebieg</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negocjacji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uprawnieniem</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sporu</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odnoszących</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do</w:t>
      </w:r>
      <w:r w:rsidR="00276AE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zajęcia</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rozpoczynającego</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negocjacje</w:t>
      </w:r>
      <w:r w:rsidR="00311E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zaproponowania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obiektywnych,</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przejrzystych,</w:t>
      </w:r>
      <w:r w:rsidR="00970B2E" w:rsidRPr="00D44D33">
        <w:rPr>
          <w:rFonts w:ascii="Times New Roman" w:eastAsiaTheme="minorEastAsia" w:hAnsi="Times New Roman" w:cs="Times New Roman"/>
          <w:sz w:val="24"/>
          <w:szCs w:val="24"/>
        </w:rPr>
        <w:t xml:space="preserve"> </w:t>
      </w:r>
      <w:r w:rsidR="00276AE5" w:rsidRPr="00D44D33">
        <w:rPr>
          <w:rFonts w:ascii="Times New Roman" w:eastAsiaTheme="minorEastAsia" w:hAnsi="Times New Roman" w:cs="Times New Roman"/>
          <w:sz w:val="24"/>
          <w:szCs w:val="24"/>
        </w:rPr>
        <w:t>proporcjonalnych</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niedyskryminacyjnych</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ewentualnej</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drugą</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stron</w:t>
      </w:r>
      <w:r w:rsidR="00311E70" w:rsidRPr="00D44D33">
        <w:rPr>
          <w:rFonts w:ascii="Times New Roman" w:eastAsiaTheme="minorEastAsia" w:hAnsi="Times New Roman" w:cs="Times New Roman"/>
          <w:sz w:val="24"/>
          <w:szCs w:val="24"/>
        </w:rPr>
        <w:t>ę</w:t>
      </w:r>
      <w:r w:rsidR="00DC2C9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zaproponowania</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warunkach</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zgodnych</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obowiązkami,</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nałożonymi</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obowiązkami</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regulacyjnymi</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obowiązkami</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dostępowymi</w:t>
      </w:r>
      <w:r w:rsidR="00970B2E" w:rsidRPr="00D44D33">
        <w:rPr>
          <w:rFonts w:ascii="Times New Roman" w:hAnsi="Times New Roman" w:cs="Times New Roman"/>
          <w:sz w:val="24"/>
          <w:szCs w:val="24"/>
        </w:rPr>
        <w:t xml:space="preserve"> </w:t>
      </w:r>
      <w:r w:rsidR="00624B70" w:rsidRPr="00D44D33">
        <w:rPr>
          <w:rFonts w:ascii="Times New Roman" w:hAnsi="Times New Roman" w:cs="Times New Roman"/>
          <w:sz w:val="24"/>
          <w:szCs w:val="24"/>
        </w:rPr>
        <w:t>symetrycznymi,</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ewentualnej</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drugą</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stron</w:t>
      </w:r>
      <w:r w:rsidR="00311E70" w:rsidRPr="00D44D33">
        <w:rPr>
          <w:rFonts w:ascii="Times New Roman" w:eastAsiaTheme="minorEastAsia" w:hAnsi="Times New Roman" w:cs="Times New Roman"/>
          <w:sz w:val="24"/>
          <w:szCs w:val="24"/>
        </w:rPr>
        <w:t>ę</w:t>
      </w:r>
      <w:r w:rsidR="00624B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zgodnych</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ofertą</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ramową,</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oferta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obowiązuje</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telekomunikacyjnego</w:t>
      </w:r>
      <w:r w:rsidR="00E57AE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wypełnienia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którejkolwiek</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183</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27B0C" w:rsidRPr="00D44D33">
        <w:rPr>
          <w:rFonts w:ascii="Times New Roman" w:eastAsiaTheme="minorEastAsia" w:hAnsi="Times New Roman" w:cs="Times New Roman"/>
          <w:sz w:val="24"/>
          <w:szCs w:val="24"/>
        </w:rPr>
        <w:t xml:space="preserve">9 </w:t>
      </w:r>
      <w:r w:rsidR="008E32A5" w:rsidRPr="00D44D33">
        <w:rPr>
          <w:rFonts w:ascii="Times New Roman" w:eastAsiaTheme="minorEastAsia" w:hAnsi="Times New Roman" w:cs="Times New Roman"/>
          <w:sz w:val="24"/>
          <w:szCs w:val="24"/>
        </w:rPr>
        <w:t>Pke</w:t>
      </w:r>
      <w:r w:rsidR="00E57AE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przerzuc</w:t>
      </w:r>
      <w:r w:rsidR="00311E70" w:rsidRPr="00D44D33">
        <w:rPr>
          <w:rFonts w:ascii="Times New Roman" w:eastAsiaTheme="minorEastAsia" w:hAnsi="Times New Roman" w:cs="Times New Roman"/>
          <w:sz w:val="24"/>
          <w:szCs w:val="24"/>
        </w:rPr>
        <w:t>o</w:t>
      </w:r>
      <w:r w:rsidR="00E57AE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drugą</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stronę</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inną</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wnioskodawca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inicjujący</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wniesiona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lastRenderedPageBreak/>
        <w:t>wnioskodawcę</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zwrócona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wtedy</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wniesienia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drugą</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wynika</w:t>
      </w:r>
      <w:r w:rsidR="008E32A5"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wydanego</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postępowania</w:t>
      </w:r>
      <w:r w:rsidR="00624B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624B70" w:rsidRPr="00D44D33">
        <w:rPr>
          <w:rFonts w:ascii="Times New Roman" w:eastAsiaTheme="minorEastAsia" w:hAnsi="Times New Roman" w:cs="Times New Roman"/>
          <w:sz w:val="24"/>
          <w:szCs w:val="24"/>
        </w:rPr>
        <w:t>zażalenie</w:t>
      </w:r>
      <w:r w:rsidR="00E57AE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Intencją</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dojdzie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merytorycznego</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któraś</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poni</w:t>
      </w:r>
      <w:r w:rsidR="00DC2C9F" w:rsidRPr="00D44D33">
        <w:rPr>
          <w:rFonts w:ascii="Times New Roman" w:eastAsiaTheme="minorEastAsia" w:hAnsi="Times New Roman" w:cs="Times New Roman"/>
          <w:sz w:val="24"/>
          <w:szCs w:val="24"/>
        </w:rPr>
        <w:t>osła</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koszt</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E0004A" w:rsidRPr="00D44D33">
        <w:rPr>
          <w:rFonts w:ascii="Times New Roman" w:hAnsi="Times New Roman" w:cs="Times New Roman"/>
          <w:sz w:val="24"/>
          <w:szCs w:val="24"/>
        </w:rPr>
        <w:t>25%</w:t>
      </w:r>
      <w:r w:rsidR="00970B2E" w:rsidRPr="00D44D33">
        <w:rPr>
          <w:rFonts w:ascii="Times New Roman" w:hAnsi="Times New Roman" w:cs="Times New Roman"/>
          <w:sz w:val="24"/>
          <w:szCs w:val="24"/>
        </w:rPr>
        <w:t xml:space="preserve"> </w:t>
      </w:r>
      <w:r w:rsidR="00E0004A" w:rsidRPr="00D44D33">
        <w:rPr>
          <w:rFonts w:ascii="Times New Roman" w:hAnsi="Times New Roman" w:cs="Times New Roman"/>
          <w:sz w:val="24"/>
          <w:szCs w:val="24"/>
        </w:rPr>
        <w:t>przeciętnego</w:t>
      </w:r>
      <w:r w:rsidR="00970B2E" w:rsidRPr="00D44D33">
        <w:rPr>
          <w:rFonts w:ascii="Times New Roman" w:hAnsi="Times New Roman" w:cs="Times New Roman"/>
          <w:sz w:val="24"/>
          <w:szCs w:val="24"/>
        </w:rPr>
        <w:t xml:space="preserve"> </w:t>
      </w:r>
      <w:r w:rsidR="00E0004A" w:rsidRPr="00D44D33">
        <w:rPr>
          <w:rFonts w:ascii="Times New Roman" w:hAnsi="Times New Roman" w:cs="Times New Roman"/>
          <w:sz w:val="24"/>
          <w:szCs w:val="24"/>
        </w:rPr>
        <w:t>wynagrodzenia</w:t>
      </w:r>
      <w:r w:rsidR="0060353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7AEF" w:rsidRPr="00D44D33">
        <w:rPr>
          <w:rFonts w:ascii="Times New Roman" w:eastAsiaTheme="minorEastAsia" w:hAnsi="Times New Roman" w:cs="Times New Roman"/>
          <w:sz w:val="24"/>
          <w:szCs w:val="24"/>
        </w:rPr>
        <w:t>sytuacji</w:t>
      </w:r>
      <w:r w:rsidR="0060353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umorzone,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zwrotowi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183</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1</w:t>
      </w:r>
      <w:r w:rsidR="00311E7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Pke</w:t>
      </w:r>
      <w:r w:rsidR="00603537" w:rsidRPr="00D44D33">
        <w:rPr>
          <w:rFonts w:ascii="Times New Roman" w:eastAsiaTheme="minorEastAsia" w:hAnsi="Times New Roman" w:cs="Times New Roman"/>
          <w:sz w:val="24"/>
          <w:szCs w:val="24"/>
        </w:rPr>
        <w:t>).</w:t>
      </w:r>
    </w:p>
    <w:p w14:paraId="65B4309D" w14:textId="05F6DFD6" w:rsidR="2239EF52" w:rsidRPr="00D44D33" w:rsidRDefault="2239EF5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zauważyć,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 xml:space="preserve">EKŁE </w:t>
      </w:r>
      <w:r w:rsidRPr="00D44D33">
        <w:rPr>
          <w:rFonts w:ascii="Times New Roman" w:eastAsiaTheme="minorEastAsia" w:hAnsi="Times New Roman" w:cs="Times New Roman"/>
          <w:sz w:val="24"/>
          <w:szCs w:val="24"/>
        </w:rPr>
        <w:t>każda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po</w:t>
      </w:r>
      <w:r w:rsidRPr="00D44D33">
        <w:rPr>
          <w:rFonts w:ascii="Times New Roman" w:eastAsiaTheme="minorEastAsia" w:hAnsi="Times New Roman" w:cs="Times New Roman"/>
          <w:sz w:val="24"/>
          <w:szCs w:val="24"/>
        </w:rPr>
        <w:t>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poniesione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facto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przeciętnego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wynagrodzenia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1300</w:t>
      </w:r>
      <w:r w:rsidR="00970B2E" w:rsidRPr="00D44D33">
        <w:rPr>
          <w:rFonts w:ascii="Times New Roman" w:eastAsiaTheme="minorEastAsia" w:hAnsi="Times New Roman" w:cs="Times New Roman"/>
          <w:sz w:val="24"/>
          <w:szCs w:val="24"/>
        </w:rPr>
        <w:t xml:space="preserve"> </w:t>
      </w:r>
      <w:r w:rsidR="00311E70" w:rsidRPr="00D44D33">
        <w:rPr>
          <w:rFonts w:ascii="Times New Roman" w:eastAsiaTheme="minorEastAsia" w:hAnsi="Times New Roman" w:cs="Times New Roman"/>
          <w:sz w:val="24"/>
          <w:szCs w:val="24"/>
        </w:rPr>
        <w:t>zł</w:t>
      </w:r>
      <w:r w:rsidRPr="00D44D33">
        <w:rPr>
          <w:rFonts w:ascii="Times New Roman" w:eastAsiaTheme="minorEastAsia" w:hAnsi="Times New Roman" w:cs="Times New Roman"/>
          <w:sz w:val="24"/>
          <w:szCs w:val="24"/>
        </w:rPr>
        <w:t>).</w:t>
      </w:r>
      <w:r w:rsidR="00371EEA">
        <w:rPr>
          <w:rFonts w:ascii="Times New Roman" w:eastAsiaTheme="minorEastAsia" w:hAnsi="Times New Roman" w:cs="Times New Roman"/>
          <w:sz w:val="24"/>
          <w:szCs w:val="24"/>
        </w:rPr>
        <w:t xml:space="preserve"> </w:t>
      </w:r>
    </w:p>
    <w:p w14:paraId="30137A47" w14:textId="0C5A9CD2" w:rsidR="2239EF52" w:rsidRPr="00D44D33" w:rsidRDefault="2239EF5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gwarantując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uruchomienia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zachętę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obstrukcyjnych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generowałby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wstrzymywałby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interpretować,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przewyższać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rzeczywistych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administracyjnych.</w:t>
      </w:r>
    </w:p>
    <w:p w14:paraId="3B0DFDE3" w14:textId="082FA61E" w:rsidR="00603537" w:rsidRPr="00D44D33" w:rsidRDefault="0B2FB38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Zatem</w:t>
      </w:r>
      <w:r w:rsidR="00970B2E" w:rsidRPr="00D44D33">
        <w:rPr>
          <w:rFonts w:ascii="Times New Roman" w:eastAsiaTheme="minorEastAsia" w:hAnsi="Times New Roman" w:cs="Times New Roman"/>
          <w:sz w:val="24"/>
          <w:szCs w:val="24"/>
        </w:rPr>
        <w:t xml:space="preserve"> </w:t>
      </w:r>
      <w:r w:rsidR="4B09C125" w:rsidRPr="00D44D33">
        <w:rPr>
          <w:rFonts w:ascii="Times New Roman" w:eastAsiaTheme="minorEastAsia" w:hAnsi="Times New Roman" w:cs="Times New Roman"/>
          <w:sz w:val="24"/>
          <w:szCs w:val="24"/>
        </w:rPr>
        <w:t>c</w:t>
      </w:r>
      <w:r w:rsidR="00603537" w:rsidRPr="00D44D33">
        <w:rPr>
          <w:rFonts w:ascii="Times New Roman" w:eastAsiaTheme="minorEastAsia" w:hAnsi="Times New Roman" w:cs="Times New Roman"/>
          <w:sz w:val="24"/>
          <w:szCs w:val="24"/>
        </w:rPr>
        <w:t>elem</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wynikającej</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183</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7</w:t>
      </w:r>
      <w:r w:rsidR="00F21A8C" w:rsidRPr="00D44D33">
        <w:rPr>
          <w:rFonts w:ascii="Times New Roman" w:eastAsiaTheme="minorEastAsia" w:hAnsi="Times New Roman" w:cs="Times New Roman"/>
          <w:sz w:val="24"/>
          <w:szCs w:val="24"/>
        </w:rPr>
        <w:t>–</w:t>
      </w:r>
      <w:r w:rsidR="00603537" w:rsidRPr="00D44D33">
        <w:rPr>
          <w:rFonts w:ascii="Times New Roman" w:eastAsiaTheme="minorEastAsia" w:hAnsi="Times New Roman" w:cs="Times New Roman"/>
          <w:sz w:val="24"/>
          <w:szCs w:val="24"/>
        </w:rPr>
        <w:t>1</w:t>
      </w:r>
      <w:r w:rsidR="00624B70"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zachęcenie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racjonalnych</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dojścia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kompromisu</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granicach</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ograniczając</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liczbę</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administracyjnych</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prowadzonych</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E32A5" w:rsidRPr="00D44D33">
        <w:rPr>
          <w:rFonts w:ascii="Times New Roman" w:eastAsiaTheme="minorEastAsia" w:hAnsi="Times New Roman" w:cs="Times New Roman"/>
          <w:sz w:val="24"/>
          <w:szCs w:val="24"/>
        </w:rPr>
        <w:t>UKE</w:t>
      </w:r>
      <w:r w:rsidR="0060353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ustalona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E0004A" w:rsidRPr="00D44D33">
        <w:rPr>
          <w:rFonts w:ascii="Times New Roman" w:hAnsi="Times New Roman" w:cs="Times New Roman"/>
          <w:sz w:val="24"/>
          <w:szCs w:val="24"/>
        </w:rPr>
        <w:t>25%</w:t>
      </w:r>
      <w:r w:rsidR="00970B2E" w:rsidRPr="00D44D33">
        <w:rPr>
          <w:rFonts w:ascii="Times New Roman" w:hAnsi="Times New Roman" w:cs="Times New Roman"/>
          <w:sz w:val="24"/>
          <w:szCs w:val="24"/>
        </w:rPr>
        <w:t xml:space="preserve"> </w:t>
      </w:r>
      <w:r w:rsidR="00E0004A" w:rsidRPr="00D44D33">
        <w:rPr>
          <w:rFonts w:ascii="Times New Roman" w:hAnsi="Times New Roman" w:cs="Times New Roman"/>
          <w:sz w:val="24"/>
          <w:szCs w:val="24"/>
        </w:rPr>
        <w:t>przeciętnego</w:t>
      </w:r>
      <w:r w:rsidR="00970B2E" w:rsidRPr="00D44D33">
        <w:rPr>
          <w:rFonts w:ascii="Times New Roman" w:hAnsi="Times New Roman" w:cs="Times New Roman"/>
          <w:sz w:val="24"/>
          <w:szCs w:val="24"/>
        </w:rPr>
        <w:t xml:space="preserve"> </w:t>
      </w:r>
      <w:r w:rsidR="00E0004A" w:rsidRPr="00D44D33">
        <w:rPr>
          <w:rFonts w:ascii="Times New Roman" w:hAnsi="Times New Roman" w:cs="Times New Roman"/>
          <w:sz w:val="24"/>
          <w:szCs w:val="24"/>
        </w:rPr>
        <w:t>wynagrodzenia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znacznie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niższa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mogłaby</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spełnić</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funkcji,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wprowadzana,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zbyt</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niska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zobowiązanych</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03537" w:rsidRPr="00D44D33">
        <w:rPr>
          <w:rFonts w:ascii="Times New Roman" w:eastAsiaTheme="minorEastAsia" w:hAnsi="Times New Roman" w:cs="Times New Roman"/>
          <w:sz w:val="24"/>
          <w:szCs w:val="24"/>
        </w:rPr>
        <w:t>telekomunikacyjnego</w:t>
      </w:r>
      <w:r w:rsidR="00C63F4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znaczący</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bodziec</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negocjacji</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oczekiwaniami</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projektodawcy</w:t>
      </w:r>
      <w:r w:rsidR="00C63F4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znacznie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wyższa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mogłaby</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postrzegana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potencjalne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skierowania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rozpoznania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krajowego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ds.</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DC2C9F" w:rsidRPr="00D44D33">
        <w:rPr>
          <w:rFonts w:ascii="Times New Roman" w:eastAsiaTheme="minorEastAsia" w:hAnsi="Times New Roman" w:cs="Times New Roman"/>
          <w:sz w:val="24"/>
          <w:szCs w:val="24"/>
        </w:rPr>
        <w:t>telekomunikacyjny</w:t>
      </w:r>
      <w:r w:rsidR="00C63F4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Wreszcie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dostępem</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prowadzone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postępowaniami</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skomplikowanymi,</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C63F4B"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DA409C" w:rsidRPr="00D44D33">
        <w:rPr>
          <w:rFonts w:ascii="Times New Roman" w:eastAsiaTheme="minorEastAsia" w:hAnsi="Times New Roman" w:cs="Times New Roman"/>
          <w:sz w:val="24"/>
          <w:szCs w:val="24"/>
        </w:rPr>
        <w:t>b</w:t>
      </w:r>
      <w:r w:rsidR="00233D3A" w:rsidRPr="00D44D33">
        <w:rPr>
          <w:rFonts w:ascii="Times New Roman" w:eastAsiaTheme="minorEastAsia" w:hAnsi="Times New Roman" w:cs="Times New Roman"/>
          <w:sz w:val="24"/>
          <w:szCs w:val="24"/>
        </w:rPr>
        <w:t>ę</w:t>
      </w:r>
      <w:r w:rsidR="00DA409C" w:rsidRPr="00D44D33">
        <w:rPr>
          <w:rFonts w:ascii="Times New Roman" w:eastAsiaTheme="minorEastAsia" w:hAnsi="Times New Roman" w:cs="Times New Roman"/>
          <w:sz w:val="24"/>
          <w:szCs w:val="24"/>
        </w:rPr>
        <w:t>d</w:t>
      </w:r>
      <w:r w:rsidR="00233D3A" w:rsidRPr="00D44D33">
        <w:rPr>
          <w:rFonts w:ascii="Times New Roman" w:eastAsiaTheme="minorEastAsia" w:hAnsi="Times New Roman" w:cs="Times New Roman"/>
          <w:sz w:val="24"/>
          <w:szCs w:val="24"/>
        </w:rPr>
        <w:t>zi</w:t>
      </w:r>
      <w:r w:rsidR="00DA409C"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DA409C" w:rsidRPr="00D44D33">
        <w:rPr>
          <w:rFonts w:ascii="Times New Roman" w:eastAsiaTheme="minorEastAsia" w:hAnsi="Times New Roman" w:cs="Times New Roman"/>
          <w:sz w:val="24"/>
          <w:szCs w:val="24"/>
        </w:rPr>
        <w:t>dochodem</w:t>
      </w:r>
      <w:r w:rsidR="00970B2E" w:rsidRPr="00D44D33">
        <w:rPr>
          <w:rFonts w:ascii="Times New Roman" w:eastAsiaTheme="minorEastAsia" w:hAnsi="Times New Roman" w:cs="Times New Roman"/>
          <w:sz w:val="24"/>
          <w:szCs w:val="24"/>
        </w:rPr>
        <w:t xml:space="preserve"> </w:t>
      </w:r>
      <w:r w:rsidR="0096042F" w:rsidRPr="00D44D33">
        <w:rPr>
          <w:rFonts w:ascii="Times New Roman" w:eastAsiaTheme="minorEastAsia" w:hAnsi="Times New Roman" w:cs="Times New Roman"/>
          <w:sz w:val="24"/>
          <w:szCs w:val="24"/>
        </w:rPr>
        <w:t>budżetu</w:t>
      </w:r>
      <w:r w:rsidR="00970B2E" w:rsidRPr="00D44D33">
        <w:rPr>
          <w:rFonts w:ascii="Times New Roman" w:eastAsiaTheme="minorEastAsia" w:hAnsi="Times New Roman" w:cs="Times New Roman"/>
          <w:sz w:val="24"/>
          <w:szCs w:val="24"/>
        </w:rPr>
        <w:t xml:space="preserve"> </w:t>
      </w:r>
      <w:r w:rsidR="0096042F"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31</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p</w:t>
      </w:r>
      <w:r w:rsidR="005F59CF" w:rsidRPr="00D44D33">
        <w:rPr>
          <w:rFonts w:ascii="Times New Roman" w:eastAsiaTheme="minorEastAsia" w:hAnsi="Times New Roman" w:cs="Times New Roman"/>
          <w:sz w:val="24"/>
          <w:szCs w:val="24"/>
        </w:rPr>
        <w:t>o</w:t>
      </w:r>
      <w:r w:rsidR="007D09E9" w:rsidRPr="00D44D33">
        <w:rPr>
          <w:rFonts w:ascii="Times New Roman" w:eastAsiaTheme="minorEastAsia" w:hAnsi="Times New Roman" w:cs="Times New Roman"/>
          <w:sz w:val="24"/>
          <w:szCs w:val="24"/>
        </w:rPr>
        <w:t>informować</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kolejnym</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007D09E9" w:rsidRPr="00D44D33">
        <w:rPr>
          <w:rFonts w:ascii="Times New Roman" w:eastAsiaTheme="minorEastAsia" w:hAnsi="Times New Roman" w:cs="Times New Roman"/>
          <w:sz w:val="24"/>
          <w:szCs w:val="24"/>
        </w:rPr>
        <w:t>kalendarzowym.</w:t>
      </w:r>
    </w:p>
    <w:p w14:paraId="411554E9" w14:textId="36889394" w:rsidR="00783F82" w:rsidRPr="00D44D33" w:rsidRDefault="00783F8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5747C8" w:rsidRPr="00D44D33">
        <w:rPr>
          <w:rFonts w:ascii="Times New Roman" w:eastAsiaTheme="minorEastAsia" w:hAnsi="Times New Roman" w:cs="Times New Roman"/>
          <w:b/>
          <w:bCs/>
          <w:sz w:val="24"/>
          <w:szCs w:val="24"/>
        </w:rPr>
        <w:t>84</w:t>
      </w:r>
    </w:p>
    <w:p w14:paraId="6A674DE0" w14:textId="270471D7" w:rsidR="009E045C" w:rsidRPr="00D44D33" w:rsidRDefault="009E045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w:t>
      </w:r>
      <w:r w:rsidR="00783F82" w:rsidRPr="00D44D33">
        <w:rPr>
          <w:rFonts w:ascii="Times New Roman" w:eastAsiaTheme="minorEastAsia" w:hAnsi="Times New Roman" w:cs="Times New Roman"/>
          <w:sz w:val="24"/>
          <w:szCs w:val="24"/>
        </w:rPr>
        <w:t>rojektowany</w:t>
      </w:r>
      <w:r w:rsidR="00970B2E" w:rsidRPr="00D44D33">
        <w:rPr>
          <w:rFonts w:ascii="Times New Roman" w:eastAsiaTheme="minorEastAsia" w:hAnsi="Times New Roman" w:cs="Times New Roman"/>
          <w:b/>
          <w:bCs/>
          <w:sz w:val="24"/>
          <w:szCs w:val="24"/>
        </w:rPr>
        <w:t xml:space="preserve"> </w:t>
      </w:r>
      <w:r w:rsidR="00783F8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kompetencyjnym,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wskazującym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zróżnicowanych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rozstrzygnięć</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rozpatrywania</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spornych</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Prezes</w:t>
      </w:r>
      <w:r w:rsidR="00F70349"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UKE</w:t>
      </w:r>
      <w:r w:rsidR="00F7034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F7034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załatwiając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311E70" w:rsidRPr="00D44D33">
        <w:rPr>
          <w:rFonts w:ascii="Times New Roman" w:eastAsiaTheme="minorEastAsia" w:hAnsi="Times New Roman" w:cs="Times New Roman"/>
          <w:sz w:val="24"/>
          <w:szCs w:val="24"/>
        </w:rPr>
        <w:t>:</w:t>
      </w:r>
    </w:p>
    <w:p w14:paraId="18238569" w14:textId="70900DA2" w:rsidR="009E045C" w:rsidRPr="00D44D33" w:rsidRDefault="00340477" w:rsidP="00D44D33">
      <w:pPr>
        <w:pStyle w:val="Akapitzlist"/>
        <w:numPr>
          <w:ilvl w:val="0"/>
          <w:numId w:val="8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lastRenderedPageBreak/>
        <w:t>określając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zastępującego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w:t>
      </w:r>
      <w:r w:rsidR="00311E70" w:rsidRPr="00D44D33">
        <w:rPr>
          <w:rFonts w:ascii="Times New Roman" w:eastAsiaTheme="minorEastAsia" w:hAnsi="Times New Roman" w:cs="Times New Roman"/>
          <w:sz w:val="24"/>
          <w:szCs w:val="24"/>
        </w:rPr>
        <w:t>,</w:t>
      </w:r>
    </w:p>
    <w:p w14:paraId="25C1CA5D" w14:textId="00C7675D" w:rsidR="009E045C" w:rsidRPr="00D44D33" w:rsidRDefault="00783F82" w:rsidP="00D44D33">
      <w:pPr>
        <w:pStyle w:val="Akapitzlist"/>
        <w:numPr>
          <w:ilvl w:val="0"/>
          <w:numId w:val="8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zmieni</w:t>
      </w:r>
      <w:r w:rsidR="00311E70" w:rsidRPr="00D44D33">
        <w:rPr>
          <w:rFonts w:ascii="Times New Roman" w:eastAsiaTheme="minorEastAsia" w:hAnsi="Times New Roman" w:cs="Times New Roman"/>
          <w:sz w:val="24"/>
          <w:szCs w:val="24"/>
        </w:rPr>
        <w:t>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wydaną</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2</w:t>
      </w:r>
      <w:r w:rsidRPr="00D44D33">
        <w:rPr>
          <w:rFonts w:ascii="Times New Roman" w:eastAsiaTheme="minorEastAsia" w:hAnsi="Times New Roman" w:cs="Times New Roman"/>
          <w:sz w:val="24"/>
          <w:szCs w:val="24"/>
        </w:rPr>
        <w:t>)</w:t>
      </w:r>
      <w:r w:rsidR="00311E70" w:rsidRPr="00D44D33">
        <w:rPr>
          <w:rFonts w:ascii="Times New Roman" w:eastAsiaTheme="minorEastAsia" w:hAnsi="Times New Roman" w:cs="Times New Roman"/>
          <w:sz w:val="24"/>
          <w:szCs w:val="24"/>
        </w:rPr>
        <w:t>,</w:t>
      </w:r>
    </w:p>
    <w:p w14:paraId="167D14A0" w14:textId="130A039B" w:rsidR="009E045C" w:rsidRPr="00D44D33" w:rsidRDefault="00783F82" w:rsidP="00D44D33">
      <w:pPr>
        <w:pStyle w:val="Akapitzlist"/>
        <w:numPr>
          <w:ilvl w:val="0"/>
          <w:numId w:val="8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zobowiąz</w:t>
      </w:r>
      <w:r w:rsidR="00311E70" w:rsidRPr="00D44D33">
        <w:rPr>
          <w:rFonts w:ascii="Times New Roman" w:eastAsiaTheme="minorEastAsia" w:hAnsi="Times New Roman" w:cs="Times New Roman"/>
          <w:sz w:val="24"/>
          <w:szCs w:val="24"/>
        </w:rPr>
        <w:t>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3</w:t>
      </w:r>
      <w:r w:rsidRPr="00D44D33">
        <w:rPr>
          <w:rFonts w:ascii="Times New Roman" w:eastAsiaTheme="minorEastAsia" w:hAnsi="Times New Roman" w:cs="Times New Roman"/>
          <w:sz w:val="24"/>
          <w:szCs w:val="24"/>
        </w:rPr>
        <w:t>)</w:t>
      </w:r>
      <w:r w:rsidR="00311E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578CF280" w14:textId="023900E4" w:rsidR="009E045C" w:rsidRPr="00D44D33" w:rsidRDefault="00783F82" w:rsidP="00D44D33">
      <w:pPr>
        <w:pStyle w:val="Akapitzlist"/>
        <w:numPr>
          <w:ilvl w:val="0"/>
          <w:numId w:val="89"/>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rozwiąz</w:t>
      </w:r>
      <w:r w:rsidR="00311E70" w:rsidRPr="00D44D33">
        <w:rPr>
          <w:rFonts w:ascii="Times New Roman" w:eastAsiaTheme="minorEastAsia" w:hAnsi="Times New Roman" w:cs="Times New Roman"/>
          <w:sz w:val="24"/>
          <w:szCs w:val="24"/>
        </w:rPr>
        <w:t>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553FF110" w14:textId="6B3A03CC" w:rsidR="00FC7346"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i/>
          <w:iCs/>
          <w:sz w:val="24"/>
          <w:szCs w:val="24"/>
        </w:rPr>
        <w:t>in</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fine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sz w:val="24"/>
          <w:szCs w:val="24"/>
        </w:rPr>
        <w:t>wyznacza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granice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47C8" w:rsidRPr="00D44D33">
        <w:rPr>
          <w:rFonts w:ascii="Times New Roman" w:eastAsiaTheme="minorEastAsia" w:hAnsi="Times New Roman" w:cs="Times New Roman"/>
          <w:sz w:val="24"/>
          <w:szCs w:val="24"/>
        </w:rPr>
        <w:t>407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2</w:t>
      </w:r>
      <w:r w:rsidR="00311E70" w:rsidRPr="00D44D33">
        <w:rPr>
          <w:rFonts w:ascii="Times New Roman" w:eastAsiaTheme="minorEastAsia" w:hAnsi="Times New Roman" w:cs="Times New Roman"/>
          <w:sz w:val="24"/>
          <w:szCs w:val="24"/>
        </w:rPr>
        <w:t xml:space="preserve"> Pke</w:t>
      </w:r>
      <w:r w:rsidR="00570EC0" w:rsidRPr="00D44D33">
        <w:rPr>
          <w:rFonts w:ascii="Times New Roman" w:eastAsiaTheme="minorEastAsia" w:hAnsi="Times New Roman" w:cs="Times New Roman"/>
          <w:sz w:val="24"/>
          <w:szCs w:val="24"/>
        </w:rPr>
        <w:t>.</w:t>
      </w:r>
    </w:p>
    <w:p w14:paraId="110FE77B" w14:textId="5401F617" w:rsidR="00FC7346" w:rsidRPr="00D44D33" w:rsidRDefault="00FC734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311E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p>
    <w:p w14:paraId="2A30060B" w14:textId="17C719C1" w:rsidR="00570EC0" w:rsidRPr="00D44D33" w:rsidRDefault="00FC734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p>
    <w:p w14:paraId="0F649BDB" w14:textId="5094EDA0" w:rsidR="00783F82" w:rsidRPr="00D44D33" w:rsidRDefault="005133C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FC7346"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00FC7346"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00FC734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C7346"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uniknąć</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problemów</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pojawiających</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aktualnych</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strona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wniesie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przestanie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obowiązywać,</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umorzyć</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przedmiotu,</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mogłaby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zmieniona.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często</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negatywne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konsekwencje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korzystającej</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usunąć</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infrastrukturę</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zaprzestać</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Zaproponowan</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redakcja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C7346"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zastępującej</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zamiast</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zmieniającej</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umowę</w:t>
      </w:r>
      <w:r w:rsidR="00986D8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wyeliminuje</w:t>
      </w:r>
      <w:r w:rsidR="00311E70" w:rsidRPr="00D44D33">
        <w:rPr>
          <w:rFonts w:ascii="Times New Roman" w:eastAsiaTheme="minorEastAsia" w:hAnsi="Times New Roman" w:cs="Times New Roman"/>
          <w:sz w:val="24"/>
          <w:szCs w:val="24"/>
        </w:rPr>
        <w:t xml:space="preserve"> więc</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negatywn</w:t>
      </w:r>
      <w:r w:rsidR="00311E70"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33710D" w:rsidRPr="00D44D33">
        <w:rPr>
          <w:rFonts w:ascii="Times New Roman" w:eastAsiaTheme="minorEastAsia" w:hAnsi="Times New Roman" w:cs="Times New Roman"/>
          <w:sz w:val="24"/>
          <w:szCs w:val="24"/>
        </w:rPr>
        <w:t>konsekwencj</w:t>
      </w:r>
      <w:r w:rsidR="00311E70" w:rsidRPr="00D44D33">
        <w:rPr>
          <w:rFonts w:ascii="Times New Roman" w:eastAsiaTheme="minorEastAsia" w:hAnsi="Times New Roman" w:cs="Times New Roman"/>
          <w:sz w:val="24"/>
          <w:szCs w:val="24"/>
        </w:rPr>
        <w:t>e</w:t>
      </w:r>
      <w:r w:rsidR="0033710D" w:rsidRPr="00D44D33">
        <w:rPr>
          <w:rFonts w:ascii="Times New Roman" w:eastAsiaTheme="minorEastAsia" w:hAnsi="Times New Roman" w:cs="Times New Roman"/>
          <w:sz w:val="24"/>
          <w:szCs w:val="24"/>
        </w:rPr>
        <w:t>.</w:t>
      </w:r>
    </w:p>
    <w:p w14:paraId="21BBDB74" w14:textId="52E5A771" w:rsidR="00672785" w:rsidRPr="00D44D33" w:rsidRDefault="00783F8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5747C8" w:rsidRPr="00D44D33">
        <w:rPr>
          <w:rFonts w:ascii="Times New Roman" w:eastAsiaTheme="minorEastAsia" w:hAnsi="Times New Roman" w:cs="Times New Roman"/>
          <w:b/>
          <w:bCs/>
          <w:sz w:val="24"/>
          <w:szCs w:val="24"/>
        </w:rPr>
        <w:t>85</w:t>
      </w:r>
    </w:p>
    <w:p w14:paraId="3EDEC223" w14:textId="294D6B2C" w:rsidR="00672785"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myśl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47C8" w:rsidRPr="00D44D33">
        <w:rPr>
          <w:rFonts w:ascii="Times New Roman" w:eastAsiaTheme="minorEastAsia" w:hAnsi="Times New Roman" w:cs="Times New Roman"/>
          <w:sz w:val="24"/>
          <w:szCs w:val="24"/>
        </w:rPr>
        <w:t>185</w:t>
      </w:r>
      <w:r w:rsidR="00970B2E" w:rsidRPr="00D44D33">
        <w:rPr>
          <w:rFonts w:ascii="Times New Roman" w:eastAsiaTheme="minorEastAsia" w:hAnsi="Times New Roman" w:cs="Times New Roman"/>
          <w:sz w:val="24"/>
          <w:szCs w:val="24"/>
        </w:rPr>
        <w:t xml:space="preserve"> </w:t>
      </w:r>
      <w:r w:rsidR="00EC12C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C12C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stronę</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dostępowe</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symetryczne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67278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d</w:t>
      </w:r>
      <w:r w:rsidR="00672785" w:rsidRPr="00D44D33">
        <w:rPr>
          <w:rFonts w:ascii="Times New Roman" w:eastAsiaTheme="minorEastAsia" w:hAnsi="Times New Roman" w:cs="Times New Roman"/>
          <w:sz w:val="24"/>
          <w:szCs w:val="24"/>
        </w:rPr>
        <w:t>ziale</w:t>
      </w:r>
      <w:r w:rsidR="00970B2E" w:rsidRPr="00D44D33">
        <w:rPr>
          <w:rFonts w:ascii="Times New Roman" w:eastAsiaTheme="minorEastAsia" w:hAnsi="Times New Roman" w:cs="Times New Roman"/>
          <w:sz w:val="24"/>
          <w:szCs w:val="24"/>
        </w:rPr>
        <w:t xml:space="preserve"> </w:t>
      </w:r>
      <w:r w:rsidR="00672785"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r</w:t>
      </w:r>
      <w:r w:rsidR="00672785" w:rsidRPr="00D44D33">
        <w:rPr>
          <w:rFonts w:ascii="Times New Roman" w:eastAsiaTheme="minorEastAsia" w:hAnsi="Times New Roman" w:cs="Times New Roman"/>
          <w:sz w:val="24"/>
          <w:szCs w:val="24"/>
        </w:rPr>
        <w:t>ozdziale</w:t>
      </w:r>
      <w:r w:rsidR="00970B2E" w:rsidRPr="00D44D33">
        <w:rPr>
          <w:rFonts w:ascii="Times New Roman" w:eastAsiaTheme="minorEastAsia" w:hAnsi="Times New Roman" w:cs="Times New Roman"/>
          <w:sz w:val="24"/>
          <w:szCs w:val="24"/>
        </w:rPr>
        <w:t xml:space="preserve"> </w:t>
      </w:r>
      <w:r w:rsidR="005133C5" w:rsidRPr="00D44D33">
        <w:rPr>
          <w:rFonts w:ascii="Times New Roman" w:eastAsiaTheme="minorEastAsia" w:hAnsi="Times New Roman" w:cs="Times New Roman"/>
          <w:sz w:val="24"/>
          <w:szCs w:val="24"/>
        </w:rPr>
        <w:t>2</w:t>
      </w:r>
      <w:r w:rsidR="0067278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47C8" w:rsidRPr="00D44D33">
        <w:rPr>
          <w:rFonts w:ascii="Times New Roman" w:eastAsiaTheme="minorEastAsia" w:hAnsi="Times New Roman" w:cs="Times New Roman"/>
          <w:sz w:val="24"/>
          <w:szCs w:val="24"/>
        </w:rPr>
        <w:t>216</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przeprowadzono</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47C8" w:rsidRPr="00D44D33">
        <w:rPr>
          <w:rFonts w:ascii="Times New Roman" w:eastAsiaTheme="minorEastAsia" w:hAnsi="Times New Roman" w:cs="Times New Roman"/>
          <w:sz w:val="24"/>
          <w:szCs w:val="24"/>
        </w:rPr>
        <w:t>217</w:t>
      </w:r>
      <w:r w:rsidR="002C64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należne</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temu</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stosując</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2C64F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47C8" w:rsidRPr="00D44D33">
        <w:rPr>
          <w:rFonts w:ascii="Times New Roman" w:eastAsiaTheme="minorEastAsia" w:hAnsi="Times New Roman" w:cs="Times New Roman"/>
          <w:sz w:val="24"/>
          <w:szCs w:val="24"/>
        </w:rPr>
        <w:t>217</w:t>
      </w:r>
      <w:r w:rsidR="00EC12CE" w:rsidRPr="00D44D33">
        <w:rPr>
          <w:rFonts w:ascii="Times New Roman" w:eastAsiaTheme="minorEastAsia" w:hAnsi="Times New Roman" w:cs="Times New Roman"/>
          <w:sz w:val="24"/>
          <w:szCs w:val="24"/>
        </w:rPr>
        <w:t>.</w:t>
      </w:r>
    </w:p>
    <w:p w14:paraId="02CAA01F" w14:textId="0795349F" w:rsidR="00672785" w:rsidRPr="00D44D33" w:rsidRDefault="0067278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9D4B40" w:rsidRPr="00D44D33">
        <w:rPr>
          <w:rFonts w:ascii="Times New Roman" w:eastAsiaTheme="minorEastAsia" w:hAnsi="Times New Roman" w:cs="Times New Roman"/>
          <w:b/>
          <w:bCs/>
          <w:sz w:val="24"/>
          <w:szCs w:val="24"/>
        </w:rPr>
        <w:t>86</w:t>
      </w:r>
    </w:p>
    <w:p w14:paraId="326D6BDA" w14:textId="5DC71ED5" w:rsidR="00783F82" w:rsidRPr="00D44D33" w:rsidRDefault="0067278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w:t>
      </w:r>
      <w:r w:rsidR="00AA371D"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warunki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geograficzny</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86</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w:t>
      </w:r>
      <w:r w:rsidR="00986D8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w:t>
      </w:r>
      <w:r w:rsidR="00F34C6D" w:rsidRPr="00D44D33">
        <w:rPr>
          <w:rFonts w:ascii="Times New Roman" w:eastAsiaTheme="minorEastAsia" w:hAnsi="Times New Roman" w:cs="Times New Roman"/>
          <w:sz w:val="24"/>
          <w:szCs w:val="24"/>
        </w:rPr>
        <w:t>orcjonalny</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niedyskryminacyjny</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1</w:t>
      </w:r>
      <w:r w:rsidR="005747C8" w:rsidRPr="00D44D33">
        <w:rPr>
          <w:rFonts w:ascii="Times New Roman" w:eastAsiaTheme="minorEastAsia" w:hAnsi="Times New Roman" w:cs="Times New Roman"/>
          <w:sz w:val="24"/>
          <w:szCs w:val="24"/>
        </w:rPr>
        <w:t>86</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współużytkowania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częstotliwości,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009A781D"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9A781D"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przegląd</w:t>
      </w:r>
      <w:r w:rsidR="009A781D" w:rsidRPr="00D44D33">
        <w:rPr>
          <w:rFonts w:ascii="Times New Roman" w:eastAsiaTheme="minorEastAsia" w:hAnsi="Times New Roman" w:cs="Times New Roman"/>
          <w:sz w:val="24"/>
          <w:szCs w:val="24"/>
        </w:rPr>
        <w:t>u</w:t>
      </w:r>
      <w:r w:rsidR="00F34C6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47C8" w:rsidRPr="00D44D33">
        <w:rPr>
          <w:rFonts w:ascii="Times New Roman" w:eastAsiaTheme="minorEastAsia" w:hAnsi="Times New Roman" w:cs="Times New Roman"/>
          <w:sz w:val="24"/>
          <w:szCs w:val="24"/>
        </w:rPr>
        <w:t>182</w:t>
      </w:r>
      <w:r w:rsidR="00F34C6D" w:rsidRPr="00D44D33">
        <w:rPr>
          <w:rFonts w:ascii="Times New Roman" w:eastAsiaTheme="minorEastAsia" w:hAnsi="Times New Roman" w:cs="Times New Roman"/>
          <w:sz w:val="24"/>
          <w:szCs w:val="24"/>
        </w:rPr>
        <w:t>.</w:t>
      </w:r>
    </w:p>
    <w:p w14:paraId="2ACF5294" w14:textId="3AF6AC31" w:rsidR="00672785" w:rsidRPr="00D44D33" w:rsidRDefault="0067278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9D4B40" w:rsidRPr="00D44D33">
        <w:rPr>
          <w:rFonts w:ascii="Times New Roman" w:eastAsiaTheme="minorEastAsia" w:hAnsi="Times New Roman" w:cs="Times New Roman"/>
          <w:b/>
          <w:bCs/>
          <w:sz w:val="24"/>
          <w:szCs w:val="24"/>
        </w:rPr>
        <w:t>87</w:t>
      </w:r>
    </w:p>
    <w:p w14:paraId="6E9FD413" w14:textId="1A155240" w:rsidR="00F34C6D" w:rsidRPr="00D44D33" w:rsidRDefault="00AA371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D4B40" w:rsidRPr="00D44D33">
        <w:rPr>
          <w:rFonts w:ascii="Times New Roman" w:eastAsiaTheme="minorEastAsia" w:hAnsi="Times New Roman" w:cs="Times New Roman"/>
          <w:sz w:val="24"/>
          <w:szCs w:val="24"/>
        </w:rPr>
        <w:t>87</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kompetencyjnym,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wydawanej</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D102E"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rozstrzygającą</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spór</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34C6D"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uzasadnionych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potrzebą</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zgodne</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obowiązkami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nałożonymi</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83F82" w:rsidRPr="00D44D33">
        <w:rPr>
          <w:rFonts w:ascii="Times New Roman" w:eastAsiaTheme="minorEastAsia" w:hAnsi="Times New Roman" w:cs="Times New Roman"/>
          <w:sz w:val="24"/>
          <w:szCs w:val="24"/>
        </w:rPr>
        <w:t>strony.</w:t>
      </w:r>
    </w:p>
    <w:p w14:paraId="0497D4B7" w14:textId="04F4F512" w:rsidR="00783F82" w:rsidRPr="00D44D33" w:rsidRDefault="00F34C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9D4B40" w:rsidRPr="00D44D33">
        <w:rPr>
          <w:rFonts w:ascii="Times New Roman" w:eastAsiaTheme="minorEastAsia" w:hAnsi="Times New Roman" w:cs="Times New Roman"/>
          <w:b/>
          <w:bCs/>
          <w:sz w:val="24"/>
          <w:szCs w:val="24"/>
        </w:rPr>
        <w:t>88</w:t>
      </w:r>
    </w:p>
    <w:p w14:paraId="4FC8350A" w14:textId="376460D0" w:rsidR="00783F82" w:rsidRPr="00D44D33" w:rsidRDefault="131B29E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Skutek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640064C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40064C3"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43796B6" w:rsidRPr="00D44D33">
        <w:rPr>
          <w:rFonts w:ascii="Times New Roman" w:eastAsiaTheme="minorEastAsia" w:hAnsi="Times New Roman" w:cs="Times New Roman"/>
          <w:sz w:val="24"/>
          <w:szCs w:val="24"/>
        </w:rPr>
        <w:t>1</w:t>
      </w:r>
      <w:r w:rsidR="009D4B40" w:rsidRPr="00D44D33">
        <w:rPr>
          <w:rFonts w:ascii="Times New Roman" w:eastAsiaTheme="minorEastAsia" w:hAnsi="Times New Roman" w:cs="Times New Roman"/>
          <w:sz w:val="24"/>
          <w:szCs w:val="24"/>
        </w:rPr>
        <w:t>88</w:t>
      </w:r>
      <w:r w:rsidR="5A86444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143796B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3BFF4F47"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143796B6" w:rsidRPr="00D44D33">
        <w:rPr>
          <w:rFonts w:ascii="Times New Roman" w:eastAsiaTheme="minorEastAsia" w:hAnsi="Times New Roman" w:cs="Times New Roman"/>
          <w:sz w:val="24"/>
          <w:szCs w:val="24"/>
        </w:rPr>
        <w:t>wydawane</w:t>
      </w:r>
      <w:r w:rsidR="00970B2E" w:rsidRPr="00D44D33">
        <w:rPr>
          <w:rFonts w:ascii="Times New Roman" w:eastAsiaTheme="minorEastAsia" w:hAnsi="Times New Roman" w:cs="Times New Roman"/>
          <w:sz w:val="24"/>
          <w:szCs w:val="24"/>
        </w:rPr>
        <w:t xml:space="preserve"> </w:t>
      </w:r>
      <w:r w:rsidR="143796B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43796B6"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640064C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40064C3" w:rsidRPr="00D44D33">
        <w:rPr>
          <w:rFonts w:ascii="Times New Roman" w:eastAsiaTheme="minorEastAsia" w:hAnsi="Times New Roman" w:cs="Times New Roman"/>
          <w:sz w:val="24"/>
          <w:szCs w:val="24"/>
        </w:rPr>
        <w:t>1</w:t>
      </w:r>
      <w:r w:rsidR="009D4B40" w:rsidRPr="00D44D33">
        <w:rPr>
          <w:rFonts w:ascii="Times New Roman" w:eastAsiaTheme="minorEastAsia" w:hAnsi="Times New Roman" w:cs="Times New Roman"/>
          <w:sz w:val="24"/>
          <w:szCs w:val="24"/>
        </w:rPr>
        <w:t>87</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wygasają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w:t>
      </w:r>
      <w:r w:rsidR="00986D8D"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986D8D"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w:t>
      </w:r>
      <w:r w:rsidR="00986D8D"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p>
    <w:p w14:paraId="4EA7A230" w14:textId="20E2EEFF" w:rsidR="00F34C6D" w:rsidRPr="00D44D33" w:rsidRDefault="00F34C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1</w:t>
      </w:r>
      <w:r w:rsidR="009D4B40" w:rsidRPr="00D44D33">
        <w:rPr>
          <w:rFonts w:ascii="Times New Roman" w:eastAsiaTheme="minorEastAsia" w:hAnsi="Times New Roman" w:cs="Times New Roman"/>
          <w:b/>
          <w:bCs/>
          <w:sz w:val="24"/>
          <w:szCs w:val="24"/>
        </w:rPr>
        <w:t>89</w:t>
      </w:r>
    </w:p>
    <w:p w14:paraId="1005F850" w14:textId="50D3EC98" w:rsidR="006D102E" w:rsidRPr="00D44D33" w:rsidRDefault="00783F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C35EF" w:rsidRPr="00D44D33">
        <w:rPr>
          <w:rFonts w:ascii="Times New Roman" w:eastAsiaTheme="minorEastAsia" w:hAnsi="Times New Roman" w:cs="Times New Roman"/>
          <w:sz w:val="24"/>
          <w:szCs w:val="24"/>
        </w:rPr>
        <w:t>1</w:t>
      </w:r>
      <w:r w:rsidR="009D4B40" w:rsidRPr="00D44D33">
        <w:rPr>
          <w:rFonts w:ascii="Times New Roman" w:eastAsiaTheme="minorEastAsia" w:hAnsi="Times New Roman" w:cs="Times New Roman"/>
          <w:sz w:val="24"/>
          <w:szCs w:val="24"/>
        </w:rPr>
        <w:t>89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dochodzenia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ewentualny</w:t>
      </w:r>
      <w:r w:rsidR="00EB16C7"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nienależ</w:t>
      </w:r>
      <w:r w:rsidR="00B07C01" w:rsidRPr="00D44D33">
        <w:rPr>
          <w:rFonts w:ascii="Times New Roman" w:eastAsiaTheme="minorEastAsia" w:hAnsi="Times New Roman" w:cs="Times New Roman"/>
          <w:sz w:val="24"/>
          <w:szCs w:val="24"/>
        </w:rPr>
        <w:t>yt</w:t>
      </w:r>
      <w:r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bezskuteczna.</w:t>
      </w:r>
    </w:p>
    <w:p w14:paraId="5013C59E" w14:textId="02456801" w:rsidR="00DE19F2" w:rsidRPr="00D44D33" w:rsidRDefault="002E353C"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1</w:t>
      </w:r>
      <w:r w:rsidR="009D4B40" w:rsidRPr="00D44D33">
        <w:rPr>
          <w:rFonts w:ascii="Times New Roman" w:eastAsiaTheme="minorEastAsia" w:hAnsi="Times New Roman" w:cs="Times New Roman"/>
          <w:b/>
          <w:sz w:val="24"/>
          <w:szCs w:val="24"/>
        </w:rPr>
        <w:t>90</w:t>
      </w:r>
    </w:p>
    <w:p w14:paraId="21910CDA" w14:textId="28E3A577" w:rsidR="002E353C" w:rsidRPr="00D44D33" w:rsidRDefault="006D102E"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d</w:t>
      </w:r>
      <w:r w:rsidRPr="00D44D33">
        <w:rPr>
          <w:rFonts w:ascii="Times New Roman" w:eastAsiaTheme="minorEastAsia" w:hAnsi="Times New Roman" w:cs="Times New Roman"/>
          <w:sz w:val="24"/>
          <w:szCs w:val="24"/>
        </w:rPr>
        <w:t>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III</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ozdziału</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za</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członkowskiego.</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oczywistych</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względów</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pewne</w:t>
      </w:r>
      <w:r w:rsidR="00970B2E" w:rsidRPr="00D44D33">
        <w:rPr>
          <w:rFonts w:ascii="Times New Roman" w:eastAsiaTheme="minorEastAsia" w:hAnsi="Times New Roman" w:cs="Times New Roman"/>
          <w:sz w:val="24"/>
          <w:szCs w:val="24"/>
        </w:rPr>
        <w:t xml:space="preserve"> </w:t>
      </w:r>
      <w:r w:rsidR="00FF7A7A" w:rsidRPr="00D44D33">
        <w:rPr>
          <w:rFonts w:ascii="Times New Roman" w:eastAsiaTheme="minorEastAsia" w:hAnsi="Times New Roman" w:cs="Times New Roman"/>
          <w:sz w:val="24"/>
          <w:szCs w:val="24"/>
        </w:rPr>
        <w:t>odmienności.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Transponując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0063735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3735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D4B40" w:rsidRPr="00D44D33">
        <w:rPr>
          <w:rFonts w:ascii="Times New Roman" w:eastAsiaTheme="minorEastAsia" w:hAnsi="Times New Roman" w:cs="Times New Roman"/>
          <w:sz w:val="24"/>
          <w:szCs w:val="24"/>
        </w:rPr>
        <w:t>90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C44113" w:rsidRPr="00D44D33">
        <w:rPr>
          <w:rFonts w:ascii="Times New Roman" w:eastAsiaTheme="minorEastAsia" w:hAnsi="Times New Roman" w:cs="Times New Roman"/>
          <w:sz w:val="24"/>
          <w:szCs w:val="24"/>
        </w:rPr>
        <w:t>głoszenia</w:t>
      </w:r>
      <w:r w:rsidR="00970B2E" w:rsidRPr="00D44D33">
        <w:rPr>
          <w:rFonts w:ascii="Times New Roman" w:eastAsiaTheme="minorEastAsia" w:hAnsi="Times New Roman" w:cs="Times New Roman"/>
          <w:sz w:val="24"/>
          <w:szCs w:val="24"/>
        </w:rPr>
        <w:t xml:space="preserve"> </w:t>
      </w:r>
      <w:r w:rsidR="00C44113"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00C44113"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C44113"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C44113" w:rsidRPr="00D44D33">
        <w:rPr>
          <w:rFonts w:ascii="Times New Roman" w:eastAsiaTheme="minorEastAsia" w:hAnsi="Times New Roman" w:cs="Times New Roman"/>
          <w:sz w:val="24"/>
          <w:szCs w:val="24"/>
        </w:rPr>
        <w:t>U</w:t>
      </w:r>
      <w:r w:rsidRPr="00D44D33">
        <w:rPr>
          <w:rFonts w:ascii="Times New Roman" w:eastAsiaTheme="minorEastAsia" w:hAnsi="Times New Roman" w:cs="Times New Roman"/>
          <w:sz w:val="24"/>
          <w:szCs w:val="24"/>
        </w:rPr>
        <w:t>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63735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37357"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wraz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przedstawieniem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stanu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faktycznego,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doprowadzenia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spójnego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rozstrzygnięcia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sporu</w:t>
      </w:r>
      <w:r w:rsidR="00A34FA2"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sporu</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transgranicznego,</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choć</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wpływa</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on</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wymianę</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handlową</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między</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państwami</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członkowskimi,</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przeprowadza</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002E353C" w:rsidRPr="00D44D33">
        <w:rPr>
          <w:rFonts w:ascii="Times New Roman" w:hAnsi="Times New Roman" w:cs="Times New Roman"/>
          <w:sz w:val="24"/>
          <w:szCs w:val="24"/>
        </w:rPr>
        <w:t>konsolidacyjnego.</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23</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EKŁE</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konsultacji</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wyłączone</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m.in.</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sprawy</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określone</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27</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EKŁE,</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więc</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spory</w:t>
      </w:r>
      <w:r w:rsidR="00970B2E" w:rsidRPr="00D44D33">
        <w:rPr>
          <w:rFonts w:ascii="Times New Roman" w:hAnsi="Times New Roman" w:cs="Times New Roman"/>
          <w:sz w:val="24"/>
          <w:szCs w:val="24"/>
        </w:rPr>
        <w:t xml:space="preserve"> </w:t>
      </w:r>
      <w:r w:rsidR="00D14154" w:rsidRPr="00D44D33">
        <w:rPr>
          <w:rFonts w:ascii="Times New Roman" w:hAnsi="Times New Roman" w:cs="Times New Roman"/>
          <w:sz w:val="24"/>
          <w:szCs w:val="24"/>
        </w:rPr>
        <w:t>transgraniczne.</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konsekwencji</w:t>
      </w:r>
      <w:r w:rsidR="00D14154"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spory</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transgraniczne</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objęte</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postępowanie</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konsolidacyjnym</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34</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CC2145" w:rsidRPr="00D44D33">
        <w:rPr>
          <w:rFonts w:ascii="Times New Roman" w:hAnsi="Times New Roman" w:cs="Times New Roman"/>
          <w:sz w:val="24"/>
          <w:szCs w:val="24"/>
        </w:rPr>
        <w:t>EKŁE.</w:t>
      </w:r>
    </w:p>
    <w:p w14:paraId="54A6C17D" w14:textId="67DDC35A" w:rsidR="00021F24" w:rsidRPr="00D44D33" w:rsidRDefault="145AC114"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współpracy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BEREC</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względu</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konieczność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najwłaściwszego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najskuteczniejszego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rozstrzygnięcia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sporu,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spełniającego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cele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polityki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regulacyjnej,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9D4B40" w:rsidRPr="00D44D33">
        <w:rPr>
          <w:rFonts w:ascii="Times New Roman" w:hAnsi="Times New Roman" w:cs="Times New Roman"/>
          <w:sz w:val="24"/>
          <w:szCs w:val="24"/>
        </w:rPr>
        <w:t>407</w:t>
      </w:r>
      <w:r w:rsidR="00970B2E" w:rsidRPr="00D44D33">
        <w:rPr>
          <w:rFonts w:ascii="Times New Roman" w:hAnsi="Times New Roman" w:cs="Times New Roman"/>
          <w:sz w:val="24"/>
          <w:szCs w:val="24"/>
        </w:rPr>
        <w:t xml:space="preserve"> </w:t>
      </w:r>
      <w:r w:rsidR="43404BD5" w:rsidRPr="00D44D33">
        <w:rPr>
          <w:rFonts w:ascii="Times New Roman" w:hAnsi="Times New Roman" w:cs="Times New Roman"/>
          <w:sz w:val="24"/>
          <w:szCs w:val="24"/>
        </w:rPr>
        <w:t>Pke</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uwzględniając</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stanowiska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uczestników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sporu,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stanowi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przywołanego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przepisu.</w:t>
      </w:r>
      <w:r w:rsidR="00970B2E" w:rsidRPr="00D44D33">
        <w:rPr>
          <w:rFonts w:ascii="Times New Roman" w:hAnsi="Times New Roman" w:cs="Times New Roman"/>
          <w:sz w:val="24"/>
          <w:szCs w:val="24"/>
        </w:rPr>
        <w:t xml:space="preserve"> </w:t>
      </w:r>
    </w:p>
    <w:p w14:paraId="1C59BE64" w14:textId="597F1846" w:rsidR="00696205" w:rsidRPr="00D44D33" w:rsidRDefault="145AC114"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Natomiast</w:t>
      </w:r>
      <w:r w:rsidR="00970B2E" w:rsidRPr="00D44D33">
        <w:rPr>
          <w:rFonts w:ascii="Times New Roman" w:hAnsi="Times New Roman" w:cs="Times New Roman"/>
          <w:sz w:val="24"/>
          <w:szCs w:val="24"/>
        </w:rPr>
        <w:t xml:space="preserve"> </w:t>
      </w:r>
      <w:r w:rsidR="00EB16C7" w:rsidRPr="00D44D33">
        <w:rPr>
          <w:rFonts w:ascii="Times New Roman" w:hAnsi="Times New Roman" w:cs="Times New Roman"/>
          <w:sz w:val="24"/>
          <w:szCs w:val="24"/>
        </w:rPr>
        <w:t xml:space="preserve">przepis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wskazuje,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zobowiązany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rozstrzygnąć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spór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terminie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miesiąca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BEREC</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opinii,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wynika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wprost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27</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EKŁE.</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Przepisy</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EB16C7" w:rsidRPr="00D44D33">
        <w:rPr>
          <w:rFonts w:ascii="Times New Roman" w:hAnsi="Times New Roman" w:cs="Times New Roman"/>
          <w:sz w:val="24"/>
          <w:szCs w:val="24"/>
        </w:rPr>
        <w:t xml:space="preserve">Pke </w:t>
      </w:r>
      <w:r w:rsidR="00021F24" w:rsidRPr="00D44D33">
        <w:rPr>
          <w:rFonts w:ascii="Times New Roman" w:hAnsi="Times New Roman" w:cs="Times New Roman"/>
          <w:sz w:val="24"/>
          <w:szCs w:val="24"/>
        </w:rPr>
        <w:t>odnoszą</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także</w:t>
      </w:r>
      <w:r w:rsidR="00970B2E" w:rsidRPr="00D44D33">
        <w:rPr>
          <w:rFonts w:ascii="Times New Roman" w:hAnsi="Times New Roman" w:cs="Times New Roman"/>
          <w:sz w:val="24"/>
          <w:szCs w:val="24"/>
        </w:rPr>
        <w:t xml:space="preserve"> </w:t>
      </w:r>
      <w:r w:rsidR="00021F24"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sytuacj</w:t>
      </w:r>
      <w:r w:rsidR="00021F24" w:rsidRPr="00D44D33">
        <w:rPr>
          <w:rFonts w:ascii="Times New Roman" w:hAnsi="Times New Roman" w:cs="Times New Roman"/>
          <w:sz w:val="24"/>
          <w:szCs w:val="24"/>
        </w:rPr>
        <w:t>i</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BEREC</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przyczyn</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obiektywnych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subiektywnych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opinii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ciągu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miesięcy.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sytu</w:t>
      </w:r>
      <w:r w:rsidR="3B9067EF" w:rsidRPr="00D44D33">
        <w:rPr>
          <w:rFonts w:ascii="Times New Roman" w:hAnsi="Times New Roman" w:cs="Times New Roman"/>
          <w:sz w:val="24"/>
          <w:szCs w:val="24"/>
        </w:rPr>
        <w:t>acji</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wiąże</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termin</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pięcio</w:t>
      </w:r>
      <w:r w:rsidRPr="00D44D33">
        <w:rPr>
          <w:rFonts w:ascii="Times New Roman" w:hAnsi="Times New Roman" w:cs="Times New Roman"/>
          <w:sz w:val="24"/>
          <w:szCs w:val="24"/>
        </w:rPr>
        <w:t>miesięczny</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liczony</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3B9067EF"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nastąpiło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zgłoszenie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sporu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BEREC.</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Innymi</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słowy,</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zgłoszenia</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sporu</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transgranicznego</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powinien</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rozstrzygać</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sprawy</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przed</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przedstawieniem</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BEREC</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opinii,</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chyba</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została</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ona</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przekazana</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terminie</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miesięcy</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jej</w:t>
      </w:r>
      <w:r w:rsidR="00970B2E" w:rsidRPr="00D44D33">
        <w:rPr>
          <w:rFonts w:ascii="Times New Roman" w:hAnsi="Times New Roman" w:cs="Times New Roman"/>
          <w:sz w:val="24"/>
          <w:szCs w:val="24"/>
        </w:rPr>
        <w:t xml:space="preserve"> </w:t>
      </w:r>
      <w:r w:rsidR="1769B336" w:rsidRPr="00D44D33">
        <w:rPr>
          <w:rFonts w:ascii="Times New Roman" w:hAnsi="Times New Roman" w:cs="Times New Roman"/>
          <w:sz w:val="24"/>
          <w:szCs w:val="24"/>
        </w:rPr>
        <w:t>zgłoszenia.</w:t>
      </w:r>
    </w:p>
    <w:p w14:paraId="50678EA2" w14:textId="404F9B93" w:rsidR="00F21A8C" w:rsidRPr="00D44D33" w:rsidRDefault="724E20E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rPr>
        <w:t>R</w:t>
      </w:r>
      <w:r w:rsidR="00EB16C7" w:rsidRPr="00D44D33">
        <w:rPr>
          <w:rFonts w:ascii="Times New Roman" w:hAnsi="Times New Roman" w:cs="Times New Roman"/>
          <w:b/>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3</w:t>
      </w:r>
    </w:p>
    <w:p w14:paraId="39E9BDF9" w14:textId="49102BF8" w:rsidR="00A145BC" w:rsidRPr="00D44D33" w:rsidRDefault="724E20E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Decyzje</w:t>
      </w:r>
      <w:r w:rsidR="00970B2E" w:rsidRPr="00D44D33">
        <w:rPr>
          <w:rFonts w:ascii="Times New Roman" w:hAnsi="Times New Roman" w:cs="Times New Roman"/>
          <w:b/>
          <w:lang w:eastAsia="en-US"/>
        </w:rPr>
        <w:t xml:space="preserve"> </w:t>
      </w:r>
      <w:r w:rsidR="0F3571FE" w:rsidRPr="00D44D33">
        <w:rPr>
          <w:rFonts w:ascii="Times New Roman" w:hAnsi="Times New Roman" w:cs="Times New Roman"/>
          <w:b/>
          <w:lang w:eastAsia="en-US"/>
        </w:rPr>
        <w:t>obszarowe</w:t>
      </w:r>
      <w:r w:rsidR="00970B2E" w:rsidRPr="00D44D33">
        <w:rPr>
          <w:rFonts w:ascii="Times New Roman" w:hAnsi="Times New Roman" w:cs="Times New Roman"/>
          <w:b/>
          <w:lang w:eastAsia="en-US"/>
        </w:rPr>
        <w:t xml:space="preserve"> </w:t>
      </w:r>
      <w:r w:rsidR="08A719F6" w:rsidRPr="00D44D33">
        <w:rPr>
          <w:rFonts w:ascii="Times New Roman" w:hAnsi="Times New Roman" w:cs="Times New Roman"/>
          <w:b/>
          <w:lang w:eastAsia="en-US"/>
        </w:rPr>
        <w:t>w</w:t>
      </w:r>
      <w:r w:rsidR="00970B2E" w:rsidRPr="00D44D33">
        <w:rPr>
          <w:rFonts w:ascii="Times New Roman" w:hAnsi="Times New Roman" w:cs="Times New Roman"/>
          <w:b/>
          <w:lang w:eastAsia="en-US"/>
        </w:rPr>
        <w:t xml:space="preserve"> </w:t>
      </w:r>
      <w:r w:rsidR="08A719F6" w:rsidRPr="00D44D33">
        <w:rPr>
          <w:rFonts w:ascii="Times New Roman" w:hAnsi="Times New Roman" w:cs="Times New Roman"/>
          <w:b/>
          <w:lang w:eastAsia="en-US"/>
        </w:rPr>
        <w:t>zakresie</w:t>
      </w:r>
      <w:r w:rsidR="00970B2E" w:rsidRPr="00D44D33">
        <w:rPr>
          <w:rFonts w:ascii="Times New Roman" w:hAnsi="Times New Roman" w:cs="Times New Roman"/>
          <w:b/>
          <w:lang w:eastAsia="en-US"/>
        </w:rPr>
        <w:t xml:space="preserve"> </w:t>
      </w:r>
      <w:r w:rsidR="08A719F6" w:rsidRPr="00D44D33">
        <w:rPr>
          <w:rFonts w:ascii="Times New Roman" w:hAnsi="Times New Roman" w:cs="Times New Roman"/>
          <w:b/>
          <w:lang w:eastAsia="en-US"/>
        </w:rPr>
        <w:t>dostępu</w:t>
      </w:r>
      <w:r w:rsidR="00970B2E" w:rsidRPr="00D44D33">
        <w:rPr>
          <w:rFonts w:ascii="Times New Roman" w:hAnsi="Times New Roman" w:cs="Times New Roman"/>
          <w:b/>
          <w:lang w:eastAsia="en-US"/>
        </w:rPr>
        <w:t xml:space="preserve"> </w:t>
      </w:r>
      <w:r w:rsidR="08A719F6" w:rsidRPr="00D44D33">
        <w:rPr>
          <w:rFonts w:ascii="Times New Roman" w:hAnsi="Times New Roman" w:cs="Times New Roman"/>
          <w:b/>
          <w:lang w:eastAsia="en-US"/>
        </w:rPr>
        <w:t>telekomunikacyjnego</w:t>
      </w:r>
    </w:p>
    <w:p w14:paraId="5729C369" w14:textId="0CFA7247"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Specyfika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zaimplementowania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021F2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jednoczesne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największymi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wymusza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jednoczesnego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kablowej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kanalizacji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kabli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wielorodzinnych).</w:t>
      </w:r>
    </w:p>
    <w:p w14:paraId="783A77B2" w14:textId="59F841BE"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równoczesnego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00CB38C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7C0314" w:rsidRPr="00D44D33">
        <w:rPr>
          <w:rFonts w:ascii="Times New Roman" w:eastAsiaTheme="minorEastAsia" w:hAnsi="Times New Roman" w:cs="Times New Roman"/>
          <w:sz w:val="24"/>
          <w:szCs w:val="24"/>
        </w:rPr>
        <w:t xml:space="preserve">z dnia 7 maja 2010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7C0314" w:rsidRPr="00D44D33">
        <w:rPr>
          <w:rFonts w:ascii="Times New Roman" w:eastAsiaTheme="minorEastAsia" w:hAnsi="Times New Roman" w:cs="Times New Roman"/>
          <w:sz w:val="24"/>
          <w:szCs w:val="24"/>
        </w:rPr>
        <w:t xml:space="preserve"> usług i sieci 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przykładu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statusu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największych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model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znalazł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najszersze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ułatwia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zarzutu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dyskryminacji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p>
    <w:p w14:paraId="760EDEB9" w14:textId="09522FD8"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obszarowe</w:t>
      </w:r>
      <w:r w:rsidR="00EB16C7"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generalnym</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adresat</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generalny</w:t>
      </w:r>
      <w:r w:rsidR="00EB16C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indywidualny</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indywidulanej.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zarzutami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dyskryminacji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21F24" w:rsidRPr="00D44D33">
        <w:rPr>
          <w:rFonts w:ascii="Times New Roman" w:eastAsiaTheme="minorEastAsia" w:hAnsi="Times New Roman" w:cs="Times New Roman"/>
          <w:sz w:val="24"/>
          <w:szCs w:val="24"/>
        </w:rPr>
        <w:t>obszarowych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porównywalna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p>
    <w:p w14:paraId="3383512D" w14:textId="56EAC6E8" w:rsidR="00160A4D" w:rsidRPr="00D44D33" w:rsidRDefault="00160A4D" w:rsidP="00D44D33">
      <w:pPr>
        <w:spacing w:before="120" w:after="120" w:line="360" w:lineRule="auto"/>
        <w:jc w:val="center"/>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Zakres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spraw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regulowanych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drodze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decyzji</w:t>
      </w:r>
      <w:r w:rsidR="00970B2E" w:rsidRPr="00D44D33">
        <w:rPr>
          <w:rFonts w:ascii="Times New Roman" w:eastAsiaTheme="minorEastAsia" w:hAnsi="Times New Roman" w:cs="Times New Roman"/>
          <w:bCs/>
          <w:sz w:val="24"/>
          <w:szCs w:val="24"/>
        </w:rPr>
        <w:t xml:space="preserve"> </w:t>
      </w:r>
      <w:r w:rsidR="00021F24" w:rsidRPr="00D44D33">
        <w:rPr>
          <w:rFonts w:ascii="Times New Roman" w:eastAsiaTheme="minorEastAsia" w:hAnsi="Times New Roman" w:cs="Times New Roman"/>
          <w:bCs/>
          <w:sz w:val="24"/>
          <w:szCs w:val="24"/>
        </w:rPr>
        <w:t>obszarowych</w:t>
      </w:r>
    </w:p>
    <w:p w14:paraId="4FCDE976" w14:textId="0C73B392" w:rsidR="00160A4D" w:rsidRPr="00D44D33" w:rsidRDefault="373230D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Propozycja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21F24" w:rsidRPr="00D44D33">
        <w:rPr>
          <w:rFonts w:ascii="Times New Roman" w:eastAsiaTheme="minorEastAsia" w:hAnsi="Times New Roman" w:cs="Times New Roman"/>
          <w:sz w:val="24"/>
          <w:szCs w:val="24"/>
        </w:rPr>
        <w:t>obszarowe</w:t>
      </w:r>
      <w:r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enumeratywnie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021F2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21F24" w:rsidRPr="00D44D33">
        <w:rPr>
          <w:rFonts w:ascii="Times New Roman" w:eastAsiaTheme="minorEastAsia" w:hAnsi="Times New Roman" w:cs="Times New Roman"/>
          <w:sz w:val="24"/>
          <w:szCs w:val="24"/>
        </w:rPr>
        <w:t>odesłanie</w:t>
      </w:r>
      <w:r w:rsidR="00970B2E" w:rsidRPr="00D44D33">
        <w:rPr>
          <w:rFonts w:ascii="Times New Roman" w:eastAsiaTheme="minorEastAsia" w:hAnsi="Times New Roman" w:cs="Times New Roman"/>
          <w:sz w:val="24"/>
          <w:szCs w:val="24"/>
        </w:rPr>
        <w:t xml:space="preserve"> </w:t>
      </w:r>
      <w:r w:rsidR="00021F2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21F2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F21A8C" w:rsidRPr="00D44D33">
        <w:rPr>
          <w:rFonts w:ascii="Times New Roman" w:eastAsiaTheme="minorEastAsia" w:hAnsi="Times New Roman" w:cs="Times New Roman"/>
          <w:sz w:val="24"/>
          <w:szCs w:val="24"/>
        </w:rPr>
        <w:t xml:space="preserve">z dnia 7 maja 2010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F21A8C" w:rsidRPr="00D44D33">
        <w:rPr>
          <w:rFonts w:ascii="Times New Roman" w:eastAsiaTheme="minorEastAsia" w:hAnsi="Times New Roman" w:cs="Times New Roman"/>
          <w:sz w:val="24"/>
          <w:szCs w:val="24"/>
        </w:rPr>
        <w:t xml:space="preserve"> usług i sieci telekomunikacyjnych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p>
    <w:p w14:paraId="298243F6" w14:textId="4E2540BC" w:rsidR="00160A4D" w:rsidRPr="00D44D33" w:rsidRDefault="373230D0" w:rsidP="0047172A">
      <w:pPr>
        <w:pStyle w:val="Akapitzlist"/>
        <w:numPr>
          <w:ilvl w:val="0"/>
          <w:numId w:val="134"/>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budowlanym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najbliższym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F00CE0"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w:t>
      </w:r>
      <w:r w:rsidR="00EB16C7" w:rsidRPr="00D44D33">
        <w:rPr>
          <w:rFonts w:ascii="Times New Roman" w:eastAsiaTheme="minorEastAsia" w:hAnsi="Times New Roman" w:cs="Times New Roman"/>
          <w:sz w:val="24"/>
          <w:szCs w:val="24"/>
        </w:rPr>
        <w:t>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 xml:space="preserve">art. </w:t>
      </w:r>
      <w:r w:rsidR="16ACC2B8" w:rsidRPr="00D44D33">
        <w:rPr>
          <w:rFonts w:ascii="Times New Roman" w:eastAsiaTheme="minorEastAsia" w:hAnsi="Times New Roman" w:cs="Times New Roman"/>
          <w:sz w:val="24"/>
          <w:szCs w:val="24"/>
        </w:rPr>
        <w:t>1</w:t>
      </w:r>
      <w:r w:rsidR="00F00CE0"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EB16C7" w:rsidRPr="00D44D33">
        <w:rPr>
          <w:rFonts w:ascii="Times New Roman" w:eastAsiaTheme="minorEastAsia" w:hAnsi="Times New Roman" w:cs="Times New Roman"/>
          <w:sz w:val="24"/>
          <w:szCs w:val="24"/>
        </w:rPr>
        <w:t>;</w:t>
      </w:r>
    </w:p>
    <w:p w14:paraId="05760405" w14:textId="64CC40F0" w:rsidR="00160A4D" w:rsidRPr="00D44D33" w:rsidRDefault="373230D0" w:rsidP="0047172A">
      <w:pPr>
        <w:pStyle w:val="Akapitzlist"/>
        <w:numPr>
          <w:ilvl w:val="0"/>
          <w:numId w:val="134"/>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rozszerzenia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00CE0" w:rsidRPr="00D44D33">
        <w:rPr>
          <w:rFonts w:ascii="Times New Roman" w:eastAsiaTheme="minorEastAsia" w:hAnsi="Times New Roman" w:cs="Times New Roman"/>
          <w:sz w:val="24"/>
          <w:szCs w:val="24"/>
        </w:rPr>
        <w:t>178</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EB16C7" w:rsidRPr="00D44D33">
        <w:rPr>
          <w:rFonts w:ascii="Times New Roman" w:eastAsiaTheme="minorEastAsia" w:hAnsi="Times New Roman" w:cs="Times New Roman"/>
          <w:sz w:val="24"/>
          <w:szCs w:val="24"/>
        </w:rPr>
        <w:t>;</w:t>
      </w:r>
    </w:p>
    <w:p w14:paraId="1B84EA84" w14:textId="51292B3A" w:rsidR="00160A4D" w:rsidRPr="00D44D33" w:rsidRDefault="373230D0" w:rsidP="0047172A">
      <w:pPr>
        <w:pStyle w:val="Akapitzlist"/>
        <w:numPr>
          <w:ilvl w:val="0"/>
          <w:numId w:val="134"/>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F00CE0"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00CE0" w:rsidRPr="00D44D33">
        <w:rPr>
          <w:rFonts w:ascii="Times New Roman" w:eastAsiaTheme="minorEastAsia" w:hAnsi="Times New Roman" w:cs="Times New Roman"/>
          <w:sz w:val="24"/>
          <w:szCs w:val="24"/>
        </w:rPr>
        <w:t>178</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EB16C7" w:rsidRPr="00D44D33">
        <w:rPr>
          <w:rFonts w:ascii="Times New Roman" w:eastAsiaTheme="minorEastAsia" w:hAnsi="Times New Roman" w:cs="Times New Roman"/>
          <w:sz w:val="24"/>
          <w:szCs w:val="24"/>
        </w:rPr>
        <w:t>;</w:t>
      </w:r>
    </w:p>
    <w:p w14:paraId="5525945B" w14:textId="18E2696E" w:rsidR="00160A4D" w:rsidRPr="00D44D33" w:rsidRDefault="00160A4D" w:rsidP="0047172A">
      <w:pPr>
        <w:pStyle w:val="Akapitzlist"/>
        <w:numPr>
          <w:ilvl w:val="0"/>
          <w:numId w:val="134"/>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21A8C" w:rsidRPr="00D44D33">
        <w:rPr>
          <w:rFonts w:ascii="Times New Roman" w:eastAsiaTheme="minorEastAsia" w:hAnsi="Times New Roman" w:cs="Times New Roman"/>
          <w:sz w:val="24"/>
          <w:szCs w:val="24"/>
        </w:rPr>
        <w:t>z dnia 7 maja 2010 r. o wspieraniu rozwoju usług i sieci telekomunikacyjnych</w:t>
      </w:r>
      <w:r w:rsidR="00EB16C7" w:rsidRPr="00D44D33">
        <w:rPr>
          <w:rFonts w:ascii="Times New Roman" w:eastAsiaTheme="minorEastAsia" w:hAnsi="Times New Roman" w:cs="Times New Roman"/>
          <w:sz w:val="24"/>
          <w:szCs w:val="24"/>
        </w:rPr>
        <w:t>);</w:t>
      </w:r>
    </w:p>
    <w:p w14:paraId="1DB94F10" w14:textId="19987F73" w:rsidR="00160A4D" w:rsidRPr="00D44D33" w:rsidRDefault="00160A4D" w:rsidP="0047172A">
      <w:pPr>
        <w:pStyle w:val="Akapitzlist"/>
        <w:numPr>
          <w:ilvl w:val="0"/>
          <w:numId w:val="134"/>
        </w:numPr>
        <w:spacing w:before="120" w:after="120" w:line="360" w:lineRule="auto"/>
        <w:ind w:left="42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35a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21A8C" w:rsidRPr="00D44D33">
        <w:rPr>
          <w:rFonts w:ascii="Times New Roman" w:eastAsiaTheme="minorEastAsia" w:hAnsi="Times New Roman" w:cs="Times New Roman"/>
          <w:sz w:val="24"/>
          <w:szCs w:val="24"/>
        </w:rPr>
        <w:t>z dnia 7 maja 2010 r. o wspieraniu rozwoju usług i sieci telekomunikacyjnych</w:t>
      </w:r>
      <w:r w:rsidRPr="00D44D33">
        <w:rPr>
          <w:rFonts w:ascii="Times New Roman" w:eastAsiaTheme="minorEastAsia" w:hAnsi="Times New Roman" w:cs="Times New Roman"/>
          <w:sz w:val="24"/>
          <w:szCs w:val="24"/>
        </w:rPr>
        <w:t>.</w:t>
      </w:r>
    </w:p>
    <w:p w14:paraId="691AD0C8" w14:textId="381A0470" w:rsidR="00CA04AA"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Wymienione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F21A8C"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cechę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00CA04AA" w:rsidRPr="00D44D33">
        <w:rPr>
          <w:rFonts w:ascii="Times New Roman" w:eastAsiaTheme="minorEastAsia" w:hAnsi="Times New Roman" w:cs="Times New Roman"/>
          <w:sz w:val="24"/>
          <w:szCs w:val="24"/>
        </w:rPr>
        <w:t>zasobu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p>
    <w:p w14:paraId="44C87CCC" w14:textId="6B9738B1"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francuskiego,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F071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symetrycznym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bariery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ekonomiczne.</w:t>
      </w:r>
    </w:p>
    <w:p w14:paraId="5A68666A" w14:textId="6E6DE95E" w:rsidR="00CA04AA" w:rsidRPr="00D44D33" w:rsidRDefault="00CA04A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elastyczność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Ostateczna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załatwienia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obszarow</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każdorazowo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rozwagę</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rozstrzygnięcia</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pełniejszy</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urzeczywistnić</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zasadę</w:t>
      </w:r>
      <w:r w:rsidR="00970B2E" w:rsidRPr="00D44D33">
        <w:rPr>
          <w:rFonts w:ascii="Times New Roman" w:eastAsiaTheme="minorEastAsia" w:hAnsi="Times New Roman" w:cs="Times New Roman"/>
          <w:sz w:val="24"/>
          <w:szCs w:val="24"/>
        </w:rPr>
        <w:t xml:space="preserve"> </w:t>
      </w:r>
      <w:r w:rsidR="0077549A" w:rsidRPr="00D44D33">
        <w:rPr>
          <w:rFonts w:ascii="Times New Roman" w:eastAsiaTheme="minorEastAsia" w:hAnsi="Times New Roman" w:cs="Times New Roman"/>
          <w:sz w:val="24"/>
          <w:szCs w:val="24"/>
        </w:rPr>
        <w:t>niedyskryminacji.</w:t>
      </w:r>
    </w:p>
    <w:p w14:paraId="722DD535" w14:textId="099EBC07" w:rsidR="00160A4D" w:rsidRPr="00D44D33" w:rsidRDefault="00160A4D" w:rsidP="00D44D33">
      <w:pPr>
        <w:spacing w:before="120" w:after="120" w:line="360" w:lineRule="auto"/>
        <w:jc w:val="center"/>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Praktyka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europejska</w:t>
      </w:r>
    </w:p>
    <w:p w14:paraId="63595740" w14:textId="71E67012"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przykłady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norweskiej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i/>
          <w:iCs/>
          <w:sz w:val="24"/>
          <w:szCs w:val="24"/>
        </w:rPr>
        <w:t>Lov</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behandlingsmåten</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forvaltningssaker,</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LOV-1967-02-10,</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zm.</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niemieckiej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i/>
          <w:iCs/>
          <w:sz w:val="24"/>
          <w:szCs w:val="24"/>
        </w:rPr>
        <w:t>Verwaltungsverfahrensgesetz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in</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der</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Fassung</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der</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Bekanntmachung</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vom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23.</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Januar</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2003</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(BGBl.</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102),</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zm</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hiszpańskiej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postepowaniu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i/>
          <w:iCs/>
          <w:sz w:val="24"/>
          <w:szCs w:val="24"/>
        </w:rPr>
        <w:t>Ley</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39/2015,</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1</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octubre,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del</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Procedimiento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Administrativo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Común</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las</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Administraciones</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Públicas</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portugalskiej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i/>
          <w:iCs/>
          <w:sz w:val="24"/>
          <w:szCs w:val="24"/>
        </w:rPr>
        <w:t>DL</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n.º</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4/2015,</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07</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Janeiro,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Código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procedimento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administrativo</w:t>
      </w:r>
      <w:r w:rsidRPr="00D44D33">
        <w:rPr>
          <w:rFonts w:ascii="Times New Roman" w:eastAsiaTheme="minorEastAsia" w:hAnsi="Times New Roman" w:cs="Times New Roman"/>
          <w:sz w:val="24"/>
          <w:szCs w:val="24"/>
        </w:rPr>
        <w:t>).</w:t>
      </w:r>
    </w:p>
    <w:p w14:paraId="75751BF9" w14:textId="612F6B04"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przemawia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EB16C7"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p>
    <w:p w14:paraId="28BF049D" w14:textId="5E651005" w:rsidR="00160A4D" w:rsidRPr="00D44D33" w:rsidRDefault="00160A4D"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Francji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ARCEP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2009-1106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prywatnych;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ARCEP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2010-1312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szybkich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gęstych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obszarów</w:t>
      </w:r>
      <w:r w:rsidR="00B36B93" w:rsidRPr="00D44D33">
        <w:rPr>
          <w:rFonts w:ascii="Times New Roman" w:eastAsiaTheme="minorEastAsia" w:hAnsi="Times New Roman" w:cs="Times New Roman"/>
          <w:sz w:val="24"/>
          <w:szCs w:val="24"/>
        </w:rPr>
        <w:t>,</w:t>
      </w:r>
    </w:p>
    <w:p w14:paraId="4320B6E7" w14:textId="590AD8D0" w:rsidR="00160A4D" w:rsidRPr="00D44D33" w:rsidRDefault="00160A4D"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Chorwacji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75/13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towarzyszących;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57/14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B36B93" w:rsidRPr="00D44D33">
        <w:rPr>
          <w:rFonts w:ascii="Times New Roman" w:eastAsiaTheme="minorEastAsia" w:hAnsi="Times New Roman" w:cs="Times New Roman"/>
          <w:sz w:val="24"/>
          <w:szCs w:val="24"/>
        </w:rPr>
        <w:t>,</w:t>
      </w:r>
    </w:p>
    <w:p w14:paraId="59159AC7" w14:textId="0BA313B5" w:rsidR="00B80C77" w:rsidRPr="00D44D33" w:rsidRDefault="00160A4D" w:rsidP="00D44D33">
      <w:pPr>
        <w:numPr>
          <w:ilvl w:val="0"/>
          <w:numId w:val="48"/>
        </w:num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Włoszech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AGCOM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538/13/CONS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kabli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odcinku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koncentracji.</w:t>
      </w:r>
    </w:p>
    <w:p w14:paraId="2CDF9C7C" w14:textId="2C4BEE2D" w:rsidR="00160A4D" w:rsidRPr="00D44D33" w:rsidRDefault="00160A4D" w:rsidP="00D44D33">
      <w:pPr>
        <w:spacing w:before="120" w:after="120" w:line="360" w:lineRule="auto"/>
        <w:jc w:val="center"/>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Decyzje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charakterze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generalnym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prawie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polskim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europejskim</w:t>
      </w:r>
    </w:p>
    <w:p w14:paraId="198312DF" w14:textId="32A2C612"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dzisiejszego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porządku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zagadnień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zwrócić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Nadzoru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23h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nadzorze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kapitałowym</w:t>
      </w:r>
      <w:r w:rsidR="00F21A8C" w:rsidRPr="00D44D33">
        <w:rPr>
          <w:rFonts w:ascii="Times New Roman" w:eastAsiaTheme="minorEastAsia" w:hAnsi="Times New Roman" w:cs="Times New Roman"/>
          <w:sz w:val="24"/>
          <w:szCs w:val="24"/>
        </w:rPr>
        <w:t xml:space="preserve"> (Dz. U. z 2022 r. poz. 837)</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kształtują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okablowanie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dystrybucji,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zabytków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opiece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zabytkami</w:t>
      </w:r>
      <w:r w:rsidR="00970B2E" w:rsidRPr="00D44D33">
        <w:rPr>
          <w:rFonts w:ascii="Times New Roman" w:eastAsiaTheme="minorEastAsia" w:hAnsi="Times New Roman" w:cs="Times New Roman"/>
          <w:sz w:val="24"/>
          <w:szCs w:val="24"/>
        </w:rPr>
        <w:t xml:space="preserve"> </w:t>
      </w:r>
      <w:r w:rsidR="00F21A8C" w:rsidRPr="00D44D33">
        <w:rPr>
          <w:rFonts w:ascii="Times New Roman" w:eastAsiaTheme="minorEastAsia" w:hAnsi="Times New Roman" w:cs="Times New Roman"/>
          <w:sz w:val="24"/>
          <w:szCs w:val="24"/>
        </w:rPr>
        <w:t xml:space="preserve">(Dz. U. z 2022 r. poz. 840)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układów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urbanistycznych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ruralistycznych,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historycznych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zespołów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budowlanych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terenów,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zabytków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archeologicznych,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zabytków.</w:t>
      </w:r>
    </w:p>
    <w:p w14:paraId="5477B5F9" w14:textId="29957309"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w:t>
      </w:r>
      <w:r w:rsidR="00F07188" w:rsidRPr="00D44D33">
        <w:rPr>
          <w:rFonts w:ascii="Times New Roman" w:eastAsiaTheme="minorEastAsia" w:hAnsi="Times New Roman" w:cs="Times New Roman"/>
          <w:sz w:val="24"/>
          <w:szCs w:val="24"/>
        </w:rPr>
        <w:t>ie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administracyjne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F07188" w:rsidRPr="00D44D33">
        <w:rPr>
          <w:rFonts w:ascii="Times New Roman" w:eastAsiaTheme="minorEastAsia" w:hAnsi="Times New Roman" w:cs="Times New Roman"/>
          <w:sz w:val="24"/>
          <w:szCs w:val="24"/>
        </w:rPr>
        <w:t>administracyjne,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obszarowe,</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będące</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decyzjami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E30D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dokładniejsze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odstępstw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odmienności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p>
    <w:p w14:paraId="0F8CFDCE" w14:textId="2EC76537" w:rsidR="00160A4D" w:rsidRPr="00D44D33" w:rsidRDefault="00160A4D" w:rsidP="00D44D33">
      <w:pPr>
        <w:spacing w:before="120" w:after="120" w:line="360" w:lineRule="auto"/>
        <w:jc w:val="center"/>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Decyzje</w:t>
      </w:r>
      <w:r w:rsidR="00970B2E" w:rsidRPr="00D44D33">
        <w:rPr>
          <w:rFonts w:ascii="Times New Roman" w:eastAsiaTheme="minorEastAsia" w:hAnsi="Times New Roman" w:cs="Times New Roman"/>
          <w:bCs/>
          <w:sz w:val="24"/>
          <w:szCs w:val="24"/>
        </w:rPr>
        <w:t xml:space="preserve"> </w:t>
      </w:r>
      <w:r w:rsidR="00E30D88" w:rsidRPr="00D44D33">
        <w:rPr>
          <w:rFonts w:ascii="Times New Roman" w:eastAsiaTheme="minorEastAsia" w:hAnsi="Times New Roman" w:cs="Times New Roman"/>
          <w:bCs/>
          <w:sz w:val="24"/>
          <w:szCs w:val="24"/>
        </w:rPr>
        <w:t>obszarowe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ogólne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zezwolenie</w:t>
      </w:r>
      <w:r w:rsidR="00970B2E" w:rsidRPr="00D44D33">
        <w:rPr>
          <w:rFonts w:ascii="Times New Roman" w:eastAsiaTheme="minorEastAsia" w:hAnsi="Times New Roman" w:cs="Times New Roman"/>
          <w:bCs/>
          <w:sz w:val="24"/>
          <w:szCs w:val="24"/>
        </w:rPr>
        <w:t xml:space="preserve"> </w:t>
      </w:r>
      <w:r w:rsidR="00F07188"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F07188" w:rsidRPr="00D44D33">
        <w:rPr>
          <w:rFonts w:ascii="Times New Roman" w:eastAsiaTheme="minorEastAsia" w:hAnsi="Times New Roman" w:cs="Times New Roman"/>
          <w:bCs/>
          <w:sz w:val="24"/>
          <w:szCs w:val="24"/>
        </w:rPr>
        <w:t>rozumieniu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EKŁE</w:t>
      </w:r>
    </w:p>
    <w:p w14:paraId="2EF19457" w14:textId="7AA477D3"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źródło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niesprzeczna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założeniami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zezwolenia.</w:t>
      </w:r>
    </w:p>
    <w:p w14:paraId="04D4928B" w14:textId="59290B10"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F21A8C" w:rsidRPr="00D44D33">
        <w:rPr>
          <w:rFonts w:ascii="Times New Roman" w:eastAsiaTheme="minorEastAsia" w:hAnsi="Times New Roman" w:cs="Times New Roman"/>
          <w:i/>
          <w:iCs/>
          <w:sz w:val="24"/>
          <w:szCs w:val="24"/>
        </w:rPr>
        <w:t>–</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6A06962A" w14:textId="7E3D5414" w:rsidR="00160A4D" w:rsidRPr="00D44D33" w:rsidRDefault="00160A4D" w:rsidP="00D44D33">
      <w:pPr>
        <w:spacing w:before="120" w:after="120" w:line="360" w:lineRule="auto"/>
        <w:ind w:left="567"/>
        <w:jc w:val="both"/>
        <w:rPr>
          <w:rFonts w:ascii="Times New Roman" w:eastAsiaTheme="minorEastAsia" w:hAnsi="Times New Roman" w:cs="Times New Roman"/>
          <w:i/>
          <w:iCs/>
          <w:sz w:val="24"/>
          <w:szCs w:val="24"/>
        </w:rPr>
      </w:pPr>
      <w:r w:rsidRPr="00D44D33">
        <w:rPr>
          <w:rFonts w:ascii="Times New Roman" w:eastAsiaTheme="minorEastAsia" w:hAnsi="Times New Roman" w:cs="Times New Roman"/>
          <w:i/>
          <w:iCs/>
          <w:sz w:val="24"/>
          <w:szCs w:val="24"/>
        </w:rPr>
        <w:t>„1.</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Ogólne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zezwolenie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dostarczanie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sieci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łączności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elektronicznej</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lub</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świadczenie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usług</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łączności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elektronicznej</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oraz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prawa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użytkowania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widma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radiowego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prawa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użytkowania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zasobami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numeracyjnymi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mogą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jedynie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podlegać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warunkom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określonym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załączniku</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Warunki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te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muszą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być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niedyskryminacyjne,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proporcjonalne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przejrzyste.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przypadku</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praw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użytkowania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widma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radiowego,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takie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warunki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muszą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zapewniać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jego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efektywne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wydajne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użytkowanie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być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zgodne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art.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45</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51,</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przypadku</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prawa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użytkowania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zasobami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numeracyjnymi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zgodne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art.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94.</w:t>
      </w:r>
    </w:p>
    <w:p w14:paraId="19BBC7E4" w14:textId="21455B3F" w:rsidR="00160A4D" w:rsidRPr="00D44D33" w:rsidRDefault="00160A4D" w:rsidP="00D44D33">
      <w:pPr>
        <w:spacing w:before="120" w:after="120" w:line="360" w:lineRule="auto"/>
        <w:ind w:left="567"/>
        <w:jc w:val="both"/>
        <w:rPr>
          <w:rFonts w:ascii="Times New Roman" w:eastAsiaTheme="minorEastAsia" w:hAnsi="Times New Roman" w:cs="Times New Roman"/>
          <w:sz w:val="24"/>
          <w:szCs w:val="24"/>
        </w:rPr>
      </w:pPr>
      <w:r w:rsidRPr="00D44D33">
        <w:rPr>
          <w:rFonts w:ascii="Times New Roman" w:eastAsiaTheme="minorEastAsia" w:hAnsi="Times New Roman" w:cs="Times New Roman"/>
          <w:i/>
          <w:iCs/>
          <w:sz w:val="24"/>
          <w:szCs w:val="24"/>
        </w:rPr>
        <w:t>2.</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Szczególne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obowiązki,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które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mogą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być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nałożone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przedsiębiorstwa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udostępniające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sieci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świadczące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usługi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łączności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elektronicznej</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podstawie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art.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61</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ust.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1</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5</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art.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62,</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68</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83</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lub</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podmioty</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wyznaczone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świadczenia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usługi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powszechnej</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podstawie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niniejszej</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dyrektywy,</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muszą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być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prawnie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oddzielone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od</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praw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obowiązków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wynikających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ogólnego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zezwolenia.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Celem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zapewnienia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przejrzystości,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kryteria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procedury</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nakładania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takich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szczególnych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obowiązków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poszczególne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przedsiębiorstwa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wskazuje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się</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ogólnym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zezwoleniu.”</w:t>
      </w:r>
      <w:r w:rsidRPr="00D44D33">
        <w:rPr>
          <w:rFonts w:ascii="Times New Roman" w:eastAsiaTheme="minorEastAsia" w:hAnsi="Times New Roman" w:cs="Times New Roman"/>
          <w:sz w:val="24"/>
          <w:szCs w:val="24"/>
        </w:rPr>
        <w:t>.</w:t>
      </w:r>
    </w:p>
    <w:p w14:paraId="53F02841" w14:textId="05581288"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załącznikiem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3F4528D2" w14:textId="4C3E47DE" w:rsidR="00160A4D" w:rsidRPr="00D44D33" w:rsidRDefault="00160A4D" w:rsidP="00D44D33">
      <w:pPr>
        <w:spacing w:before="120" w:after="120" w:line="360" w:lineRule="auto"/>
        <w:ind w:left="567"/>
        <w:jc w:val="both"/>
        <w:rPr>
          <w:rFonts w:ascii="Times New Roman" w:eastAsiaTheme="minorEastAsia" w:hAnsi="Times New Roman" w:cs="Times New Roman"/>
          <w:i/>
          <w:iCs/>
          <w:sz w:val="24"/>
          <w:szCs w:val="24"/>
        </w:rPr>
      </w:pPr>
      <w:r w:rsidRPr="00D44D33">
        <w:rPr>
          <w:rFonts w:ascii="Times New Roman" w:eastAsiaTheme="minorEastAsia" w:hAnsi="Times New Roman" w:cs="Times New Roman"/>
          <w:i/>
          <w:iCs/>
          <w:sz w:val="24"/>
          <w:szCs w:val="24"/>
        </w:rPr>
        <w:t>„A.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Ogólne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warunki,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którymi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mogą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zostać</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obwarowane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ogólne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zezwolenia</w:t>
      </w:r>
    </w:p>
    <w:p w14:paraId="5B3BC6A5" w14:textId="77777777" w:rsidR="00160A4D" w:rsidRPr="00D44D33" w:rsidRDefault="00160A4D" w:rsidP="00D44D33">
      <w:pPr>
        <w:spacing w:before="120" w:after="120" w:line="360" w:lineRule="auto"/>
        <w:ind w:left="567"/>
        <w:jc w:val="both"/>
        <w:rPr>
          <w:rFonts w:ascii="Times New Roman" w:eastAsiaTheme="minorEastAsia" w:hAnsi="Times New Roman" w:cs="Times New Roman"/>
          <w:i/>
          <w:iCs/>
          <w:sz w:val="24"/>
          <w:szCs w:val="24"/>
        </w:rPr>
      </w:pPr>
      <w:r w:rsidRPr="00D44D33">
        <w:rPr>
          <w:rFonts w:ascii="Times New Roman" w:eastAsiaTheme="minorEastAsia" w:hAnsi="Times New Roman" w:cs="Times New Roman"/>
          <w:i/>
          <w:iCs/>
          <w:sz w:val="24"/>
          <w:szCs w:val="24"/>
        </w:rPr>
        <w:t>(…)</w:t>
      </w:r>
    </w:p>
    <w:p w14:paraId="1F40974A" w14:textId="0146D435" w:rsidR="00160A4D" w:rsidRPr="00D44D33" w:rsidRDefault="00160A4D" w:rsidP="00D44D33">
      <w:pPr>
        <w:spacing w:before="120" w:after="120" w:line="360" w:lineRule="auto"/>
        <w:ind w:left="567"/>
        <w:jc w:val="both"/>
        <w:rPr>
          <w:rFonts w:ascii="Times New Roman" w:eastAsiaTheme="minorEastAsia" w:hAnsi="Times New Roman" w:cs="Times New Roman"/>
          <w:sz w:val="24"/>
          <w:szCs w:val="24"/>
        </w:rPr>
      </w:pPr>
      <w:r w:rsidRPr="00D44D33">
        <w:rPr>
          <w:rFonts w:ascii="Times New Roman" w:eastAsiaTheme="minorEastAsia" w:hAnsi="Times New Roman" w:cs="Times New Roman"/>
          <w:i/>
          <w:iCs/>
          <w:sz w:val="24"/>
          <w:szCs w:val="24"/>
        </w:rPr>
        <w:t>7.</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Obowiązki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związane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dostępem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sieci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inne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niż</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te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określone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art.</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13,</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dotyczące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przedsiębiorstw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udostępniających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sieci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lub</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usługi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łączności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elektronicznej.</w:t>
      </w:r>
      <w:r w:rsidRPr="00D44D33">
        <w:rPr>
          <w:rFonts w:ascii="Times New Roman" w:eastAsiaTheme="minorEastAsia" w:hAnsi="Times New Roman" w:cs="Times New Roman"/>
          <w:sz w:val="24"/>
          <w:szCs w:val="24"/>
        </w:rPr>
        <w:t>”.</w:t>
      </w:r>
    </w:p>
    <w:p w14:paraId="0BF8A237" w14:textId="50A3EFC8"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62,</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68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ukształtowanie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ciążyły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szeregu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5C73D186" w14:textId="119A248B" w:rsidR="00160A4D"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Wydawanie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p>
    <w:p w14:paraId="6239EEB3" w14:textId="3EA2F6F4" w:rsidR="00160A4D" w:rsidRPr="00D44D33" w:rsidRDefault="00160A4D"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dzięki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zrealizowanie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niedyskryminacji</w:t>
      </w:r>
      <w:r w:rsidR="008B08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poważne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ryzyko</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negatywnego</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zjawiska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określanego</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t>
      </w:r>
      <w:r w:rsidR="00081F63" w:rsidRPr="00D44D33">
        <w:rPr>
          <w:rFonts w:ascii="Times New Roman" w:eastAsiaTheme="minorEastAsia" w:hAnsi="Times New Roman" w:cs="Times New Roman"/>
          <w:sz w:val="24"/>
          <w:szCs w:val="24"/>
        </w:rPr>
        <w:t>regulacyjna</w:t>
      </w:r>
      <w:r w:rsidR="00970B2E" w:rsidRPr="00D44D33">
        <w:rPr>
          <w:rFonts w:ascii="Times New Roman" w:eastAsiaTheme="minorEastAsia" w:hAnsi="Times New Roman" w:cs="Times New Roman"/>
          <w:sz w:val="24"/>
          <w:szCs w:val="24"/>
        </w:rPr>
        <w:t xml:space="preserve"> </w:t>
      </w:r>
      <w:r w:rsidR="00081F63" w:rsidRPr="00D44D33">
        <w:rPr>
          <w:rFonts w:ascii="Times New Roman" w:eastAsiaTheme="minorEastAsia" w:hAnsi="Times New Roman" w:cs="Times New Roman"/>
          <w:sz w:val="24"/>
          <w:szCs w:val="24"/>
        </w:rPr>
        <w:t>przewaga</w:t>
      </w:r>
      <w:r w:rsidR="00970B2E" w:rsidRPr="00D44D33">
        <w:rPr>
          <w:rFonts w:ascii="Times New Roman" w:eastAsiaTheme="minorEastAsia" w:hAnsi="Times New Roman" w:cs="Times New Roman"/>
          <w:sz w:val="24"/>
          <w:szCs w:val="24"/>
        </w:rPr>
        <w:t xml:space="preserve"> </w:t>
      </w:r>
      <w:r w:rsidR="00081F63" w:rsidRPr="00D44D33">
        <w:rPr>
          <w:rFonts w:ascii="Times New Roman" w:eastAsiaTheme="minorEastAsia" w:hAnsi="Times New Roman" w:cs="Times New Roman"/>
          <w:sz w:val="24"/>
          <w:szCs w:val="24"/>
        </w:rPr>
        <w:t>konkuren</w:t>
      </w:r>
      <w:r w:rsidR="008B08CD" w:rsidRPr="00D44D33">
        <w:rPr>
          <w:rFonts w:ascii="Times New Roman" w:eastAsiaTheme="minorEastAsia" w:hAnsi="Times New Roman" w:cs="Times New Roman"/>
          <w:sz w:val="24"/>
          <w:szCs w:val="24"/>
        </w:rPr>
        <w:t>cyjna”,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przejawia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grupa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objęty</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jakimś</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opóźnieniem,</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względów</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merytorycznych,</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względów</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przebieg</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rozpatrywania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008B08CD" w:rsidRPr="00D44D33">
        <w:rPr>
          <w:rFonts w:ascii="Times New Roman" w:eastAsiaTheme="minorEastAsia" w:hAnsi="Times New Roman" w:cs="Times New Roman"/>
          <w:sz w:val="24"/>
          <w:szCs w:val="24"/>
        </w:rPr>
        <w:t>zaskarżenia,</w:t>
      </w:r>
    </w:p>
    <w:p w14:paraId="63872DE1" w14:textId="1F857338" w:rsidR="004270E2" w:rsidRPr="00D44D33" w:rsidRDefault="00160A4D"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nakładanie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p>
    <w:p w14:paraId="53F7FD4F" w14:textId="5591F5CD" w:rsidR="00B80C77" w:rsidRPr="00D44D33" w:rsidRDefault="00B80C77" w:rsidP="00D44D33">
      <w:pPr>
        <w:spacing w:before="120" w:after="120" w:line="360" w:lineRule="auto"/>
        <w:jc w:val="center"/>
        <w:rPr>
          <w:rFonts w:ascii="Times New Roman" w:hAnsi="Times New Roman" w:cs="Times New Roman"/>
          <w:b/>
          <w:bCs/>
          <w:sz w:val="24"/>
          <w:szCs w:val="24"/>
        </w:rPr>
      </w:pPr>
      <w:r w:rsidRPr="00D44D33">
        <w:rPr>
          <w:rFonts w:ascii="Times New Roman" w:hAnsi="Times New Roman" w:cs="Times New Roman"/>
          <w:b/>
          <w:bCs/>
          <w:sz w:val="24"/>
          <w:szCs w:val="24"/>
        </w:rPr>
        <w:t>Art.</w:t>
      </w:r>
      <w:r w:rsidR="00970B2E" w:rsidRPr="00D44D33">
        <w:rPr>
          <w:rFonts w:ascii="Times New Roman" w:hAnsi="Times New Roman" w:cs="Times New Roman"/>
          <w:b/>
          <w:bCs/>
          <w:sz w:val="24"/>
          <w:szCs w:val="24"/>
        </w:rPr>
        <w:t xml:space="preserve"> </w:t>
      </w:r>
      <w:r w:rsidR="00F00CE0" w:rsidRPr="00D44D33">
        <w:rPr>
          <w:rFonts w:ascii="Times New Roman" w:hAnsi="Times New Roman" w:cs="Times New Roman"/>
          <w:b/>
          <w:bCs/>
          <w:sz w:val="24"/>
          <w:szCs w:val="24"/>
        </w:rPr>
        <w:t>191</w:t>
      </w:r>
    </w:p>
    <w:p w14:paraId="6BBDA11B" w14:textId="0786A594" w:rsidR="00721B6B" w:rsidRPr="00D44D33" w:rsidRDefault="737F74CC"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Przepis</w:t>
      </w:r>
      <w:r w:rsidR="00970B2E" w:rsidRPr="00D44D33">
        <w:rPr>
          <w:rFonts w:ascii="Times New Roman" w:hAnsi="Times New Roman" w:cs="Times New Roman"/>
          <w:sz w:val="24"/>
          <w:szCs w:val="24"/>
        </w:rPr>
        <w:t xml:space="preserve"> </w:t>
      </w:r>
      <w:r w:rsidR="48A37993"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48A37993"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określa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zakres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mogą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być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drodze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E30D88" w:rsidRPr="00D44D33">
        <w:rPr>
          <w:rFonts w:ascii="Times New Roman" w:hAnsi="Times New Roman" w:cs="Times New Roman"/>
          <w:sz w:val="24"/>
          <w:szCs w:val="24"/>
        </w:rPr>
        <w:t>obszarowej</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Dotyczy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F00CE0" w:rsidRPr="00D44D33">
        <w:rPr>
          <w:rFonts w:ascii="Times New Roman" w:hAnsi="Times New Roman" w:cs="Times New Roman"/>
          <w:sz w:val="24"/>
          <w:szCs w:val="24"/>
        </w:rPr>
        <w:t>75</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00CE0" w:rsidRPr="00D44D33">
        <w:rPr>
          <w:rFonts w:ascii="Times New Roman" w:hAnsi="Times New Roman" w:cs="Times New Roman"/>
          <w:sz w:val="24"/>
          <w:szCs w:val="24"/>
        </w:rPr>
        <w:t>178</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7F0C4941"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18</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35a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7C0314" w:rsidRPr="00D44D33">
        <w:rPr>
          <w:rFonts w:ascii="Times New Roman" w:hAnsi="Times New Roman" w:cs="Times New Roman"/>
          <w:sz w:val="24"/>
          <w:szCs w:val="24"/>
        </w:rPr>
        <w:t xml:space="preserve">z dnia 7 maja 2010 r.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wspieraniu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rozwoju</w:t>
      </w:r>
      <w:r w:rsidR="007C0314" w:rsidRPr="00D44D33">
        <w:rPr>
          <w:rFonts w:ascii="Times New Roman" w:hAnsi="Times New Roman" w:cs="Times New Roman"/>
          <w:sz w:val="24"/>
          <w:szCs w:val="24"/>
        </w:rPr>
        <w:t xml:space="preserve"> usług i sieci telekomunikacyjnych</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takie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dotyczą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określonego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obszaru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nieokreślonej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liczby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decydując</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rozstrzygnięcia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drodze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69524E" w:rsidRPr="00D44D33">
        <w:rPr>
          <w:rFonts w:ascii="Times New Roman" w:hAnsi="Times New Roman" w:cs="Times New Roman"/>
          <w:sz w:val="24"/>
          <w:szCs w:val="24"/>
        </w:rPr>
        <w:t>obszarowej</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(zamiast</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indywidualnej)</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powinien</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szczególności</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wziąć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uwagę</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najpełniejszą</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realizację</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zasady</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niedyskryminacyjnego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traktowania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zobowiązanych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zapewnienia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dostępu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określonym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obszarze.</w:t>
      </w:r>
      <w:r w:rsidR="00970B2E" w:rsidRPr="00D44D33">
        <w:rPr>
          <w:rFonts w:ascii="Times New Roman" w:hAnsi="Times New Roman" w:cs="Times New Roman"/>
          <w:sz w:val="24"/>
          <w:szCs w:val="24"/>
        </w:rPr>
        <w:t xml:space="preserve"> </w:t>
      </w:r>
    </w:p>
    <w:p w14:paraId="64DA67BE" w14:textId="1BCC496C" w:rsidR="00492A9F" w:rsidRPr="00D44D33" w:rsidRDefault="00492A9F"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00CE0" w:rsidRPr="00D44D33">
        <w:rPr>
          <w:rFonts w:ascii="Times New Roman" w:hAnsi="Times New Roman" w:cs="Times New Roman"/>
          <w:sz w:val="24"/>
          <w:szCs w:val="24"/>
        </w:rPr>
        <w:t>191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decyzja</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obszarowa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narusza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tożsamych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materialnie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podjętych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drodze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indywidualnych</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chyba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obszarowej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stwierdzi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uchylenie</w:t>
      </w:r>
      <w:r w:rsidR="00C047DF"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względu</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konieczność</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zapewnienia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jednolitości</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obowiązków</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wszystkich</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adresatów</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określonych</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sposób</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rodzajowy</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decyzję</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generalną.</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Oznacza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sytuacji,</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zdaniem</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występuje</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potrzeba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zapewnienia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jednakowych</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warunków</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podmiot</w:t>
      </w:r>
      <w:r w:rsidR="00AE20B4" w:rsidRPr="00D44D33">
        <w:rPr>
          <w:rFonts w:ascii="Times New Roman" w:hAnsi="Times New Roman" w:cs="Times New Roman"/>
          <w:sz w:val="24"/>
          <w:szCs w:val="24"/>
        </w:rPr>
        <w:t>u,</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którego</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została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uprzednio</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wydana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decyzja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indywidualna,</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może</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taką</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decyzję</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uchylić</w:t>
      </w:r>
      <w:r w:rsidR="00AE20B4"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wskazując</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ją</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C047DF" w:rsidRPr="00D44D33">
        <w:rPr>
          <w:rFonts w:ascii="Times New Roman" w:hAnsi="Times New Roman" w:cs="Times New Roman"/>
          <w:sz w:val="24"/>
          <w:szCs w:val="24"/>
        </w:rPr>
        <w:t>obszarowej.</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Dotyczy</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sytuacji,</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adresat</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indywidualnej</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objęty</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decyzją</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obszarową</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jako</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określony</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sposób</w:t>
      </w:r>
      <w:r w:rsidR="00970B2E" w:rsidRPr="00D44D33">
        <w:rPr>
          <w:rFonts w:ascii="Times New Roman" w:hAnsi="Times New Roman" w:cs="Times New Roman"/>
          <w:sz w:val="24"/>
          <w:szCs w:val="24"/>
        </w:rPr>
        <w:t xml:space="preserve"> </w:t>
      </w:r>
      <w:r w:rsidR="00AE20B4" w:rsidRPr="00D44D33">
        <w:rPr>
          <w:rFonts w:ascii="Times New Roman" w:hAnsi="Times New Roman" w:cs="Times New Roman"/>
          <w:sz w:val="24"/>
          <w:szCs w:val="24"/>
        </w:rPr>
        <w:t>rodzajowy.</w:t>
      </w:r>
    </w:p>
    <w:p w14:paraId="29CAC342" w14:textId="656AF995" w:rsidR="00492A9F" w:rsidRPr="00D44D33" w:rsidRDefault="00492A9F"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846D90" w:rsidRPr="00D44D33">
        <w:rPr>
          <w:rFonts w:ascii="Times New Roman" w:hAnsi="Times New Roman" w:cs="Times New Roman"/>
          <w:sz w:val="24"/>
          <w:szCs w:val="24"/>
        </w:rPr>
        <w:t>1</w:t>
      </w:r>
      <w:r w:rsidR="00F00CE0" w:rsidRPr="00D44D33">
        <w:rPr>
          <w:rFonts w:ascii="Times New Roman" w:hAnsi="Times New Roman" w:cs="Times New Roman"/>
          <w:sz w:val="24"/>
          <w:szCs w:val="24"/>
        </w:rPr>
        <w:t>91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zawarta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szczególna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regulacja,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E30D88" w:rsidRPr="00D44D33">
        <w:rPr>
          <w:rFonts w:ascii="Times New Roman" w:hAnsi="Times New Roman" w:cs="Times New Roman"/>
          <w:sz w:val="24"/>
          <w:szCs w:val="24"/>
        </w:rPr>
        <w:t>obszarowej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00CE0" w:rsidRPr="00D44D33">
        <w:rPr>
          <w:rFonts w:ascii="Times New Roman" w:hAnsi="Times New Roman" w:cs="Times New Roman"/>
          <w:sz w:val="24"/>
          <w:szCs w:val="24"/>
        </w:rPr>
        <w:t>178</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obowiązany</w:t>
      </w:r>
      <w:r w:rsidR="00970B2E" w:rsidRPr="00D44D33">
        <w:rPr>
          <w:rFonts w:ascii="Times New Roman" w:hAnsi="Times New Roman" w:cs="Times New Roman"/>
          <w:sz w:val="24"/>
          <w:szCs w:val="24"/>
        </w:rPr>
        <w:t xml:space="preserve"> </w:t>
      </w:r>
      <w:r w:rsidR="00BB5C0E"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określenia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kryteri</w:t>
      </w:r>
      <w:r w:rsidR="00BB5C0E" w:rsidRPr="00D44D33">
        <w:rPr>
          <w:rFonts w:ascii="Times New Roman" w:hAnsi="Times New Roman" w:cs="Times New Roman"/>
          <w:sz w:val="24"/>
          <w:szCs w:val="24"/>
        </w:rPr>
        <w:t>ów</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musi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spełniać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przedsiębiorca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telekomunikacyjny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uznania,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skala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prowadzonej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działalności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działalności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uzasadnia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realizacji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nowych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sieci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bardzo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dużej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przepustowości,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względów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ekonomicznych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finansowych.</w:t>
      </w:r>
    </w:p>
    <w:p w14:paraId="62B18FA5" w14:textId="53F5B6C0" w:rsidR="00262313" w:rsidRPr="00D44D33" w:rsidRDefault="00F00CE0"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Natomiast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191</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przes</w:t>
      </w:r>
      <w:r w:rsidR="00EB16C7" w:rsidRPr="00D44D33">
        <w:rPr>
          <w:rFonts w:ascii="Times New Roman" w:hAnsi="Times New Roman" w:cs="Times New Roman"/>
          <w:sz w:val="24"/>
          <w:szCs w:val="24"/>
        </w:rPr>
        <w:t>ą</w:t>
      </w:r>
      <w:r w:rsidR="00262313" w:rsidRPr="00D44D33">
        <w:rPr>
          <w:rFonts w:ascii="Times New Roman" w:hAnsi="Times New Roman" w:cs="Times New Roman"/>
          <w:sz w:val="24"/>
          <w:szCs w:val="24"/>
        </w:rPr>
        <w:t>dza,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wezwanie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odpowiednio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operatora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sieci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nadleśniczego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Lasów</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Państwowych</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i/>
          <w:sz w:val="24"/>
          <w:szCs w:val="24"/>
        </w:rPr>
        <w:t>condicio</w:t>
      </w:r>
      <w:r w:rsidR="00970B2E" w:rsidRPr="00D44D33">
        <w:rPr>
          <w:rFonts w:ascii="Times New Roman" w:hAnsi="Times New Roman" w:cs="Times New Roman"/>
          <w:i/>
          <w:sz w:val="24"/>
          <w:szCs w:val="24"/>
        </w:rPr>
        <w:t xml:space="preserve"> </w:t>
      </w:r>
      <w:r w:rsidR="00262313" w:rsidRPr="00D44D33">
        <w:rPr>
          <w:rFonts w:ascii="Times New Roman" w:hAnsi="Times New Roman" w:cs="Times New Roman"/>
          <w:i/>
          <w:sz w:val="24"/>
          <w:szCs w:val="24"/>
        </w:rPr>
        <w:t>sine</w:t>
      </w:r>
      <w:r w:rsidR="00970B2E" w:rsidRPr="00D44D33">
        <w:rPr>
          <w:rFonts w:ascii="Times New Roman" w:hAnsi="Times New Roman" w:cs="Times New Roman"/>
          <w:i/>
          <w:sz w:val="24"/>
          <w:szCs w:val="24"/>
        </w:rPr>
        <w:t xml:space="preserve"> </w:t>
      </w:r>
      <w:r w:rsidR="00262313" w:rsidRPr="00D44D33">
        <w:rPr>
          <w:rFonts w:ascii="Times New Roman" w:hAnsi="Times New Roman" w:cs="Times New Roman"/>
          <w:i/>
          <w:sz w:val="24"/>
          <w:szCs w:val="24"/>
        </w:rPr>
        <w:t>qua</w:t>
      </w:r>
      <w:r w:rsidR="00970B2E" w:rsidRPr="00D44D33">
        <w:rPr>
          <w:rFonts w:ascii="Times New Roman" w:hAnsi="Times New Roman" w:cs="Times New Roman"/>
          <w:i/>
          <w:sz w:val="24"/>
          <w:szCs w:val="24"/>
        </w:rPr>
        <w:t xml:space="preserve"> </w:t>
      </w:r>
      <w:r w:rsidR="00262313" w:rsidRPr="00D44D33">
        <w:rPr>
          <w:rFonts w:ascii="Times New Roman" w:hAnsi="Times New Roman" w:cs="Times New Roman"/>
          <w:i/>
          <w:sz w:val="24"/>
          <w:szCs w:val="24"/>
        </w:rPr>
        <w:t>non</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generalnej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podstawie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191</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Rozwiązanie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wykluczenie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wykładni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przepisów,</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którą</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adresatem</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rozstrzygnięć</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tylko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takie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podmioty,</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wezwanie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skierowane.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Konsekwencją</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objęty</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decyzją</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generalną</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określającą</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obiektywne,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przejrzyste,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proporcjonalne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niedyskryminacyjne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warunki,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jakich</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powinien</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być</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zapewniany</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konkretny</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dostęp</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telekomunikacyjny</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może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być</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którego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skierowane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wezwanie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przedstawienia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sprawie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warunków</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zapewnienia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dostępu,</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którego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wezwanie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skierowane,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ale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przedstawił</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wymaganych</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niezależnie</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przyczyn</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takiego</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działania.</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Należy</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podkreślić,</w:t>
      </w:r>
      <w:r w:rsidR="00970B2E" w:rsidRPr="00D44D33">
        <w:rPr>
          <w:rFonts w:ascii="Times New Roman" w:hAnsi="Times New Roman" w:cs="Times New Roman"/>
          <w:sz w:val="24"/>
          <w:szCs w:val="24"/>
        </w:rPr>
        <w:t xml:space="preserve"> </w:t>
      </w:r>
      <w:r w:rsidR="00262313"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użyty</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zwrot</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obowiązany”</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wskazuje,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ciąży</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organie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taki</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jednak</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oczywiście</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posiada</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on</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kompetencję</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takiego</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działania,</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ramach</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wykonywanej</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władzy</w:t>
      </w:r>
      <w:r w:rsidR="00970B2E" w:rsidRPr="00D44D33">
        <w:rPr>
          <w:rFonts w:ascii="Times New Roman" w:hAnsi="Times New Roman" w:cs="Times New Roman"/>
          <w:sz w:val="24"/>
          <w:szCs w:val="24"/>
        </w:rPr>
        <w:t xml:space="preserve"> </w:t>
      </w:r>
      <w:r w:rsidR="00816CBB" w:rsidRPr="00D44D33">
        <w:rPr>
          <w:rFonts w:ascii="Times New Roman" w:hAnsi="Times New Roman" w:cs="Times New Roman"/>
          <w:sz w:val="24"/>
          <w:szCs w:val="24"/>
        </w:rPr>
        <w:t>dyskrecjonalnej.</w:t>
      </w:r>
    </w:p>
    <w:p w14:paraId="50E09085" w14:textId="169A3E81" w:rsidR="005C0D0C" w:rsidRPr="00D44D33" w:rsidRDefault="005C0D0C" w:rsidP="00D44D33">
      <w:pPr>
        <w:spacing w:before="120" w:after="120" w:line="360" w:lineRule="auto"/>
        <w:jc w:val="center"/>
        <w:rPr>
          <w:rFonts w:ascii="Times New Roman" w:hAnsi="Times New Roman" w:cs="Times New Roman"/>
          <w:b/>
          <w:bCs/>
          <w:sz w:val="24"/>
          <w:szCs w:val="24"/>
        </w:rPr>
      </w:pPr>
      <w:r w:rsidRPr="00D44D33">
        <w:rPr>
          <w:rFonts w:ascii="Times New Roman" w:hAnsi="Times New Roman" w:cs="Times New Roman"/>
          <w:b/>
          <w:bCs/>
          <w:sz w:val="24"/>
          <w:szCs w:val="24"/>
        </w:rPr>
        <w:t>Art.</w:t>
      </w:r>
      <w:r w:rsidR="00970B2E" w:rsidRPr="00D44D33">
        <w:rPr>
          <w:rFonts w:ascii="Times New Roman" w:hAnsi="Times New Roman" w:cs="Times New Roman"/>
          <w:b/>
          <w:bCs/>
          <w:sz w:val="24"/>
          <w:szCs w:val="24"/>
        </w:rPr>
        <w:t xml:space="preserve"> </w:t>
      </w:r>
      <w:r w:rsidRPr="00D44D33">
        <w:rPr>
          <w:rFonts w:ascii="Times New Roman" w:hAnsi="Times New Roman" w:cs="Times New Roman"/>
          <w:b/>
          <w:bCs/>
          <w:sz w:val="24"/>
          <w:szCs w:val="24"/>
        </w:rPr>
        <w:t>1</w:t>
      </w:r>
      <w:r w:rsidR="00F00CE0" w:rsidRPr="00D44D33">
        <w:rPr>
          <w:rFonts w:ascii="Times New Roman" w:hAnsi="Times New Roman" w:cs="Times New Roman"/>
          <w:b/>
          <w:bCs/>
          <w:sz w:val="24"/>
          <w:szCs w:val="24"/>
        </w:rPr>
        <w:t>92</w:t>
      </w:r>
      <w:r w:rsidR="007C0314" w:rsidRPr="00D44D33">
        <w:rPr>
          <w:rFonts w:ascii="Times New Roman" w:hAnsi="Times New Roman" w:cs="Times New Roman"/>
          <w:sz w:val="24"/>
          <w:szCs w:val="24"/>
        </w:rPr>
        <w:t>–</w:t>
      </w:r>
      <w:r w:rsidR="00F00CE0" w:rsidRPr="00D44D33">
        <w:rPr>
          <w:rFonts w:ascii="Times New Roman" w:hAnsi="Times New Roman" w:cs="Times New Roman"/>
          <w:b/>
          <w:bCs/>
          <w:sz w:val="24"/>
          <w:szCs w:val="24"/>
        </w:rPr>
        <w:t>19</w:t>
      </w:r>
      <w:r w:rsidR="009C6CA7" w:rsidRPr="00D44D33">
        <w:rPr>
          <w:rFonts w:ascii="Times New Roman" w:hAnsi="Times New Roman" w:cs="Times New Roman"/>
          <w:b/>
          <w:bCs/>
          <w:sz w:val="24"/>
          <w:szCs w:val="24"/>
        </w:rPr>
        <w:t>6</w:t>
      </w:r>
    </w:p>
    <w:p w14:paraId="52152784" w14:textId="7A0CE03B" w:rsidR="00081F63" w:rsidRPr="00D44D33" w:rsidRDefault="00505C86" w:rsidP="00D44D33">
      <w:pPr>
        <w:shd w:val="clear" w:color="auto" w:fill="FFFFFF"/>
        <w:spacing w:before="120" w:after="120" w:line="360" w:lineRule="auto"/>
        <w:jc w:val="both"/>
        <w:rPr>
          <w:rFonts w:ascii="Times New Roman" w:eastAsia="Times New Roman" w:hAnsi="Times New Roman" w:cs="Times New Roman"/>
          <w:sz w:val="24"/>
          <w:szCs w:val="24"/>
          <w:lang w:eastAsia="pl-PL"/>
        </w:rPr>
      </w:pP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C6CA7" w:rsidRPr="00D44D33">
        <w:rPr>
          <w:rFonts w:ascii="Times New Roman" w:hAnsi="Times New Roman" w:cs="Times New Roman"/>
          <w:sz w:val="24"/>
          <w:szCs w:val="24"/>
        </w:rPr>
        <w:t>92</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przesądza,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E30D88" w:rsidRPr="00D44D33">
        <w:rPr>
          <w:rFonts w:ascii="Times New Roman" w:hAnsi="Times New Roman" w:cs="Times New Roman"/>
          <w:sz w:val="24"/>
          <w:szCs w:val="24"/>
        </w:rPr>
        <w:t>obszarowej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stosuje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odpowiednio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przepisy</w:t>
      </w:r>
      <w:r w:rsidR="00EB16C7" w:rsidRPr="00D44D33">
        <w:rPr>
          <w:rFonts w:ascii="Times New Roman" w:hAnsi="Times New Roman" w:cs="Times New Roman"/>
          <w:sz w:val="24"/>
          <w:szCs w:val="24"/>
        </w:rPr>
        <w:t xml:space="preserve"> kpa</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„Odpowiednie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stosowanie”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stosowanie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przepisów</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oznacza,</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przepisy</w:t>
      </w:r>
      <w:r w:rsidR="00970B2E" w:rsidRPr="00D44D33">
        <w:rPr>
          <w:rFonts w:ascii="Times New Roman" w:hAnsi="Times New Roman" w:cs="Times New Roman"/>
          <w:sz w:val="24"/>
          <w:szCs w:val="24"/>
        </w:rPr>
        <w:t xml:space="preserve"> </w:t>
      </w:r>
      <w:r w:rsidR="00EB16C7" w:rsidRPr="00D44D33">
        <w:rPr>
          <w:rFonts w:ascii="Times New Roman" w:hAnsi="Times New Roman" w:cs="Times New Roman"/>
          <w:sz w:val="24"/>
          <w:szCs w:val="24"/>
        </w:rPr>
        <w:t>k</w:t>
      </w:r>
      <w:r w:rsidR="00081F63" w:rsidRPr="00D44D33">
        <w:rPr>
          <w:rFonts w:ascii="Times New Roman" w:hAnsi="Times New Roman" w:cs="Times New Roman"/>
          <w:sz w:val="24"/>
          <w:szCs w:val="24"/>
        </w:rPr>
        <w:t>pa</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stosowane: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wprost;</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modyfikacjami</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(ponieważ</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możliwe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stosowanie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ich</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całości</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wprost)</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mają</w:t>
      </w:r>
      <w:r w:rsidR="00970B2E" w:rsidRPr="00D44D33">
        <w:rPr>
          <w:rFonts w:ascii="Times New Roman" w:hAnsi="Times New Roman" w:cs="Times New Roman"/>
          <w:sz w:val="24"/>
          <w:szCs w:val="24"/>
        </w:rPr>
        <w:t xml:space="preserve"> </w:t>
      </w:r>
      <w:r w:rsidR="00081F63" w:rsidRPr="00D44D33">
        <w:rPr>
          <w:rFonts w:ascii="Times New Roman" w:hAnsi="Times New Roman" w:cs="Times New Roman"/>
          <w:sz w:val="24"/>
          <w:szCs w:val="24"/>
        </w:rPr>
        <w:t>zastosowania.</w:t>
      </w:r>
    </w:p>
    <w:p w14:paraId="1099CDB2" w14:textId="19204A01" w:rsidR="00505C86" w:rsidRPr="00D44D33" w:rsidRDefault="00505C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846D9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193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193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przeglądu,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182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modyfikacjami,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p>
    <w:p w14:paraId="7774D7DD" w14:textId="230D55E6" w:rsidR="00505C86" w:rsidRPr="00D44D33" w:rsidRDefault="23E5E14D"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A52CDFD" w:rsidRPr="00D44D33">
        <w:rPr>
          <w:rFonts w:ascii="Times New Roman" w:hAnsi="Times New Roman" w:cs="Times New Roman"/>
          <w:sz w:val="24"/>
          <w:szCs w:val="24"/>
        </w:rPr>
        <w:t>dotyczące</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określonego</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obszaru</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nieokreślonej</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liczby</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podmiotów,</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którego</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stosuje</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odpowiednio</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przepisy</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1</w:t>
      </w:r>
      <w:r w:rsidR="009C6CA7" w:rsidRPr="00D44D33">
        <w:rPr>
          <w:rFonts w:ascii="Times New Roman" w:hAnsi="Times New Roman" w:cs="Times New Roman"/>
          <w:sz w:val="24"/>
          <w:szCs w:val="24"/>
        </w:rPr>
        <w:t>94</w:t>
      </w:r>
      <w:r w:rsidR="007C0314" w:rsidRPr="00D44D33">
        <w:rPr>
          <w:rFonts w:ascii="Times New Roman" w:hAnsi="Times New Roman" w:cs="Times New Roman"/>
          <w:sz w:val="24"/>
          <w:szCs w:val="24"/>
        </w:rPr>
        <w:t>–</w:t>
      </w:r>
      <w:r w:rsidR="009C6CA7" w:rsidRPr="00D44D33">
        <w:rPr>
          <w:rFonts w:ascii="Times New Roman" w:hAnsi="Times New Roman" w:cs="Times New Roman"/>
          <w:sz w:val="24"/>
          <w:szCs w:val="24"/>
        </w:rPr>
        <w:t>196</w:t>
      </w:r>
      <w:r w:rsidR="00970B2E" w:rsidRPr="00D44D33">
        <w:rPr>
          <w:rFonts w:ascii="Times New Roman" w:hAnsi="Times New Roman" w:cs="Times New Roman"/>
          <w:sz w:val="24"/>
          <w:szCs w:val="24"/>
        </w:rPr>
        <w:t xml:space="preserve"> </w:t>
      </w:r>
      <w:r w:rsidR="43404BD5"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1A52CDFD"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EB16C7" w:rsidRPr="00D44D33">
        <w:rPr>
          <w:rFonts w:ascii="Times New Roman" w:hAnsi="Times New Roman" w:cs="Times New Roman"/>
          <w:sz w:val="24"/>
          <w:szCs w:val="24"/>
        </w:rPr>
        <w:t>k</w:t>
      </w:r>
      <w:r w:rsidR="1A52CDFD" w:rsidRPr="00D44D33">
        <w:rPr>
          <w:rFonts w:ascii="Times New Roman" w:hAnsi="Times New Roman" w:cs="Times New Roman"/>
          <w:sz w:val="24"/>
          <w:szCs w:val="24"/>
        </w:rPr>
        <w:t>pa</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więc</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swoiste</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postanowienie</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obszarowe</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charakterze</w:t>
      </w:r>
      <w:r w:rsidR="00970B2E" w:rsidRPr="00D44D33">
        <w:rPr>
          <w:rFonts w:ascii="Times New Roman" w:hAnsi="Times New Roman" w:cs="Times New Roman"/>
          <w:sz w:val="24"/>
          <w:szCs w:val="24"/>
        </w:rPr>
        <w:t xml:space="preserve"> </w:t>
      </w:r>
      <w:r w:rsidR="000306CC" w:rsidRPr="00D44D33">
        <w:rPr>
          <w:rFonts w:ascii="Times New Roman" w:hAnsi="Times New Roman" w:cs="Times New Roman"/>
          <w:sz w:val="24"/>
          <w:szCs w:val="24"/>
        </w:rPr>
        <w:t>generalnym)</w:t>
      </w:r>
      <w:r w:rsidR="1A52CDFD" w:rsidRPr="00D44D33">
        <w:rPr>
          <w:rFonts w:ascii="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obszarowej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przegląd</w:t>
      </w:r>
      <w:r w:rsidR="000306CC"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obszarowych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zrealizowany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przeglądem</w:t>
      </w:r>
      <w:r w:rsidR="00EB16C7" w:rsidRPr="00D44D33">
        <w:rPr>
          <w:rFonts w:ascii="Times New Roman" w:eastAsiaTheme="minorEastAsia" w:hAnsi="Times New Roman" w:cs="Times New Roman"/>
          <w:sz w:val="24"/>
          <w:szCs w:val="24"/>
        </w:rPr>
        <w:t>,</w:t>
      </w:r>
    </w:p>
    <w:p w14:paraId="588A2DF3" w14:textId="6CC55B3D" w:rsidR="00A921A9" w:rsidRPr="00D44D33" w:rsidRDefault="00505C86"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(zamiast</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indywidualnej)</w:t>
      </w:r>
      <w:r w:rsidRPr="00D44D33">
        <w:rPr>
          <w:rFonts w:ascii="Times New Roman" w:eastAsiaTheme="minorEastAsia" w:hAnsi="Times New Roman" w:cs="Times New Roman"/>
          <w:sz w:val="24"/>
          <w:szCs w:val="24"/>
        </w:rPr>
        <w:t>.</w:t>
      </w:r>
    </w:p>
    <w:p w14:paraId="48119613" w14:textId="45F067E0" w:rsidR="00BB5C0E"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306CC" w:rsidRPr="00D44D33">
        <w:rPr>
          <w:rFonts w:ascii="Times New Roman" w:eastAsiaTheme="minorEastAsia" w:hAnsi="Times New Roman" w:cs="Times New Roman"/>
          <w:sz w:val="24"/>
          <w:szCs w:val="24"/>
        </w:rPr>
        <w:t>obszarowej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cechy,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odmienności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ogólnego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w:t>
      </w:r>
      <w:r w:rsidR="00EB16C7" w:rsidRPr="00D44D33">
        <w:rPr>
          <w:rFonts w:ascii="Times New Roman" w:eastAsiaTheme="minorEastAsia" w:hAnsi="Times New Roman" w:cs="Times New Roman"/>
          <w:sz w:val="24"/>
          <w:szCs w:val="24"/>
        </w:rPr>
        <w:t>ę</w:t>
      </w:r>
      <w:r w:rsidRPr="00D44D33">
        <w:rPr>
          <w:rFonts w:ascii="Times New Roman" w:eastAsiaTheme="minorEastAsia" w:hAnsi="Times New Roman" w:cs="Times New Roman"/>
          <w:sz w:val="24"/>
          <w:szCs w:val="24"/>
        </w:rPr>
        <w:t>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klasycznego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wyjaśniającego,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dojść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zidentyfikowania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skutkowałoby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wadliwością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505C86"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skonstruowane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dowiedzieć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wszczęciu</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rozpoczęciu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przygotowanie</w:t>
      </w:r>
      <w:r w:rsidR="00BB5C0E"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postepowania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wyjaśniającego.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C6CA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194</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opublikować</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00B36B9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36B93"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B36B93"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UKE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Obwieszczenie</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o:</w:t>
      </w:r>
    </w:p>
    <w:p w14:paraId="65B725BA" w14:textId="32CDE846" w:rsidR="00BB5C0E" w:rsidRPr="00D44D33" w:rsidRDefault="00BB5C0E" w:rsidP="00D44D33">
      <w:pPr>
        <w:numPr>
          <w:ilvl w:val="0"/>
          <w:numId w:val="48"/>
        </w:num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przystąpieniu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opracowania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obszarowej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założeniach</w:t>
      </w:r>
      <w:r w:rsidR="00EB16C7" w:rsidRPr="00D44D33">
        <w:rPr>
          <w:rFonts w:ascii="Times New Roman" w:eastAsiaTheme="minorEastAsia" w:hAnsi="Times New Roman" w:cs="Times New Roman"/>
          <w:sz w:val="24"/>
          <w:szCs w:val="24"/>
        </w:rPr>
        <w:t>,</w:t>
      </w:r>
    </w:p>
    <w:p w14:paraId="3E2F2DB5" w14:textId="20548E7D" w:rsidR="00BB5C0E" w:rsidRPr="00D44D33" w:rsidRDefault="00BB5C0E" w:rsidP="00D44D33">
      <w:pPr>
        <w:numPr>
          <w:ilvl w:val="0"/>
          <w:numId w:val="48"/>
        </w:num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sposobie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wglądu</w:t>
      </w:r>
      <w:r w:rsidR="00EB16C7" w:rsidRPr="00D44D33">
        <w:rPr>
          <w:rFonts w:ascii="Times New Roman" w:eastAsiaTheme="minorEastAsia" w:hAnsi="Times New Roman" w:cs="Times New Roman"/>
          <w:sz w:val="24"/>
          <w:szCs w:val="24"/>
        </w:rPr>
        <w:t>,</w:t>
      </w:r>
    </w:p>
    <w:p w14:paraId="32F94A21" w14:textId="54AF65D4" w:rsidR="00BB5C0E" w:rsidRPr="00D44D33" w:rsidRDefault="00BB5C0E" w:rsidP="00D44D33">
      <w:pPr>
        <w:numPr>
          <w:ilvl w:val="0"/>
          <w:numId w:val="48"/>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uprawnieniu</w:t>
      </w:r>
      <w:r w:rsidR="00970B2E" w:rsidRPr="00D44D33">
        <w:rPr>
          <w:rFonts w:ascii="Times New Roman" w:eastAsiaTheme="minorEastAsia" w:hAnsi="Times New Roman" w:cs="Times New Roman"/>
          <w:sz w:val="24"/>
          <w:szCs w:val="24"/>
        </w:rPr>
        <w:t xml:space="preserve"> </w:t>
      </w:r>
      <w:r w:rsidR="000D0B7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stanowisk,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p>
    <w:p w14:paraId="209D9182" w14:textId="66EB08B5" w:rsidR="00E36BB3"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transparentności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00FA26AE"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E36BB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194</w:t>
      </w:r>
      <w:r w:rsidR="00970B2E" w:rsidRPr="00D44D33">
        <w:rPr>
          <w:rFonts w:ascii="Times New Roman" w:eastAsiaTheme="minorEastAsia" w:hAnsi="Times New Roman" w:cs="Times New Roman"/>
          <w:sz w:val="24"/>
          <w:szCs w:val="24"/>
        </w:rPr>
        <w:t xml:space="preserve"> </w:t>
      </w:r>
      <w:r w:rsidR="00FA26A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A26AE" w:rsidRPr="00D44D33">
        <w:rPr>
          <w:rFonts w:ascii="Times New Roman" w:eastAsiaTheme="minorEastAsia" w:hAnsi="Times New Roman" w:cs="Times New Roman"/>
          <w:sz w:val="24"/>
          <w:szCs w:val="24"/>
        </w:rPr>
        <w:t>2</w:t>
      </w:r>
      <w:r w:rsidR="00EB16C7" w:rsidRPr="00D44D33">
        <w:rPr>
          <w:rFonts w:ascii="Times New Roman" w:hAnsi="Times New Roman" w:cs="Times New Roman"/>
          <w:sz w:val="24"/>
          <w:szCs w:val="24"/>
        </w:rPr>
        <w:t xml:space="preserve"> i </w:t>
      </w:r>
      <w:r w:rsidR="00FA26AE"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FA26AE"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w:t>
      </w:r>
      <w:r w:rsidR="00FA26AE"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właściwego,</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względu</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obszar</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objęty</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decyzją</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obszarową</w:t>
      </w:r>
      <w:r w:rsidR="00BB5C0E"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urzędu</w:t>
      </w:r>
      <w:r w:rsidR="00970B2E" w:rsidRPr="00D44D33">
        <w:rPr>
          <w:rFonts w:ascii="Times New Roman" w:hAnsi="Times New Roman" w:cs="Times New Roman"/>
          <w:sz w:val="24"/>
          <w:szCs w:val="24"/>
        </w:rPr>
        <w:t xml:space="preserve"> </w:t>
      </w:r>
      <w:r w:rsidR="004270E2" w:rsidRPr="00D44D33">
        <w:rPr>
          <w:rFonts w:ascii="Times New Roman" w:hAnsi="Times New Roman" w:cs="Times New Roman"/>
          <w:sz w:val="24"/>
          <w:szCs w:val="24"/>
        </w:rPr>
        <w:t>wojewódzkiego.</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obwieszczenie</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przekazuje</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wojewodzie</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00FA26AE" w:rsidRPr="00D44D33">
        <w:rPr>
          <w:rFonts w:ascii="Times New Roman"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FA26AE"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wykracza</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obszar</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województwa,</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wojewodów,</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ciąży</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BB5C0E"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00B36B9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36B93"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B36B93"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wojewódzkiego</w:t>
      </w:r>
      <w:r w:rsidR="00BB5C0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57E3E092" w14:textId="47E2A660" w:rsidR="002D352F" w:rsidRPr="00D44D33" w:rsidRDefault="009471E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niebędący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gospodarzem,</w:t>
      </w:r>
      <w:r w:rsidR="00970B2E" w:rsidRPr="00D44D33">
        <w:rPr>
          <w:rFonts w:ascii="Times New Roman" w:eastAsiaTheme="minorEastAsia" w:hAnsi="Times New Roman" w:cs="Times New Roman"/>
          <w:sz w:val="24"/>
          <w:szCs w:val="24"/>
        </w:rPr>
        <w:t xml:space="preserve"> </w:t>
      </w:r>
      <w:r w:rsidR="00FA26AE"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w:t>
      </w:r>
      <w:r w:rsidR="00EB16C7"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EB16C7" w:rsidRPr="00D44D33">
        <w:rPr>
          <w:rFonts w:ascii="Times New Roman" w:hAnsi="Times New Roman" w:cs="Times New Roman"/>
          <w:sz w:val="24"/>
          <w:szCs w:val="24"/>
        </w:rPr>
        <w:t xml:space="preserve"> i </w:t>
      </w:r>
      <w:r w:rsidR="00FA26AE"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w:t>
      </w:r>
      <w:r w:rsidR="00FA26AE"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skutki</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późniejszego,</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zakładany</w:t>
      </w:r>
      <w:r w:rsidR="00970B2E" w:rsidRPr="00D44D33">
        <w:rPr>
          <w:rFonts w:ascii="Times New Roman" w:eastAsiaTheme="minorEastAsia" w:hAnsi="Times New Roman" w:cs="Times New Roman"/>
          <w:sz w:val="24"/>
          <w:szCs w:val="24"/>
        </w:rPr>
        <w:t xml:space="preserve"> </w:t>
      </w:r>
      <w:r w:rsidR="003E5F0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opublikowania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wojewodę</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wyróżnić</w:t>
      </w:r>
      <w:r w:rsidR="00970B2E" w:rsidRPr="00D44D33">
        <w:rPr>
          <w:rFonts w:ascii="Times New Roman" w:eastAsiaTheme="minorEastAsia" w:hAnsi="Times New Roman" w:cs="Times New Roman"/>
          <w:sz w:val="24"/>
          <w:szCs w:val="24"/>
        </w:rPr>
        <w:t xml:space="preserve"> </w:t>
      </w:r>
      <w:r w:rsidR="00EB16C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istotnie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różne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sytuacje:</w:t>
      </w:r>
    </w:p>
    <w:p w14:paraId="5C2B31A8" w14:textId="061C8EA6" w:rsidR="002E362E" w:rsidRPr="00D44D33" w:rsidRDefault="002E362E" w:rsidP="00D44D33">
      <w:pPr>
        <w:pStyle w:val="Akapitzlist"/>
        <w:numPr>
          <w:ilvl w:val="0"/>
          <w:numId w:val="90"/>
        </w:num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o</w:t>
      </w:r>
      <w:r w:rsidR="002D352F" w:rsidRPr="00D44D33">
        <w:rPr>
          <w:rFonts w:ascii="Times New Roman" w:eastAsiaTheme="minorEastAsia" w:hAnsi="Times New Roman" w:cs="Times New Roman"/>
          <w:sz w:val="24"/>
          <w:szCs w:val="24"/>
        </w:rPr>
        <w:t>publikowani</w:t>
      </w:r>
      <w:r w:rsidR="00546378"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momentu</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2D352F" w:rsidRPr="00D44D33">
        <w:rPr>
          <w:rFonts w:ascii="Times New Roman" w:hAnsi="Times New Roman" w:cs="Times New Roman"/>
          <w:sz w:val="24"/>
          <w:szCs w:val="24"/>
        </w:rPr>
        <w:t>podmiotowej</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Biuletynu</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Publicznej</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właściwego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miejscowo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urzędu</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wojewódzkiego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ostatniego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uprawniającego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składania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stanowisk</w:t>
      </w:r>
      <w:r w:rsidR="00970B2E" w:rsidRPr="00D44D33">
        <w:rPr>
          <w:rFonts w:ascii="Times New Roman" w:hAnsi="Times New Roman" w:cs="Times New Roman"/>
          <w:sz w:val="24"/>
          <w:szCs w:val="24"/>
        </w:rPr>
        <w:t xml:space="preserve"> </w:t>
      </w:r>
      <w:r w:rsidR="00546378" w:rsidRPr="00D44D33">
        <w:rPr>
          <w:rFonts w:ascii="Times New Roman" w:hAnsi="Times New Roman" w:cs="Times New Roman"/>
          <w:sz w:val="24"/>
          <w:szCs w:val="24"/>
        </w:rPr>
        <w:t>p</w:t>
      </w:r>
      <w:r w:rsidRPr="00D44D33">
        <w:rPr>
          <w:rFonts w:ascii="Times New Roman" w:hAnsi="Times New Roman" w:cs="Times New Roman"/>
          <w:sz w:val="24"/>
          <w:szCs w:val="24"/>
        </w:rPr>
        <w:t>ozosta</w:t>
      </w:r>
      <w:r w:rsidR="008C7594" w:rsidRPr="00D44D33">
        <w:rPr>
          <w:rFonts w:ascii="Times New Roman" w:hAnsi="Times New Roman" w:cs="Times New Roman"/>
          <w:sz w:val="24"/>
          <w:szCs w:val="24"/>
        </w:rPr>
        <w:t>ło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najmniej</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30</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dni.</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546378"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546378"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obwieszczenie</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skuteczne,</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termin</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składanie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stanowisk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ulega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wydłużeniu;</w:t>
      </w:r>
    </w:p>
    <w:p w14:paraId="001CD419" w14:textId="5D1588D7" w:rsidR="002D352F" w:rsidRPr="00D44D33" w:rsidRDefault="002E362E" w:rsidP="00D44D33">
      <w:pPr>
        <w:pStyle w:val="Akapitzlist"/>
        <w:numPr>
          <w:ilvl w:val="0"/>
          <w:numId w:val="90"/>
        </w:num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o</w:t>
      </w:r>
      <w:r w:rsidR="002D352F" w:rsidRPr="00D44D33">
        <w:rPr>
          <w:rFonts w:ascii="Times New Roman" w:eastAsiaTheme="minorEastAsia" w:hAnsi="Times New Roman" w:cs="Times New Roman"/>
          <w:sz w:val="24"/>
          <w:szCs w:val="24"/>
        </w:rPr>
        <w:t>publikowani</w:t>
      </w:r>
      <w:r w:rsidR="00546378"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zwłokę</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wojewody</w:t>
      </w:r>
      <w:r w:rsidR="00970B2E" w:rsidRPr="00D44D33">
        <w:rPr>
          <w:rFonts w:ascii="Times New Roman" w:eastAsiaTheme="minorEastAsia" w:hAnsi="Times New Roman" w:cs="Times New Roman"/>
          <w:sz w:val="24"/>
          <w:szCs w:val="24"/>
        </w:rPr>
        <w:t xml:space="preserve"> </w:t>
      </w:r>
      <w:r w:rsidR="008C759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2D352F" w:rsidRPr="00D44D33">
        <w:rPr>
          <w:rFonts w:ascii="Times New Roman" w:eastAsiaTheme="minorEastAsia" w:hAnsi="Times New Roman" w:cs="Times New Roman"/>
          <w:sz w:val="24"/>
          <w:szCs w:val="24"/>
        </w:rPr>
        <w:t>w</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momentu</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jego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publikacji</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stronie</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podmiotowej</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Biuletynu</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Publicznej</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właściwego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miejscowo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urzędu</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wojewódzkiego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ostatniego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uprawniającego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składania</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stanowisk</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p</w:t>
      </w:r>
      <w:r w:rsidRPr="00D44D33">
        <w:rPr>
          <w:rFonts w:ascii="Times New Roman" w:hAnsi="Times New Roman" w:cs="Times New Roman"/>
          <w:sz w:val="24"/>
          <w:szCs w:val="24"/>
        </w:rPr>
        <w:t>ozostało</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29</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dni</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2D352F" w:rsidRPr="00D44D33">
        <w:rPr>
          <w:rFonts w:ascii="Times New Roman" w:hAnsi="Times New Roman" w:cs="Times New Roman"/>
          <w:sz w:val="24"/>
          <w:szCs w:val="24"/>
        </w:rPr>
        <w:t>mniej.</w:t>
      </w:r>
      <w:r w:rsidR="00970B2E" w:rsidRPr="00D44D33">
        <w:rPr>
          <w:rFonts w:ascii="Times New Roman" w:hAnsi="Times New Roman" w:cs="Times New Roman"/>
          <w:sz w:val="24"/>
          <w:szCs w:val="24"/>
        </w:rPr>
        <w:t xml:space="preserve"> </w:t>
      </w:r>
      <w:r w:rsidR="00546378"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546378"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00546378" w:rsidRPr="00D44D33">
        <w:rPr>
          <w:rFonts w:ascii="Times New Roman" w:hAnsi="Times New Roman" w:cs="Times New Roman"/>
          <w:sz w:val="24"/>
          <w:szCs w:val="24"/>
        </w:rPr>
        <w:t>sytuacji</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termin</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składanie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stanowisk</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ulega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mocy</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prawa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wydłużeniu</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30</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dni</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udostępnienia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obwieszczenia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wojewodę</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podstawie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19</w:t>
      </w:r>
      <w:r w:rsidR="00EB16C7"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Pke;</w:t>
      </w:r>
    </w:p>
    <w:p w14:paraId="6D01834B" w14:textId="1259141C" w:rsidR="00FA26AE" w:rsidRPr="00D44D33" w:rsidRDefault="002E362E" w:rsidP="00D44D33">
      <w:pPr>
        <w:pStyle w:val="Akapitzlist"/>
        <w:numPr>
          <w:ilvl w:val="0"/>
          <w:numId w:val="90"/>
        </w:num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o</w:t>
      </w:r>
      <w:r w:rsidR="008C7594" w:rsidRPr="00D44D33">
        <w:rPr>
          <w:rFonts w:ascii="Times New Roman" w:hAnsi="Times New Roman" w:cs="Times New Roman"/>
          <w:sz w:val="24"/>
          <w:szCs w:val="24"/>
        </w:rPr>
        <w:t>bwieszczenia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udostępnione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wojewodę</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zostało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udostępnione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terminie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uprawniającym</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składania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stanowisk</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wskazanym</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sytuacji</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konieczna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konwalidacja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czynności</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ponowne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udostępnienie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obwieszczenia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ustaleniu</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nowego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terminu</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uprawniającego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składania</w:t>
      </w:r>
      <w:r w:rsidR="00970B2E" w:rsidRPr="00D44D33">
        <w:rPr>
          <w:rFonts w:ascii="Times New Roman" w:hAnsi="Times New Roman" w:cs="Times New Roman"/>
          <w:sz w:val="24"/>
          <w:szCs w:val="24"/>
        </w:rPr>
        <w:t xml:space="preserve"> </w:t>
      </w:r>
      <w:r w:rsidR="008C7594" w:rsidRPr="00D44D33">
        <w:rPr>
          <w:rFonts w:ascii="Times New Roman" w:hAnsi="Times New Roman" w:cs="Times New Roman"/>
          <w:sz w:val="24"/>
          <w:szCs w:val="24"/>
        </w:rPr>
        <w:t>stanowisk</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19</w:t>
      </w:r>
      <w:r w:rsidR="00EB16C7"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19</w:t>
      </w:r>
      <w:r w:rsidR="00EB16C7"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7C0314" w:rsidRPr="00D44D33">
        <w:rPr>
          <w:rFonts w:ascii="Times New Roman" w:hAnsi="Times New Roman" w:cs="Times New Roman"/>
          <w:sz w:val="24"/>
          <w:szCs w:val="24"/>
        </w:rPr>
        <w:t>–</w:t>
      </w:r>
      <w:r w:rsidRPr="00D44D33">
        <w:rPr>
          <w:rFonts w:ascii="Times New Roman" w:eastAsiaTheme="minorEastAsia" w:hAnsi="Times New Roman" w:cs="Times New Roman"/>
          <w:sz w:val="24"/>
          <w:szCs w:val="24"/>
        </w:rPr>
        <w:t>5.</w:t>
      </w:r>
    </w:p>
    <w:p w14:paraId="6E16C7A2" w14:textId="15746276" w:rsidR="004270E2" w:rsidRPr="00D44D33" w:rsidRDefault="002E362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Opisana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zastępuje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wyłącza)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indywidualnego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00160A4D"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332150" w:rsidRPr="00D44D33">
        <w:rPr>
          <w:rFonts w:ascii="Times New Roman" w:eastAsiaTheme="minorEastAsia" w:hAnsi="Times New Roman" w:cs="Times New Roman"/>
          <w:i/>
          <w:iCs/>
          <w:sz w:val="24"/>
          <w:szCs w:val="24"/>
        </w:rPr>
        <w:t>lex</w:t>
      </w:r>
      <w:r w:rsidR="00970B2E" w:rsidRPr="00D44D33">
        <w:rPr>
          <w:rFonts w:ascii="Times New Roman" w:eastAsiaTheme="minorEastAsia" w:hAnsi="Times New Roman" w:cs="Times New Roman"/>
          <w:i/>
          <w:iCs/>
          <w:sz w:val="24"/>
          <w:szCs w:val="24"/>
        </w:rPr>
        <w:t xml:space="preserve"> </w:t>
      </w:r>
      <w:r w:rsidR="00332150" w:rsidRPr="00D44D33">
        <w:rPr>
          <w:rFonts w:ascii="Times New Roman" w:eastAsiaTheme="minorEastAsia" w:hAnsi="Times New Roman" w:cs="Times New Roman"/>
          <w:i/>
          <w:iCs/>
          <w:sz w:val="24"/>
          <w:szCs w:val="24"/>
        </w:rPr>
        <w:t>speci</w:t>
      </w:r>
      <w:r w:rsidR="00160A4D" w:rsidRPr="00D44D33">
        <w:rPr>
          <w:rFonts w:ascii="Times New Roman" w:eastAsiaTheme="minorEastAsia" w:hAnsi="Times New Roman" w:cs="Times New Roman"/>
          <w:i/>
          <w:iCs/>
          <w:sz w:val="24"/>
          <w:szCs w:val="24"/>
        </w:rPr>
        <w:t>ali</w:t>
      </w:r>
      <w:r w:rsidR="00160A4D" w:rsidRPr="00D44D33">
        <w:rPr>
          <w:rFonts w:ascii="Times New Roman" w:eastAsiaTheme="minorEastAsia" w:hAnsi="Times New Roman" w:cs="Times New Roman"/>
          <w:sz w:val="24"/>
          <w:szCs w:val="24"/>
        </w:rPr>
        <w:t>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160A4D" w:rsidRPr="00D44D33">
        <w:rPr>
          <w:rFonts w:ascii="Times New Roman" w:eastAsiaTheme="minorEastAsia" w:hAnsi="Times New Roman" w:cs="Times New Roman"/>
          <w:sz w:val="24"/>
          <w:szCs w:val="24"/>
        </w:rPr>
        <w:t>odyfikacji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ulega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prowadzeni</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post</w:t>
      </w:r>
      <w:r w:rsidR="00150A1F" w:rsidRPr="00D44D33">
        <w:rPr>
          <w:rFonts w:ascii="Times New Roman" w:eastAsiaTheme="minorEastAsia" w:hAnsi="Times New Roman" w:cs="Times New Roman"/>
          <w:sz w:val="24"/>
          <w:szCs w:val="24"/>
        </w:rPr>
        <w:t>ę</w:t>
      </w:r>
      <w:r w:rsidR="00160A4D" w:rsidRPr="00D44D33">
        <w:rPr>
          <w:rFonts w:ascii="Times New Roman" w:eastAsiaTheme="minorEastAsia" w:hAnsi="Times New Roman" w:cs="Times New Roman"/>
          <w:sz w:val="24"/>
          <w:szCs w:val="24"/>
        </w:rPr>
        <w:t>powania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wyjaśniającego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(dowodowego)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C6CA7" w:rsidRPr="00D44D33">
        <w:rPr>
          <w:rFonts w:ascii="Times New Roman" w:eastAsiaTheme="minorEastAsia" w:hAnsi="Times New Roman" w:cs="Times New Roman"/>
          <w:sz w:val="24"/>
          <w:szCs w:val="24"/>
        </w:rPr>
        <w:t>194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stosownych</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konsolidacyjnego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w:t>
      </w:r>
      <w:r w:rsidR="00150A1F" w:rsidRPr="00D44D33">
        <w:rPr>
          <w:rFonts w:ascii="Times New Roman" w:eastAsiaTheme="minorEastAsia" w:hAnsi="Times New Roman" w:cs="Times New Roman"/>
          <w:sz w:val="24"/>
          <w:szCs w:val="24"/>
        </w:rPr>
        <w:t>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spełniając</w:t>
      </w:r>
      <w:r w:rsidR="00150A1F"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wymagani</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wynikając</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EKŁE.</w:t>
      </w:r>
    </w:p>
    <w:p w14:paraId="7AF595F2" w14:textId="70822FDC" w:rsidR="00801D96" w:rsidRPr="00D44D33" w:rsidRDefault="002E362E" w:rsidP="00D44D33">
      <w:p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160A4D" w:rsidRPr="00D44D33">
        <w:rPr>
          <w:rFonts w:ascii="Times New Roman" w:eastAsiaTheme="minorEastAsia" w:hAnsi="Times New Roman" w:cs="Times New Roman"/>
          <w:sz w:val="24"/>
          <w:szCs w:val="24"/>
        </w:rPr>
        <w:t>ażdy</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zainteresowany</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złożyć</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stanowisk</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krótszym</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95</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471EA" w:rsidRPr="00D44D33">
        <w:rPr>
          <w:rFonts w:ascii="Times New Roman" w:eastAsiaTheme="minorEastAsia" w:hAnsi="Times New Roman" w:cs="Times New Roman"/>
          <w:sz w:val="24"/>
          <w:szCs w:val="24"/>
        </w:rPr>
        <w:t>)</w:t>
      </w:r>
      <w:r w:rsidR="004270E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95</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2</w:t>
      </w:r>
      <w:r w:rsidR="00801D9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udostępnia</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raport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złożonych</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stanowisk,</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główne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zawarte.</w:t>
      </w:r>
      <w:r w:rsidR="00371EEA">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stosownych</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zwolniony</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wysłuchania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stron</w:t>
      </w:r>
      <w:r w:rsidR="00150A1F" w:rsidRPr="00D44D33">
        <w:rPr>
          <w:rFonts w:ascii="Times New Roman" w:eastAsiaTheme="minorEastAsia" w:hAnsi="Times New Roman" w:cs="Times New Roman"/>
          <w:sz w:val="24"/>
          <w:szCs w:val="24"/>
        </w:rPr>
        <w:t>, o której mowa 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00160A4D"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95</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01D96"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i/>
          <w:iCs/>
          <w:sz w:val="24"/>
          <w:szCs w:val="24"/>
        </w:rPr>
        <w:t>lex</w:t>
      </w:r>
      <w:r w:rsidR="00970B2E" w:rsidRPr="00D44D33">
        <w:rPr>
          <w:rFonts w:ascii="Times New Roman" w:eastAsiaTheme="minorEastAsia" w:hAnsi="Times New Roman" w:cs="Times New Roman"/>
          <w:i/>
          <w:iCs/>
          <w:sz w:val="24"/>
          <w:szCs w:val="24"/>
        </w:rPr>
        <w:t xml:space="preserve"> </w:t>
      </w:r>
      <w:r w:rsidR="00160A4D" w:rsidRPr="00D44D33">
        <w:rPr>
          <w:rFonts w:ascii="Times New Roman" w:eastAsiaTheme="minorEastAsia" w:hAnsi="Times New Roman" w:cs="Times New Roman"/>
          <w:i/>
          <w:iCs/>
          <w:sz w:val="24"/>
          <w:szCs w:val="24"/>
        </w:rPr>
        <w:t>specialis</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60A4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00160A4D"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p>
    <w:p w14:paraId="3A866E1C" w14:textId="0F121005" w:rsidR="00801D96" w:rsidRPr="00D44D33" w:rsidRDefault="00160A4D" w:rsidP="00D44D33">
      <w:p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96</w:t>
      </w:r>
      <w:r w:rsidR="00970B2E" w:rsidRPr="00D44D33">
        <w:rPr>
          <w:rFonts w:ascii="Times New Roman" w:eastAsiaTheme="minorEastAsia" w:hAnsi="Times New Roman" w:cs="Times New Roman"/>
          <w:sz w:val="24"/>
          <w:szCs w:val="24"/>
        </w:rPr>
        <w:t xml:space="preserve"> </w:t>
      </w:r>
      <w:r w:rsidR="00801D9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1D96"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skierowanie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Dzienniku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96</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obiektywnej,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zebranego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itp.</w:t>
      </w:r>
      <w:r w:rsidR="00970B2E" w:rsidRPr="00D44D33">
        <w:rPr>
          <w:rFonts w:ascii="Times New Roman" w:eastAsiaTheme="minorEastAsia" w:hAnsi="Times New Roman" w:cs="Times New Roman"/>
          <w:sz w:val="24"/>
          <w:szCs w:val="24"/>
        </w:rPr>
        <w:t xml:space="preserve"> </w:t>
      </w:r>
    </w:p>
    <w:p w14:paraId="523AF220" w14:textId="42FD4996" w:rsidR="00160A4D" w:rsidRPr="00D44D33" w:rsidRDefault="00160A4D" w:rsidP="00D44D33">
      <w:pPr>
        <w:shd w:val="clear" w:color="auto" w:fill="FFFFFF" w:themeFill="background1"/>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Odrębności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150A1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postepowania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postepowaniu.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obwieszczenia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stosownych</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konsolidacyjnego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etapie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77135C" w:rsidRPr="00D44D33">
        <w:rPr>
          <w:rFonts w:ascii="Times New Roman" w:eastAsiaTheme="minorEastAsia" w:hAnsi="Times New Roman" w:cs="Times New Roman"/>
          <w:sz w:val="24"/>
          <w:szCs w:val="24"/>
        </w:rPr>
        <w:t>rozstrzyganej</w:t>
      </w:r>
      <w:r w:rsidR="00970B2E" w:rsidRPr="00D44D33">
        <w:rPr>
          <w:rFonts w:ascii="Times New Roman" w:eastAsiaTheme="minorEastAsia" w:hAnsi="Times New Roman" w:cs="Times New Roman"/>
          <w:sz w:val="24"/>
          <w:szCs w:val="24"/>
        </w:rPr>
        <w:t xml:space="preserve"> </w:t>
      </w:r>
      <w:r w:rsidR="0077135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7135C" w:rsidRPr="00D44D33">
        <w:rPr>
          <w:rFonts w:ascii="Times New Roman" w:eastAsiaTheme="minorEastAsia" w:hAnsi="Times New Roman" w:cs="Times New Roman"/>
          <w:sz w:val="24"/>
          <w:szCs w:val="24"/>
        </w:rPr>
        <w:t>d</w:t>
      </w:r>
      <w:r w:rsidR="008F1090" w:rsidRPr="00D44D33">
        <w:rPr>
          <w:rFonts w:ascii="Times New Roman" w:eastAsiaTheme="minorEastAsia" w:hAnsi="Times New Roman" w:cs="Times New Roman"/>
          <w:sz w:val="24"/>
          <w:szCs w:val="24"/>
        </w:rPr>
        <w:t>r</w:t>
      </w:r>
      <w:r w:rsidR="0077135C" w:rsidRPr="00D44D33">
        <w:rPr>
          <w:rFonts w:ascii="Times New Roman" w:eastAsiaTheme="minorEastAsia" w:hAnsi="Times New Roman" w:cs="Times New Roman"/>
          <w:sz w:val="24"/>
          <w:szCs w:val="24"/>
        </w:rPr>
        <w:t>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77135C" w:rsidRPr="00D44D33">
        <w:rPr>
          <w:rFonts w:ascii="Times New Roman" w:eastAsiaTheme="minorEastAsia" w:hAnsi="Times New Roman" w:cs="Times New Roman"/>
          <w:sz w:val="24"/>
          <w:szCs w:val="24"/>
        </w:rPr>
        <w:t>obszarowej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p>
    <w:p w14:paraId="3A679A2E" w14:textId="506AA8C9" w:rsidR="004660B9" w:rsidRPr="00D44D33" w:rsidRDefault="00160A4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sz w:val="24"/>
          <w:szCs w:val="24"/>
        </w:rPr>
        <w:t>ratio</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legis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77135C" w:rsidRPr="00D44D33">
        <w:rPr>
          <w:rFonts w:ascii="Times New Roman" w:eastAsiaTheme="minorEastAsia" w:hAnsi="Times New Roman" w:cs="Times New Roman"/>
          <w:sz w:val="24"/>
          <w:szCs w:val="24"/>
        </w:rPr>
        <w:t>obszarowej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znaczne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wydłużenie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skargi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801D96" w:rsidRPr="00D44D33">
        <w:rPr>
          <w:rFonts w:ascii="Times New Roman" w:eastAsiaTheme="minorEastAsia" w:hAnsi="Times New Roman" w:cs="Times New Roman"/>
          <w:sz w:val="24"/>
          <w:szCs w:val="24"/>
        </w:rPr>
        <w:t>obszarową</w:t>
      </w:r>
      <w:r w:rsidR="009471E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001F28F0" w:rsidRPr="00D44D33">
        <w:rPr>
          <w:rFonts w:ascii="Times New Roman" w:eastAsiaTheme="minorEastAsia" w:hAnsi="Times New Roman" w:cs="Times New Roman"/>
          <w:sz w:val="24"/>
          <w:szCs w:val="24"/>
        </w:rPr>
        <w:t>dwutygoniowego</w:t>
      </w:r>
      <w:r w:rsidR="00E30D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wynikającego</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30D88" w:rsidRPr="00D44D33">
        <w:rPr>
          <w:rStyle w:val="articletitle"/>
          <w:rFonts w:ascii="Times New Roman" w:hAnsi="Times New Roman" w:cs="Times New Roman"/>
          <w:sz w:val="24"/>
          <w:szCs w:val="24"/>
        </w:rPr>
        <w:t>479</w:t>
      </w:r>
      <w:r w:rsidR="00E30D88" w:rsidRPr="00D44D33">
        <w:rPr>
          <w:rStyle w:val="articletitle"/>
          <w:rFonts w:ascii="Times New Roman" w:hAnsi="Times New Roman" w:cs="Times New Roman"/>
          <w:sz w:val="24"/>
          <w:szCs w:val="24"/>
          <w:vertAlign w:val="superscript"/>
        </w:rPr>
        <w:t>58</w:t>
      </w:r>
      <w:r w:rsidR="00371EEA">
        <w:rPr>
          <w:rStyle w:val="articletitle"/>
          <w:rFonts w:ascii="Times New Roman" w:hAnsi="Times New Roman" w:cs="Times New Roman"/>
          <w:sz w:val="24"/>
          <w:szCs w:val="24"/>
          <w:vertAlign w:val="superscript"/>
        </w:rPr>
        <w:t xml:space="preserve"> </w:t>
      </w:r>
      <w:r w:rsidR="00150A1F" w:rsidRPr="00D44D33">
        <w:rPr>
          <w:rFonts w:ascii="Times New Roman" w:eastAsiaTheme="minorEastAsia" w:hAnsi="Times New Roman" w:cs="Times New Roman"/>
          <w:sz w:val="24"/>
          <w:szCs w:val="24"/>
        </w:rPr>
        <w:t xml:space="preserve">kpc </w:t>
      </w:r>
      <w:r w:rsidR="009471E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471EA" w:rsidRPr="00D44D33">
        <w:rPr>
          <w:rFonts w:ascii="Times New Roman" w:eastAsiaTheme="minorEastAsia" w:hAnsi="Times New Roman" w:cs="Times New Roman"/>
          <w:sz w:val="24"/>
          <w:szCs w:val="24"/>
        </w:rPr>
        <w:t>dwumiesięcznego</w:t>
      </w:r>
      <w:r w:rsidR="00E30D8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a</w:t>
      </w:r>
      <w:r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4270E2" w:rsidRPr="00D44D33">
        <w:rPr>
          <w:rFonts w:ascii="Times New Roman" w:eastAsiaTheme="minorEastAsia" w:hAnsi="Times New Roman" w:cs="Times New Roman"/>
          <w:sz w:val="24"/>
          <w:szCs w:val="24"/>
        </w:rPr>
        <w:t>1</w:t>
      </w:r>
      <w:r w:rsidR="009C6CA7" w:rsidRPr="00D44D33">
        <w:rPr>
          <w:rFonts w:ascii="Times New Roman" w:eastAsiaTheme="minorEastAsia" w:hAnsi="Times New Roman" w:cs="Times New Roman"/>
          <w:sz w:val="24"/>
          <w:szCs w:val="24"/>
        </w:rPr>
        <w:t>96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i/>
          <w:sz w:val="24"/>
          <w:szCs w:val="24"/>
        </w:rPr>
        <w:t>lex</w:t>
      </w:r>
      <w:r w:rsidR="00970B2E" w:rsidRPr="00D44D33">
        <w:rPr>
          <w:rFonts w:ascii="Times New Roman" w:eastAsiaTheme="minorEastAsia" w:hAnsi="Times New Roman" w:cs="Times New Roman"/>
          <w:i/>
          <w:sz w:val="24"/>
          <w:szCs w:val="24"/>
        </w:rPr>
        <w:t xml:space="preserve"> </w:t>
      </w:r>
      <w:r w:rsidR="00E30D88" w:rsidRPr="00D44D33">
        <w:rPr>
          <w:rFonts w:ascii="Times New Roman" w:eastAsiaTheme="minorEastAsia" w:hAnsi="Times New Roman" w:cs="Times New Roman"/>
          <w:i/>
          <w:sz w:val="24"/>
          <w:szCs w:val="24"/>
        </w:rPr>
        <w:t>specialis</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E30D88"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0150A1F" w:rsidRPr="00D44D33">
        <w:rPr>
          <w:rFonts w:ascii="Times New Roman" w:eastAsiaTheme="minorEastAsia" w:hAnsi="Times New Roman" w:cs="Times New Roman"/>
          <w:sz w:val="24"/>
          <w:szCs w:val="24"/>
        </w:rPr>
        <w:t>k</w:t>
      </w:r>
      <w:r w:rsidR="00E30D88" w:rsidRPr="00D44D33">
        <w:rPr>
          <w:rFonts w:ascii="Times New Roman" w:eastAsiaTheme="minorEastAsia" w:hAnsi="Times New Roman" w:cs="Times New Roman"/>
          <w:sz w:val="24"/>
          <w:szCs w:val="24"/>
        </w:rPr>
        <w:t>pc</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skargi</w:t>
      </w:r>
      <w:r w:rsidR="001E642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E642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E642D" w:rsidRPr="00D44D33">
        <w:rPr>
          <w:rFonts w:ascii="Times New Roman" w:hAnsi="Times New Roman" w:cs="Times New Roman"/>
          <w:sz w:val="24"/>
          <w:szCs w:val="24"/>
        </w:rPr>
        <w:t>wniosek</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przywrócenie</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terminu</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złożenie</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odwołania</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niedopusz</w:t>
      </w:r>
      <w:r w:rsidR="009C6CA7" w:rsidRPr="00D44D33">
        <w:rPr>
          <w:rFonts w:ascii="Times New Roman" w:hAnsi="Times New Roman" w:cs="Times New Roman"/>
          <w:sz w:val="24"/>
          <w:szCs w:val="24"/>
        </w:rPr>
        <w:t>czalny</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czym</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przesądza</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9C6CA7" w:rsidRPr="00D44D33">
        <w:rPr>
          <w:rFonts w:ascii="Times New Roman" w:hAnsi="Times New Roman" w:cs="Times New Roman"/>
          <w:sz w:val="24"/>
          <w:szCs w:val="24"/>
        </w:rPr>
        <w:t>196</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skarga</w:t>
      </w:r>
      <w:r w:rsidR="00970B2E" w:rsidRPr="00D44D33">
        <w:rPr>
          <w:rFonts w:ascii="Times New Roman" w:eastAsiaTheme="minorEastAsia" w:hAnsi="Times New Roman" w:cs="Times New Roman"/>
          <w:sz w:val="24"/>
          <w:szCs w:val="24"/>
        </w:rPr>
        <w:t xml:space="preserve"> </w:t>
      </w:r>
      <w:r w:rsidR="00505C86"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odrzuceniu.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w:t>
      </w:r>
      <w:r w:rsidR="001E642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1E642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w:t>
      </w:r>
      <w:r w:rsidR="001E642D"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cywilnoprawne.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t>
      </w:r>
      <w:r w:rsidRPr="00D44D33">
        <w:rPr>
          <w:rFonts w:ascii="Times New Roman" w:eastAsiaTheme="minorEastAsia" w:hAnsi="Times New Roman" w:cs="Times New Roman"/>
          <w:i/>
          <w:sz w:val="24"/>
          <w:szCs w:val="24"/>
        </w:rPr>
        <w:t>x</w:t>
      </w:r>
      <w:r w:rsidR="00970B2E" w:rsidRPr="00D44D33">
        <w:rPr>
          <w:rFonts w:ascii="Times New Roman" w:eastAsiaTheme="minorEastAsia" w:hAnsi="Times New Roman" w:cs="Times New Roman"/>
          <w:i/>
          <w:sz w:val="24"/>
          <w:szCs w:val="24"/>
        </w:rPr>
        <w:t xml:space="preserve"> </w:t>
      </w:r>
      <w:r w:rsidRPr="00D44D33">
        <w:rPr>
          <w:rFonts w:ascii="Times New Roman" w:eastAsiaTheme="minorEastAsia" w:hAnsi="Times New Roman" w:cs="Times New Roman"/>
          <w:i/>
          <w:sz w:val="24"/>
          <w:szCs w:val="24"/>
        </w:rPr>
        <w:t>nun</w:t>
      </w:r>
      <w:r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1E642D" w:rsidRPr="00D44D33">
        <w:rPr>
          <w:rFonts w:ascii="Times New Roman" w:eastAsiaTheme="minorEastAsia" w:hAnsi="Times New Roman" w:cs="Times New Roman"/>
          <w:sz w:val="24"/>
          <w:szCs w:val="24"/>
        </w:rPr>
        <w:t>7-</w:t>
      </w:r>
      <w:r w:rsidRPr="00D44D33">
        <w:rPr>
          <w:rFonts w:ascii="Times New Roman" w:eastAsiaTheme="minorEastAsia" w:hAnsi="Times New Roman" w:cs="Times New Roman"/>
          <w:sz w:val="24"/>
          <w:szCs w:val="24"/>
        </w:rPr>
        <w:t>letniego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sprawiedliwości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niedyskryminacji.</w:t>
      </w:r>
    </w:p>
    <w:p w14:paraId="1C2D32AD" w14:textId="5D077436" w:rsidR="00696205" w:rsidRPr="00D44D33" w:rsidRDefault="009471EA"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0072261D"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odwołanie,</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sąd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zarządza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połączenie</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wszystkich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oddzielnych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spraw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toczących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nim</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dotyczących</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samej</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72261D" w:rsidRPr="00D44D33">
        <w:rPr>
          <w:rFonts w:ascii="Times New Roman" w:hAnsi="Times New Roman" w:cs="Times New Roman"/>
          <w:sz w:val="24"/>
          <w:szCs w:val="24"/>
        </w:rPr>
        <w:t>obszarowej,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łącznego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rozpoznania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rozstrzygnięcia</w:t>
      </w:r>
      <w:r w:rsidR="00970B2E" w:rsidRPr="00D44D33">
        <w:rPr>
          <w:rFonts w:ascii="Times New Roman" w:hAnsi="Times New Roman" w:cs="Times New Roman"/>
          <w:sz w:val="24"/>
          <w:szCs w:val="24"/>
        </w:rPr>
        <w:t xml:space="preserve"> </w:t>
      </w:r>
      <w:r w:rsidR="00FD3C0C"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D3C0C" w:rsidRPr="00D44D33">
        <w:rPr>
          <w:rFonts w:ascii="Times New Roman" w:hAnsi="Times New Roman" w:cs="Times New Roman"/>
          <w:sz w:val="24"/>
          <w:szCs w:val="24"/>
        </w:rPr>
        <w:t>1</w:t>
      </w:r>
      <w:r w:rsidR="009C6CA7" w:rsidRPr="00D44D33">
        <w:rPr>
          <w:rFonts w:ascii="Times New Roman" w:hAnsi="Times New Roman" w:cs="Times New Roman"/>
          <w:sz w:val="24"/>
          <w:szCs w:val="24"/>
        </w:rPr>
        <w:t>96</w:t>
      </w:r>
      <w:r w:rsidR="00970B2E" w:rsidRPr="00D44D33">
        <w:rPr>
          <w:rFonts w:ascii="Times New Roman" w:hAnsi="Times New Roman" w:cs="Times New Roman"/>
          <w:sz w:val="24"/>
          <w:szCs w:val="24"/>
        </w:rPr>
        <w:t xml:space="preserve"> </w:t>
      </w:r>
      <w:r w:rsidR="00FD3C0C"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FD3C0C"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1E642D" w:rsidRPr="00D44D33">
        <w:rPr>
          <w:rFonts w:ascii="Times New Roman" w:hAnsi="Times New Roman" w:cs="Times New Roman"/>
          <w:sz w:val="24"/>
          <w:szCs w:val="24"/>
        </w:rPr>
        <w:t>Pke</w:t>
      </w:r>
      <w:r w:rsidR="00FD3C0C" w:rsidRPr="00D44D33">
        <w:rPr>
          <w:rFonts w:ascii="Times New Roman" w:hAnsi="Times New Roman" w:cs="Times New Roman"/>
          <w:sz w:val="24"/>
          <w:szCs w:val="24"/>
        </w:rPr>
        <w:t>)</w:t>
      </w:r>
      <w:r w:rsidRPr="00D44D33">
        <w:rPr>
          <w:rFonts w:ascii="Times New Roman" w:hAnsi="Times New Roman" w:cs="Times New Roman"/>
          <w:sz w:val="24"/>
          <w:szCs w:val="24"/>
        </w:rPr>
        <w:t>.</w:t>
      </w:r>
    </w:p>
    <w:p w14:paraId="6CCA79E4" w14:textId="127D3082" w:rsidR="007C0314" w:rsidRPr="00D44D33" w:rsidRDefault="00415545" w:rsidP="00D44D33">
      <w:pPr>
        <w:pStyle w:val="TYTDZPRZEDMprzedmiotregulacjitytuulubdziau"/>
        <w:spacing w:after="120"/>
        <w:rPr>
          <w:rFonts w:ascii="Times New Roman" w:eastAsiaTheme="minorEastAsia" w:hAnsi="Times New Roman"/>
          <w:szCs w:val="24"/>
          <w:lang w:eastAsia="en-US"/>
        </w:rPr>
      </w:pPr>
      <w:r w:rsidRPr="00D44D33">
        <w:rPr>
          <w:rFonts w:ascii="Times New Roman" w:eastAsiaTheme="minorEastAsia" w:hAnsi="Times New Roman"/>
          <w:szCs w:val="24"/>
          <w:lang w:eastAsia="en-US"/>
        </w:rPr>
        <w:t>DZIAŁ</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rPr>
        <w:t>IV</w:t>
      </w:r>
    </w:p>
    <w:p w14:paraId="0CFDCDEC" w14:textId="2EB31B63" w:rsidR="00415545" w:rsidRPr="00D44D33" w:rsidRDefault="00415545" w:rsidP="00D44D33">
      <w:pPr>
        <w:pStyle w:val="TYTDZPRZEDMprzedmiotregulacjitytuulubdziau"/>
        <w:spacing w:after="120"/>
        <w:rPr>
          <w:rFonts w:ascii="Times New Roman" w:eastAsiaTheme="minorEastAsia" w:hAnsi="Times New Roman"/>
          <w:szCs w:val="24"/>
          <w:lang w:eastAsia="en-US"/>
        </w:rPr>
      </w:pPr>
      <w:r w:rsidRPr="00D44D33">
        <w:rPr>
          <w:rFonts w:ascii="Times New Roman" w:eastAsiaTheme="minorEastAsia" w:hAnsi="Times New Roman"/>
          <w:szCs w:val="24"/>
          <w:lang w:eastAsia="en-US"/>
        </w:rPr>
        <w:t>Regulowanie</w:t>
      </w:r>
      <w:r w:rsidR="00970B2E" w:rsidRPr="00D44D33">
        <w:rPr>
          <w:rFonts w:ascii="Times New Roman" w:eastAsiaTheme="minorEastAsia" w:hAnsi="Times New Roman"/>
          <w:szCs w:val="24"/>
          <w:lang w:eastAsia="en-US"/>
        </w:rPr>
        <w:t xml:space="preserve"> </w:t>
      </w:r>
      <w:r w:rsidRPr="00D44D33">
        <w:rPr>
          <w:rFonts w:ascii="Times New Roman" w:eastAsiaTheme="minorEastAsia" w:hAnsi="Times New Roman"/>
          <w:szCs w:val="24"/>
          <w:lang w:eastAsia="en-US"/>
        </w:rPr>
        <w:t>rynku</w:t>
      </w:r>
      <w:r w:rsidR="00970B2E" w:rsidRPr="00D44D33">
        <w:rPr>
          <w:rFonts w:ascii="Times New Roman" w:eastAsiaTheme="minorEastAsia" w:hAnsi="Times New Roman"/>
          <w:szCs w:val="24"/>
          <w:lang w:eastAsia="en-US"/>
        </w:rPr>
        <w:t xml:space="preserve"> </w:t>
      </w:r>
      <w:r w:rsidR="00361F99" w:rsidRPr="00D44D33">
        <w:rPr>
          <w:rFonts w:ascii="Times New Roman" w:eastAsiaTheme="minorEastAsia" w:hAnsi="Times New Roman"/>
          <w:szCs w:val="24"/>
          <w:lang w:eastAsia="en-US"/>
        </w:rPr>
        <w:t>komunikacji</w:t>
      </w:r>
      <w:r w:rsidR="00970B2E" w:rsidRPr="00D44D33">
        <w:rPr>
          <w:rFonts w:ascii="Times New Roman" w:eastAsiaTheme="minorEastAsia" w:hAnsi="Times New Roman"/>
          <w:szCs w:val="24"/>
          <w:lang w:eastAsia="en-US"/>
        </w:rPr>
        <w:t xml:space="preserve"> </w:t>
      </w:r>
      <w:r w:rsidR="00361F99" w:rsidRPr="00D44D33">
        <w:rPr>
          <w:rFonts w:ascii="Times New Roman" w:eastAsiaTheme="minorEastAsia" w:hAnsi="Times New Roman"/>
          <w:szCs w:val="24"/>
          <w:lang w:eastAsia="en-US"/>
        </w:rPr>
        <w:t>elektronicznej</w:t>
      </w:r>
    </w:p>
    <w:p w14:paraId="779C6BC8" w14:textId="1DED70A4" w:rsidR="007C0314" w:rsidRPr="00D44D33" w:rsidRDefault="00415545"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150A1F"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1</w:t>
      </w:r>
    </w:p>
    <w:p w14:paraId="7FD19D9D" w14:textId="58A88D60" w:rsidR="00415545" w:rsidRPr="00D44D33" w:rsidRDefault="00415545"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Analiza</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rynków</w:t>
      </w:r>
      <w:r w:rsidR="00B01662" w:rsidRPr="00D44D33">
        <w:rPr>
          <w:rFonts w:ascii="Times New Roman" w:hAnsi="Times New Roman" w:cs="Times New Roman"/>
          <w:b/>
          <w:lang w:eastAsia="en-US"/>
        </w:rPr>
        <w:t xml:space="preserve"> i</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nakładanie</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obowiązków</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regulacyjnych</w:t>
      </w:r>
      <w:r w:rsidR="00970B2E" w:rsidRPr="00D44D33">
        <w:rPr>
          <w:rFonts w:ascii="Times New Roman" w:hAnsi="Times New Roman" w:cs="Times New Roman"/>
          <w:b/>
          <w:lang w:eastAsia="en-US"/>
        </w:rPr>
        <w:t xml:space="preserve"> </w:t>
      </w:r>
      <w:r w:rsidR="00A95006" w:rsidRPr="00D44D33">
        <w:rPr>
          <w:rFonts w:ascii="Times New Roman" w:hAnsi="Times New Roman" w:cs="Times New Roman"/>
          <w:b/>
          <w:lang w:eastAsia="en-US"/>
        </w:rPr>
        <w:t>–</w:t>
      </w:r>
      <w:r w:rsidR="00970B2E" w:rsidRPr="00D44D33">
        <w:rPr>
          <w:rFonts w:ascii="Times New Roman" w:hAnsi="Times New Roman" w:cs="Times New Roman"/>
          <w:b/>
          <w:lang w:eastAsia="en-US"/>
        </w:rPr>
        <w:t xml:space="preserve"> </w:t>
      </w:r>
      <w:r w:rsidR="00A95006" w:rsidRPr="00D44D33">
        <w:rPr>
          <w:rFonts w:ascii="Times New Roman" w:hAnsi="Times New Roman" w:cs="Times New Roman"/>
          <w:b/>
          <w:lang w:eastAsia="en-US"/>
        </w:rPr>
        <w:t>art.</w:t>
      </w:r>
      <w:r w:rsidR="00970B2E" w:rsidRPr="00D44D33">
        <w:rPr>
          <w:rFonts w:ascii="Times New Roman" w:hAnsi="Times New Roman" w:cs="Times New Roman"/>
          <w:b/>
          <w:lang w:eastAsia="en-US"/>
        </w:rPr>
        <w:t xml:space="preserve"> </w:t>
      </w:r>
      <w:r w:rsidR="00666DF9" w:rsidRPr="00D44D33">
        <w:rPr>
          <w:rFonts w:ascii="Times New Roman" w:hAnsi="Times New Roman" w:cs="Times New Roman"/>
          <w:b/>
          <w:lang w:eastAsia="en-US"/>
        </w:rPr>
        <w:t>197</w:t>
      </w:r>
      <w:r w:rsidR="0047172A">
        <w:rPr>
          <w:rFonts w:ascii="Times New Roman" w:hAnsi="Times New Roman" w:cs="Times New Roman"/>
          <w:b/>
          <w:lang w:eastAsia="en-US"/>
        </w:rPr>
        <w:t>–</w:t>
      </w:r>
      <w:r w:rsidR="00B527D3" w:rsidRPr="00D44D33">
        <w:rPr>
          <w:rFonts w:ascii="Times New Roman" w:hAnsi="Times New Roman" w:cs="Times New Roman"/>
          <w:b/>
          <w:lang w:eastAsia="en-US"/>
        </w:rPr>
        <w:t>209</w:t>
      </w:r>
    </w:p>
    <w:p w14:paraId="279889CC" w14:textId="3906F8DA" w:rsidR="007D7CC2" w:rsidRPr="00D44D33" w:rsidRDefault="007D7CC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Analiza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kluczowych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kompetencji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w:t>
      </w:r>
      <w:r w:rsidR="007C5492" w:rsidRPr="00D44D33">
        <w:rPr>
          <w:rFonts w:ascii="Times New Roman" w:eastAsiaTheme="minorEastAsia" w:hAnsi="Times New Roman" w:cs="Times New Roman"/>
          <w:sz w:val="24"/>
          <w:szCs w:val="24"/>
        </w:rPr>
        <w:t>anu</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regulacyjnego</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dziedzinie</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Regulowanie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cykliczne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podejmowanie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sekwencji</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00F31757" w:rsidRPr="00D44D33">
        <w:rPr>
          <w:rFonts w:ascii="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po</w:t>
      </w:r>
      <w:r w:rsidR="3FFFDC5F" w:rsidRPr="00D44D33">
        <w:rPr>
          <w:rFonts w:ascii="Times New Roman" w:eastAsiaTheme="minorEastAsia" w:hAnsi="Times New Roman" w:cs="Times New Roman"/>
          <w:sz w:val="24"/>
          <w:szCs w:val="24"/>
        </w:rPr>
        <w:t>cząwszy</w:t>
      </w:r>
      <w:r w:rsidR="00970B2E" w:rsidRPr="00D44D33">
        <w:rPr>
          <w:rFonts w:ascii="Times New Roman" w:eastAsiaTheme="minorEastAsia" w:hAnsi="Times New Roman" w:cs="Times New Roman"/>
          <w:sz w:val="24"/>
          <w:szCs w:val="24"/>
        </w:rPr>
        <w:t xml:space="preserve"> </w:t>
      </w:r>
      <w:r w:rsidR="3FFFDC5F"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określeni</w:t>
      </w:r>
      <w:r w:rsidR="5534841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B79E2E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ustalenie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C76CA69" w:rsidRPr="00D44D33">
        <w:rPr>
          <w:rFonts w:ascii="Times New Roman" w:eastAsiaTheme="minorEastAsia" w:hAnsi="Times New Roman" w:cs="Times New Roman"/>
          <w:sz w:val="24"/>
          <w:szCs w:val="24"/>
        </w:rPr>
        <w:t>ostateczne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rozstrzygnięcie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72F93DCF" w:rsidRPr="00D44D33">
        <w:rPr>
          <w:rFonts w:ascii="Times New Roman" w:eastAsiaTheme="minorEastAsia" w:hAnsi="Times New Roman" w:cs="Times New Roman"/>
          <w:sz w:val="24"/>
          <w:szCs w:val="24"/>
        </w:rPr>
        <w:t>przedsiębiorców</w:t>
      </w:r>
      <w:r w:rsidR="162817F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analiz</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obejmowały</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0014BCA" w:rsidRPr="00D44D33">
        <w:rPr>
          <w:rFonts w:ascii="Times New Roman" w:eastAsiaTheme="minorEastAsia" w:hAnsi="Times New Roman" w:cs="Times New Roman"/>
          <w:sz w:val="24"/>
          <w:szCs w:val="24"/>
        </w:rPr>
        <w:t>21</w:t>
      </w:r>
      <w:r w:rsidR="00F31757" w:rsidRPr="00D44D33">
        <w:rPr>
          <w:rFonts w:ascii="Times New Roman" w:hAnsi="Times New Roman" w:cs="Times New Roman"/>
          <w:sz w:val="24"/>
          <w:szCs w:val="24"/>
        </w:rPr>
        <w:t>–</w:t>
      </w:r>
      <w:r w:rsidR="10014BCA" w:rsidRPr="00D44D33">
        <w:rPr>
          <w:rFonts w:ascii="Times New Roman" w:eastAsiaTheme="minorEastAsia" w:hAnsi="Times New Roman" w:cs="Times New Roman"/>
          <w:sz w:val="24"/>
          <w:szCs w:val="24"/>
        </w:rPr>
        <w:t>25f.</w:t>
      </w:r>
    </w:p>
    <w:p w14:paraId="21EB1108" w14:textId="33BE09AF" w:rsidR="0095686E" w:rsidRPr="00D44D33" w:rsidRDefault="009C004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666DF9" w:rsidRPr="00D44D33">
        <w:rPr>
          <w:rFonts w:ascii="Times New Roman" w:eastAsiaTheme="minorEastAsia" w:hAnsi="Times New Roman" w:cs="Times New Roman"/>
          <w:b/>
          <w:bCs/>
          <w:sz w:val="24"/>
          <w:szCs w:val="24"/>
        </w:rPr>
        <w:t>197</w:t>
      </w:r>
    </w:p>
    <w:p w14:paraId="51F9230B" w14:textId="1A3288A7" w:rsidR="009975DF" w:rsidRPr="00D44D33" w:rsidRDefault="009975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powiadamiają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1D5A22" w:rsidRPr="00D44D33">
        <w:rPr>
          <w:rFonts w:ascii="Times New Roman" w:eastAsiaTheme="minorEastAsia" w:hAnsi="Times New Roman" w:cs="Times New Roman"/>
          <w:sz w:val="24"/>
          <w:szCs w:val="24"/>
        </w:rPr>
        <w:t xml:space="preserve">omisji </w:t>
      </w:r>
      <w:r w:rsidRPr="00D44D33">
        <w:rPr>
          <w:rFonts w:ascii="Times New Roman" w:eastAsiaTheme="minorEastAsia" w:hAnsi="Times New Roman" w:cs="Times New Roman"/>
          <w:sz w:val="24"/>
          <w:szCs w:val="24"/>
        </w:rPr>
        <w:t>E</w:t>
      </w:r>
      <w:r w:rsidR="001D5A22" w:rsidRPr="00D44D33">
        <w:rPr>
          <w:rFonts w:ascii="Times New Roman" w:eastAsiaTheme="minorEastAsia" w:hAnsi="Times New Roman" w:cs="Times New Roman"/>
          <w:sz w:val="24"/>
          <w:szCs w:val="24"/>
        </w:rPr>
        <w:t>uropejskiej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792E54F5"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792E54F5"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wydłużone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w:t>
      </w:r>
      <w:r w:rsidR="00AA36EF" w:rsidRPr="00D44D33">
        <w:rPr>
          <w:rFonts w:ascii="Times New Roman" w:eastAsiaTheme="minorEastAsia" w:hAnsi="Times New Roman" w:cs="Times New Roman"/>
          <w:sz w:val="24"/>
          <w:szCs w:val="24"/>
        </w:rPr>
        <w:t>ny</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notyfikacji</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K</w:t>
      </w:r>
      <w:r w:rsidR="001D5A22" w:rsidRPr="00D44D33">
        <w:rPr>
          <w:rFonts w:ascii="Times New Roman" w:eastAsiaTheme="minorEastAsia" w:hAnsi="Times New Roman" w:cs="Times New Roman"/>
          <w:sz w:val="24"/>
          <w:szCs w:val="24"/>
        </w:rPr>
        <w:t xml:space="preserve">omisji </w:t>
      </w:r>
      <w:r w:rsidR="00AA36EF" w:rsidRPr="00D44D33">
        <w:rPr>
          <w:rFonts w:ascii="Times New Roman" w:eastAsiaTheme="minorEastAsia" w:hAnsi="Times New Roman" w:cs="Times New Roman"/>
          <w:sz w:val="24"/>
          <w:szCs w:val="24"/>
        </w:rPr>
        <w:t>E</w:t>
      </w:r>
      <w:r w:rsidR="001D5A22" w:rsidRPr="00D44D33">
        <w:rPr>
          <w:rFonts w:ascii="Times New Roman" w:eastAsiaTheme="minorEastAsia" w:hAnsi="Times New Roman" w:cs="Times New Roman"/>
          <w:sz w:val="24"/>
          <w:szCs w:val="24"/>
        </w:rPr>
        <w:t>uropejskiej</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001434F4" w:rsidRPr="00D44D33">
        <w:rPr>
          <w:rFonts w:ascii="Times New Roman" w:eastAsiaTheme="minorEastAsia" w:hAnsi="Times New Roman" w:cs="Times New Roman"/>
          <w:sz w:val="24"/>
          <w:szCs w:val="24"/>
        </w:rPr>
        <w:t>rozstrzygnięciu</w:t>
      </w:r>
      <w:r w:rsidR="00970B2E" w:rsidRPr="00D44D33">
        <w:rPr>
          <w:rFonts w:ascii="Times New Roman" w:eastAsiaTheme="minorEastAsia" w:hAnsi="Times New Roman" w:cs="Times New Roman"/>
          <w:sz w:val="24"/>
          <w:szCs w:val="24"/>
        </w:rPr>
        <w:t xml:space="preserve"> </w:t>
      </w:r>
      <w:r w:rsidR="001434F4" w:rsidRPr="00D44D33">
        <w:rPr>
          <w:rFonts w:ascii="Times New Roman" w:eastAsiaTheme="minorEastAsia" w:hAnsi="Times New Roman" w:cs="Times New Roman"/>
          <w:sz w:val="24"/>
          <w:szCs w:val="24"/>
        </w:rPr>
        <w:t>kończącym</w:t>
      </w:r>
      <w:r w:rsidR="00970B2E" w:rsidRPr="00D44D33">
        <w:rPr>
          <w:rFonts w:ascii="Times New Roman" w:eastAsiaTheme="minorEastAsia" w:hAnsi="Times New Roman" w:cs="Times New Roman"/>
          <w:sz w:val="24"/>
          <w:szCs w:val="24"/>
        </w:rPr>
        <w:t xml:space="preserve"> </w:t>
      </w:r>
      <w:r w:rsidR="001434F4" w:rsidRPr="00D44D33">
        <w:rPr>
          <w:rFonts w:ascii="Times New Roman" w:eastAsiaTheme="minorEastAsia" w:hAnsi="Times New Roman" w:cs="Times New Roman"/>
          <w:sz w:val="24"/>
          <w:szCs w:val="24"/>
        </w:rPr>
        <w:t>postę</w:t>
      </w:r>
      <w:r w:rsidR="00AA36EF" w:rsidRPr="00D44D33">
        <w:rPr>
          <w:rFonts w:ascii="Times New Roman" w:eastAsiaTheme="minorEastAsia" w:hAnsi="Times New Roman" w:cs="Times New Roman"/>
          <w:sz w:val="24"/>
          <w:szCs w:val="24"/>
        </w:rPr>
        <w:t>powanie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ustalenie,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067E0A"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067E0A"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zajmujący</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kolektywną</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wyznaczenie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utrzymanie,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uchylenie</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nałożonych</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AA36EF"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p>
    <w:p w14:paraId="5DC22D3E" w14:textId="77233552" w:rsidR="009975DF" w:rsidRPr="00D44D33" w:rsidRDefault="009975D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198</w:t>
      </w:r>
    </w:p>
    <w:p w14:paraId="7D4E91F7" w14:textId="543ED3FC" w:rsidR="00BB13B7" w:rsidRPr="00D44D33" w:rsidRDefault="00FB16D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ponadnarodowych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65</w:t>
      </w:r>
      <w:r w:rsidR="00970B2E" w:rsidRPr="00D44D33">
        <w:rPr>
          <w:rFonts w:ascii="Times New Roman" w:eastAsiaTheme="minorEastAsia" w:hAnsi="Times New Roman" w:cs="Times New Roman"/>
          <w:sz w:val="24"/>
          <w:szCs w:val="24"/>
        </w:rPr>
        <w:t xml:space="preserve"> </w:t>
      </w:r>
      <w:r w:rsidR="00A263E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263E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263E2" w:rsidRPr="00D44D33">
        <w:rPr>
          <w:rFonts w:ascii="Times New Roman" w:eastAsiaTheme="minorEastAsia" w:hAnsi="Times New Roman" w:cs="Times New Roman"/>
          <w:sz w:val="24"/>
          <w:szCs w:val="24"/>
        </w:rPr>
        <w:t>66</w:t>
      </w:r>
      <w:r w:rsidR="00970B2E" w:rsidRPr="00D44D33">
        <w:rPr>
          <w:rFonts w:ascii="Times New Roman" w:eastAsiaTheme="minorEastAsia" w:hAnsi="Times New Roman" w:cs="Times New Roman"/>
          <w:sz w:val="24"/>
          <w:szCs w:val="24"/>
        </w:rPr>
        <w:t xml:space="preserve"> </w:t>
      </w:r>
      <w:r w:rsidR="00A263E2"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A263E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Rynkami</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ponadnarodowymi</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rynki</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zdefiniowane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65</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obejmujące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U</w:t>
      </w:r>
      <w:r w:rsidR="001D5A22"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lu</w:t>
      </w:r>
      <w:r w:rsidR="00AC52F6"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znaczną</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znajdujące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państwie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członkowskim.</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zawierał</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przewidując,</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uwzględniając</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opinie</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855323"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przyjąć</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określającą</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rynki</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ponadnarodowe.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wspólnie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przeprowadzają</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analizę</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działając</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wspólnie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podejmują</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00AC52F6" w:rsidRPr="00D44D33">
        <w:rPr>
          <w:rFonts w:ascii="Times New Roman" w:eastAsiaTheme="minorEastAsia" w:hAnsi="Times New Roman" w:cs="Times New Roman"/>
          <w:sz w:val="24"/>
          <w:szCs w:val="24"/>
        </w:rPr>
        <w:t>dodało</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wspólnego</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zgłaszania</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Komisji</w:t>
      </w:r>
      <w:r w:rsidR="001D5A22" w:rsidRPr="00D44D33">
        <w:rPr>
          <w:rFonts w:ascii="Times New Roman" w:eastAsiaTheme="minorEastAsia" w:hAnsi="Times New Roman" w:cs="Times New Roman"/>
          <w:sz w:val="24"/>
          <w:szCs w:val="24"/>
        </w:rPr>
        <w:t xml:space="preserve"> Europejskiej</w:t>
      </w:r>
      <w:r w:rsidR="00BB13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krajowe</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regulacyjne</w:t>
      </w:r>
      <w:r w:rsidR="00BB13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planowanych</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0B25B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wspólnego</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zgłaszania</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niewystępowania</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ponadnarodowych</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uzasadniony</w:t>
      </w:r>
      <w:r w:rsidR="001434F4"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popytu</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ponadnarodowego</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problem</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związany</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popytem</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produkty</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BB13B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4A42A6E4" w14:textId="3398643F" w:rsidR="00BB13B7" w:rsidRPr="00D44D33" w:rsidRDefault="00BB13B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199</w:t>
      </w:r>
    </w:p>
    <w:p w14:paraId="6198FDA1" w14:textId="09573ACC" w:rsidR="001D5A22" w:rsidRPr="00D44D33" w:rsidRDefault="001D5A2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 przepis a</w:t>
      </w:r>
      <w:r w:rsidR="00503513"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199</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przeprowadzanie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analizie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celu</w:t>
      </w:r>
      <w:r w:rsidRPr="00D44D33">
        <w:rPr>
          <w:rFonts w:ascii="Times New Roman" w:eastAsiaTheme="minorEastAsia" w:hAnsi="Times New Roman" w:cs="Times New Roman"/>
          <w:sz w:val="24"/>
          <w:szCs w:val="24"/>
        </w:rPr>
        <w:t>:</w:t>
      </w:r>
    </w:p>
    <w:p w14:paraId="28F823C4" w14:textId="6A7E6399" w:rsidR="001D5A22" w:rsidRPr="00D44D33" w:rsidRDefault="00573E59" w:rsidP="00D44D33">
      <w:pPr>
        <w:pStyle w:val="Akapitzlist"/>
        <w:numPr>
          <w:ilvl w:val="0"/>
          <w:numId w:val="136"/>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004C7B59"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4C7B59" w:rsidRPr="00D44D33">
        <w:rPr>
          <w:rFonts w:ascii="Times New Roman" w:eastAsiaTheme="minorEastAsia" w:hAnsi="Times New Roman" w:cs="Times New Roman"/>
          <w:sz w:val="24"/>
          <w:szCs w:val="24"/>
        </w:rPr>
        <w:t>właściwego</w:t>
      </w:r>
      <w:r w:rsidR="001D5A2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C3E476A" w14:textId="0DBFCFA8" w:rsidR="001D5A22" w:rsidRPr="00D44D33" w:rsidRDefault="004C7B59" w:rsidP="00D44D33">
      <w:pPr>
        <w:pStyle w:val="Akapitzlist"/>
        <w:numPr>
          <w:ilvl w:val="0"/>
          <w:numId w:val="136"/>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ustalenia</w:t>
      </w:r>
      <w:r w:rsidR="00573E5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90308D"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90308D"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zajmujący</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kolektywną</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znaczącą</w:t>
      </w:r>
      <w:r w:rsidR="001D5A2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5809FFF" w14:textId="128E292A" w:rsidR="001D5A22" w:rsidRPr="00D44D33" w:rsidRDefault="00573E59" w:rsidP="00D44D33">
      <w:pPr>
        <w:pStyle w:val="Akapitzlist"/>
        <w:numPr>
          <w:ilvl w:val="0"/>
          <w:numId w:val="136"/>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wyznaczeni</w:t>
      </w:r>
      <w:r w:rsidR="004C7B59"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1D5A2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560AC0E" w14:textId="77777777" w:rsidR="001D5A22" w:rsidRPr="00D44D33" w:rsidRDefault="00573E59" w:rsidP="00D44D33">
      <w:pPr>
        <w:pStyle w:val="Akapitzlist"/>
        <w:numPr>
          <w:ilvl w:val="0"/>
          <w:numId w:val="136"/>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utrzymani</w:t>
      </w:r>
      <w:r w:rsidR="004C7B59"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C7B59"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uchyleni</w:t>
      </w:r>
      <w:r w:rsidR="004C7B59"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p>
    <w:p w14:paraId="7A0963E6" w14:textId="2C5FB04C" w:rsidR="007D7CC2" w:rsidRPr="00D44D33" w:rsidRDefault="004C7B59" w:rsidP="00D44D33">
      <w:pPr>
        <w:spacing w:before="120" w:after="120" w:line="360" w:lineRule="auto"/>
        <w:ind w:left="427"/>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503513"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50351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03513"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503513"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0050351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64</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1D5A22" w:rsidRPr="00D44D33">
        <w:rPr>
          <w:rFonts w:ascii="Times New Roman" w:eastAsiaTheme="minorEastAsia" w:hAnsi="Times New Roman" w:cs="Times New Roman"/>
          <w:sz w:val="24"/>
          <w:szCs w:val="24"/>
        </w:rPr>
        <w:t xml:space="preserve">art. </w:t>
      </w:r>
      <w:r w:rsidR="00573E59"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odpowiadające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D5A22" w:rsidRPr="00D44D33">
        <w:rPr>
          <w:rFonts w:ascii="Times New Roman" w:eastAsiaTheme="minorEastAsia" w:hAnsi="Times New Roman" w:cs="Times New Roman"/>
          <w:sz w:val="24"/>
          <w:szCs w:val="24"/>
        </w:rPr>
        <w:t xml:space="preserve">art. </w:t>
      </w:r>
      <w:r w:rsidR="00573E59"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(wdrożone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22</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001434F4"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00573E59" w:rsidRPr="00D44D33">
        <w:rPr>
          <w:rFonts w:ascii="Times New Roman" w:eastAsiaTheme="minorEastAsia" w:hAnsi="Times New Roman" w:cs="Times New Roman"/>
          <w:sz w:val="24"/>
          <w:szCs w:val="24"/>
        </w:rPr>
        <w:t>modyfikujące.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odzwierciedlenie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wzięcia</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definiowaniu</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32137F"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stopnia</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obszarach,</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geograficznej</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polskich</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przeprowadzaną</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41646" w:rsidRPr="00D44D33">
        <w:rPr>
          <w:rFonts w:ascii="Times New Roman" w:eastAsiaTheme="minorEastAsia" w:hAnsi="Times New Roman" w:cs="Times New Roman"/>
          <w:sz w:val="24"/>
          <w:szCs w:val="24"/>
        </w:rPr>
        <w:t xml:space="preserve">z dnia 7 maja 2010 r. </w:t>
      </w:r>
      <w:r w:rsidR="008132B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inwentaryzację</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przedstawiającą</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istniejącą</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infrastrukturą</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telekomunikacyjną</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publicznymi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sieciami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zapewniającymi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umożliwiającymi</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132B2" w:rsidRPr="00D44D33">
        <w:rPr>
          <w:rFonts w:ascii="Times New Roman" w:eastAsiaTheme="minorEastAsia" w:hAnsi="Times New Roman" w:cs="Times New Roman"/>
          <w:sz w:val="24"/>
          <w:szCs w:val="24"/>
        </w:rPr>
        <w:t>Internetu)</w:t>
      </w:r>
      <w:r w:rsidR="000961D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61B4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61B4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61B41"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C61B41"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C61B41"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kryteria</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uzasadniające</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znalazło</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swoje</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odzwierciedlenie</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40CFE"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E24295"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00E24295" w:rsidRPr="00D44D33">
        <w:rPr>
          <w:rFonts w:ascii="Times New Roman" w:eastAsiaTheme="minorEastAsia" w:hAnsi="Times New Roman" w:cs="Times New Roman"/>
          <w:sz w:val="24"/>
          <w:szCs w:val="24"/>
        </w:rPr>
        <w:t>przepisów</w:t>
      </w:r>
      <w:r w:rsidR="00F40CF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554A5E0C" w14:textId="59DAF4F6" w:rsidR="00506791" w:rsidRPr="00D44D33" w:rsidRDefault="0050679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200</w:t>
      </w:r>
    </w:p>
    <w:p w14:paraId="2106D6FE" w14:textId="1725C9A7" w:rsidR="00453E28" w:rsidRPr="00D44D33" w:rsidRDefault="0050679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Przepis a</w:t>
      </w:r>
      <w:r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badania,</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ujęciu</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perspektywicznym,</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założeniu,</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brać</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badaniu.</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Celem</w:t>
      </w:r>
      <w:r w:rsidR="00371EEA">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zbadanie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sta</w:t>
      </w:r>
      <w:r w:rsidR="001434F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konkurencyjny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przyszłości,</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mimo</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453E28" w:rsidRPr="00D44D33">
        <w:rPr>
          <w:rFonts w:ascii="Times New Roman" w:eastAsiaTheme="minorEastAsia" w:hAnsi="Times New Roman" w:cs="Times New Roman"/>
          <w:sz w:val="24"/>
          <w:szCs w:val="24"/>
        </w:rPr>
        <w:t>nałożone.</w:t>
      </w:r>
    </w:p>
    <w:p w14:paraId="1E727F94" w14:textId="0E1597B7" w:rsidR="000E6BD7" w:rsidRPr="00D44D33" w:rsidRDefault="00CA4D6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201</w:t>
      </w:r>
    </w:p>
    <w:p w14:paraId="2995182D" w14:textId="4D046B36" w:rsidR="000E6BD7" w:rsidRPr="00D44D33" w:rsidRDefault="00FA569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0E6BD7"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201</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wszczynanego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kontynuacją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199</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AE159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AE1598"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153C47"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153C47"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zajmujący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kolektywną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199</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stwierdza,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skuteczna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konkurencja</w:t>
      </w:r>
      <w:r w:rsidR="005C0FA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uchylić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nałożone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regulacyjne</w:t>
      </w:r>
      <w:r w:rsidR="005C0FA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właśc</w:t>
      </w:r>
      <w:r w:rsidR="007C5492" w:rsidRPr="00D44D33">
        <w:rPr>
          <w:rFonts w:ascii="Times New Roman" w:eastAsiaTheme="minorEastAsia" w:hAnsi="Times New Roman" w:cs="Times New Roman"/>
          <w:sz w:val="24"/>
          <w:szCs w:val="24"/>
        </w:rPr>
        <w:t>iwym</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występował</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561A46"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pozyc</w:t>
      </w:r>
      <w:r w:rsidR="007C5492" w:rsidRPr="00D44D33">
        <w:rPr>
          <w:rFonts w:ascii="Times New Roman" w:eastAsiaTheme="minorEastAsia" w:hAnsi="Times New Roman" w:cs="Times New Roman"/>
          <w:sz w:val="24"/>
          <w:szCs w:val="24"/>
        </w:rPr>
        <w:t>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C5492" w:rsidRPr="00D44D33">
        <w:rPr>
          <w:rFonts w:ascii="Times New Roman" w:eastAsiaTheme="minorEastAsia" w:hAnsi="Times New Roman" w:cs="Times New Roman"/>
          <w:sz w:val="24"/>
          <w:szCs w:val="24"/>
        </w:rPr>
        <w:t>elektroniczne</w:t>
      </w:r>
      <w:r w:rsidR="00561A46"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zajmujący</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kolektywną</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utracili</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005C0FAE" w:rsidRPr="00D44D33">
        <w:rPr>
          <w:rFonts w:ascii="Times New Roman" w:eastAsiaTheme="minorEastAsia" w:hAnsi="Times New Roman" w:cs="Times New Roman"/>
          <w:sz w:val="24"/>
          <w:szCs w:val="24"/>
        </w:rPr>
        <w:t>pozycję</w:t>
      </w:r>
      <w:r w:rsidR="000E6B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dyspozycją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zawartą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6A2D5A"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6A2D5A"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6A2D5A"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6A2D5A" w:rsidRPr="00D44D33">
        <w:rPr>
          <w:rFonts w:ascii="Times New Roman" w:eastAsiaTheme="minorEastAsia" w:hAnsi="Times New Roman" w:cs="Times New Roman"/>
          <w:sz w:val="24"/>
          <w:szCs w:val="24"/>
        </w:rPr>
        <w:t>wskazuje</w:t>
      </w:r>
      <w:r w:rsidR="000E6B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działaj</w:t>
      </w:r>
      <w:r w:rsidR="00D77440" w:rsidRPr="00D44D33">
        <w:rPr>
          <w:rFonts w:ascii="Times New Roman" w:eastAsiaTheme="minorEastAsia" w:hAnsi="Times New Roman" w:cs="Times New Roman"/>
          <w:sz w:val="24"/>
          <w:szCs w:val="24"/>
        </w:rPr>
        <w:t>ących</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elektroniczne</w:t>
      </w:r>
      <w:r w:rsidR="00561A46"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77440" w:rsidRPr="00D44D33">
        <w:rPr>
          <w:rFonts w:ascii="Times New Roman" w:eastAsiaTheme="minorEastAsia" w:hAnsi="Times New Roman" w:cs="Times New Roman"/>
          <w:sz w:val="24"/>
          <w:szCs w:val="24"/>
        </w:rPr>
        <w:t>dostępie</w:t>
      </w:r>
      <w:r w:rsidR="000E6B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A2D5A"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6A2D5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przepisom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konsultacyjnym,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zasięgnięcie</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opinii</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BA4C1D" w:rsidRPr="00D44D33">
        <w:rPr>
          <w:rFonts w:ascii="Times New Roman" w:eastAsiaTheme="minorEastAsia" w:hAnsi="Times New Roman" w:cs="Times New Roman"/>
          <w:sz w:val="24"/>
          <w:szCs w:val="24"/>
        </w:rPr>
        <w:t>UOKiK.</w:t>
      </w:r>
    </w:p>
    <w:p w14:paraId="57CD2DCB" w14:textId="0C34D171" w:rsidR="000E6BD7" w:rsidRPr="00D44D33" w:rsidRDefault="000E6BD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202</w:t>
      </w:r>
    </w:p>
    <w:p w14:paraId="7562AE78" w14:textId="53679D39" w:rsidR="00620BD1" w:rsidRPr="00D44D33" w:rsidRDefault="00620BD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202</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toczącego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199</w:t>
      </w:r>
      <w:r w:rsidR="000E6B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występuje</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zajmujący</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kolektywną</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4AE6E75C" w:rsidRPr="00D44D33">
        <w:rPr>
          <w:rFonts w:ascii="Times New Roman" w:eastAsiaTheme="minorEastAsia" w:hAnsi="Times New Roman" w:cs="Times New Roman"/>
          <w:sz w:val="24"/>
          <w:szCs w:val="24"/>
        </w:rPr>
        <w:t>właściwy</w:t>
      </w:r>
      <w:r w:rsidR="0168487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wyznacza</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41AA4F89"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przesłanki</w:t>
      </w:r>
      <w:r w:rsidR="00FA56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utrzymuje</w:t>
      </w:r>
      <w:r w:rsidR="7945F65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945F652" w:rsidRPr="00D44D33">
        <w:rPr>
          <w:rFonts w:ascii="Times New Roman" w:eastAsiaTheme="minorEastAsia" w:hAnsi="Times New Roman" w:cs="Times New Roman"/>
          <w:sz w:val="24"/>
          <w:szCs w:val="24"/>
        </w:rPr>
        <w:t>uchyla</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1684873" w:rsidRPr="00D44D33">
        <w:rPr>
          <w:rFonts w:ascii="Times New Roman" w:eastAsiaTheme="minorEastAsia" w:hAnsi="Times New Roman" w:cs="Times New Roman"/>
          <w:sz w:val="24"/>
          <w:szCs w:val="24"/>
        </w:rPr>
        <w:t>zmienia</w:t>
      </w:r>
      <w:r w:rsidR="00970B2E" w:rsidRPr="00D44D33">
        <w:rPr>
          <w:rFonts w:ascii="Times New Roman" w:eastAsiaTheme="minorEastAsia" w:hAnsi="Times New Roman" w:cs="Times New Roman"/>
          <w:sz w:val="24"/>
          <w:szCs w:val="24"/>
        </w:rPr>
        <w:t xml:space="preserve"> </w:t>
      </w:r>
      <w:r w:rsidR="56740EE5"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56740EE5"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54379806"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54379806"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54379806"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543798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4379806"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zasięgnięcie</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opinii</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CD1C26" w:rsidRPr="00D44D33">
        <w:rPr>
          <w:rFonts w:ascii="Times New Roman" w:eastAsiaTheme="minorEastAsia" w:hAnsi="Times New Roman" w:cs="Times New Roman"/>
          <w:sz w:val="24"/>
          <w:szCs w:val="24"/>
        </w:rPr>
        <w:t>UOKiK.</w:t>
      </w:r>
    </w:p>
    <w:p w14:paraId="65CC16BF" w14:textId="34723C49" w:rsidR="000E6BD7" w:rsidRPr="00D44D33" w:rsidRDefault="57AE38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203</w:t>
      </w:r>
    </w:p>
    <w:p w14:paraId="61917F9E" w14:textId="66C82A40" w:rsidR="75EF4D1E" w:rsidRPr="00D44D33" w:rsidRDefault="75EF4D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 xml:space="preserve">art. </w:t>
      </w:r>
      <w:r w:rsidR="00B527D3" w:rsidRPr="00D44D33">
        <w:rPr>
          <w:rFonts w:ascii="Times New Roman" w:eastAsiaTheme="minorEastAsia" w:hAnsi="Times New Roman" w:cs="Times New Roman"/>
          <w:sz w:val="24"/>
          <w:szCs w:val="24"/>
        </w:rPr>
        <w:t>202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 xml:space="preserve">art. </w:t>
      </w:r>
      <w:r w:rsidR="00B527D3" w:rsidRPr="00D44D33">
        <w:rPr>
          <w:rFonts w:ascii="Times New Roman" w:eastAsiaTheme="minorEastAsia" w:hAnsi="Times New Roman" w:cs="Times New Roman"/>
          <w:sz w:val="24"/>
          <w:szCs w:val="24"/>
        </w:rPr>
        <w:t>205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geograficznego</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produktowego</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całkowicie</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676DC4DD" w:rsidRPr="00D44D33">
        <w:rPr>
          <w:rFonts w:ascii="Times New Roman" w:eastAsiaTheme="minorEastAsia" w:hAnsi="Times New Roman" w:cs="Times New Roman"/>
          <w:sz w:val="24"/>
          <w:szCs w:val="24"/>
        </w:rPr>
        <w:t>dotychczas</w:t>
      </w:r>
      <w:r w:rsidR="0B1C70E3" w:rsidRPr="00D44D33">
        <w:rPr>
          <w:rFonts w:ascii="Times New Roman" w:eastAsiaTheme="minorEastAsia" w:hAnsi="Times New Roman" w:cs="Times New Roman"/>
          <w:sz w:val="24"/>
          <w:szCs w:val="24"/>
        </w:rPr>
        <w:t>.</w:t>
      </w:r>
    </w:p>
    <w:p w14:paraId="25D9AF42" w14:textId="42CC173A" w:rsidR="000E6BD7" w:rsidRPr="00D44D33" w:rsidRDefault="000E6BD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204</w:t>
      </w:r>
    </w:p>
    <w:p w14:paraId="2B254F2B" w14:textId="3D91D819" w:rsidR="000E6BD7" w:rsidRPr="00D44D33" w:rsidRDefault="00FA569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0E6BD7"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204</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przedsiębiorstw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hurtowych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regulowane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unijnego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80</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daje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527D3" w:rsidRPr="00D44D33">
        <w:rPr>
          <w:rFonts w:ascii="Times New Roman" w:eastAsiaTheme="minorEastAsia" w:hAnsi="Times New Roman" w:cs="Times New Roman"/>
          <w:sz w:val="24"/>
          <w:szCs w:val="24"/>
        </w:rPr>
        <w:t>202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209</w:t>
      </w:r>
      <w:r w:rsidR="00970B2E" w:rsidRPr="00D44D33">
        <w:rPr>
          <w:rFonts w:ascii="Times New Roman" w:eastAsiaTheme="minorEastAsia" w:hAnsi="Times New Roman" w:cs="Times New Roman"/>
          <w:sz w:val="24"/>
          <w:szCs w:val="24"/>
        </w:rPr>
        <w:t xml:space="preserve"> </w:t>
      </w:r>
      <w:r w:rsidR="00D6387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 xml:space="preserve">art. </w:t>
      </w:r>
      <w:r w:rsidR="00A9747D" w:rsidRPr="00D44D33">
        <w:rPr>
          <w:rFonts w:ascii="Times New Roman" w:eastAsiaTheme="minorEastAsia" w:hAnsi="Times New Roman" w:cs="Times New Roman"/>
          <w:sz w:val="24"/>
          <w:szCs w:val="24"/>
        </w:rPr>
        <w:t>213</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niezawyżonych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lang w:eastAsia="pl-PL"/>
        </w:rPr>
        <w:t xml:space="preserve"> </w:t>
      </w:r>
      <w:r w:rsidR="000E6BD7"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00E6BD7"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elektroniczne</w:t>
      </w:r>
      <w:r w:rsidR="00D63879"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planuje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świadczyć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elektroniczne</w:t>
      </w:r>
      <w:r w:rsidR="006826BF"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Ponadto</w:t>
      </w:r>
      <w:r w:rsidRPr="00D44D33">
        <w:rPr>
          <w:rFonts w:ascii="Times New Roman" w:eastAsiaTheme="minorEastAsia" w:hAnsi="Times New Roman" w:cs="Times New Roman"/>
          <w:sz w:val="24"/>
          <w:szCs w:val="24"/>
        </w:rPr>
        <w:t xml:space="preserve"> przepis</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członkiem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świadczą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planują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świadczyć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elektroniczne</w:t>
      </w:r>
      <w:r w:rsidR="006826BF"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wyłączn</w:t>
      </w:r>
      <w:r w:rsidR="00E83F2C"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elektroniczne</w:t>
      </w:r>
      <w:r w:rsidR="00D63879"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świadczącym</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E83F2C" w:rsidRPr="00D44D33">
        <w:rPr>
          <w:rFonts w:ascii="Times New Roman" w:eastAsiaTheme="minorEastAsia" w:hAnsi="Times New Roman" w:cs="Times New Roman"/>
          <w:sz w:val="24"/>
          <w:szCs w:val="24"/>
        </w:rPr>
        <w:t>elektroniczne</w:t>
      </w:r>
      <w:r w:rsidR="00D63879"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000E6BD7"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p>
    <w:p w14:paraId="515AF671" w14:textId="5AD79B23" w:rsidR="000A54D5" w:rsidRPr="00D44D33" w:rsidRDefault="000A54D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527D3" w:rsidRPr="00D44D33">
        <w:rPr>
          <w:rFonts w:ascii="Times New Roman" w:eastAsiaTheme="minorEastAsia" w:hAnsi="Times New Roman" w:cs="Times New Roman"/>
          <w:b/>
          <w:bCs/>
          <w:sz w:val="24"/>
          <w:szCs w:val="24"/>
        </w:rPr>
        <w:t>205</w:t>
      </w:r>
    </w:p>
    <w:p w14:paraId="29AD3461" w14:textId="2FB485C8" w:rsidR="000A54D5" w:rsidRPr="00D44D33" w:rsidRDefault="00FA569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0A54D5"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205</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sytuacji</w:t>
      </w:r>
      <w:r w:rsidRPr="00D44D33">
        <w:rPr>
          <w:rFonts w:ascii="Times New Roman" w:eastAsiaTheme="minorEastAsia" w:hAnsi="Times New Roman" w:cs="Times New Roman"/>
          <w:sz w:val="24"/>
          <w:szCs w:val="24"/>
        </w:rPr>
        <w:t>, w której</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posiadający</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rynkową</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utracił</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ją,</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osiągnął</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nałożonych</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utracił</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a</w:t>
      </w:r>
      <w:r w:rsidR="000A54D5"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205</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zobowiązuje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działających</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CB51D4"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CB51D4"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określająca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uchylenia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przedsiębi</w:t>
      </w:r>
      <w:r w:rsidR="00DB4AE2" w:rsidRPr="00D44D33">
        <w:rPr>
          <w:rFonts w:ascii="Times New Roman" w:eastAsiaTheme="minorEastAsia" w:hAnsi="Times New Roman" w:cs="Times New Roman"/>
          <w:sz w:val="24"/>
          <w:szCs w:val="24"/>
        </w:rPr>
        <w:t>orców</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niebędących</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r w:rsidR="00DB4AE2" w:rsidRPr="00D44D33">
        <w:rPr>
          <w:rFonts w:ascii="Times New Roman" w:eastAsiaTheme="minorEastAsia" w:hAnsi="Times New Roman" w:cs="Times New Roman"/>
          <w:sz w:val="24"/>
          <w:szCs w:val="24"/>
        </w:rPr>
        <w:t>postę</w:t>
      </w:r>
      <w:r w:rsidR="000A54D5" w:rsidRPr="00D44D33">
        <w:rPr>
          <w:rFonts w:ascii="Times New Roman" w:eastAsiaTheme="minorEastAsia" w:hAnsi="Times New Roman" w:cs="Times New Roman"/>
          <w:sz w:val="24"/>
          <w:szCs w:val="24"/>
        </w:rPr>
        <w:t>powania,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205</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ogłoszenie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0A54D5" w:rsidRPr="00D44D33">
        <w:rPr>
          <w:rFonts w:ascii="Times New Roman" w:eastAsiaTheme="minorEastAsia" w:hAnsi="Times New Roman" w:cs="Times New Roman"/>
          <w:sz w:val="24"/>
          <w:szCs w:val="24"/>
        </w:rPr>
        <w:t>UKE.</w:t>
      </w:r>
    </w:p>
    <w:p w14:paraId="74BF3338" w14:textId="39061C47" w:rsidR="000A54D5" w:rsidRPr="00D44D33" w:rsidRDefault="000A54D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206</w:t>
      </w:r>
    </w:p>
    <w:p w14:paraId="661CDE35" w14:textId="2AA139B3" w:rsidR="000A54D5" w:rsidRPr="00D44D33" w:rsidRDefault="000A54D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kolektywnej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wytycznymi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FA5695" w:rsidRPr="00D44D33">
        <w:rPr>
          <w:rFonts w:ascii="Times New Roman" w:eastAsiaTheme="minorEastAsia" w:hAnsi="Times New Roman" w:cs="Times New Roman"/>
          <w:sz w:val="24"/>
          <w:szCs w:val="24"/>
        </w:rPr>
        <w:t xml:space="preserve">omisji </w:t>
      </w:r>
      <w:r w:rsidRPr="00D44D33">
        <w:rPr>
          <w:rFonts w:ascii="Times New Roman" w:eastAsiaTheme="minorEastAsia" w:hAnsi="Times New Roman" w:cs="Times New Roman"/>
          <w:sz w:val="24"/>
          <w:szCs w:val="24"/>
        </w:rPr>
        <w:t>E</w:t>
      </w:r>
      <w:r w:rsidR="00FA5695" w:rsidRPr="00D44D33">
        <w:rPr>
          <w:rFonts w:ascii="Times New Roman" w:eastAsiaTheme="minorEastAsia" w:hAnsi="Times New Roman" w:cs="Times New Roman"/>
          <w:sz w:val="24"/>
          <w:szCs w:val="24"/>
        </w:rPr>
        <w:t>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wskazówki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koncepcji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iCs/>
          <w:sz w:val="24"/>
          <w:szCs w:val="24"/>
        </w:rPr>
        <w:t>ex</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ante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kryteriów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FA5695"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23A23"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p>
    <w:p w14:paraId="7C85829F" w14:textId="045F3CB6" w:rsidR="000A54D5" w:rsidRPr="00D44D33" w:rsidRDefault="000A54D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dominującej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TFUE.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silą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stopniu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p>
    <w:p w14:paraId="28F11921" w14:textId="54A8C72A" w:rsidR="000A54D5" w:rsidRPr="00D44D33" w:rsidRDefault="000A54D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207</w:t>
      </w:r>
    </w:p>
    <w:p w14:paraId="445DDB22" w14:textId="7A236A17" w:rsidR="000A54D5" w:rsidRPr="00D44D33" w:rsidRDefault="000A54D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blisko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obydwoma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zwiększając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najpierw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ustalona</w:t>
      </w:r>
      <w:r w:rsidR="00970B2E" w:rsidRPr="00D44D33">
        <w:rPr>
          <w:rFonts w:ascii="Times New Roman" w:eastAsiaTheme="minorEastAsia" w:hAnsi="Times New Roman" w:cs="Times New Roman"/>
          <w:sz w:val="24"/>
          <w:szCs w:val="24"/>
        </w:rPr>
        <w:t xml:space="preserve"> </w:t>
      </w:r>
      <w:r w:rsidR="0021491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14917" w:rsidRPr="00D44D33">
        <w:rPr>
          <w:rFonts w:ascii="Times New Roman" w:eastAsiaTheme="minorEastAsia" w:hAnsi="Times New Roman" w:cs="Times New Roman"/>
          <w:sz w:val="24"/>
          <w:szCs w:val="24"/>
        </w:rPr>
        <w:t>ry</w:t>
      </w:r>
      <w:r w:rsidRPr="00D44D33">
        <w:rPr>
          <w:rFonts w:ascii="Times New Roman" w:eastAsiaTheme="minorEastAsia" w:hAnsi="Times New Roman" w:cs="Times New Roman"/>
          <w:sz w:val="24"/>
          <w:szCs w:val="24"/>
        </w:rPr>
        <w:t>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pierwotnym.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naprawczych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69,</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70,</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71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A5695" w:rsidRPr="00D44D33">
        <w:rPr>
          <w:rFonts w:ascii="Times New Roman" w:eastAsiaTheme="minorEastAsia" w:hAnsi="Times New Roman" w:cs="Times New Roman"/>
          <w:sz w:val="24"/>
          <w:szCs w:val="24"/>
        </w:rPr>
        <w:t xml:space="preserve">art. </w:t>
      </w:r>
      <w:r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powiązanym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uniemożliwienie</w:t>
      </w:r>
      <w:r w:rsidR="00970B2E" w:rsidRPr="00D44D33">
        <w:rPr>
          <w:rFonts w:ascii="Times New Roman" w:eastAsiaTheme="minorEastAsia" w:hAnsi="Times New Roman" w:cs="Times New Roman"/>
          <w:sz w:val="24"/>
          <w:szCs w:val="24"/>
        </w:rPr>
        <w:t xml:space="preserve"> </w:t>
      </w:r>
      <w:r w:rsidR="00214917"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00214917" w:rsidRPr="00D44D33">
        <w:rPr>
          <w:rFonts w:ascii="Times New Roman" w:eastAsiaTheme="minorEastAsia" w:hAnsi="Times New Roman" w:cs="Times New Roman"/>
          <w:sz w:val="24"/>
          <w:szCs w:val="24"/>
        </w:rPr>
        <w:t>przeniesienia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różnicą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naprawczych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przyniosło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zamierzonych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skutków.</w:t>
      </w:r>
    </w:p>
    <w:p w14:paraId="5FAC8084" w14:textId="1892823C" w:rsidR="000A54D5" w:rsidRPr="00D44D33" w:rsidRDefault="000A54D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208</w:t>
      </w:r>
    </w:p>
    <w:p w14:paraId="77CB27A2" w14:textId="3AA4B3DB" w:rsidR="000A54D5" w:rsidRPr="00D44D33" w:rsidRDefault="0048D4C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uniknięcie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opóźn</w:t>
      </w:r>
      <w:r w:rsidR="14911360" w:rsidRPr="00D44D33">
        <w:rPr>
          <w:rFonts w:ascii="Times New Roman" w:eastAsiaTheme="minorEastAsia" w:hAnsi="Times New Roman" w:cs="Times New Roman"/>
          <w:sz w:val="24"/>
          <w:szCs w:val="24"/>
        </w:rPr>
        <w:t>ień</w:t>
      </w:r>
      <w:r w:rsidR="00970B2E" w:rsidRPr="00D44D33">
        <w:rPr>
          <w:rFonts w:ascii="Times New Roman" w:eastAsiaTheme="minorEastAsia" w:hAnsi="Times New Roman" w:cs="Times New Roman"/>
          <w:sz w:val="24"/>
          <w:szCs w:val="24"/>
        </w:rPr>
        <w:t xml:space="preserve"> </w:t>
      </w:r>
      <w:r w:rsidR="1491136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491136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14911360"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14911360" w:rsidRPr="00D44D33">
        <w:rPr>
          <w:rFonts w:ascii="Times New Roman" w:eastAsiaTheme="minorEastAsia" w:hAnsi="Times New Roman" w:cs="Times New Roman"/>
          <w:sz w:val="24"/>
          <w:szCs w:val="24"/>
        </w:rPr>
        <w:t>postę</w:t>
      </w:r>
      <w:r w:rsidRPr="00D44D33">
        <w:rPr>
          <w:rFonts w:ascii="Times New Roman" w:eastAsiaTheme="minorEastAsia" w:hAnsi="Times New Roman" w:cs="Times New Roman"/>
          <w:sz w:val="24"/>
          <w:szCs w:val="24"/>
        </w:rPr>
        <w:t>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rozstrzygnięciu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powieleniem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p>
    <w:p w14:paraId="47BC7055" w14:textId="5B94B552" w:rsidR="000A54D5" w:rsidRPr="00D44D33" w:rsidRDefault="000A54D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209</w:t>
      </w:r>
    </w:p>
    <w:p w14:paraId="232E37BC" w14:textId="062F4D6A" w:rsidR="000A54D5" w:rsidRPr="00D44D33" w:rsidRDefault="000A54D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najnowszych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dynamikę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adekwatność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p>
    <w:p w14:paraId="53A53136" w14:textId="1D1081FC" w:rsidR="00696205" w:rsidRPr="00D44D33" w:rsidRDefault="000A54D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krajowego.</w:t>
      </w:r>
      <w:r w:rsidR="00371EEA">
        <w:rPr>
          <w:rFonts w:ascii="Times New Roman" w:eastAsiaTheme="minorEastAsia" w:hAnsi="Times New Roman" w:cs="Times New Roman"/>
          <w:sz w:val="24"/>
          <w:szCs w:val="24"/>
        </w:rPr>
        <w:t xml:space="preserve"> </w:t>
      </w:r>
    </w:p>
    <w:p w14:paraId="3A77AC8E" w14:textId="6DD45E06" w:rsidR="00F31757" w:rsidRPr="00D44D33" w:rsidRDefault="000E1B85"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2</w:t>
      </w:r>
    </w:p>
    <w:p w14:paraId="035DB4A5" w14:textId="1C23987B" w:rsidR="000E1B85" w:rsidRPr="00D44D33" w:rsidRDefault="000E1B85"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Obowiązki</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na</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rynkach</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hurtowych</w:t>
      </w:r>
    </w:p>
    <w:p w14:paraId="3CE7D11E" w14:textId="10E95FAF" w:rsidR="007E653D" w:rsidRPr="00D44D33" w:rsidRDefault="007E653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210</w:t>
      </w:r>
    </w:p>
    <w:p w14:paraId="244E4810" w14:textId="10F21DF2" w:rsidR="004F0B14" w:rsidRPr="00D44D33" w:rsidRDefault="00B250E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inżynierii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lądowej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wodnej.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4F0B14" w:rsidRPr="00D44D33">
        <w:rPr>
          <w:rFonts w:ascii="Times New Roman" w:eastAsiaTheme="minorEastAsia" w:hAnsi="Times New Roman" w:cs="Times New Roman"/>
          <w:sz w:val="24"/>
          <w:szCs w:val="24"/>
        </w:rPr>
        <w:t>rajowemu</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organowi</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regulacyjnemu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inżynierii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lądowej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wodnej</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uzna,</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ż</w:t>
      </w:r>
      <w:r w:rsidR="005A1CFE"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odmowa</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przyznania</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uniemożliwiłaby</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powstanie</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trwale</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konkurencyjnego</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leżałaby</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5A1CFE"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Składniki</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aktywów,</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obowiązek</w:t>
      </w:r>
      <w:r w:rsidR="001F657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muszą</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elementu</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wymienia</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obiekty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zaliczane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obiektów</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inżynierii</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lądowej</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wodnej.</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obiekty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facto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infrastrukturą</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pasywną.</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210</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odniesiono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uzupełniono</w:t>
      </w:r>
      <w:r w:rsidR="00970B2E" w:rsidRPr="00D44D33">
        <w:rPr>
          <w:rFonts w:ascii="Times New Roman" w:eastAsiaTheme="minorEastAsia" w:hAnsi="Times New Roman" w:cs="Times New Roman"/>
          <w:sz w:val="24"/>
          <w:szCs w:val="24"/>
        </w:rPr>
        <w:t xml:space="preserve"> </w:t>
      </w:r>
      <w:r w:rsidR="00A52A76"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dyrektywie,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wykraczające</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4F0B14"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p>
    <w:p w14:paraId="6A2F5152" w14:textId="4264E0C5" w:rsidR="007E653D" w:rsidRPr="00D44D33" w:rsidRDefault="0060316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211</w:t>
      </w:r>
    </w:p>
    <w:p w14:paraId="344FA9E1" w14:textId="41FAF0E8" w:rsidR="0060316A" w:rsidRPr="00D44D33" w:rsidRDefault="0060316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007E45FA" w:rsidRPr="00D44D33">
        <w:rPr>
          <w:rFonts w:ascii="Times New Roman" w:eastAsiaTheme="minorEastAsia" w:hAnsi="Times New Roman" w:cs="Times New Roman"/>
          <w:sz w:val="24"/>
          <w:szCs w:val="24"/>
        </w:rPr>
        <w:t>częściowo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73</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7E45FA"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dostępem</w:t>
      </w:r>
      <w:r w:rsidR="00970B2E" w:rsidRPr="00D44D33">
        <w:rPr>
          <w:rFonts w:ascii="Times New Roman" w:eastAsiaTheme="minorEastAsia" w:hAnsi="Times New Roman" w:cs="Times New Roman"/>
          <w:sz w:val="24"/>
          <w:szCs w:val="24"/>
        </w:rPr>
        <w:t xml:space="preserve"> </w:t>
      </w:r>
      <w:r w:rsidR="00A52A76"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towarzyszących.</w:t>
      </w:r>
      <w:r w:rsidR="00970B2E" w:rsidRPr="00D44D33">
        <w:rPr>
          <w:rFonts w:ascii="Times New Roman" w:eastAsiaTheme="minorEastAsia" w:hAnsi="Times New Roman" w:cs="Times New Roman"/>
          <w:sz w:val="24"/>
          <w:szCs w:val="24"/>
        </w:rPr>
        <w:t xml:space="preserve"> </w:t>
      </w:r>
    </w:p>
    <w:p w14:paraId="6F34F693" w14:textId="6F9B9ECF" w:rsidR="00A00FCD" w:rsidRPr="00D44D33" w:rsidRDefault="001F65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194BBE"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211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u</w:t>
      </w:r>
      <w:r w:rsidR="003D06D8" w:rsidRPr="00D44D33">
        <w:rPr>
          <w:rFonts w:ascii="Times New Roman" w:eastAsiaTheme="minorEastAsia" w:hAnsi="Times New Roman" w:cs="Times New Roman"/>
          <w:sz w:val="24"/>
          <w:szCs w:val="24"/>
        </w:rPr>
        <w:t>możliwia</w:t>
      </w:r>
      <w:r w:rsidR="00970B2E" w:rsidRPr="00D44D33">
        <w:rPr>
          <w:rFonts w:ascii="Times New Roman" w:eastAsiaTheme="minorEastAsia" w:hAnsi="Times New Roman" w:cs="Times New Roman"/>
          <w:sz w:val="24"/>
          <w:szCs w:val="24"/>
        </w:rPr>
        <w:t xml:space="preserve"> </w:t>
      </w:r>
      <w:r w:rsidR="003D06D8"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3D06D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3D06D8"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7D36B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D36B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A52A76" w:rsidRPr="00D44D33">
        <w:rPr>
          <w:rFonts w:ascii="Times New Roman" w:eastAsiaTheme="minorEastAsia" w:hAnsi="Times New Roman" w:cs="Times New Roman"/>
          <w:sz w:val="24"/>
          <w:szCs w:val="24"/>
        </w:rPr>
        <w:t>telekomunikacyjnego</w:t>
      </w:r>
      <w:r w:rsidR="00194BB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94BB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D36BE" w:rsidRPr="00D44D33">
        <w:rPr>
          <w:rFonts w:ascii="Times New Roman" w:eastAsiaTheme="minorEastAsia" w:hAnsi="Times New Roman" w:cs="Times New Roman"/>
          <w:sz w:val="24"/>
          <w:szCs w:val="24"/>
        </w:rPr>
        <w:t>powiązanych</w:t>
      </w:r>
      <w:r w:rsidR="00970B2E" w:rsidRPr="00D44D33">
        <w:rPr>
          <w:rFonts w:ascii="Times New Roman" w:eastAsiaTheme="minorEastAsia" w:hAnsi="Times New Roman" w:cs="Times New Roman"/>
          <w:sz w:val="24"/>
          <w:szCs w:val="24"/>
        </w:rPr>
        <w:t xml:space="preserve"> </w:t>
      </w:r>
      <w:r w:rsidR="007D36BE" w:rsidRPr="00D44D33">
        <w:rPr>
          <w:rFonts w:ascii="Times New Roman" w:eastAsiaTheme="minorEastAsia" w:hAnsi="Times New Roman" w:cs="Times New Roman"/>
          <w:sz w:val="24"/>
          <w:szCs w:val="24"/>
        </w:rPr>
        <w:t>zasobów</w:t>
      </w:r>
      <w:r w:rsidR="00194BB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doprecyzowuje</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polegać</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wprowadzając</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nieznaczne</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modyfikacje</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przykładem</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ww</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przewidzianym</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EKŁE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zapewnieni</w:t>
      </w:r>
      <w:r w:rsidR="00214917"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aktywnych</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wirtualnych</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r w:rsidR="0048023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p>
    <w:p w14:paraId="5DE45D70" w14:textId="5AE64DDC" w:rsidR="00194BBE" w:rsidRPr="00D44D33" w:rsidRDefault="53C6AE0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Kolejnym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nakazujący</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nakładając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wziął</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planowane,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210</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wystarczające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problemów</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211</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73</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473C8EDA"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p>
    <w:p w14:paraId="1CE16B3B" w14:textId="5045C6DD" w:rsidR="007062CE" w:rsidRPr="00D44D33" w:rsidRDefault="00C30D6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212</w:t>
      </w:r>
    </w:p>
    <w:p w14:paraId="0EDB6C3C" w14:textId="4028699B" w:rsidR="00633ADD" w:rsidRPr="00D44D33" w:rsidRDefault="001F65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C30D60"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212</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73</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C30D60"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000D1C9F"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000D1C9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D1C9F"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0D1C9F"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D1C9F"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0D1C9F"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FF186C"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zasadniczej</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powtarzając</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brzmienie</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rozbudowuje</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ustalaniu</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wzięcia</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8025ED"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poziomów</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ryzyka</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inwestycjami,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prognozowanego</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technologicznego</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związanego</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projektowaniem</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zarządzaniem</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neutralności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technologicznej</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projektowania</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zarządzania</w:t>
      </w:r>
      <w:r w:rsidR="00970B2E" w:rsidRPr="00D44D33">
        <w:rPr>
          <w:rFonts w:ascii="Times New Roman" w:eastAsiaTheme="minorEastAsia" w:hAnsi="Times New Roman" w:cs="Times New Roman"/>
          <w:sz w:val="24"/>
          <w:szCs w:val="24"/>
        </w:rPr>
        <w:t xml:space="preserve"> </w:t>
      </w:r>
      <w:r w:rsidR="00633ADD"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p>
    <w:p w14:paraId="12D3FD4F" w14:textId="0B6A7A11" w:rsidR="00633ADD" w:rsidRPr="00D44D33" w:rsidRDefault="0007334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9747D" w:rsidRPr="00D44D33">
        <w:rPr>
          <w:rFonts w:ascii="Times New Roman" w:eastAsiaTheme="minorEastAsia" w:hAnsi="Times New Roman" w:cs="Times New Roman"/>
          <w:b/>
          <w:bCs/>
          <w:sz w:val="24"/>
          <w:szCs w:val="24"/>
        </w:rPr>
        <w:t>213</w:t>
      </w:r>
    </w:p>
    <w:p w14:paraId="69A98C6C" w14:textId="0E8F3AF4" w:rsidR="00073342" w:rsidRPr="00D44D33" w:rsidRDefault="0007334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niedyskryminacji.</w:t>
      </w:r>
      <w:r w:rsidR="00970B2E" w:rsidRPr="00D44D33">
        <w:rPr>
          <w:rFonts w:ascii="Times New Roman" w:eastAsiaTheme="minorEastAsia" w:hAnsi="Times New Roman" w:cs="Times New Roman"/>
          <w:sz w:val="24"/>
          <w:szCs w:val="24"/>
        </w:rPr>
        <w:t xml:space="preserve"> </w:t>
      </w:r>
    </w:p>
    <w:p w14:paraId="287D0B70" w14:textId="5B1DDE3D" w:rsidR="0006107B" w:rsidRPr="00D44D33" w:rsidRDefault="00CF4BE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zniekształcać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00AA7F21"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00AA7F21" w:rsidRPr="00D44D33">
        <w:rPr>
          <w:rFonts w:ascii="Times New Roman" w:eastAsiaTheme="minorEastAsia" w:hAnsi="Times New Roman" w:cs="Times New Roman"/>
          <w:sz w:val="24"/>
          <w:szCs w:val="24"/>
        </w:rPr>
        <w:t>równoważności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niezawodny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AA7F21" w:rsidRPr="00D44D33">
        <w:rPr>
          <w:rFonts w:ascii="Times New Roman" w:eastAsiaTheme="minorEastAsia" w:hAnsi="Times New Roman" w:cs="Times New Roman"/>
          <w:sz w:val="24"/>
          <w:szCs w:val="24"/>
        </w:rPr>
        <w:t>dyskryminacją.</w:t>
      </w:r>
      <w:r w:rsidR="00970B2E" w:rsidRPr="00D44D33">
        <w:rPr>
          <w:rFonts w:ascii="Times New Roman" w:eastAsiaTheme="minorEastAsia" w:hAnsi="Times New Roman" w:cs="Times New Roman"/>
          <w:sz w:val="24"/>
          <w:szCs w:val="24"/>
        </w:rPr>
        <w:t xml:space="preserve"> </w:t>
      </w:r>
    </w:p>
    <w:p w14:paraId="602C995C" w14:textId="621B63F7" w:rsidR="0006107B" w:rsidRPr="00D44D33" w:rsidRDefault="0006107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należało</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uwzględnić</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odnieść</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2466A6"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BF331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BF3312" w:rsidRPr="00D44D33">
        <w:rPr>
          <w:rFonts w:ascii="Times New Roman" w:eastAsiaTheme="minorEastAsia" w:hAnsi="Times New Roman" w:cs="Times New Roman"/>
          <w:sz w:val="24"/>
          <w:szCs w:val="24"/>
        </w:rPr>
        <w:t>elektronicznej</w:t>
      </w:r>
      <w:r w:rsidR="002466A6" w:rsidRPr="00D44D33">
        <w:rPr>
          <w:rFonts w:ascii="Times New Roman" w:eastAsiaTheme="minorEastAsia" w:hAnsi="Times New Roman" w:cs="Times New Roman"/>
          <w:sz w:val="24"/>
          <w:szCs w:val="24"/>
        </w:rPr>
        <w:t>.</w:t>
      </w:r>
    </w:p>
    <w:p w14:paraId="2A0437D0" w14:textId="23E3B1A3" w:rsidR="002466A6" w:rsidRPr="00D44D33" w:rsidRDefault="002466A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uregulowało</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w </w:t>
      </w:r>
      <w:r w:rsidR="006B61BE" w:rsidRPr="00D44D33">
        <w:rPr>
          <w:rFonts w:ascii="Times New Roman" w:eastAsiaTheme="minorEastAsia" w:hAnsi="Times New Roman" w:cs="Times New Roman"/>
          <w:sz w:val="24"/>
          <w:szCs w:val="24"/>
        </w:rPr>
        <w:t>cel</w:t>
      </w:r>
      <w:r w:rsidR="001F6578"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8073BA" w:rsidRPr="00D44D33">
        <w:rPr>
          <w:rFonts w:ascii="Times New Roman" w:eastAsiaTheme="minorEastAsia" w:hAnsi="Times New Roman" w:cs="Times New Roman"/>
          <w:sz w:val="24"/>
          <w:szCs w:val="24"/>
        </w:rPr>
        <w:t>równego</w:t>
      </w:r>
      <w:r w:rsidR="00970B2E" w:rsidRPr="00D44D33">
        <w:rPr>
          <w:rFonts w:ascii="Times New Roman" w:eastAsiaTheme="minorEastAsia" w:hAnsi="Times New Roman" w:cs="Times New Roman"/>
          <w:sz w:val="24"/>
          <w:szCs w:val="24"/>
        </w:rPr>
        <w:t xml:space="preserve"> </w:t>
      </w:r>
      <w:r w:rsidR="008073BA" w:rsidRPr="00D44D33">
        <w:rPr>
          <w:rFonts w:ascii="Times New Roman" w:eastAsiaTheme="minorEastAsia" w:hAnsi="Times New Roman" w:cs="Times New Roman"/>
          <w:sz w:val="24"/>
          <w:szCs w:val="24"/>
        </w:rPr>
        <w:t>traktowania</w:t>
      </w:r>
      <w:r w:rsidR="00970B2E" w:rsidRPr="00D44D33">
        <w:rPr>
          <w:rFonts w:ascii="Times New Roman" w:eastAsiaTheme="minorEastAsia" w:hAnsi="Times New Roman" w:cs="Times New Roman"/>
          <w:sz w:val="24"/>
          <w:szCs w:val="24"/>
        </w:rPr>
        <w:t xml:space="preserve"> </w:t>
      </w:r>
      <w:r w:rsidR="008073B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73BA"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073BA" w:rsidRPr="00D44D33">
        <w:rPr>
          <w:rFonts w:ascii="Times New Roman" w:eastAsiaTheme="minorEastAsia" w:hAnsi="Times New Roman" w:cs="Times New Roman"/>
          <w:sz w:val="24"/>
          <w:szCs w:val="24"/>
        </w:rPr>
        <w:t>dostępu</w:t>
      </w:r>
      <w:r w:rsidR="006B61B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Fragment</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wdrożony</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9747D" w:rsidRPr="00D44D33">
        <w:rPr>
          <w:rFonts w:ascii="Times New Roman" w:eastAsiaTheme="minorEastAsia" w:hAnsi="Times New Roman" w:cs="Times New Roman"/>
          <w:sz w:val="24"/>
          <w:szCs w:val="24"/>
        </w:rPr>
        <w:t>213</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B61BE" w:rsidRPr="00D44D33">
        <w:rPr>
          <w:rFonts w:ascii="Times New Roman" w:eastAsiaTheme="minorEastAsia" w:hAnsi="Times New Roman" w:cs="Times New Roman"/>
          <w:sz w:val="24"/>
          <w:szCs w:val="24"/>
        </w:rPr>
        <w:t>2.</w:t>
      </w:r>
    </w:p>
    <w:p w14:paraId="7EDDF4C9" w14:textId="7FE13CC6" w:rsidR="00130A35" w:rsidRPr="00D44D33" w:rsidRDefault="00130A3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214</w:t>
      </w:r>
    </w:p>
    <w:p w14:paraId="2404B523" w14:textId="79858B38" w:rsidR="0011648E" w:rsidRPr="00D44D33" w:rsidRDefault="00197E6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69</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zasadniczej</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1B1F5D9B"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490280F"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ogłaszania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publikowane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obejmować</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księgowe,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specyfikacje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p>
    <w:p w14:paraId="63A5CBC4" w14:textId="55B398F9" w:rsidR="0006107B" w:rsidRPr="00D44D33" w:rsidRDefault="000B4440"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182</w:t>
      </w:r>
      <w:r w:rsidR="00970B2E" w:rsidRPr="00D44D33">
        <w:rPr>
          <w:rFonts w:ascii="Times New Roman" w:eastAsiaTheme="minorEastAsia" w:hAnsi="Times New Roman" w:cs="Times New Roman"/>
          <w:sz w:val="24"/>
          <w:szCs w:val="24"/>
        </w:rPr>
        <w:t xml:space="preserve"> </w:t>
      </w:r>
      <w:r w:rsidR="0011648E"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jawność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wzajemnych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połączeń,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służy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przyspieszaniu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unikaniu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uczestnikom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pewność,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świadczona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dyskryminujących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Otwartość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jawność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technicznych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interfejsów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mieć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interoperacyjności.</w:t>
      </w:r>
    </w:p>
    <w:p w14:paraId="6A87060D" w14:textId="7628BEA8" w:rsidR="00CF5A71" w:rsidRPr="00D44D33" w:rsidRDefault="00CF5A7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D7D7F" w:rsidRPr="00D44D33">
        <w:rPr>
          <w:rFonts w:ascii="Times New Roman" w:eastAsiaTheme="minorEastAsia" w:hAnsi="Times New Roman" w:cs="Times New Roman"/>
          <w:b/>
          <w:bCs/>
          <w:sz w:val="24"/>
          <w:szCs w:val="24"/>
        </w:rPr>
        <w:t>215</w:t>
      </w:r>
    </w:p>
    <w:p w14:paraId="5900177C" w14:textId="5A5AF88F" w:rsidR="00A04D10" w:rsidRPr="00D44D33" w:rsidRDefault="001F65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A04D10" w:rsidRPr="00D44D33">
        <w:rPr>
          <w:rFonts w:ascii="Times New Roman" w:eastAsiaTheme="minorEastAsia" w:hAnsi="Times New Roman" w:cs="Times New Roman"/>
          <w:sz w:val="24"/>
          <w:szCs w:val="24"/>
        </w:rPr>
        <w:t>rtykuł</w:t>
      </w:r>
      <w:r w:rsidR="00970B2E" w:rsidRPr="00D44D33">
        <w:rPr>
          <w:rFonts w:ascii="Times New Roman" w:eastAsiaTheme="minorEastAsia" w:hAnsi="Times New Roman" w:cs="Times New Roman"/>
          <w:sz w:val="24"/>
          <w:szCs w:val="24"/>
        </w:rPr>
        <w:t xml:space="preserve"> </w:t>
      </w:r>
      <w:r w:rsidR="00ED7D7F" w:rsidRPr="00D44D33">
        <w:rPr>
          <w:rFonts w:ascii="Times New Roman" w:eastAsiaTheme="minorEastAsia" w:hAnsi="Times New Roman" w:cs="Times New Roman"/>
          <w:sz w:val="24"/>
          <w:szCs w:val="24"/>
        </w:rPr>
        <w:t>215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 xml:space="preserve">projektu </w:t>
      </w:r>
      <w:r w:rsidR="00A04D10"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EA1E5AC"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6EA1E5A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6EA1E5A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odwołaniem</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dalszych</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D7D7F" w:rsidRPr="00D44D33">
        <w:rPr>
          <w:rFonts w:ascii="Times New Roman" w:eastAsiaTheme="minorEastAsia" w:hAnsi="Times New Roman" w:cs="Times New Roman"/>
          <w:sz w:val="24"/>
          <w:szCs w:val="24"/>
        </w:rPr>
        <w:t>253</w:t>
      </w:r>
      <w:r w:rsidR="007C77E5" w:rsidRPr="00D44D33">
        <w:rPr>
          <w:rFonts w:ascii="Times New Roman" w:eastAsiaTheme="minorEastAsia" w:hAnsi="Times New Roman" w:cs="Times New Roman"/>
          <w:sz w:val="24"/>
          <w:szCs w:val="24"/>
        </w:rPr>
        <w:t>–</w:t>
      </w:r>
      <w:r w:rsidR="00ED7D7F" w:rsidRPr="00D44D33">
        <w:rPr>
          <w:rFonts w:ascii="Times New Roman" w:eastAsiaTheme="minorEastAsia" w:hAnsi="Times New Roman" w:cs="Times New Roman"/>
          <w:sz w:val="24"/>
          <w:szCs w:val="24"/>
        </w:rPr>
        <w:t>258</w:t>
      </w:r>
      <w:r w:rsidR="00A04D1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D7D7F" w:rsidRPr="00D44D33">
        <w:rPr>
          <w:rFonts w:ascii="Times New Roman" w:eastAsiaTheme="minorEastAsia" w:hAnsi="Times New Roman" w:cs="Times New Roman"/>
          <w:sz w:val="24"/>
          <w:szCs w:val="24"/>
        </w:rPr>
        <w:t>255</w:t>
      </w:r>
      <w:r w:rsidRPr="00D44D33">
        <w:rPr>
          <w:rFonts w:ascii="Times New Roman" w:eastAsiaTheme="minorEastAsia" w:hAnsi="Times New Roman" w:cs="Times New Roman"/>
          <w:sz w:val="24"/>
          <w:szCs w:val="24"/>
        </w:rPr>
        <w:t xml:space="preserve"> projektu akcie wykonawczym</w:t>
      </w:r>
      <w:r w:rsidR="00A04D1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regulacyjnej.</w:t>
      </w:r>
    </w:p>
    <w:p w14:paraId="7391C610" w14:textId="6EFE68C7" w:rsidR="0E947B53" w:rsidRPr="00D44D33" w:rsidRDefault="001F65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E947B53"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ED7D7F" w:rsidRPr="00D44D33">
        <w:rPr>
          <w:rFonts w:ascii="Times New Roman" w:eastAsiaTheme="minorEastAsia" w:hAnsi="Times New Roman" w:cs="Times New Roman"/>
          <w:sz w:val="24"/>
          <w:szCs w:val="24"/>
        </w:rPr>
        <w:t>215</w:t>
      </w:r>
      <w:r w:rsidR="00970B2E" w:rsidRPr="00D44D33">
        <w:rPr>
          <w:rFonts w:ascii="Times New Roman" w:eastAsiaTheme="minorEastAsia" w:hAnsi="Times New Roman" w:cs="Times New Roman"/>
          <w:sz w:val="24"/>
          <w:szCs w:val="24"/>
        </w:rPr>
        <w:t xml:space="preserve"> </w:t>
      </w:r>
      <w:r w:rsidR="0E947B5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E947B53"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0E947B5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E947B53" w:rsidRPr="00D44D33">
        <w:rPr>
          <w:rFonts w:ascii="Times New Roman" w:eastAsiaTheme="minorEastAsia" w:hAnsi="Times New Roman" w:cs="Times New Roman"/>
          <w:sz w:val="24"/>
          <w:szCs w:val="24"/>
        </w:rPr>
        <w:t>38</w:t>
      </w:r>
      <w:r w:rsidR="00970B2E" w:rsidRPr="00D44D33">
        <w:rPr>
          <w:rFonts w:ascii="Times New Roman" w:eastAsiaTheme="minorEastAsia" w:hAnsi="Times New Roman" w:cs="Times New Roman"/>
          <w:sz w:val="24"/>
          <w:szCs w:val="24"/>
        </w:rPr>
        <w:t xml:space="preserve"> </w:t>
      </w:r>
      <w:r w:rsidR="5AD46134" w:rsidRPr="00D44D33">
        <w:rPr>
          <w:rFonts w:ascii="Times New Roman" w:eastAsiaTheme="minorEastAsia" w:hAnsi="Times New Roman" w:cs="Times New Roman"/>
          <w:sz w:val="24"/>
          <w:szCs w:val="24"/>
        </w:rPr>
        <w:t>P</w:t>
      </w:r>
      <w:r w:rsidR="46B0B895" w:rsidRPr="00D44D33">
        <w:rPr>
          <w:rFonts w:ascii="Times New Roman" w:eastAsiaTheme="minorEastAsia" w:hAnsi="Times New Roman" w:cs="Times New Roman"/>
          <w:sz w:val="24"/>
          <w:szCs w:val="24"/>
        </w:rPr>
        <w:t>t</w:t>
      </w:r>
      <w:r w:rsidR="5AD46134" w:rsidRPr="00D44D33">
        <w:rPr>
          <w:rFonts w:ascii="Times New Roman" w:eastAsiaTheme="minorEastAsia" w:hAnsi="Times New Roman" w:cs="Times New Roman"/>
          <w:sz w:val="24"/>
          <w:szCs w:val="24"/>
        </w:rPr>
        <w:t>.</w:t>
      </w:r>
    </w:p>
    <w:p w14:paraId="3A6841BC" w14:textId="71890832" w:rsidR="00A04D10" w:rsidRPr="00D44D33" w:rsidRDefault="00A04D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projektowanym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sprawozdań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zatwierdzona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instrukcja,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zdefiniowana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słowniku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009D7F35" w:rsidRPr="00D44D33">
        <w:rPr>
          <w:rFonts w:ascii="Times New Roman" w:eastAsiaTheme="minorEastAsia" w:hAnsi="Times New Roman" w:cs="Times New Roman"/>
          <w:sz w:val="24"/>
          <w:szCs w:val="24"/>
          <w:lang w:eastAsia="pl-PL"/>
        </w:rPr>
        <w:t>13</w:t>
      </w:r>
      <w:r w:rsidRPr="00D44D33">
        <w:rPr>
          <w:rFonts w:ascii="Times New Roman" w:eastAsiaTheme="minorEastAsia" w:hAnsi="Times New Roman" w:cs="Times New Roman"/>
          <w:sz w:val="24"/>
          <w:szCs w:val="24"/>
          <w:lang w:eastAsia="pl-PL"/>
        </w:rPr>
        <w:t>.</w:t>
      </w:r>
    </w:p>
    <w:p w14:paraId="4CAE8EC1" w14:textId="5CBC90AC" w:rsidR="00A04D10" w:rsidRPr="00D44D33" w:rsidRDefault="001F65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00A04D10"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ED7D7F" w:rsidRPr="00D44D33">
        <w:rPr>
          <w:rFonts w:ascii="Times New Roman" w:eastAsiaTheme="minorEastAsia" w:hAnsi="Times New Roman" w:cs="Times New Roman"/>
          <w:sz w:val="24"/>
          <w:szCs w:val="24"/>
        </w:rPr>
        <w:t>215</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implementuje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polskiego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71</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regulator</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rozdzielności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księgowej</w:t>
      </w:r>
      <w:r w:rsidR="072242B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rozdzielności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księgowej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polskim</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prawie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regulacyjnej</w:t>
      </w:r>
      <w:r w:rsidR="00F02A4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zdefiniowany</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słowniku</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48</w:t>
      </w:r>
      <w:r w:rsidR="00A04D1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 xml:space="preserve">projektowany przepis </w:t>
      </w:r>
      <w:r w:rsidR="0021491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D7D7F" w:rsidRPr="00D44D33">
        <w:rPr>
          <w:rFonts w:ascii="Times New Roman" w:eastAsiaTheme="minorEastAsia" w:hAnsi="Times New Roman" w:cs="Times New Roman"/>
          <w:sz w:val="24"/>
          <w:szCs w:val="24"/>
        </w:rPr>
        <w:t>253</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p>
    <w:p w14:paraId="5FA76A90" w14:textId="36DD01DC" w:rsidR="00CF5A71" w:rsidRPr="00D44D33" w:rsidRDefault="00A04D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Prawidłowe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badanie</w:t>
      </w:r>
      <w:r w:rsidR="00970B2E" w:rsidRPr="00D44D33">
        <w:rPr>
          <w:rFonts w:ascii="Times New Roman" w:eastAsiaTheme="minorEastAsia" w:hAnsi="Times New Roman" w:cs="Times New Roman"/>
          <w:sz w:val="24"/>
          <w:szCs w:val="24"/>
        </w:rPr>
        <w:t xml:space="preserve"> </w:t>
      </w:r>
      <w:r w:rsidR="39638A4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9638A44" w:rsidRPr="00D44D33">
        <w:rPr>
          <w:rFonts w:ascii="Times New Roman" w:eastAsiaTheme="minorEastAsia" w:hAnsi="Times New Roman" w:cs="Times New Roman"/>
          <w:sz w:val="24"/>
          <w:szCs w:val="24"/>
        </w:rPr>
        <w:t>monitorowanie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transferów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wewnętrznych</w:t>
      </w:r>
      <w:r w:rsidR="00970B2E" w:rsidRPr="00D44D33">
        <w:rPr>
          <w:rFonts w:ascii="Times New Roman" w:eastAsiaTheme="minorEastAsia" w:hAnsi="Times New Roman" w:cs="Times New Roman"/>
          <w:sz w:val="24"/>
          <w:szCs w:val="24"/>
        </w:rPr>
        <w:t xml:space="preserve"> </w:t>
      </w:r>
      <w:r w:rsidR="181DFB26"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w:t>
      </w:r>
      <w:r w:rsidR="54035850" w:rsidRPr="00D44D33">
        <w:rPr>
          <w:rFonts w:ascii="Times New Roman" w:eastAsiaTheme="minorEastAsia" w:hAnsi="Times New Roman" w:cs="Times New Roman"/>
          <w:sz w:val="24"/>
          <w:szCs w:val="24"/>
        </w:rPr>
        <w:t>cy</w:t>
      </w:r>
      <w:r w:rsidR="00970B2E" w:rsidRPr="00D44D33">
        <w:rPr>
          <w:rFonts w:ascii="Times New Roman" w:eastAsiaTheme="minorEastAsia" w:hAnsi="Times New Roman" w:cs="Times New Roman"/>
          <w:sz w:val="24"/>
          <w:szCs w:val="24"/>
        </w:rPr>
        <w:t xml:space="preserve"> </w:t>
      </w:r>
      <w:r w:rsidR="5403585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403585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eliminowanie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niedozwolonych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transferów.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52FC3483"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52FC3483" w:rsidRPr="00D44D33">
        <w:rPr>
          <w:rFonts w:ascii="Times New Roman" w:eastAsiaTheme="minorEastAsia" w:hAnsi="Times New Roman" w:cs="Times New Roman"/>
          <w:sz w:val="24"/>
          <w:szCs w:val="24"/>
        </w:rPr>
        <w:t>hurtowych</w:t>
      </w:r>
      <w:r w:rsidR="56240A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5C8320DB" w:rsidRPr="00D44D33">
        <w:rPr>
          <w:rFonts w:ascii="Times New Roman" w:eastAsiaTheme="minorEastAsia" w:hAnsi="Times New Roman" w:cs="Times New Roman"/>
          <w:sz w:val="24"/>
          <w:szCs w:val="24"/>
        </w:rPr>
        <w:t>hurtowych</w:t>
      </w:r>
      <w:r w:rsidRPr="00D44D33">
        <w:rPr>
          <w:rFonts w:ascii="Times New Roman" w:eastAsiaTheme="minorEastAsia" w:hAnsi="Times New Roman" w:cs="Times New Roman"/>
          <w:sz w:val="24"/>
          <w:szCs w:val="24"/>
        </w:rPr>
        <w:t>.</w:t>
      </w:r>
    </w:p>
    <w:p w14:paraId="34AFF818" w14:textId="579D36F7" w:rsidR="00B80C46" w:rsidRPr="00D44D33" w:rsidRDefault="00B80C46" w:rsidP="00D44D33">
      <w:pPr>
        <w:pStyle w:val="ARTartustawynprozporzdzenia"/>
        <w:spacing w:after="120"/>
        <w:ind w:firstLine="0"/>
        <w:jc w:val="center"/>
        <w:rPr>
          <w:rFonts w:ascii="Times New Roman" w:hAnsi="Times New Roman" w:cs="Times New Roman"/>
          <w:szCs w:val="24"/>
        </w:rPr>
      </w:pPr>
      <w:r w:rsidRPr="00D44D33">
        <w:rPr>
          <w:rFonts w:ascii="Times New Roman" w:hAnsi="Times New Roman" w:cs="Times New Roman"/>
          <w:b/>
          <w:bCs/>
          <w:szCs w:val="24"/>
        </w:rPr>
        <w:t>Art.</w:t>
      </w:r>
      <w:r w:rsidR="00970B2E" w:rsidRPr="00D44D33">
        <w:rPr>
          <w:rFonts w:ascii="Times New Roman" w:hAnsi="Times New Roman" w:cs="Times New Roman"/>
          <w:b/>
          <w:bCs/>
          <w:szCs w:val="24"/>
        </w:rPr>
        <w:t xml:space="preserve"> </w:t>
      </w:r>
      <w:r w:rsidR="009D7F35" w:rsidRPr="00D44D33">
        <w:rPr>
          <w:rFonts w:ascii="Times New Roman" w:hAnsi="Times New Roman" w:cs="Times New Roman"/>
          <w:b/>
          <w:bCs/>
          <w:szCs w:val="24"/>
        </w:rPr>
        <w:t>216</w:t>
      </w:r>
    </w:p>
    <w:p w14:paraId="5DCD8C21" w14:textId="4906F831" w:rsidR="00A04D10" w:rsidRPr="00D44D33" w:rsidRDefault="001F65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 przepis art.</w:t>
      </w:r>
      <w:r w:rsidR="00970B2E" w:rsidRPr="00D44D33">
        <w:rPr>
          <w:rFonts w:ascii="Times New Roman" w:eastAsiaTheme="minorEastAsia" w:hAnsi="Times New Roman" w:cs="Times New Roman"/>
          <w:sz w:val="24"/>
          <w:szCs w:val="24"/>
        </w:rPr>
        <w:t xml:space="preserve"> </w:t>
      </w:r>
      <w:r w:rsidR="009D7F35" w:rsidRPr="00D44D33">
        <w:rPr>
          <w:rFonts w:ascii="Times New Roman" w:eastAsiaTheme="minorEastAsia" w:hAnsi="Times New Roman" w:cs="Times New Roman"/>
          <w:sz w:val="24"/>
          <w:szCs w:val="24"/>
        </w:rPr>
        <w:t>216</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wdrażający</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935B3D5"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5935B3D5"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935B3D5"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lang w:eastAsia="pl-PL"/>
        </w:rPr>
        <w:t>świadczenia</w:t>
      </w:r>
      <w:r w:rsidR="00970B2E" w:rsidRPr="00D44D33">
        <w:rPr>
          <w:rFonts w:ascii="Times New Roman" w:eastAsiaTheme="minorEastAsia" w:hAnsi="Times New Roman" w:cs="Times New Roman"/>
          <w:sz w:val="24"/>
          <w:szCs w:val="24"/>
          <w:lang w:eastAsia="pl-PL"/>
        </w:rPr>
        <w:t xml:space="preserve"> </w:t>
      </w:r>
      <w:r w:rsidR="00A04D10"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BF44A3"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00A04D1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A04D10"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lang w:eastAsia="pl-PL"/>
        </w:rPr>
        <w:t xml:space="preserve"> </w:t>
      </w:r>
      <w:r w:rsidR="00A04D10"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A04D10"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00A04D10"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BF44A3" w:rsidRPr="00D44D33">
        <w:rPr>
          <w:rFonts w:ascii="Times New Roman" w:eastAsiaTheme="minorEastAsia" w:hAnsi="Times New Roman" w:cs="Times New Roman"/>
          <w:sz w:val="24"/>
          <w:szCs w:val="24"/>
          <w:lang w:eastAsia="pl-PL"/>
        </w:rPr>
        <w:t>telekomunikacyjnego</w:t>
      </w:r>
      <w:r w:rsidR="00F02A4D"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p>
    <w:p w14:paraId="3185BEE8" w14:textId="405836A4" w:rsidR="00A04D10" w:rsidRPr="00D44D33" w:rsidRDefault="6AC109D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przepisie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wymienione</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8089047" w:rsidRPr="00D44D33">
        <w:rPr>
          <w:rFonts w:ascii="Times New Roman" w:eastAsiaTheme="minorEastAsia" w:hAnsi="Times New Roman" w:cs="Times New Roman"/>
          <w:sz w:val="24"/>
          <w:szCs w:val="24"/>
          <w:lang w:eastAsia="pl-PL"/>
        </w:rPr>
        <w:t>telekomunikacyjnego</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78C74A8"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278C74A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78C74A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5FEA04C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lang w:eastAsia="pl-PL"/>
        </w:rPr>
        <w:t xml:space="preserve"> </w:t>
      </w:r>
      <w:r w:rsidR="26361441" w:rsidRPr="00D44D33">
        <w:rPr>
          <w:rFonts w:ascii="Times New Roman" w:eastAsiaTheme="minorEastAsia" w:hAnsi="Times New Roman" w:cs="Times New Roman"/>
          <w:sz w:val="24"/>
          <w:szCs w:val="24"/>
          <w:lang w:eastAsia="pl-PL"/>
        </w:rPr>
        <w:t>Przesłanki</w:t>
      </w:r>
      <w:r w:rsidR="00970B2E" w:rsidRPr="00D44D33">
        <w:rPr>
          <w:rFonts w:ascii="Times New Roman" w:eastAsiaTheme="minorEastAsia" w:hAnsi="Times New Roman" w:cs="Times New Roman"/>
          <w:sz w:val="24"/>
          <w:szCs w:val="24"/>
          <w:lang w:eastAsia="pl-PL"/>
        </w:rPr>
        <w:t xml:space="preserve"> </w:t>
      </w:r>
      <w:r w:rsidR="26361441" w:rsidRPr="00D44D33">
        <w:rPr>
          <w:rFonts w:ascii="Times New Roman" w:eastAsiaTheme="minorEastAsia" w:hAnsi="Times New Roman" w:cs="Times New Roman"/>
          <w:sz w:val="24"/>
          <w:szCs w:val="24"/>
          <w:lang w:eastAsia="pl-PL"/>
        </w:rPr>
        <w:t>nakładania</w:t>
      </w:r>
      <w:r w:rsidR="00970B2E" w:rsidRPr="00D44D33">
        <w:rPr>
          <w:rFonts w:ascii="Times New Roman" w:eastAsiaTheme="minorEastAsia" w:hAnsi="Times New Roman" w:cs="Times New Roman"/>
          <w:sz w:val="24"/>
          <w:szCs w:val="24"/>
          <w:lang w:eastAsia="pl-PL"/>
        </w:rPr>
        <w:t xml:space="preserve"> </w:t>
      </w:r>
      <w:r w:rsidR="26361441" w:rsidRPr="00D44D33">
        <w:rPr>
          <w:rFonts w:ascii="Times New Roman" w:eastAsiaTheme="minorEastAsia" w:hAnsi="Times New Roman" w:cs="Times New Roman"/>
          <w:sz w:val="24"/>
          <w:szCs w:val="24"/>
          <w:lang w:eastAsia="pl-PL"/>
        </w:rPr>
        <w:t>obowiązków</w:t>
      </w:r>
      <w:r w:rsidR="20FF5204"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01F6578" w:rsidRPr="00D44D33">
        <w:rPr>
          <w:rFonts w:ascii="Times New Roman" w:eastAsiaTheme="minorEastAsia" w:hAnsi="Times New Roman" w:cs="Times New Roman"/>
          <w:sz w:val="24"/>
          <w:szCs w:val="24"/>
          <w:lang w:eastAsia="pl-PL"/>
        </w:rPr>
        <w:t>określone</w:t>
      </w:r>
      <w:r w:rsidR="00970B2E" w:rsidRPr="00D44D33">
        <w:rPr>
          <w:rFonts w:ascii="Times New Roman" w:eastAsiaTheme="minorEastAsia" w:hAnsi="Times New Roman" w:cs="Times New Roman"/>
          <w:sz w:val="24"/>
          <w:szCs w:val="24"/>
          <w:lang w:eastAsia="pl-PL"/>
        </w:rPr>
        <w:t xml:space="preserve"> </w:t>
      </w:r>
      <w:r w:rsidR="20FF5204"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6739BAC3" w:rsidRPr="00D44D33">
        <w:rPr>
          <w:rFonts w:ascii="Times New Roman" w:eastAsiaTheme="minorEastAsia" w:hAnsi="Times New Roman" w:cs="Times New Roman"/>
          <w:sz w:val="24"/>
          <w:szCs w:val="24"/>
          <w:lang w:eastAsia="pl-PL"/>
        </w:rPr>
        <w:t>Pke</w:t>
      </w:r>
      <w:r w:rsidR="20FF5204"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26361441" w:rsidRPr="00D44D33">
        <w:rPr>
          <w:rFonts w:ascii="Times New Roman" w:eastAsiaTheme="minorEastAsia" w:hAnsi="Times New Roman" w:cs="Times New Roman"/>
          <w:sz w:val="24"/>
          <w:szCs w:val="24"/>
          <w:lang w:eastAsia="pl-PL"/>
        </w:rPr>
        <w:t>wynikają</w:t>
      </w:r>
      <w:r w:rsidR="00970B2E" w:rsidRPr="00D44D33">
        <w:rPr>
          <w:rFonts w:ascii="Times New Roman" w:eastAsiaTheme="minorEastAsia" w:hAnsi="Times New Roman" w:cs="Times New Roman"/>
          <w:sz w:val="24"/>
          <w:szCs w:val="24"/>
          <w:lang w:eastAsia="pl-PL"/>
        </w:rPr>
        <w:t xml:space="preserve"> </w:t>
      </w:r>
      <w:r w:rsidR="26361441" w:rsidRPr="00D44D33">
        <w:rPr>
          <w:rFonts w:ascii="Times New Roman" w:eastAsiaTheme="minorEastAsia" w:hAnsi="Times New Roman" w:cs="Times New Roman"/>
          <w:sz w:val="24"/>
          <w:szCs w:val="24"/>
          <w:lang w:eastAsia="pl-PL"/>
        </w:rPr>
        <w:t>bezpośrednio</w:t>
      </w:r>
      <w:r w:rsidR="00970B2E" w:rsidRPr="00D44D33">
        <w:rPr>
          <w:rFonts w:ascii="Times New Roman" w:eastAsiaTheme="minorEastAsia" w:hAnsi="Times New Roman" w:cs="Times New Roman"/>
          <w:sz w:val="24"/>
          <w:szCs w:val="24"/>
          <w:lang w:eastAsia="pl-PL"/>
        </w:rPr>
        <w:t xml:space="preserve"> </w:t>
      </w:r>
      <w:r w:rsidR="26361441"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F13E91" w:rsidRPr="00D44D33">
        <w:rPr>
          <w:rFonts w:ascii="Times New Roman" w:eastAsiaTheme="minorEastAsia" w:hAnsi="Times New Roman" w:cs="Times New Roman"/>
          <w:sz w:val="24"/>
          <w:szCs w:val="24"/>
          <w:lang w:eastAsia="pl-PL"/>
        </w:rPr>
        <w:t>EKŁE</w:t>
      </w:r>
      <w:r w:rsidR="1CD97CF3"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55D59B32"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1CD97CF3" w:rsidRPr="00D44D33">
        <w:rPr>
          <w:rFonts w:ascii="Times New Roman" w:eastAsiaTheme="minorEastAsia" w:hAnsi="Times New Roman" w:cs="Times New Roman"/>
          <w:sz w:val="24"/>
          <w:szCs w:val="24"/>
          <w:lang w:eastAsia="pl-PL"/>
        </w:rPr>
        <w:t>szczególności</w:t>
      </w:r>
      <w:r w:rsidR="00970B2E" w:rsidRPr="00D44D33">
        <w:rPr>
          <w:rFonts w:ascii="Times New Roman" w:eastAsiaTheme="minorEastAsia" w:hAnsi="Times New Roman" w:cs="Times New Roman"/>
          <w:sz w:val="24"/>
          <w:szCs w:val="24"/>
          <w:lang w:eastAsia="pl-PL"/>
        </w:rPr>
        <w:t xml:space="preserve"> </w:t>
      </w:r>
      <w:r w:rsidR="42DFB387"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1CD97CF3"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1CD97CF3"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1CD97CF3"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6928D78F"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6928D78F"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7B3AEF7D" w:rsidRPr="00D44D33">
        <w:rPr>
          <w:rFonts w:ascii="Times New Roman" w:eastAsiaTheme="minorEastAsia" w:hAnsi="Times New Roman" w:cs="Times New Roman"/>
          <w:sz w:val="24"/>
          <w:szCs w:val="24"/>
          <w:lang w:eastAsia="pl-PL"/>
        </w:rPr>
        <w:t>2</w:t>
      </w:r>
      <w:r w:rsidR="19A3E914"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1E4472DB"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1E4472DB"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akapit</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zdanie</w:t>
      </w:r>
      <w:r w:rsidR="00970B2E" w:rsidRPr="00D44D33">
        <w:rPr>
          <w:rFonts w:ascii="Times New Roman" w:eastAsiaTheme="minorEastAsia" w:hAnsi="Times New Roman" w:cs="Times New Roman"/>
          <w:sz w:val="24"/>
          <w:szCs w:val="24"/>
          <w:lang w:eastAsia="pl-PL"/>
        </w:rPr>
        <w:t xml:space="preserve"> </w:t>
      </w:r>
      <w:r w:rsidR="590E1B1E"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554601F3" w:rsidRPr="00D44D33">
        <w:rPr>
          <w:rFonts w:ascii="Times New Roman" w:eastAsiaTheme="minorEastAsia" w:hAnsi="Times New Roman" w:cs="Times New Roman"/>
          <w:sz w:val="24"/>
          <w:szCs w:val="24"/>
          <w:lang w:eastAsia="pl-PL"/>
        </w:rPr>
        <w:t>implementowanym</w:t>
      </w:r>
      <w:r w:rsidR="00970B2E" w:rsidRPr="00D44D33">
        <w:rPr>
          <w:rFonts w:ascii="Times New Roman" w:eastAsiaTheme="minorEastAsia" w:hAnsi="Times New Roman" w:cs="Times New Roman"/>
          <w:sz w:val="24"/>
          <w:szCs w:val="24"/>
          <w:lang w:eastAsia="pl-PL"/>
        </w:rPr>
        <w:t xml:space="preserve"> </w:t>
      </w:r>
      <w:r w:rsidR="554601F3"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554601F3"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554601F3" w:rsidRPr="00D44D33">
        <w:rPr>
          <w:rFonts w:ascii="Times New Roman" w:eastAsiaTheme="minorEastAsia" w:hAnsi="Times New Roman" w:cs="Times New Roman"/>
          <w:sz w:val="24"/>
          <w:szCs w:val="24"/>
          <w:lang w:eastAsia="pl-PL"/>
        </w:rPr>
        <w:t>1</w:t>
      </w:r>
      <w:r w:rsidR="30BB27C8"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5215DE86" w:rsidRPr="00D44D33">
        <w:rPr>
          <w:rFonts w:ascii="Times New Roman" w:eastAsiaTheme="minorEastAsia" w:hAnsi="Times New Roman" w:cs="Times New Roman"/>
          <w:sz w:val="24"/>
          <w:szCs w:val="24"/>
          <w:lang w:eastAsia="pl-PL"/>
        </w:rPr>
        <w:t>P</w:t>
      </w:r>
      <w:r w:rsidR="2E48B9DF" w:rsidRPr="00D44D33">
        <w:rPr>
          <w:rFonts w:ascii="Times New Roman" w:eastAsiaTheme="minorEastAsia" w:hAnsi="Times New Roman" w:cs="Times New Roman"/>
          <w:sz w:val="24"/>
          <w:szCs w:val="24"/>
        </w:rPr>
        <w:t>rezes</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8F55481"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umożliwi</w:t>
      </w:r>
      <w:r w:rsidR="2A002755"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1E777FBF"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rozsądnej</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stopy</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zaangażowanego</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kapitału,</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uwzględniając</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ryzyko</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typowe</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67709611"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przedsięwzięcia</w:t>
      </w:r>
      <w:r w:rsidR="00970B2E" w:rsidRPr="00D44D33">
        <w:rPr>
          <w:rFonts w:ascii="Times New Roman" w:eastAsiaTheme="minorEastAsia" w:hAnsi="Times New Roman" w:cs="Times New Roman"/>
          <w:sz w:val="24"/>
          <w:szCs w:val="24"/>
        </w:rPr>
        <w:t xml:space="preserve"> </w:t>
      </w:r>
      <w:r w:rsidR="2E48B9DF" w:rsidRPr="00D44D33">
        <w:rPr>
          <w:rFonts w:ascii="Times New Roman" w:eastAsiaTheme="minorEastAsia" w:hAnsi="Times New Roman" w:cs="Times New Roman"/>
          <w:sz w:val="24"/>
          <w:szCs w:val="24"/>
        </w:rPr>
        <w:t>inwestycyjnego.</w:t>
      </w:r>
    </w:p>
    <w:p w14:paraId="72F999DA" w14:textId="02C72F40" w:rsidR="00A04D10" w:rsidRPr="00D44D33" w:rsidRDefault="00A04D10"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Metoda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pkt 1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w:t>
      </w:r>
      <w:r w:rsidR="001F6578"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3C4B3C"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precyzyjnie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lang w:eastAsia="pl-PL"/>
        </w:rPr>
        <w:t xml:space="preserve"> </w:t>
      </w:r>
      <w:r w:rsidR="00F02A4D" w:rsidRPr="00D44D33">
        <w:rPr>
          <w:rFonts w:ascii="Times New Roman" w:eastAsiaTheme="minorEastAsia" w:hAnsi="Times New Roman" w:cs="Times New Roman"/>
          <w:sz w:val="24"/>
          <w:szCs w:val="24"/>
        </w:rPr>
        <w:t>prze</w:t>
      </w:r>
      <w:r w:rsidRPr="00D44D33">
        <w:rPr>
          <w:rFonts w:ascii="Times New Roman" w:eastAsiaTheme="minorEastAsia" w:hAnsi="Times New Roman" w:cs="Times New Roman"/>
          <w:sz w:val="24"/>
          <w:szCs w:val="24"/>
        </w:rPr>
        <w:t>pisy</w:t>
      </w:r>
      <w:r w:rsidR="00970B2E" w:rsidRPr="00D44D33">
        <w:rPr>
          <w:rFonts w:ascii="Times New Roman" w:eastAsiaTheme="minorEastAsia" w:hAnsi="Times New Roman" w:cs="Times New Roman"/>
          <w:sz w:val="24"/>
          <w:szCs w:val="24"/>
        </w:rPr>
        <w:t xml:space="preserve"> </w:t>
      </w:r>
      <w:r w:rsidR="00F13E91"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słowniczku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8235FF" w:rsidRPr="00D44D33">
        <w:rPr>
          <w:rFonts w:ascii="Times New Roman" w:eastAsiaTheme="minorEastAsia" w:hAnsi="Times New Roman" w:cs="Times New Roman"/>
          <w:sz w:val="24"/>
          <w:szCs w:val="24"/>
        </w:rPr>
        <w:t>17</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Pke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235FF" w:rsidRPr="00D44D33">
        <w:rPr>
          <w:rFonts w:ascii="Times New Roman" w:eastAsiaTheme="minorEastAsia" w:hAnsi="Times New Roman" w:cs="Times New Roman"/>
          <w:sz w:val="24"/>
          <w:szCs w:val="24"/>
        </w:rPr>
        <w:t>257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F6578" w:rsidRPr="00D44D33">
        <w:rPr>
          <w:rFonts w:ascii="Times New Roman" w:eastAsiaTheme="minorEastAsia" w:hAnsi="Times New Roman" w:cs="Times New Roman"/>
          <w:sz w:val="24"/>
          <w:szCs w:val="24"/>
        </w:rPr>
        <w:t xml:space="preserve">art. </w:t>
      </w:r>
      <w:r w:rsidR="008235FF" w:rsidRPr="00D44D33">
        <w:rPr>
          <w:rFonts w:ascii="Times New Roman" w:eastAsiaTheme="minorEastAsia" w:hAnsi="Times New Roman" w:cs="Times New Roman"/>
          <w:sz w:val="24"/>
          <w:szCs w:val="24"/>
        </w:rPr>
        <w:t>258</w:t>
      </w:r>
      <w:r w:rsidR="00970B2E" w:rsidRPr="00D44D33">
        <w:rPr>
          <w:rFonts w:ascii="Times New Roman" w:eastAsiaTheme="minorEastAsia" w:hAnsi="Times New Roman" w:cs="Times New Roman"/>
          <w:sz w:val="24"/>
          <w:szCs w:val="24"/>
        </w:rPr>
        <w:t xml:space="preserve"> </w:t>
      </w:r>
      <w:r w:rsidR="6808FFBD" w:rsidRPr="00D44D33">
        <w:rPr>
          <w:rFonts w:ascii="Times New Roman" w:eastAsiaTheme="minorEastAsia" w:hAnsi="Times New Roman" w:cs="Times New Roman"/>
          <w:sz w:val="24"/>
          <w:szCs w:val="24"/>
        </w:rPr>
        <w:t>P</w:t>
      </w:r>
      <w:r w:rsidR="00F13E91" w:rsidRPr="00D44D33">
        <w:rPr>
          <w:rFonts w:ascii="Times New Roman" w:eastAsiaTheme="minorEastAsia" w:hAnsi="Times New Roman" w:cs="Times New Roman"/>
          <w:sz w:val="24"/>
          <w:szCs w:val="24"/>
        </w:rPr>
        <w:t>ke</w:t>
      </w:r>
      <w:r w:rsidR="00DA2E9E" w:rsidRPr="00D44D33">
        <w:rPr>
          <w:rFonts w:ascii="Times New Roman" w:eastAsiaTheme="minorEastAsia" w:hAnsi="Times New Roman" w:cs="Times New Roman"/>
          <w:sz w:val="24"/>
          <w:szCs w:val="24"/>
        </w:rPr>
        <w:t>, a 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63D4BD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235FF" w:rsidRPr="00D44D33">
        <w:rPr>
          <w:rFonts w:ascii="Times New Roman" w:eastAsiaTheme="minorEastAsia" w:hAnsi="Times New Roman" w:cs="Times New Roman"/>
          <w:sz w:val="24"/>
          <w:szCs w:val="24"/>
        </w:rPr>
        <w:t>255</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P</w:t>
      </w:r>
      <w:r w:rsidR="06908D43" w:rsidRPr="00D44D33">
        <w:rPr>
          <w:rFonts w:ascii="Times New Roman" w:eastAsiaTheme="minorEastAsia" w:hAnsi="Times New Roman" w:cs="Times New Roman"/>
          <w:sz w:val="24"/>
          <w:szCs w:val="24"/>
          <w:lang w:eastAsia="pl-PL"/>
        </w:rPr>
        <w:t>t</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metoda</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była</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regulowana</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3424480E" w:rsidRPr="00D44D33">
        <w:rPr>
          <w:rFonts w:ascii="Times New Roman" w:eastAsiaTheme="minorEastAsia" w:hAnsi="Times New Roman" w:cs="Times New Roman"/>
          <w:sz w:val="24"/>
          <w:szCs w:val="24"/>
          <w:lang w:eastAsia="pl-PL"/>
        </w:rPr>
        <w:t>39.</w:t>
      </w:r>
    </w:p>
    <w:p w14:paraId="6C903CA6" w14:textId="13FDB21D" w:rsidR="00A04D10" w:rsidRPr="00D44D33" w:rsidRDefault="403A77E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wskazuje</w:t>
      </w:r>
      <w:r w:rsidR="00970B2E" w:rsidRPr="00D44D33">
        <w:rPr>
          <w:rFonts w:ascii="Times New Roman" w:eastAsiaTheme="minorEastAsia" w:hAnsi="Times New Roman" w:cs="Times New Roman"/>
          <w:sz w:val="24"/>
          <w:szCs w:val="24"/>
          <w:lang w:eastAsia="pl-PL"/>
        </w:rPr>
        <w:t xml:space="preserve"> </w:t>
      </w:r>
      <w:r w:rsidR="7B9E4A9C"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7B9E4A9C"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7B9E4A9C"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sposób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spośród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wymienionych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rozporządzeniu,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DA2E9E" w:rsidRPr="00D44D33">
        <w:rPr>
          <w:rFonts w:ascii="Times New Roman" w:eastAsiaTheme="minorEastAsia" w:hAnsi="Times New Roman" w:cs="Times New Roman"/>
          <w:sz w:val="24"/>
          <w:szCs w:val="24"/>
          <w:lang w:eastAsia="pl-PL"/>
        </w:rPr>
        <w:t>ydanym na podstawie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8235FF" w:rsidRPr="00D44D33">
        <w:rPr>
          <w:rFonts w:ascii="Times New Roman" w:eastAsiaTheme="minorEastAsia" w:hAnsi="Times New Roman" w:cs="Times New Roman"/>
          <w:sz w:val="24"/>
          <w:szCs w:val="24"/>
          <w:lang w:eastAsia="pl-PL"/>
        </w:rPr>
        <w:t>255</w:t>
      </w:r>
      <w:r w:rsidR="00DA2E9E"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sposoby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stosował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przypadkach,</w:t>
      </w:r>
      <w:r w:rsidR="00970B2E" w:rsidRPr="00D44D33">
        <w:rPr>
          <w:rFonts w:ascii="Times New Roman" w:eastAsiaTheme="minorEastAsia" w:hAnsi="Times New Roman" w:cs="Times New Roman"/>
          <w:sz w:val="24"/>
          <w:szCs w:val="24"/>
          <w:lang w:eastAsia="pl-PL"/>
        </w:rPr>
        <w:t xml:space="preserve"> </w:t>
      </w:r>
      <w:r w:rsidR="005574A1"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8235FF" w:rsidRPr="00D44D33">
        <w:rPr>
          <w:rFonts w:ascii="Times New Roman" w:eastAsiaTheme="minorEastAsia" w:hAnsi="Times New Roman" w:cs="Times New Roman"/>
          <w:sz w:val="24"/>
          <w:szCs w:val="24"/>
          <w:lang w:eastAsia="pl-PL"/>
        </w:rPr>
        <w:t>217</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sprecyzowane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4A00D173" w:rsidRPr="00D44D33">
        <w:rPr>
          <w:rFonts w:ascii="Times New Roman" w:eastAsiaTheme="minorEastAsia" w:hAnsi="Times New Roman" w:cs="Times New Roman"/>
          <w:sz w:val="24"/>
          <w:szCs w:val="24"/>
        </w:rPr>
        <w:t>Przykładami</w:t>
      </w:r>
      <w:r w:rsidR="00970B2E" w:rsidRPr="00D44D33">
        <w:rPr>
          <w:rFonts w:ascii="Times New Roman" w:eastAsiaTheme="minorEastAsia" w:hAnsi="Times New Roman" w:cs="Times New Roman"/>
          <w:sz w:val="24"/>
          <w:szCs w:val="24"/>
        </w:rPr>
        <w:t xml:space="preserve"> </w:t>
      </w:r>
      <w:r w:rsidR="4A00D173"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4A00D173"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4A00D173"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stosowanych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porównywalnych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konkurencyjnych</w:t>
      </w:r>
      <w:r w:rsidR="00970B2E" w:rsidRPr="00D44D33">
        <w:rPr>
          <w:rFonts w:ascii="Times New Roman" w:eastAsiaTheme="minorEastAsia" w:hAnsi="Times New Roman" w:cs="Times New Roman"/>
          <w:sz w:val="24"/>
          <w:szCs w:val="24"/>
          <w:lang w:eastAsia="pl-PL"/>
        </w:rPr>
        <w:t xml:space="preserve"> </w:t>
      </w:r>
      <w:r w:rsidR="7A80138A"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7A80138A" w:rsidRPr="00D44D33">
        <w:rPr>
          <w:rFonts w:ascii="Times New Roman" w:eastAsiaTheme="minorEastAsia" w:hAnsi="Times New Roman" w:cs="Times New Roman"/>
          <w:sz w:val="24"/>
          <w:szCs w:val="24"/>
          <w:lang w:eastAsia="pl-PL"/>
        </w:rPr>
        <w:t>regulowanych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i/>
          <w:iCs/>
          <w:sz w:val="24"/>
          <w:szCs w:val="24"/>
        </w:rPr>
        <w:t>benchmarking</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metoda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zapisana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F13E91" w:rsidRPr="00D44D33">
        <w:rPr>
          <w:rFonts w:ascii="Times New Roman" w:eastAsiaTheme="minorEastAsia" w:hAnsi="Times New Roman" w:cs="Times New Roman"/>
          <w:sz w:val="24"/>
          <w:szCs w:val="24"/>
          <w:lang w:eastAsia="pl-PL"/>
        </w:rPr>
        <w:t>d</w:t>
      </w:r>
      <w:r w:rsidRPr="00D44D33">
        <w:rPr>
          <w:rFonts w:ascii="Times New Roman" w:eastAsiaTheme="minorEastAsia" w:hAnsi="Times New Roman" w:cs="Times New Roman"/>
          <w:sz w:val="24"/>
          <w:szCs w:val="24"/>
          <w:lang w:eastAsia="pl-PL"/>
        </w:rPr>
        <w:t>yrektywie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C30F71B"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w:t>
      </w:r>
      <w:r w:rsidR="49AD96C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C79FC" w:rsidRPr="00D44D33">
        <w:rPr>
          <w:rFonts w:ascii="Times New Roman" w:eastAsiaTheme="minorEastAsia" w:hAnsi="Times New Roman" w:cs="Times New Roman"/>
          <w:sz w:val="24"/>
          <w:szCs w:val="24"/>
        </w:rPr>
        <w:t>cena</w:t>
      </w:r>
      <w:r w:rsidR="00970B2E" w:rsidRPr="00D44D33">
        <w:rPr>
          <w:rFonts w:ascii="Times New Roman" w:eastAsiaTheme="minorEastAsia" w:hAnsi="Times New Roman" w:cs="Times New Roman"/>
          <w:sz w:val="24"/>
          <w:szCs w:val="24"/>
        </w:rPr>
        <w:t xml:space="preserve"> </w:t>
      </w:r>
      <w:r w:rsidR="009C79FC" w:rsidRPr="00D44D33">
        <w:rPr>
          <w:rFonts w:ascii="Times New Roman" w:eastAsiaTheme="minorEastAsia" w:hAnsi="Times New Roman" w:cs="Times New Roman"/>
          <w:sz w:val="24"/>
          <w:szCs w:val="24"/>
        </w:rPr>
        <w:t>detaliczna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minus"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i/>
          <w:iCs/>
          <w:sz w:val="24"/>
          <w:szCs w:val="24"/>
        </w:rPr>
        <w:t>retail</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minus</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070E8A7"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detalicznego.</w:t>
      </w:r>
    </w:p>
    <w:p w14:paraId="7473A144" w14:textId="06A6C9CC" w:rsidR="00A04D10" w:rsidRPr="00D44D33" w:rsidRDefault="00A04D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Metoda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restrykcyjnej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0A230EB"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obecnym</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P</w:t>
      </w:r>
      <w:r w:rsidR="747ED669" w:rsidRPr="00D44D33">
        <w:rPr>
          <w:rFonts w:ascii="Times New Roman" w:eastAsiaTheme="minorEastAsia" w:hAnsi="Times New Roman" w:cs="Times New Roman"/>
          <w:sz w:val="24"/>
          <w:szCs w:val="24"/>
          <w:lang w:eastAsia="pl-PL"/>
        </w:rPr>
        <w:t>t</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metoda</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była</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regulowana</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50A230EB" w:rsidRPr="00D44D33">
        <w:rPr>
          <w:rFonts w:ascii="Times New Roman" w:eastAsiaTheme="minorEastAsia" w:hAnsi="Times New Roman" w:cs="Times New Roman"/>
          <w:sz w:val="24"/>
          <w:szCs w:val="24"/>
          <w:lang w:eastAsia="pl-PL"/>
        </w:rPr>
        <w:t>40.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D7FA2E4"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2D7FA2E4"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D7FA2E4"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stosowania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oparciu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ponosi</w:t>
      </w:r>
      <w:r w:rsidR="00970B2E" w:rsidRPr="00D44D33">
        <w:rPr>
          <w:rFonts w:ascii="Times New Roman" w:eastAsiaTheme="minorEastAsia" w:hAnsi="Times New Roman" w:cs="Times New Roman"/>
          <w:sz w:val="24"/>
          <w:szCs w:val="24"/>
          <w:lang w:eastAsia="pl-PL"/>
        </w:rPr>
        <w:t xml:space="preserve"> </w:t>
      </w:r>
      <w:r w:rsidR="3CC25C2A" w:rsidRPr="00D44D33">
        <w:rPr>
          <w:rFonts w:ascii="Times New Roman" w:eastAsiaTheme="minorEastAsia" w:hAnsi="Times New Roman" w:cs="Times New Roman"/>
          <w:sz w:val="24"/>
          <w:szCs w:val="24"/>
          <w:lang w:eastAsia="pl-PL"/>
        </w:rPr>
        <w:t>przedsiębiorca</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sprecyzowane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p>
    <w:p w14:paraId="12FE9C60" w14:textId="3A02DE91" w:rsidR="00A04D10" w:rsidRPr="00D44D33" w:rsidRDefault="00A04D10"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Inaczej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 xml:space="preserve">wynikającego </w:t>
      </w:r>
      <w:r w:rsidRPr="00D44D33">
        <w:rPr>
          <w:rFonts w:ascii="Times New Roman" w:eastAsiaTheme="minorEastAsia" w:hAnsi="Times New Roman" w:cs="Times New Roman"/>
          <w:sz w:val="24"/>
          <w:szCs w:val="24"/>
        </w:rPr>
        <w:t>z</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DA2E9E" w:rsidRPr="00D44D33">
        <w:rPr>
          <w:rFonts w:ascii="Times New Roman" w:eastAsiaTheme="minorEastAsia" w:hAnsi="Times New Roman" w:cs="Times New Roman"/>
          <w:sz w:val="24"/>
          <w:szCs w:val="24"/>
        </w:rPr>
        <w:t xml:space="preserve"> pkt 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E4423AB"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wyliczenia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skorzystać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 xml:space="preserve">przepisu </w:t>
      </w:r>
      <w:r w:rsidR="2589C17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235FF" w:rsidRPr="00D44D33">
        <w:rPr>
          <w:rFonts w:ascii="Times New Roman" w:eastAsiaTheme="minorEastAsia" w:hAnsi="Times New Roman" w:cs="Times New Roman"/>
          <w:sz w:val="24"/>
          <w:szCs w:val="24"/>
        </w:rPr>
        <w:t>255</w:t>
      </w:r>
      <w:r w:rsidRPr="00D44D33">
        <w:rPr>
          <w:rFonts w:ascii="Times New Roman" w:eastAsiaTheme="minorEastAsia" w:hAnsi="Times New Roman" w:cs="Times New Roman"/>
          <w:sz w:val="24"/>
          <w:szCs w:val="24"/>
          <w:lang w:eastAsia="pl-PL"/>
        </w:rPr>
        <w:t>.</w:t>
      </w:r>
    </w:p>
    <w:p w14:paraId="4CC1CD4A" w14:textId="6635FB75" w:rsidR="00A04D10" w:rsidRPr="00D44D33" w:rsidRDefault="00A04D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Metoda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wskazana</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DA2E9E" w:rsidRPr="00D44D33">
        <w:rPr>
          <w:rFonts w:ascii="Times New Roman" w:eastAsiaTheme="minorEastAsia" w:hAnsi="Times New Roman" w:cs="Times New Roman"/>
          <w:sz w:val="24"/>
          <w:szCs w:val="24"/>
        </w:rPr>
        <w:t xml:space="preserve"> pkt 3</w:t>
      </w:r>
      <w:r w:rsidR="117C629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17C629F"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117C629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17C629F" w:rsidRPr="00D44D33">
        <w:rPr>
          <w:rFonts w:ascii="Times New Roman" w:eastAsiaTheme="minorEastAsia" w:hAnsi="Times New Roman" w:cs="Times New Roman"/>
          <w:sz w:val="24"/>
          <w:szCs w:val="24"/>
        </w:rPr>
        <w:t>nową</w:t>
      </w:r>
      <w:r w:rsidR="00970B2E" w:rsidRPr="00D44D33">
        <w:rPr>
          <w:rFonts w:ascii="Times New Roman" w:eastAsiaTheme="minorEastAsia" w:hAnsi="Times New Roman" w:cs="Times New Roman"/>
          <w:sz w:val="24"/>
          <w:szCs w:val="24"/>
        </w:rPr>
        <w:t xml:space="preserve"> </w:t>
      </w:r>
      <w:r w:rsidR="117C629F"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A733637"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A73363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A73363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stosowania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5B82028"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0DA2E9E" w:rsidRPr="00D44D33">
        <w:rPr>
          <w:rFonts w:ascii="Times New Roman" w:eastAsiaTheme="minorEastAsia" w:hAnsi="Times New Roman" w:cs="Times New Roman"/>
          <w:sz w:val="24"/>
          <w:szCs w:val="24"/>
          <w:lang w:eastAsia="pl-PL"/>
        </w:rPr>
        <w:t>Przepis a</w:t>
      </w:r>
      <w:r w:rsidR="05B82028" w:rsidRPr="00D44D33">
        <w:rPr>
          <w:rFonts w:ascii="Times New Roman" w:eastAsiaTheme="minorEastAsia" w:hAnsi="Times New Roman" w:cs="Times New Roman"/>
          <w:sz w:val="24"/>
          <w:szCs w:val="24"/>
          <w:lang w:eastAsia="pl-PL"/>
        </w:rPr>
        <w:t>rt.</w:t>
      </w:r>
      <w:r w:rsidR="00970B2E" w:rsidRPr="00D44D33">
        <w:rPr>
          <w:rFonts w:ascii="Times New Roman" w:eastAsiaTheme="minorEastAsia" w:hAnsi="Times New Roman" w:cs="Times New Roman"/>
          <w:sz w:val="24"/>
          <w:szCs w:val="24"/>
          <w:lang w:eastAsia="pl-PL"/>
        </w:rPr>
        <w:t xml:space="preserve"> </w:t>
      </w:r>
      <w:r w:rsidR="05B82028"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00BF4A1D"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1ADB389C" w:rsidRPr="00D44D33">
        <w:rPr>
          <w:rFonts w:ascii="Times New Roman" w:eastAsiaTheme="minorEastAsia" w:hAnsi="Times New Roman" w:cs="Times New Roman"/>
          <w:sz w:val="24"/>
          <w:szCs w:val="24"/>
          <w:lang w:eastAsia="pl-PL"/>
        </w:rPr>
        <w:t>opisuje</w:t>
      </w:r>
      <w:r w:rsidR="00970B2E" w:rsidRPr="00D44D33">
        <w:rPr>
          <w:rFonts w:ascii="Times New Roman" w:eastAsiaTheme="minorEastAsia" w:hAnsi="Times New Roman" w:cs="Times New Roman"/>
          <w:sz w:val="24"/>
          <w:szCs w:val="24"/>
          <w:lang w:eastAsia="pl-PL"/>
        </w:rPr>
        <w:t xml:space="preserve"> </w:t>
      </w:r>
      <w:r w:rsidR="05B82028" w:rsidRPr="00D44D33">
        <w:rPr>
          <w:rFonts w:ascii="Times New Roman" w:eastAsiaTheme="minorEastAsia" w:hAnsi="Times New Roman" w:cs="Times New Roman"/>
          <w:sz w:val="24"/>
          <w:szCs w:val="24"/>
          <w:lang w:eastAsia="pl-PL"/>
        </w:rPr>
        <w:t>dwa</w:t>
      </w:r>
      <w:r w:rsidR="00970B2E" w:rsidRPr="00D44D33">
        <w:rPr>
          <w:rFonts w:ascii="Times New Roman" w:eastAsiaTheme="minorEastAsia" w:hAnsi="Times New Roman" w:cs="Times New Roman"/>
          <w:sz w:val="24"/>
          <w:szCs w:val="24"/>
          <w:lang w:eastAsia="pl-PL"/>
        </w:rPr>
        <w:t xml:space="preserve"> </w:t>
      </w:r>
      <w:r w:rsidR="05B82028" w:rsidRPr="00D44D33">
        <w:rPr>
          <w:rFonts w:ascii="Times New Roman" w:eastAsiaTheme="minorEastAsia" w:hAnsi="Times New Roman" w:cs="Times New Roman"/>
          <w:sz w:val="24"/>
          <w:szCs w:val="24"/>
          <w:lang w:eastAsia="pl-PL"/>
        </w:rPr>
        <w:t>sposoby</w:t>
      </w:r>
      <w:r w:rsidR="00970B2E" w:rsidRPr="00D44D33">
        <w:rPr>
          <w:rFonts w:ascii="Times New Roman" w:eastAsiaTheme="minorEastAsia" w:hAnsi="Times New Roman" w:cs="Times New Roman"/>
          <w:sz w:val="24"/>
          <w:szCs w:val="24"/>
          <w:lang w:eastAsia="pl-PL"/>
        </w:rPr>
        <w:t xml:space="preserve"> </w:t>
      </w:r>
      <w:r w:rsidR="05B82028" w:rsidRPr="00D44D33">
        <w:rPr>
          <w:rFonts w:ascii="Times New Roman" w:eastAsiaTheme="minorEastAsia" w:hAnsi="Times New Roman" w:cs="Times New Roman"/>
          <w:sz w:val="24"/>
          <w:szCs w:val="24"/>
          <w:lang w:eastAsia="pl-PL"/>
        </w:rPr>
        <w:t>ustalania</w:t>
      </w:r>
      <w:r w:rsidR="00970B2E" w:rsidRPr="00D44D33">
        <w:rPr>
          <w:rFonts w:ascii="Times New Roman" w:eastAsiaTheme="minorEastAsia" w:hAnsi="Times New Roman" w:cs="Times New Roman"/>
          <w:sz w:val="24"/>
          <w:szCs w:val="24"/>
          <w:lang w:eastAsia="pl-PL"/>
        </w:rPr>
        <w:t xml:space="preserve"> </w:t>
      </w:r>
      <w:r w:rsidR="13AA9316" w:rsidRPr="00D44D33">
        <w:rPr>
          <w:rFonts w:ascii="Times New Roman" w:eastAsiaTheme="minorEastAsia" w:hAnsi="Times New Roman" w:cs="Times New Roman"/>
          <w:sz w:val="24"/>
          <w:szCs w:val="24"/>
          <w:lang w:eastAsia="pl-PL"/>
        </w:rPr>
        <w:t>cen</w:t>
      </w:r>
      <w:r w:rsidR="00970B2E" w:rsidRPr="00D44D33">
        <w:rPr>
          <w:rFonts w:ascii="Times New Roman" w:eastAsiaTheme="minorEastAsia" w:hAnsi="Times New Roman" w:cs="Times New Roman"/>
          <w:sz w:val="24"/>
          <w:szCs w:val="24"/>
          <w:lang w:eastAsia="pl-PL"/>
        </w:rPr>
        <w:t xml:space="preserve"> </w:t>
      </w:r>
      <w:r w:rsidR="13AA9316" w:rsidRPr="00D44D33">
        <w:rPr>
          <w:rFonts w:ascii="Times New Roman" w:eastAsiaTheme="minorEastAsia" w:hAnsi="Times New Roman" w:cs="Times New Roman"/>
          <w:sz w:val="24"/>
          <w:szCs w:val="24"/>
          <w:lang w:eastAsia="pl-PL"/>
        </w:rPr>
        <w:t>(</w:t>
      </w:r>
      <w:r w:rsidR="05B82028" w:rsidRPr="00D44D33">
        <w:rPr>
          <w:rFonts w:ascii="Times New Roman" w:eastAsiaTheme="minorEastAsia" w:hAnsi="Times New Roman" w:cs="Times New Roman"/>
          <w:sz w:val="24"/>
          <w:szCs w:val="24"/>
          <w:lang w:eastAsia="pl-PL"/>
        </w:rPr>
        <w:t>opł</w:t>
      </w:r>
      <w:r w:rsidR="1869A19F" w:rsidRPr="00D44D33">
        <w:rPr>
          <w:rFonts w:ascii="Times New Roman" w:eastAsiaTheme="minorEastAsia" w:hAnsi="Times New Roman" w:cs="Times New Roman"/>
          <w:sz w:val="24"/>
          <w:szCs w:val="24"/>
          <w:lang w:eastAsia="pl-PL"/>
        </w:rPr>
        <w:t>a</w:t>
      </w:r>
      <w:r w:rsidR="05B82028" w:rsidRPr="00D44D33">
        <w:rPr>
          <w:rFonts w:ascii="Times New Roman" w:eastAsiaTheme="minorEastAsia" w:hAnsi="Times New Roman" w:cs="Times New Roman"/>
          <w:sz w:val="24"/>
          <w:szCs w:val="24"/>
          <w:lang w:eastAsia="pl-PL"/>
        </w:rPr>
        <w:t>t</w:t>
      </w:r>
      <w:r w:rsidR="27B78174" w:rsidRPr="00D44D33">
        <w:rPr>
          <w:rFonts w:ascii="Times New Roman" w:eastAsiaTheme="minorEastAsia" w:hAnsi="Times New Roman" w:cs="Times New Roman"/>
          <w:sz w:val="24"/>
          <w:szCs w:val="24"/>
          <w:lang w:eastAsia="pl-PL"/>
        </w:rPr>
        <w:t>)</w:t>
      </w:r>
      <w:r w:rsidR="05B82028"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5B82028" w:rsidRPr="00D44D33">
        <w:rPr>
          <w:rFonts w:ascii="Times New Roman" w:eastAsiaTheme="minorEastAsia" w:hAnsi="Times New Roman" w:cs="Times New Roman"/>
          <w:sz w:val="24"/>
          <w:szCs w:val="24"/>
          <w:lang w:eastAsia="pl-PL"/>
        </w:rPr>
        <w:t>jednakże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pierwsze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zdanie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tego</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artykułu,</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szczególnie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użycie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wy</w:t>
      </w:r>
      <w:r w:rsidR="755EBD5A" w:rsidRPr="00D44D33">
        <w:rPr>
          <w:rFonts w:ascii="Times New Roman" w:eastAsiaTheme="minorEastAsia" w:hAnsi="Times New Roman" w:cs="Times New Roman"/>
          <w:sz w:val="24"/>
          <w:szCs w:val="24"/>
          <w:lang w:eastAsia="pl-PL"/>
        </w:rPr>
        <w:t>rażenia</w:t>
      </w:r>
      <w:r w:rsidR="00970B2E" w:rsidRPr="00D44D33">
        <w:rPr>
          <w:rFonts w:ascii="Times New Roman" w:eastAsiaTheme="minorEastAsia" w:hAnsi="Times New Roman" w:cs="Times New Roman"/>
          <w:sz w:val="24"/>
          <w:szCs w:val="24"/>
          <w:lang w:eastAsia="pl-PL"/>
        </w:rPr>
        <w:t xml:space="preserve"> </w:t>
      </w:r>
      <w:r w:rsidR="755EBD5A"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755EBD5A"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wyraźnie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wskazuje,</w:t>
      </w:r>
      <w:r w:rsidR="00970B2E" w:rsidRPr="00D44D33">
        <w:rPr>
          <w:rFonts w:ascii="Times New Roman" w:eastAsiaTheme="minorEastAsia" w:hAnsi="Times New Roman" w:cs="Times New Roman"/>
          <w:sz w:val="24"/>
          <w:szCs w:val="24"/>
          <w:lang w:eastAsia="pl-PL"/>
        </w:rPr>
        <w:t xml:space="preserve"> </w:t>
      </w:r>
      <w:r w:rsidR="56890336"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12B47022" w:rsidRPr="00D44D33">
        <w:rPr>
          <w:rFonts w:ascii="Times New Roman" w:eastAsiaTheme="minorEastAsia" w:hAnsi="Times New Roman" w:cs="Times New Roman"/>
          <w:sz w:val="24"/>
          <w:szCs w:val="24"/>
          <w:lang w:eastAsia="pl-PL"/>
        </w:rPr>
        <w:t>katalog</w:t>
      </w:r>
      <w:r w:rsidR="00970B2E" w:rsidRPr="00D44D33">
        <w:rPr>
          <w:rFonts w:ascii="Times New Roman" w:eastAsiaTheme="minorEastAsia" w:hAnsi="Times New Roman" w:cs="Times New Roman"/>
          <w:sz w:val="24"/>
          <w:szCs w:val="24"/>
          <w:lang w:eastAsia="pl-PL"/>
        </w:rPr>
        <w:t xml:space="preserve"> </w:t>
      </w:r>
      <w:r w:rsidR="12B47022" w:rsidRPr="00D44D33">
        <w:rPr>
          <w:rFonts w:ascii="Times New Roman" w:eastAsiaTheme="minorEastAsia" w:hAnsi="Times New Roman" w:cs="Times New Roman"/>
          <w:sz w:val="24"/>
          <w:szCs w:val="24"/>
          <w:lang w:eastAsia="pl-PL"/>
        </w:rPr>
        <w:t>sposobów</w:t>
      </w:r>
      <w:r w:rsidR="00970B2E" w:rsidRPr="00D44D33">
        <w:rPr>
          <w:rFonts w:ascii="Times New Roman" w:eastAsiaTheme="minorEastAsia" w:hAnsi="Times New Roman" w:cs="Times New Roman"/>
          <w:sz w:val="24"/>
          <w:szCs w:val="24"/>
          <w:lang w:eastAsia="pl-PL"/>
        </w:rPr>
        <w:t xml:space="preserve"> </w:t>
      </w:r>
      <w:r w:rsidR="12B47022" w:rsidRPr="00D44D33">
        <w:rPr>
          <w:rFonts w:ascii="Times New Roman" w:eastAsiaTheme="minorEastAsia" w:hAnsi="Times New Roman" w:cs="Times New Roman"/>
          <w:sz w:val="24"/>
          <w:szCs w:val="24"/>
          <w:lang w:eastAsia="pl-PL"/>
        </w:rPr>
        <w:t>ustalania</w:t>
      </w:r>
      <w:r w:rsidR="00970B2E" w:rsidRPr="00D44D33">
        <w:rPr>
          <w:rFonts w:ascii="Times New Roman" w:eastAsiaTheme="minorEastAsia" w:hAnsi="Times New Roman" w:cs="Times New Roman"/>
          <w:sz w:val="24"/>
          <w:szCs w:val="24"/>
          <w:lang w:eastAsia="pl-PL"/>
        </w:rPr>
        <w:t xml:space="preserve"> </w:t>
      </w:r>
      <w:r w:rsidR="1DCC9FD5" w:rsidRPr="00D44D33">
        <w:rPr>
          <w:rFonts w:ascii="Times New Roman" w:eastAsiaTheme="minorEastAsia" w:hAnsi="Times New Roman" w:cs="Times New Roman"/>
          <w:sz w:val="24"/>
          <w:szCs w:val="24"/>
          <w:lang w:eastAsia="pl-PL"/>
        </w:rPr>
        <w:t>cen</w:t>
      </w:r>
      <w:r w:rsidR="00970B2E" w:rsidRPr="00D44D33">
        <w:rPr>
          <w:rFonts w:ascii="Times New Roman" w:eastAsiaTheme="minorEastAsia" w:hAnsi="Times New Roman" w:cs="Times New Roman"/>
          <w:sz w:val="24"/>
          <w:szCs w:val="24"/>
          <w:lang w:eastAsia="pl-PL"/>
        </w:rPr>
        <w:t xml:space="preserve"> </w:t>
      </w:r>
      <w:r w:rsidR="1DCC9FD5" w:rsidRPr="00D44D33">
        <w:rPr>
          <w:rFonts w:ascii="Times New Roman" w:eastAsiaTheme="minorEastAsia" w:hAnsi="Times New Roman" w:cs="Times New Roman"/>
          <w:sz w:val="24"/>
          <w:szCs w:val="24"/>
          <w:lang w:eastAsia="pl-PL"/>
        </w:rPr>
        <w:t>(</w:t>
      </w:r>
      <w:r w:rsidR="12B47022" w:rsidRPr="00D44D33">
        <w:rPr>
          <w:rFonts w:ascii="Times New Roman" w:eastAsiaTheme="minorEastAsia" w:hAnsi="Times New Roman" w:cs="Times New Roman"/>
          <w:sz w:val="24"/>
          <w:szCs w:val="24"/>
          <w:lang w:eastAsia="pl-PL"/>
        </w:rPr>
        <w:t>opłat</w:t>
      </w:r>
      <w:r w:rsidR="5EA8EDFC"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12B47022"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12B47022" w:rsidRPr="00D44D33">
        <w:rPr>
          <w:rFonts w:ascii="Times New Roman" w:eastAsiaTheme="minorEastAsia" w:hAnsi="Times New Roman" w:cs="Times New Roman"/>
          <w:sz w:val="24"/>
          <w:szCs w:val="24"/>
          <w:lang w:eastAsia="pl-PL"/>
        </w:rPr>
        <w:t>otwarty</w:t>
      </w:r>
      <w:r w:rsidR="7F4B7763"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7F4B7763" w:rsidRPr="00D44D33">
        <w:rPr>
          <w:rFonts w:ascii="Times New Roman" w:eastAsiaTheme="minorEastAsia" w:hAnsi="Times New Roman" w:cs="Times New Roman"/>
          <w:sz w:val="24"/>
          <w:szCs w:val="24"/>
          <w:lang w:eastAsia="pl-PL"/>
        </w:rPr>
        <w:t>Potwierdzają</w:t>
      </w:r>
      <w:r w:rsidR="00970B2E" w:rsidRPr="00D44D33">
        <w:rPr>
          <w:rFonts w:ascii="Times New Roman" w:eastAsiaTheme="minorEastAsia" w:hAnsi="Times New Roman" w:cs="Times New Roman"/>
          <w:sz w:val="24"/>
          <w:szCs w:val="24"/>
          <w:lang w:eastAsia="pl-PL"/>
        </w:rPr>
        <w:t xml:space="preserve"> </w:t>
      </w:r>
      <w:r w:rsidR="7F4B7763"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7F4B7763" w:rsidRPr="00D44D33">
        <w:rPr>
          <w:rFonts w:ascii="Times New Roman" w:eastAsiaTheme="minorEastAsia" w:hAnsi="Times New Roman" w:cs="Times New Roman"/>
          <w:sz w:val="24"/>
          <w:szCs w:val="24"/>
          <w:lang w:eastAsia="pl-PL"/>
        </w:rPr>
        <w:t>też</w:t>
      </w:r>
      <w:r w:rsidR="00970B2E" w:rsidRPr="00D44D33">
        <w:rPr>
          <w:rFonts w:ascii="Times New Roman" w:eastAsiaTheme="minorEastAsia" w:hAnsi="Times New Roman" w:cs="Times New Roman"/>
          <w:sz w:val="24"/>
          <w:szCs w:val="24"/>
          <w:lang w:eastAsia="pl-PL"/>
        </w:rPr>
        <w:t xml:space="preserve"> </w:t>
      </w:r>
      <w:r w:rsidR="7F4B7763" w:rsidRPr="00D44D33">
        <w:rPr>
          <w:rFonts w:ascii="Times New Roman" w:eastAsiaTheme="minorEastAsia" w:hAnsi="Times New Roman" w:cs="Times New Roman"/>
          <w:sz w:val="24"/>
          <w:szCs w:val="24"/>
          <w:lang w:eastAsia="pl-PL"/>
        </w:rPr>
        <w:t>zalecenia</w:t>
      </w:r>
      <w:r w:rsidR="00970B2E" w:rsidRPr="00D44D33">
        <w:rPr>
          <w:rFonts w:ascii="Times New Roman" w:eastAsiaTheme="minorEastAsia" w:hAnsi="Times New Roman" w:cs="Times New Roman"/>
          <w:sz w:val="24"/>
          <w:szCs w:val="24"/>
          <w:lang w:eastAsia="pl-PL"/>
        </w:rPr>
        <w:t xml:space="preserve"> </w:t>
      </w:r>
      <w:r w:rsidR="7F4B7763" w:rsidRPr="00D44D33">
        <w:rPr>
          <w:rFonts w:ascii="Times New Roman" w:eastAsiaTheme="minorEastAsia" w:hAnsi="Times New Roman" w:cs="Times New Roman"/>
          <w:sz w:val="24"/>
          <w:szCs w:val="24"/>
          <w:lang w:eastAsia="pl-PL"/>
        </w:rPr>
        <w:t>Komisj</w:t>
      </w:r>
      <w:r w:rsidR="7CDEC87A"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7CDEC87A" w:rsidRPr="00D44D33">
        <w:rPr>
          <w:rFonts w:ascii="Times New Roman" w:eastAsiaTheme="minorEastAsia" w:hAnsi="Times New Roman" w:cs="Times New Roman"/>
          <w:sz w:val="24"/>
          <w:szCs w:val="24"/>
          <w:lang w:eastAsia="pl-PL"/>
        </w:rPr>
        <w:t>Europejskiej,</w:t>
      </w:r>
      <w:r w:rsidR="00970B2E" w:rsidRPr="00D44D33">
        <w:rPr>
          <w:rFonts w:ascii="Times New Roman" w:eastAsiaTheme="minorEastAsia" w:hAnsi="Times New Roman" w:cs="Times New Roman"/>
          <w:sz w:val="24"/>
          <w:szCs w:val="24"/>
          <w:lang w:eastAsia="pl-PL"/>
        </w:rPr>
        <w:t xml:space="preserve"> </w:t>
      </w:r>
      <w:r w:rsidR="680F4537"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680F4537" w:rsidRPr="00D44D33">
        <w:rPr>
          <w:rFonts w:ascii="Times New Roman" w:eastAsiaTheme="minorEastAsia" w:hAnsi="Times New Roman" w:cs="Times New Roman"/>
          <w:sz w:val="24"/>
          <w:szCs w:val="24"/>
          <w:lang w:eastAsia="pl-PL"/>
        </w:rPr>
        <w:t>których</w:t>
      </w:r>
      <w:r w:rsidR="4EF8BF88"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4EF8BF88"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4EF8BF88" w:rsidRPr="00D44D33">
        <w:rPr>
          <w:rFonts w:ascii="Times New Roman" w:eastAsiaTheme="minorEastAsia" w:hAnsi="Times New Roman" w:cs="Times New Roman"/>
          <w:sz w:val="24"/>
          <w:szCs w:val="24"/>
          <w:lang w:eastAsia="pl-PL"/>
        </w:rPr>
        <w:t>podstawie</w:t>
      </w:r>
      <w:r w:rsidR="00970B2E" w:rsidRPr="00D44D33">
        <w:rPr>
          <w:rFonts w:ascii="Times New Roman" w:eastAsiaTheme="minorEastAsia" w:hAnsi="Times New Roman" w:cs="Times New Roman"/>
          <w:sz w:val="24"/>
          <w:szCs w:val="24"/>
          <w:lang w:eastAsia="pl-PL"/>
        </w:rPr>
        <w:t xml:space="preserve"> </w:t>
      </w:r>
      <w:r w:rsidR="4EF8BF88"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4EF8BF88" w:rsidRPr="00D44D33">
        <w:rPr>
          <w:rFonts w:ascii="Times New Roman" w:eastAsiaTheme="minorEastAsia" w:hAnsi="Times New Roman" w:cs="Times New Roman"/>
          <w:sz w:val="24"/>
          <w:szCs w:val="24"/>
          <w:lang w:eastAsia="pl-PL"/>
        </w:rPr>
        <w:t>ówcześnie</w:t>
      </w:r>
      <w:r w:rsidR="00970B2E" w:rsidRPr="00D44D33">
        <w:rPr>
          <w:rFonts w:ascii="Times New Roman" w:eastAsiaTheme="minorEastAsia" w:hAnsi="Times New Roman" w:cs="Times New Roman"/>
          <w:sz w:val="24"/>
          <w:szCs w:val="24"/>
          <w:lang w:eastAsia="pl-PL"/>
        </w:rPr>
        <w:t xml:space="preserve"> </w:t>
      </w:r>
      <w:r w:rsidR="3694EF79" w:rsidRPr="00D44D33">
        <w:rPr>
          <w:rFonts w:ascii="Times New Roman" w:eastAsiaTheme="minorEastAsia" w:hAnsi="Times New Roman" w:cs="Times New Roman"/>
          <w:sz w:val="24"/>
          <w:szCs w:val="24"/>
          <w:lang w:eastAsia="pl-PL"/>
        </w:rPr>
        <w:t>obowiązujących</w:t>
      </w:r>
      <w:r w:rsidR="00970B2E" w:rsidRPr="00D44D33">
        <w:rPr>
          <w:rFonts w:ascii="Times New Roman" w:eastAsiaTheme="minorEastAsia" w:hAnsi="Times New Roman" w:cs="Times New Roman"/>
          <w:sz w:val="24"/>
          <w:szCs w:val="24"/>
          <w:lang w:eastAsia="pl-PL"/>
        </w:rPr>
        <w:t xml:space="preserve"> </w:t>
      </w:r>
      <w:r w:rsidR="4EF8BF88" w:rsidRPr="00D44D33">
        <w:rPr>
          <w:rFonts w:ascii="Times New Roman" w:eastAsiaTheme="minorEastAsia" w:hAnsi="Times New Roman" w:cs="Times New Roman"/>
          <w:sz w:val="24"/>
          <w:szCs w:val="24"/>
          <w:lang w:eastAsia="pl-PL"/>
        </w:rPr>
        <w:t>dyrektyw</w:t>
      </w:r>
      <w:r w:rsidR="00970B2E" w:rsidRPr="00D44D33">
        <w:rPr>
          <w:rFonts w:ascii="Times New Roman" w:eastAsiaTheme="minorEastAsia" w:hAnsi="Times New Roman" w:cs="Times New Roman"/>
          <w:sz w:val="24"/>
          <w:szCs w:val="24"/>
          <w:lang w:eastAsia="pl-PL"/>
        </w:rPr>
        <w:t xml:space="preserve"> </w:t>
      </w:r>
      <w:r w:rsidR="32968A29" w:rsidRPr="00D44D33">
        <w:rPr>
          <w:rFonts w:ascii="Times New Roman" w:eastAsiaTheme="minorEastAsia" w:hAnsi="Times New Roman" w:cs="Times New Roman"/>
          <w:sz w:val="24"/>
          <w:szCs w:val="24"/>
          <w:lang w:eastAsia="pl-PL"/>
        </w:rPr>
        <w:t>będących</w:t>
      </w:r>
      <w:r w:rsidR="00970B2E" w:rsidRPr="00D44D33">
        <w:rPr>
          <w:rFonts w:ascii="Times New Roman" w:eastAsiaTheme="minorEastAsia" w:hAnsi="Times New Roman" w:cs="Times New Roman"/>
          <w:sz w:val="24"/>
          <w:szCs w:val="24"/>
          <w:lang w:eastAsia="pl-PL"/>
        </w:rPr>
        <w:t xml:space="preserve"> </w:t>
      </w:r>
      <w:r w:rsidR="3E808297" w:rsidRPr="00D44D33">
        <w:rPr>
          <w:rFonts w:ascii="Times New Roman" w:eastAsiaTheme="minorEastAsia" w:hAnsi="Times New Roman" w:cs="Times New Roman"/>
          <w:sz w:val="24"/>
          <w:szCs w:val="24"/>
          <w:lang w:eastAsia="pl-PL"/>
        </w:rPr>
        <w:t>odpowiednik</w:t>
      </w:r>
      <w:r w:rsidR="73CAE671" w:rsidRPr="00D44D33">
        <w:rPr>
          <w:rFonts w:ascii="Times New Roman" w:eastAsiaTheme="minorEastAsia" w:hAnsi="Times New Roman" w:cs="Times New Roman"/>
          <w:sz w:val="24"/>
          <w:szCs w:val="24"/>
          <w:lang w:eastAsia="pl-PL"/>
        </w:rPr>
        <w:t>ami</w:t>
      </w:r>
      <w:r w:rsidR="00970B2E" w:rsidRPr="00D44D33">
        <w:rPr>
          <w:rFonts w:ascii="Times New Roman" w:eastAsiaTheme="minorEastAsia" w:hAnsi="Times New Roman" w:cs="Times New Roman"/>
          <w:sz w:val="24"/>
          <w:szCs w:val="24"/>
          <w:lang w:eastAsia="pl-PL"/>
        </w:rPr>
        <w:t xml:space="preserve"> </w:t>
      </w:r>
      <w:r w:rsidR="3E808297"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3E808297"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00BF4A1D" w:rsidRPr="00D44D33">
        <w:rPr>
          <w:rFonts w:ascii="Times New Roman" w:eastAsiaTheme="minorEastAsia" w:hAnsi="Times New Roman" w:cs="Times New Roman"/>
          <w:sz w:val="24"/>
          <w:szCs w:val="24"/>
          <w:lang w:eastAsia="pl-PL"/>
        </w:rPr>
        <w:t>EKŁE</w:t>
      </w:r>
      <w:r w:rsidR="3E808297"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3BE23A1A" w:rsidRPr="00D44D33">
        <w:rPr>
          <w:rFonts w:ascii="Times New Roman" w:eastAsiaTheme="minorEastAsia" w:hAnsi="Times New Roman" w:cs="Times New Roman"/>
          <w:sz w:val="24"/>
          <w:szCs w:val="24"/>
          <w:lang w:eastAsia="pl-PL"/>
        </w:rPr>
        <w:t>zalecano</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ustalanie</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podstawie</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mo</w:t>
      </w:r>
      <w:r w:rsidR="00332150" w:rsidRPr="00D44D33">
        <w:rPr>
          <w:rFonts w:ascii="Times New Roman" w:eastAsiaTheme="minorEastAsia" w:hAnsi="Times New Roman" w:cs="Times New Roman"/>
          <w:sz w:val="24"/>
          <w:szCs w:val="24"/>
          <w:lang w:eastAsia="pl-PL"/>
        </w:rPr>
        <w:t>delu</w:t>
      </w:r>
      <w:r w:rsidR="00970B2E" w:rsidRPr="00D44D33">
        <w:rPr>
          <w:rFonts w:ascii="Times New Roman" w:eastAsiaTheme="minorEastAsia" w:hAnsi="Times New Roman" w:cs="Times New Roman"/>
          <w:sz w:val="24"/>
          <w:szCs w:val="24"/>
          <w:lang w:eastAsia="pl-PL"/>
        </w:rPr>
        <w:t xml:space="preserve"> </w:t>
      </w:r>
      <w:r w:rsidR="00332150"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00332150"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00332150" w:rsidRPr="00D44D33">
        <w:rPr>
          <w:rFonts w:ascii="Times New Roman" w:eastAsiaTheme="minorEastAsia" w:hAnsi="Times New Roman" w:cs="Times New Roman"/>
          <w:sz w:val="24"/>
          <w:szCs w:val="24"/>
          <w:lang w:eastAsia="pl-PL"/>
        </w:rPr>
        <w:t>„bottom</w:t>
      </w:r>
      <w:r w:rsidR="08CC632B" w:rsidRPr="00D44D33">
        <w:rPr>
          <w:rFonts w:ascii="Times New Roman" w:eastAsiaTheme="minorEastAsia" w:hAnsi="Times New Roman" w:cs="Times New Roman"/>
          <w:sz w:val="24"/>
          <w:szCs w:val="24"/>
          <w:lang w:eastAsia="pl-PL"/>
        </w:rPr>
        <w:t>-up”</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(modelowanie</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oddolne)</w:t>
      </w:r>
      <w:r w:rsidR="40A288A1"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opartego</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08CC632B"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08CC632B" w:rsidRPr="00D44D33">
        <w:rPr>
          <w:rFonts w:ascii="Times New Roman" w:eastAsiaTheme="minorEastAsia" w:hAnsi="Times New Roman" w:cs="Times New Roman"/>
          <w:sz w:val="24"/>
          <w:szCs w:val="24"/>
        </w:rPr>
        <w:t>ponoszone</w:t>
      </w:r>
      <w:r w:rsidR="00970B2E" w:rsidRPr="00D44D33">
        <w:rPr>
          <w:rFonts w:ascii="Times New Roman" w:eastAsiaTheme="minorEastAsia" w:hAnsi="Times New Roman" w:cs="Times New Roman"/>
          <w:sz w:val="24"/>
          <w:szCs w:val="24"/>
        </w:rPr>
        <w:t xml:space="preserve"> </w:t>
      </w:r>
      <w:r w:rsidR="08CC632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8CC632B" w:rsidRPr="00D44D33">
        <w:rPr>
          <w:rFonts w:ascii="Times New Roman" w:eastAsiaTheme="minorEastAsia" w:hAnsi="Times New Roman" w:cs="Times New Roman"/>
          <w:sz w:val="24"/>
          <w:szCs w:val="24"/>
        </w:rPr>
        <w:t>efektywn</w:t>
      </w:r>
      <w:r w:rsidR="402CDD21"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7CD09384"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2A4EEBFA"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6FD5ECE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z</w:t>
      </w:r>
      <w:r w:rsidR="2A4EEBFA" w:rsidRPr="00D44D33">
        <w:rPr>
          <w:rFonts w:ascii="Times New Roman" w:eastAsiaTheme="minorEastAsia" w:hAnsi="Times New Roman" w:cs="Times New Roman"/>
          <w:sz w:val="24"/>
          <w:szCs w:val="24"/>
        </w:rPr>
        <w:t>aleceniu</w:t>
      </w:r>
      <w:r w:rsidR="00970B2E" w:rsidRPr="00D44D33">
        <w:rPr>
          <w:rFonts w:ascii="Times New Roman" w:eastAsiaTheme="minorEastAsia" w:hAnsi="Times New Roman" w:cs="Times New Roman"/>
          <w:sz w:val="24"/>
          <w:szCs w:val="24"/>
        </w:rPr>
        <w:t xml:space="preserve"> </w:t>
      </w:r>
      <w:r w:rsidR="2A4EEBFA"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maja</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2009</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uregulowań</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stawek</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zakańczanie</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129E0450" w:rsidRPr="00D44D33">
        <w:rPr>
          <w:rFonts w:ascii="Times New Roman" w:eastAsiaTheme="minorEastAsia" w:hAnsi="Times New Roman" w:cs="Times New Roman"/>
          <w:sz w:val="24"/>
          <w:szCs w:val="24"/>
        </w:rPr>
        <w:t>(2009/396/WE)</w:t>
      </w:r>
      <w:r w:rsidR="00DA2E9E" w:rsidRPr="00D44D33">
        <w:rPr>
          <w:rFonts w:ascii="Times New Roman" w:eastAsiaTheme="minorEastAsia" w:hAnsi="Times New Roman" w:cs="Times New Roman"/>
          <w:sz w:val="24"/>
          <w:szCs w:val="24"/>
        </w:rPr>
        <w:t xml:space="preserve"> (Dz. Urz. UE L 124 z 20.05.2009, str. 67)</w:t>
      </w:r>
      <w:r w:rsidR="00D452DD" w:rsidRPr="00D44D33">
        <w:rPr>
          <w:rFonts w:ascii="Times New Roman" w:eastAsiaTheme="minorEastAsia" w:hAnsi="Times New Roman" w:cs="Times New Roman"/>
          <w:sz w:val="24"/>
          <w:szCs w:val="24"/>
        </w:rPr>
        <w:t>.</w:t>
      </w:r>
    </w:p>
    <w:p w14:paraId="41ED757C" w14:textId="20118487" w:rsidR="00A04D10" w:rsidRPr="00D44D33" w:rsidRDefault="1746BA59"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Powyższa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metoda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wymaga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procesu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oceny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weryfikacji</w:t>
      </w:r>
      <w:r w:rsidR="00970B2E" w:rsidRPr="00D44D33">
        <w:rPr>
          <w:rFonts w:ascii="Times New Roman" w:eastAsiaTheme="minorEastAsia" w:hAnsi="Times New Roman" w:cs="Times New Roman"/>
          <w:sz w:val="24"/>
          <w:szCs w:val="24"/>
          <w:lang w:eastAsia="pl-PL"/>
        </w:rPr>
        <w:t xml:space="preserve"> </w:t>
      </w:r>
      <w:r w:rsidR="0FB660E9"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0FB660E9" w:rsidRPr="00D44D33">
        <w:rPr>
          <w:rFonts w:ascii="Times New Roman" w:eastAsiaTheme="minorEastAsia" w:hAnsi="Times New Roman" w:cs="Times New Roman"/>
          <w:sz w:val="24"/>
          <w:szCs w:val="24"/>
          <w:lang w:eastAsia="pl-PL"/>
        </w:rPr>
        <w:t>regulatora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ani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E852BDC"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ani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52236830" w:rsidRPr="00D44D33">
        <w:rPr>
          <w:rFonts w:ascii="Times New Roman" w:eastAsia="Times New Roman" w:hAnsi="Times New Roman" w:cs="Times New Roman"/>
          <w:sz w:val="24"/>
          <w:szCs w:val="24"/>
        </w:rPr>
        <w:t>wynikających</w:t>
      </w:r>
      <w:r w:rsidR="00970B2E" w:rsidRPr="00D44D33">
        <w:rPr>
          <w:rFonts w:ascii="Times New Roman" w:eastAsia="Times New Roman" w:hAnsi="Times New Roman" w:cs="Times New Roman"/>
          <w:sz w:val="24"/>
          <w:szCs w:val="24"/>
        </w:rPr>
        <w:t xml:space="preserve"> </w:t>
      </w:r>
      <w:r w:rsidR="5223683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2236830" w:rsidRPr="00D44D33">
        <w:rPr>
          <w:rFonts w:ascii="Times New Roman" w:eastAsia="Times New Roman" w:hAnsi="Times New Roman" w:cs="Times New Roman"/>
          <w:sz w:val="24"/>
          <w:szCs w:val="24"/>
        </w:rPr>
        <w:t>uzasadnienia</w:t>
      </w:r>
      <w:r w:rsidR="00970B2E" w:rsidRPr="00D44D33">
        <w:rPr>
          <w:rFonts w:ascii="Times New Roman" w:eastAsia="Times New Roman" w:hAnsi="Times New Roman" w:cs="Times New Roman"/>
          <w:sz w:val="24"/>
          <w:szCs w:val="24"/>
        </w:rPr>
        <w:t xml:space="preserve"> </w:t>
      </w:r>
      <w:r w:rsidR="52236830" w:rsidRPr="00D44D33">
        <w:rPr>
          <w:rFonts w:ascii="Times New Roman" w:eastAsia="Times New Roman" w:hAnsi="Times New Roman" w:cs="Times New Roman"/>
          <w:sz w:val="24"/>
          <w:szCs w:val="24"/>
        </w:rPr>
        <w:t>kosztowego,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ponieważ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regulatora.</w:t>
      </w:r>
    </w:p>
    <w:p w14:paraId="4DC0FB93" w14:textId="67712438" w:rsidR="0AA207FA" w:rsidRPr="00D44D33" w:rsidRDefault="3F5C82A9" w:rsidP="00D44D33">
      <w:pPr>
        <w:spacing w:before="120" w:after="120" w:line="360" w:lineRule="auto"/>
        <w:jc w:val="both"/>
        <w:rPr>
          <w:rFonts w:ascii="Times New Roman" w:eastAsiaTheme="minorEastAsia" w:hAnsi="Times New Roman" w:cs="Times New Roman"/>
          <w:strike/>
          <w:sz w:val="24"/>
          <w:szCs w:val="24"/>
        </w:rPr>
      </w:pPr>
      <w:r w:rsidRPr="00D44D33">
        <w:rPr>
          <w:rFonts w:ascii="Times New Roman" w:eastAsiaTheme="minorEastAsia" w:hAnsi="Times New Roman" w:cs="Times New Roman"/>
          <w:sz w:val="24"/>
          <w:szCs w:val="24"/>
        </w:rPr>
        <w:t>Metoda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 xml:space="preserve">określona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pkt 3</w:t>
      </w:r>
      <w:r w:rsidR="00F13E91"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zastosowana</w:t>
      </w:r>
      <w:r w:rsidR="6621BCC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621BCC4"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6621BCC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621BCC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69AF9052" w:rsidRPr="00D44D33">
        <w:rPr>
          <w:rFonts w:ascii="Times New Roman" w:eastAsiaTheme="minorEastAsia" w:hAnsi="Times New Roman" w:cs="Times New Roman"/>
          <w:sz w:val="24"/>
          <w:szCs w:val="24"/>
        </w:rPr>
        <w:t>4</w:t>
      </w:r>
      <w:r w:rsidR="6621BCC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649FBC3"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w:t>
      </w:r>
      <w:r w:rsidR="5E72DD89" w:rsidRPr="00D44D33">
        <w:rPr>
          <w:rFonts w:ascii="Times New Roman" w:eastAsiaTheme="minorEastAsia" w:hAnsi="Times New Roman" w:cs="Times New Roman"/>
          <w:sz w:val="24"/>
          <w:szCs w:val="24"/>
        </w:rPr>
        <w:t>ach.</w:t>
      </w:r>
      <w:r w:rsidR="00970B2E" w:rsidRPr="00D44D33">
        <w:rPr>
          <w:rFonts w:ascii="Times New Roman" w:eastAsiaTheme="minorEastAsia" w:hAnsi="Times New Roman" w:cs="Times New Roman"/>
          <w:sz w:val="24"/>
          <w:szCs w:val="24"/>
        </w:rPr>
        <w:t xml:space="preserve"> </w:t>
      </w:r>
      <w:r w:rsidR="77990459" w:rsidRPr="00D44D33">
        <w:rPr>
          <w:rFonts w:ascii="Times New Roman" w:eastAsiaTheme="minorEastAsia" w:hAnsi="Times New Roman" w:cs="Times New Roman"/>
          <w:sz w:val="24"/>
          <w:szCs w:val="24"/>
        </w:rPr>
        <w:t>Pierwszy</w:t>
      </w:r>
      <w:r w:rsidR="00970B2E" w:rsidRPr="00D44D33">
        <w:rPr>
          <w:rFonts w:ascii="Times New Roman" w:eastAsiaTheme="minorEastAsia" w:hAnsi="Times New Roman" w:cs="Times New Roman"/>
          <w:sz w:val="24"/>
          <w:szCs w:val="24"/>
        </w:rPr>
        <w:t xml:space="preserve"> </w:t>
      </w:r>
      <w:r w:rsidR="77990459" w:rsidRPr="00D44D33">
        <w:rPr>
          <w:rFonts w:ascii="Times New Roman" w:eastAsiaTheme="minorEastAsia" w:hAnsi="Times New Roman" w:cs="Times New Roman"/>
          <w:sz w:val="24"/>
          <w:szCs w:val="24"/>
        </w:rPr>
        <w:t>przypadek</w:t>
      </w:r>
      <w:r w:rsidR="00970B2E" w:rsidRPr="00D44D33">
        <w:rPr>
          <w:rFonts w:ascii="Times New Roman" w:eastAsiaTheme="minorEastAsia" w:hAnsi="Times New Roman" w:cs="Times New Roman"/>
          <w:sz w:val="24"/>
          <w:szCs w:val="24"/>
        </w:rPr>
        <w:t xml:space="preserve"> </w:t>
      </w:r>
      <w:r w:rsidR="77990459"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77990459"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77990459"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w:t>
      </w:r>
      <w:r w:rsidR="1724ACDA" w:rsidRPr="00D44D33">
        <w:rPr>
          <w:rFonts w:ascii="Times New Roman" w:eastAsiaTheme="minorEastAsia" w:hAnsi="Times New Roman" w:cs="Times New Roman"/>
          <w:sz w:val="24"/>
          <w:szCs w:val="24"/>
        </w:rPr>
        <w:t>sja</w:t>
      </w:r>
      <w:r w:rsidR="00970B2E" w:rsidRPr="00D44D33">
        <w:rPr>
          <w:rFonts w:ascii="Times New Roman" w:eastAsiaTheme="minorEastAsia" w:hAnsi="Times New Roman" w:cs="Times New Roman"/>
          <w:sz w:val="24"/>
          <w:szCs w:val="24"/>
        </w:rPr>
        <w:t xml:space="preserve"> </w:t>
      </w:r>
      <w:r w:rsidR="1724ACDA"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10AE14A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0AE14AA"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1724ACDA" w:rsidRPr="00D44D33">
        <w:rPr>
          <w:rFonts w:ascii="Times New Roman" w:eastAsiaTheme="minorEastAsia" w:hAnsi="Times New Roman" w:cs="Times New Roman"/>
          <w:sz w:val="24"/>
          <w:szCs w:val="24"/>
        </w:rPr>
        <w:t>wyda</w:t>
      </w:r>
      <w:r w:rsidR="00970B2E" w:rsidRPr="00D44D33">
        <w:rPr>
          <w:rFonts w:ascii="Times New Roman" w:eastAsiaTheme="minorEastAsia" w:hAnsi="Times New Roman" w:cs="Times New Roman"/>
          <w:sz w:val="24"/>
          <w:szCs w:val="24"/>
        </w:rPr>
        <w:t xml:space="preserve"> </w:t>
      </w:r>
      <w:r w:rsidR="1724ACDA"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1724ACDA" w:rsidRPr="00D44D33">
        <w:rPr>
          <w:rFonts w:ascii="Times New Roman" w:eastAsiaTheme="minorEastAsia" w:hAnsi="Times New Roman" w:cs="Times New Roman"/>
          <w:sz w:val="24"/>
          <w:szCs w:val="24"/>
        </w:rPr>
        <w:t>wytyczne</w:t>
      </w:r>
      <w:r w:rsidR="0CCF27C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zalecenia</w:t>
      </w:r>
      <w:r w:rsidR="00970B2E" w:rsidRPr="00D44D33">
        <w:rPr>
          <w:rFonts w:ascii="Times New Roman" w:eastAsiaTheme="minorEastAsia" w:hAnsi="Times New Roman" w:cs="Times New Roman"/>
          <w:sz w:val="24"/>
          <w:szCs w:val="24"/>
        </w:rPr>
        <w:t xml:space="preserve"> </w:t>
      </w:r>
      <w:r w:rsidR="39AD8F9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39AD8F94" w:rsidRPr="00D44D33">
        <w:rPr>
          <w:rFonts w:ascii="Times New Roman" w:eastAsiaTheme="minorEastAsia" w:hAnsi="Times New Roman" w:cs="Times New Roman"/>
          <w:sz w:val="24"/>
          <w:szCs w:val="24"/>
        </w:rPr>
        <w:t>wspólne</w:t>
      </w:r>
      <w:r w:rsidR="00970B2E" w:rsidRPr="00D44D33">
        <w:rPr>
          <w:rFonts w:ascii="Times New Roman" w:eastAsiaTheme="minorEastAsia" w:hAnsi="Times New Roman" w:cs="Times New Roman"/>
          <w:sz w:val="24"/>
          <w:szCs w:val="24"/>
        </w:rPr>
        <w:t xml:space="preserve"> </w:t>
      </w:r>
      <w:r w:rsidR="39AD8F94" w:rsidRPr="00D44D33">
        <w:rPr>
          <w:rFonts w:ascii="Times New Roman" w:eastAsiaTheme="minorEastAsia" w:hAnsi="Times New Roman" w:cs="Times New Roman"/>
          <w:sz w:val="24"/>
          <w:szCs w:val="24"/>
        </w:rPr>
        <w:t>stanowisko</w:t>
      </w:r>
      <w:r w:rsidR="00970B2E" w:rsidRPr="00D44D33">
        <w:rPr>
          <w:rFonts w:ascii="Times New Roman" w:eastAsiaTheme="minorEastAsia" w:hAnsi="Times New Roman" w:cs="Times New Roman"/>
          <w:sz w:val="24"/>
          <w:szCs w:val="24"/>
        </w:rPr>
        <w:t xml:space="preserve"> </w:t>
      </w:r>
      <w:r w:rsidR="4DA4841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zakresie</w:t>
      </w:r>
      <w:r w:rsidR="5062441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840B7D2" w:rsidRPr="00D44D33">
        <w:rPr>
          <w:rFonts w:ascii="Times New Roman" w:eastAsiaTheme="minorEastAsia" w:hAnsi="Times New Roman" w:cs="Times New Roman"/>
          <w:sz w:val="24"/>
          <w:szCs w:val="24"/>
        </w:rPr>
        <w:t>Druga</w:t>
      </w:r>
      <w:r w:rsidR="00970B2E" w:rsidRPr="00D44D33">
        <w:rPr>
          <w:rFonts w:ascii="Times New Roman" w:eastAsiaTheme="minorEastAsia" w:hAnsi="Times New Roman" w:cs="Times New Roman"/>
          <w:sz w:val="24"/>
          <w:szCs w:val="24"/>
        </w:rPr>
        <w:t xml:space="preserve"> </w:t>
      </w:r>
      <w:r w:rsidR="1840B7D2" w:rsidRPr="00D44D33">
        <w:rPr>
          <w:rFonts w:ascii="Times New Roman" w:eastAsiaTheme="minorEastAsia" w:hAnsi="Times New Roman" w:cs="Times New Roman"/>
          <w:sz w:val="24"/>
          <w:szCs w:val="24"/>
        </w:rPr>
        <w:t>przesłanka</w:t>
      </w:r>
      <w:r w:rsidR="00970B2E" w:rsidRPr="00D44D33">
        <w:rPr>
          <w:rFonts w:ascii="Times New Roman" w:eastAsiaTheme="minorEastAsia" w:hAnsi="Times New Roman" w:cs="Times New Roman"/>
          <w:sz w:val="24"/>
          <w:szCs w:val="24"/>
        </w:rPr>
        <w:t xml:space="preserve"> </w:t>
      </w:r>
      <w:r w:rsidR="1840B7D2"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1840B7D2"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4878679A"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1AE594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7D595ED" w:rsidRPr="00D44D33">
        <w:rPr>
          <w:rFonts w:ascii="Times New Roman" w:eastAsiaTheme="minorEastAsia" w:hAnsi="Times New Roman" w:cs="Times New Roman"/>
          <w:sz w:val="24"/>
          <w:szCs w:val="24"/>
        </w:rPr>
        <w:t>ust.1</w:t>
      </w:r>
      <w:r w:rsidR="00970B2E" w:rsidRPr="00D44D33">
        <w:rPr>
          <w:rFonts w:ascii="Times New Roman" w:eastAsiaTheme="minorEastAsia" w:hAnsi="Times New Roman" w:cs="Times New Roman"/>
          <w:sz w:val="24"/>
          <w:szCs w:val="24"/>
        </w:rPr>
        <w:t xml:space="preserve"> </w:t>
      </w:r>
      <w:r w:rsidR="00DA2E9E" w:rsidRPr="00D44D33">
        <w:rPr>
          <w:rFonts w:ascii="Times New Roman" w:eastAsiaTheme="minorEastAsia" w:hAnsi="Times New Roman" w:cs="Times New Roman"/>
          <w:sz w:val="24"/>
          <w:szCs w:val="24"/>
        </w:rPr>
        <w:t xml:space="preserve">pkt 3 </w:t>
      </w:r>
      <w:r w:rsidR="47D595ED"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47D595ED" w:rsidRPr="00D44D33">
        <w:rPr>
          <w:rFonts w:ascii="Times New Roman" w:eastAsiaTheme="minorEastAsia" w:hAnsi="Times New Roman" w:cs="Times New Roman"/>
          <w:sz w:val="24"/>
          <w:szCs w:val="24"/>
        </w:rPr>
        <w:t>nakładan</w:t>
      </w:r>
      <w:r w:rsidR="792B9DDF"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47D595E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7D595ED"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47D595E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5AEC0A8"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05AEC0A8"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5AEC0A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5AEC0A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4A4D52E2"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4A4D52E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A4D52E2"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obejmującym</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same</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produkty</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4A4D52E2" w:rsidRPr="00D44D33">
        <w:rPr>
          <w:rFonts w:ascii="Times New Roman" w:eastAsia="Times New Roman"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C98D42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C98D423" w:rsidRPr="00D44D33">
        <w:rPr>
          <w:rFonts w:ascii="Times New Roman" w:eastAsiaTheme="minorEastAsia" w:hAnsi="Times New Roman" w:cs="Times New Roman"/>
          <w:sz w:val="24"/>
          <w:szCs w:val="24"/>
        </w:rPr>
        <w:t>połączeniu</w:t>
      </w:r>
      <w:r w:rsidR="00970B2E" w:rsidRPr="00D44D33">
        <w:rPr>
          <w:rFonts w:ascii="Times New Roman" w:eastAsiaTheme="minorEastAsia" w:hAnsi="Times New Roman" w:cs="Times New Roman"/>
          <w:sz w:val="24"/>
          <w:szCs w:val="24"/>
        </w:rPr>
        <w:t xml:space="preserve"> </w:t>
      </w:r>
      <w:r w:rsidR="5C98D42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C98D423"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5C98D423"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7574ACB2"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powinn</w:t>
      </w:r>
      <w:r w:rsidR="76D6E239"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st</w:t>
      </w:r>
      <w:r w:rsidR="11C649DD" w:rsidRPr="00D44D33">
        <w:rPr>
          <w:rFonts w:ascii="Times New Roman" w:eastAsiaTheme="minorEastAsia" w:hAnsi="Times New Roman" w:cs="Times New Roman"/>
          <w:sz w:val="24"/>
          <w:szCs w:val="24"/>
        </w:rPr>
        <w:t>o</w:t>
      </w:r>
      <w:r w:rsidR="16C00E30" w:rsidRPr="00D44D33">
        <w:rPr>
          <w:rFonts w:ascii="Times New Roman" w:eastAsiaTheme="minorEastAsia" w:hAnsi="Times New Roman" w:cs="Times New Roman"/>
          <w:sz w:val="24"/>
          <w:szCs w:val="24"/>
        </w:rPr>
        <w:t>sowane</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symetryczne</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16C00E30"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3C4B3C" w:rsidRPr="00D44D33">
        <w:rPr>
          <w:rFonts w:ascii="Times New Roman" w:eastAsiaTheme="minorEastAsia" w:hAnsi="Times New Roman" w:cs="Times New Roman"/>
          <w:sz w:val="24"/>
          <w:szCs w:val="24"/>
        </w:rPr>
        <w:t>telekomunikacyjnego</w:t>
      </w:r>
      <w:r w:rsidR="120A88B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7F8014F5" w14:textId="3A0E85B2" w:rsidR="0AA207FA" w:rsidRPr="00D44D33" w:rsidRDefault="2699B38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nakładając</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który</w:t>
      </w:r>
      <w:r w:rsidR="00DA2E9E"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3</w:t>
      </w:r>
      <w:r w:rsidR="64D183E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4D183EC"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64D183EC" w:rsidRPr="00D44D33">
        <w:rPr>
          <w:rFonts w:ascii="Times New Roman" w:eastAsiaTheme="minorEastAsia" w:hAnsi="Times New Roman" w:cs="Times New Roman"/>
          <w:sz w:val="24"/>
          <w:szCs w:val="24"/>
        </w:rPr>
        <w:t>musiał</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uwzględni</w:t>
      </w:r>
      <w:r w:rsidR="01CEF742"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ponoszone</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efektywnie</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działającego</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C84D72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6575092C" w:rsidRPr="00D44D33">
        <w:rPr>
          <w:rFonts w:ascii="Times New Roman" w:eastAsiaTheme="minorEastAsia" w:hAnsi="Times New Roman" w:cs="Times New Roman"/>
          <w:sz w:val="24"/>
          <w:szCs w:val="24"/>
        </w:rPr>
        <w:t>(</w:t>
      </w:r>
      <w:r w:rsidR="39D3BAC0" w:rsidRPr="00D44D33">
        <w:rPr>
          <w:rFonts w:ascii="Times New Roman" w:eastAsiaTheme="minorEastAsia" w:hAnsi="Times New Roman" w:cs="Times New Roman"/>
          <w:sz w:val="24"/>
          <w:szCs w:val="24"/>
        </w:rPr>
        <w:t>hipotetycznego</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funkcjonowałby</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pełni</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konkurencyjnym</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39D3BAC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ponoszone</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nałożony</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3</w:t>
      </w:r>
      <w:r w:rsidR="00DA2E9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działających</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rynku</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obejmującym</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same</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produkty</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57F89188" w:rsidRPr="00D44D33">
        <w:rPr>
          <w:rFonts w:ascii="Times New Roman" w:eastAsia="Times New Roman" w:hAnsi="Times New Roman" w:cs="Times New Roman"/>
          <w:sz w:val="24"/>
          <w:szCs w:val="24"/>
        </w:rPr>
        <w:t>usługi</w:t>
      </w:r>
      <w:r w:rsidR="0AA207F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istotny</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2E24F66" w:rsidRPr="00D44D33">
        <w:rPr>
          <w:rFonts w:ascii="Times New Roman" w:eastAsiaTheme="minorEastAsia" w:hAnsi="Times New Roman" w:cs="Times New Roman"/>
          <w:sz w:val="24"/>
          <w:szCs w:val="24"/>
        </w:rPr>
        <w:t>przy</w:t>
      </w:r>
      <w:r w:rsidR="387D0B3C" w:rsidRPr="00D44D33">
        <w:rPr>
          <w:rFonts w:ascii="Times New Roman" w:eastAsiaTheme="minorEastAsia" w:hAnsi="Times New Roman" w:cs="Times New Roman"/>
          <w:sz w:val="24"/>
          <w:szCs w:val="24"/>
        </w:rPr>
        <w:t>padku</w:t>
      </w:r>
      <w:r w:rsidR="00970B2E" w:rsidRPr="00D44D33">
        <w:rPr>
          <w:rFonts w:ascii="Times New Roman" w:eastAsiaTheme="minorEastAsia" w:hAnsi="Times New Roman" w:cs="Times New Roman"/>
          <w:sz w:val="24"/>
          <w:szCs w:val="24"/>
        </w:rPr>
        <w:t xml:space="preserve"> </w:t>
      </w:r>
      <w:r w:rsidR="387D0B3C"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387D0B3C" w:rsidRPr="00D44D33">
        <w:rPr>
          <w:rFonts w:ascii="Times New Roman" w:eastAsiaTheme="minorEastAsia" w:hAnsi="Times New Roman" w:cs="Times New Roman"/>
          <w:sz w:val="24"/>
          <w:szCs w:val="24"/>
        </w:rPr>
        <w:t>symetrycznych</w:t>
      </w:r>
      <w:r w:rsidR="00970B2E" w:rsidRPr="00D44D33">
        <w:rPr>
          <w:rFonts w:ascii="Times New Roman" w:eastAsiaTheme="minorEastAsia" w:hAnsi="Times New Roman" w:cs="Times New Roman"/>
          <w:sz w:val="24"/>
          <w:szCs w:val="24"/>
        </w:rPr>
        <w:t xml:space="preserve"> </w:t>
      </w:r>
      <w:r w:rsidR="387D0B3C"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7206BEF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206BEFC"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6F62703B" w:rsidRPr="00D44D33">
        <w:rPr>
          <w:rFonts w:ascii="Times New Roman" w:eastAsiaTheme="minorEastAsia" w:hAnsi="Times New Roman" w:cs="Times New Roman"/>
          <w:sz w:val="24"/>
          <w:szCs w:val="24"/>
        </w:rPr>
        <w:t>obejmujących</w:t>
      </w:r>
      <w:r w:rsidR="00970B2E" w:rsidRPr="00D44D33">
        <w:rPr>
          <w:rFonts w:ascii="Times New Roman" w:eastAsiaTheme="minorEastAsia" w:hAnsi="Times New Roman" w:cs="Times New Roman"/>
          <w:sz w:val="24"/>
          <w:szCs w:val="24"/>
        </w:rPr>
        <w:t xml:space="preserve"> </w:t>
      </w:r>
      <w:r w:rsidR="6F62703B"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6F62703B" w:rsidRPr="00D44D33">
        <w:rPr>
          <w:rFonts w:ascii="Times New Roman" w:eastAsiaTheme="minorEastAsia" w:hAnsi="Times New Roman" w:cs="Times New Roman"/>
          <w:sz w:val="24"/>
          <w:szCs w:val="24"/>
        </w:rPr>
        <w:t>same</w:t>
      </w:r>
      <w:r w:rsidR="00970B2E" w:rsidRPr="00D44D33">
        <w:rPr>
          <w:rFonts w:ascii="Times New Roman" w:eastAsiaTheme="minorEastAsia" w:hAnsi="Times New Roman" w:cs="Times New Roman"/>
          <w:sz w:val="24"/>
          <w:szCs w:val="24"/>
        </w:rPr>
        <w:t xml:space="preserve"> </w:t>
      </w:r>
      <w:r w:rsidR="6F62703B" w:rsidRPr="00D44D33">
        <w:rPr>
          <w:rFonts w:ascii="Times New Roman" w:eastAsiaTheme="minorEastAsia" w:hAnsi="Times New Roman" w:cs="Times New Roman"/>
          <w:sz w:val="24"/>
          <w:szCs w:val="24"/>
        </w:rPr>
        <w:t>produkty</w:t>
      </w:r>
      <w:r w:rsidR="00970B2E" w:rsidRPr="00D44D33">
        <w:rPr>
          <w:rFonts w:ascii="Times New Roman" w:eastAsiaTheme="minorEastAsia" w:hAnsi="Times New Roman" w:cs="Times New Roman"/>
          <w:sz w:val="24"/>
          <w:szCs w:val="24"/>
        </w:rPr>
        <w:t xml:space="preserve"> </w:t>
      </w:r>
      <w:r w:rsidR="6F62703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6F62703B" w:rsidRPr="00D44D33">
        <w:rPr>
          <w:rFonts w:ascii="Times New Roman" w:eastAsiaTheme="minorEastAsia" w:hAnsi="Times New Roman" w:cs="Times New Roman"/>
          <w:sz w:val="24"/>
          <w:szCs w:val="24"/>
        </w:rPr>
        <w:t>usługi</w:t>
      </w:r>
      <w:r w:rsidR="7206BEFC" w:rsidRPr="00D44D33">
        <w:rPr>
          <w:rFonts w:ascii="Times New Roman" w:eastAsiaTheme="minorEastAsia" w:hAnsi="Times New Roman" w:cs="Times New Roman"/>
          <w:sz w:val="24"/>
          <w:szCs w:val="24"/>
        </w:rPr>
        <w:t>.</w:t>
      </w:r>
    </w:p>
    <w:p w14:paraId="6FB1040C" w14:textId="5A2BD5DA" w:rsidR="2A96A418" w:rsidRPr="00D44D33" w:rsidRDefault="75B31DA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C9F92C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C9F92CC"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1C9F92CC"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1C9F92CC" w:rsidRPr="00D44D33">
        <w:rPr>
          <w:rFonts w:ascii="Times New Roman" w:eastAsiaTheme="minorEastAsia" w:hAnsi="Times New Roman" w:cs="Times New Roman"/>
          <w:sz w:val="24"/>
          <w:szCs w:val="24"/>
        </w:rPr>
        <w:t>zastosować</w:t>
      </w:r>
      <w:r w:rsidR="00970B2E" w:rsidRPr="00D44D33">
        <w:rPr>
          <w:rFonts w:ascii="Times New Roman" w:eastAsiaTheme="minorEastAsia" w:hAnsi="Times New Roman" w:cs="Times New Roman"/>
          <w:sz w:val="24"/>
          <w:szCs w:val="24"/>
        </w:rPr>
        <w:t xml:space="preserve"> </w:t>
      </w:r>
      <w:r w:rsidR="00F02A7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1BF61BE8" w:rsidRPr="00D44D33">
        <w:rPr>
          <w:rFonts w:ascii="Times New Roman" w:eastAsiaTheme="minorEastAsia" w:hAnsi="Times New Roman" w:cs="Times New Roman"/>
          <w:sz w:val="24"/>
          <w:szCs w:val="24"/>
        </w:rPr>
        <w:t>5</w:t>
      </w:r>
      <w:r w:rsidR="7F75C59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nakładaniu</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1AA6C261"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7F75C599"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7F75C599"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uwzględn</w:t>
      </w:r>
      <w:r w:rsidR="0D756A61" w:rsidRPr="00D44D33">
        <w:rPr>
          <w:rFonts w:ascii="Times New Roman" w:eastAsiaTheme="minorEastAsia" w:hAnsi="Times New Roman" w:cs="Times New Roman"/>
          <w:sz w:val="24"/>
          <w:szCs w:val="24"/>
        </w:rPr>
        <w:t>ić</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BF44A3"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stosowane</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porównywalnych</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konkurencyjnych</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AA207FA" w:rsidRPr="00D44D33">
        <w:rPr>
          <w:rFonts w:ascii="Times New Roman" w:eastAsiaTheme="minorEastAsia" w:hAnsi="Times New Roman" w:cs="Times New Roman"/>
          <w:sz w:val="24"/>
          <w:szCs w:val="24"/>
        </w:rPr>
        <w:t>regulowanych.</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sytuacje</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mog</w:t>
      </w:r>
      <w:r w:rsidR="421A02C1"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1B99361F" w:rsidRPr="00D44D33">
        <w:rPr>
          <w:rFonts w:ascii="Times New Roman" w:eastAsiaTheme="minorEastAsia" w:hAnsi="Times New Roman" w:cs="Times New Roman"/>
          <w:sz w:val="24"/>
          <w:szCs w:val="24"/>
        </w:rPr>
        <w:t>ponoszonych</w:t>
      </w:r>
      <w:r w:rsidR="00970B2E" w:rsidRPr="00D44D33">
        <w:rPr>
          <w:rFonts w:ascii="Times New Roman" w:eastAsiaTheme="minorEastAsia" w:hAnsi="Times New Roman" w:cs="Times New Roman"/>
          <w:sz w:val="24"/>
          <w:szCs w:val="24"/>
        </w:rPr>
        <w:t xml:space="preserve"> </w:t>
      </w:r>
      <w:r w:rsidR="1B99361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efektywn</w:t>
      </w:r>
      <w:r w:rsidR="7CD9F03A" w:rsidRPr="00D44D33">
        <w:rPr>
          <w:rFonts w:ascii="Times New Roman" w:eastAsiaTheme="minorEastAsia" w:hAnsi="Times New Roman" w:cs="Times New Roman"/>
          <w:sz w:val="24"/>
          <w:szCs w:val="24"/>
        </w:rPr>
        <w:t>ie</w:t>
      </w:r>
      <w:r w:rsidR="00970B2E" w:rsidRPr="00D44D33">
        <w:rPr>
          <w:rFonts w:ascii="Times New Roman" w:eastAsiaTheme="minorEastAsia" w:hAnsi="Times New Roman" w:cs="Times New Roman"/>
          <w:sz w:val="24"/>
          <w:szCs w:val="24"/>
        </w:rPr>
        <w:t xml:space="preserve"> </w:t>
      </w:r>
      <w:r w:rsidR="7CD9F03A" w:rsidRPr="00D44D33">
        <w:rPr>
          <w:rFonts w:ascii="Times New Roman" w:eastAsiaTheme="minorEastAsia" w:hAnsi="Times New Roman" w:cs="Times New Roman"/>
          <w:sz w:val="24"/>
          <w:szCs w:val="24"/>
        </w:rPr>
        <w:t>działającego</w:t>
      </w:r>
      <w:r w:rsidR="00970B2E" w:rsidRPr="00D44D33">
        <w:rPr>
          <w:rFonts w:ascii="Times New Roman" w:eastAsiaTheme="minorEastAsia" w:hAnsi="Times New Roman" w:cs="Times New Roman"/>
          <w:sz w:val="24"/>
          <w:szCs w:val="24"/>
        </w:rPr>
        <w:t xml:space="preserve"> </w:t>
      </w:r>
      <w:r w:rsidR="7CD9F03A"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7CD9F03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CD9F03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293AE538"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7E16C7EF" w:rsidRPr="00D44D33">
        <w:rPr>
          <w:rFonts w:ascii="Times New Roman" w:eastAsiaTheme="minorEastAsia" w:hAnsi="Times New Roman" w:cs="Times New Roman"/>
          <w:sz w:val="24"/>
          <w:szCs w:val="24"/>
        </w:rPr>
        <w:t>niemożliwe</w:t>
      </w:r>
      <w:r w:rsidR="5C22E2F7" w:rsidRPr="00D44D33">
        <w:rPr>
          <w:rFonts w:ascii="Times New Roman" w:eastAsiaTheme="minorEastAsia" w:hAnsi="Times New Roman" w:cs="Times New Roman"/>
          <w:sz w:val="24"/>
          <w:szCs w:val="24"/>
        </w:rPr>
        <w:t>.</w:t>
      </w:r>
    </w:p>
    <w:p w14:paraId="74F522BD" w14:textId="44E29435" w:rsidR="00A04D10" w:rsidRPr="00D44D33" w:rsidRDefault="00A04D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w:t>
      </w:r>
      <w:r w:rsidR="00F65CC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735B7E4"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674686"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674686" w:rsidRPr="00D44D33">
        <w:rPr>
          <w:rFonts w:ascii="Times New Roman" w:eastAsiaTheme="minorEastAsia" w:hAnsi="Times New Roman" w:cs="Times New Roman"/>
          <w:sz w:val="24"/>
          <w:szCs w:val="24"/>
        </w:rPr>
        <w:t>wskazanej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008559C4" w:rsidRPr="00D44D33">
        <w:rPr>
          <w:rFonts w:ascii="Times New Roman" w:eastAsiaTheme="minorEastAsia" w:hAnsi="Times New Roman" w:cs="Times New Roman"/>
          <w:sz w:val="24"/>
          <w:szCs w:val="24"/>
        </w:rPr>
        <w:t xml:space="preserve">ust. 1 akapit 3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poniesionymi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17BF835"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317BF835"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17BF835"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6A92DCAC" w:rsidRPr="00D44D33">
        <w:rPr>
          <w:rFonts w:ascii="Times New Roman" w:eastAsiaTheme="minorEastAsia" w:hAnsi="Times New Roman" w:cs="Times New Roman"/>
          <w:sz w:val="24"/>
          <w:szCs w:val="24"/>
        </w:rPr>
        <w:t>składającej</w:t>
      </w:r>
      <w:r w:rsidR="00970B2E" w:rsidRPr="00D44D33">
        <w:rPr>
          <w:rFonts w:ascii="Times New Roman" w:eastAsiaTheme="minorEastAsia" w:hAnsi="Times New Roman" w:cs="Times New Roman"/>
          <w:sz w:val="24"/>
          <w:szCs w:val="24"/>
        </w:rPr>
        <w:t xml:space="preserve"> </w:t>
      </w:r>
      <w:r w:rsidR="56764B1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764B1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9F81662"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440B0EB8" w:rsidRPr="00D44D33">
        <w:rPr>
          <w:rFonts w:ascii="Times New Roman" w:eastAsiaTheme="minorEastAsia" w:hAnsi="Times New Roman" w:cs="Times New Roman"/>
          <w:sz w:val="24"/>
          <w:szCs w:val="24"/>
        </w:rPr>
        <w:t>światłowodowych</w:t>
      </w:r>
      <w:r w:rsidR="00970B2E" w:rsidRPr="00D44D33">
        <w:rPr>
          <w:rFonts w:ascii="Times New Roman" w:eastAsiaTheme="minorEastAsia" w:hAnsi="Times New Roman" w:cs="Times New Roman"/>
          <w:sz w:val="24"/>
          <w:szCs w:val="24"/>
        </w:rPr>
        <w:t xml:space="preserve"> </w:t>
      </w:r>
      <w:r w:rsidR="56764B1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generacji</w:t>
      </w:r>
      <w:r w:rsidR="2924B981" w:rsidRPr="00D44D33">
        <w:rPr>
          <w:rFonts w:ascii="Times New Roman" w:eastAsiaTheme="minorEastAsia" w:hAnsi="Times New Roman" w:cs="Times New Roman"/>
          <w:sz w:val="24"/>
          <w:szCs w:val="24"/>
        </w:rPr>
        <w:t>)</w:t>
      </w:r>
      <w:r w:rsidR="2791F6B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2489E74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489E744"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2489E744" w:rsidRPr="00D44D33">
        <w:rPr>
          <w:rFonts w:ascii="Times New Roman" w:eastAsiaTheme="minorEastAsia" w:hAnsi="Times New Roman" w:cs="Times New Roman"/>
          <w:sz w:val="24"/>
          <w:szCs w:val="24"/>
        </w:rPr>
        <w:t>opłat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zachęcić</w:t>
      </w:r>
      <w:r w:rsidR="00970B2E" w:rsidRPr="00D44D33">
        <w:rPr>
          <w:rFonts w:ascii="Times New Roman" w:eastAsiaTheme="minorEastAsia" w:hAnsi="Times New Roman" w:cs="Times New Roman"/>
          <w:sz w:val="24"/>
          <w:szCs w:val="24"/>
        </w:rPr>
        <w:t xml:space="preserve"> </w:t>
      </w:r>
      <w:r w:rsidR="5C6A7840"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5C6A784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C6A784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budowę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odpowiednich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wymienionych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mogą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doprowadzić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nienakładania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00FE49F1" w:rsidRPr="00D44D33">
        <w:rPr>
          <w:rFonts w:ascii="Times New Roman" w:eastAsiaTheme="minorEastAsia" w:hAnsi="Times New Roman" w:cs="Times New Roman"/>
          <w:sz w:val="24"/>
          <w:szCs w:val="24"/>
          <w:lang w:eastAsia="pl-PL"/>
        </w:rPr>
        <w:t>uchylenia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00A1694F" w:rsidRPr="00D44D33">
        <w:rPr>
          <w:rFonts w:ascii="Times New Roman" w:eastAsiaTheme="minorEastAsia" w:hAnsi="Times New Roman" w:cs="Times New Roman"/>
          <w:sz w:val="24"/>
          <w:szCs w:val="24"/>
          <w:lang w:eastAsia="pl-PL"/>
        </w:rPr>
        <w:t>w</w:t>
      </w:r>
      <w:r w:rsidR="00504D32" w:rsidRPr="00D44D33">
        <w:rPr>
          <w:rFonts w:ascii="Times New Roman" w:eastAsiaTheme="minorEastAsia" w:hAnsi="Times New Roman" w:cs="Times New Roman"/>
          <w:sz w:val="24"/>
          <w:szCs w:val="24"/>
          <w:lang w:eastAsia="pl-PL"/>
        </w:rPr>
        <w:t>skazanych</w:t>
      </w:r>
      <w:r w:rsidR="00970B2E" w:rsidRPr="00D44D33">
        <w:rPr>
          <w:rFonts w:ascii="Times New Roman" w:eastAsiaTheme="minorEastAsia" w:hAnsi="Times New Roman" w:cs="Times New Roman"/>
          <w:sz w:val="24"/>
          <w:szCs w:val="24"/>
          <w:lang w:eastAsia="pl-PL"/>
        </w:rPr>
        <w:t xml:space="preserve"> </w:t>
      </w:r>
      <w:r w:rsidR="00A1694F"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A1694F"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8235FF" w:rsidRPr="00D44D33">
        <w:rPr>
          <w:rFonts w:ascii="Times New Roman" w:eastAsiaTheme="minorEastAsia" w:hAnsi="Times New Roman" w:cs="Times New Roman"/>
          <w:sz w:val="24"/>
          <w:szCs w:val="24"/>
          <w:lang w:eastAsia="pl-PL"/>
        </w:rPr>
        <w:t>216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stosunku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danego</w:t>
      </w:r>
      <w:r w:rsidR="00970B2E" w:rsidRPr="00D44D33">
        <w:rPr>
          <w:rFonts w:ascii="Times New Roman" w:eastAsiaTheme="minorEastAsia" w:hAnsi="Times New Roman" w:cs="Times New Roman"/>
          <w:sz w:val="24"/>
          <w:szCs w:val="24"/>
          <w:lang w:eastAsia="pl-PL"/>
        </w:rPr>
        <w:t xml:space="preserve"> </w:t>
      </w:r>
      <w:r w:rsidR="27D017C4" w:rsidRPr="00D44D33">
        <w:rPr>
          <w:rFonts w:ascii="Times New Roman" w:eastAsiaTheme="minorEastAsia" w:hAnsi="Times New Roman" w:cs="Times New Roman"/>
          <w:sz w:val="24"/>
          <w:szCs w:val="24"/>
          <w:lang w:eastAsia="pl-PL"/>
        </w:rPr>
        <w:t>przedsiębiorcy</w:t>
      </w:r>
      <w:r w:rsidRPr="00D44D33">
        <w:rPr>
          <w:rFonts w:ascii="Times New Roman" w:eastAsiaTheme="minorEastAsia" w:hAnsi="Times New Roman" w:cs="Times New Roman"/>
          <w:sz w:val="24"/>
          <w:szCs w:val="24"/>
          <w:lang w:eastAsia="pl-PL"/>
        </w:rPr>
        <w:t>.</w:t>
      </w:r>
    </w:p>
    <w:p w14:paraId="7B429987" w14:textId="6B5A2B8D" w:rsidR="372BF5D1" w:rsidRPr="00D44D33" w:rsidRDefault="372BF5D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235FF" w:rsidRPr="00D44D33">
        <w:rPr>
          <w:rFonts w:ascii="Times New Roman" w:eastAsiaTheme="minorEastAsia" w:hAnsi="Times New Roman" w:cs="Times New Roman"/>
          <w:b/>
          <w:bCs/>
          <w:sz w:val="24"/>
          <w:szCs w:val="24"/>
        </w:rPr>
        <w:t>217</w:t>
      </w:r>
    </w:p>
    <w:p w14:paraId="4508CD66" w14:textId="2E0D525A" w:rsidR="372BF5D1" w:rsidRPr="00D44D33" w:rsidRDefault="008559C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372BF5D1" w:rsidRPr="00D44D33">
        <w:rPr>
          <w:rFonts w:ascii="Times New Roman" w:eastAsiaTheme="minorEastAsia" w:hAnsi="Times New Roman" w:cs="Times New Roman"/>
          <w:sz w:val="24"/>
          <w:szCs w:val="24"/>
        </w:rPr>
        <w:t>rtykuł</w:t>
      </w:r>
      <w:r w:rsidR="00970B2E" w:rsidRPr="00D44D33">
        <w:rPr>
          <w:rFonts w:ascii="Times New Roman" w:eastAsiaTheme="minorEastAsia" w:hAnsi="Times New Roman" w:cs="Times New Roman"/>
          <w:sz w:val="24"/>
          <w:szCs w:val="24"/>
        </w:rPr>
        <w:t xml:space="preserve"> </w:t>
      </w:r>
      <w:r w:rsidR="008235FF" w:rsidRPr="00D44D33">
        <w:rPr>
          <w:rFonts w:ascii="Times New Roman" w:eastAsiaTheme="minorEastAsia" w:hAnsi="Times New Roman" w:cs="Times New Roman"/>
          <w:sz w:val="24"/>
          <w:szCs w:val="24"/>
        </w:rPr>
        <w:t>217</w:t>
      </w:r>
      <w:r w:rsidR="372BF5D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wdrażający</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372BF5D1" w:rsidRPr="00D44D33">
        <w:rPr>
          <w:rFonts w:ascii="Times New Roman" w:eastAsiaTheme="minorEastAsia" w:hAnsi="Times New Roman" w:cs="Times New Roman"/>
          <w:sz w:val="24"/>
          <w:szCs w:val="24"/>
        </w:rPr>
        <w:t>.</w:t>
      </w:r>
      <w:r w:rsidR="004D3A23" w:rsidRPr="00D44D33">
        <w:rPr>
          <w:rFonts w:ascii="Times New Roman" w:eastAsiaTheme="minorEastAsia" w:hAnsi="Times New Roman" w:cs="Times New Roman"/>
          <w:sz w:val="24"/>
          <w:szCs w:val="24"/>
        </w:rPr>
        <w:t xml:space="preserve"> Projektowany</w:t>
      </w:r>
      <w:r w:rsidR="00970B2E" w:rsidRPr="00D44D33">
        <w:rPr>
          <w:rFonts w:ascii="Times New Roman" w:eastAsiaTheme="minorEastAsia" w:hAnsi="Times New Roman" w:cs="Times New Roman"/>
          <w:sz w:val="24"/>
          <w:szCs w:val="24"/>
        </w:rPr>
        <w:t xml:space="preserve"> </w:t>
      </w:r>
      <w:r w:rsidR="004D3A23" w:rsidRPr="00D44D33">
        <w:rPr>
          <w:rFonts w:ascii="Times New Roman" w:eastAsiaTheme="minorEastAsia" w:hAnsi="Times New Roman" w:cs="Times New Roman"/>
          <w:sz w:val="24"/>
          <w:szCs w:val="24"/>
        </w:rPr>
        <w:t>a</w:t>
      </w:r>
      <w:r w:rsidR="16C39606"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8235FF" w:rsidRPr="00D44D33">
        <w:rPr>
          <w:rFonts w:ascii="Times New Roman" w:eastAsiaTheme="minorEastAsia" w:hAnsi="Times New Roman" w:cs="Times New Roman"/>
          <w:sz w:val="24"/>
          <w:szCs w:val="24"/>
        </w:rPr>
        <w:t>217</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39</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u</w:t>
      </w:r>
      <w:r w:rsidR="1BC29726"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1BC29726" w:rsidRPr="00D44D33">
        <w:rPr>
          <w:rFonts w:ascii="Times New Roman" w:eastAsiaTheme="minorEastAsia" w:hAnsi="Times New Roman" w:cs="Times New Roman"/>
          <w:sz w:val="24"/>
          <w:szCs w:val="24"/>
        </w:rPr>
        <w:t>2</w:t>
      </w:r>
      <w:r w:rsidR="007C77E5" w:rsidRPr="00D44D33">
        <w:rPr>
          <w:rFonts w:ascii="Times New Roman" w:eastAsiaTheme="minorEastAsia" w:hAnsi="Times New Roman" w:cs="Times New Roman"/>
          <w:sz w:val="24"/>
          <w:szCs w:val="24"/>
        </w:rPr>
        <w:t>–</w:t>
      </w:r>
      <w:r w:rsidR="00311B34"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6C39606" w:rsidRPr="00D44D33">
        <w:rPr>
          <w:rFonts w:ascii="Times New Roman" w:eastAsiaTheme="minorEastAsia" w:hAnsi="Times New Roman" w:cs="Times New Roman"/>
          <w:sz w:val="24"/>
          <w:szCs w:val="24"/>
        </w:rPr>
        <w:t>40</w:t>
      </w:r>
      <w:r w:rsidR="00970B2E" w:rsidRPr="00D44D33">
        <w:rPr>
          <w:rFonts w:ascii="Times New Roman" w:eastAsiaTheme="minorEastAsia" w:hAnsi="Times New Roman" w:cs="Times New Roman"/>
          <w:sz w:val="24"/>
          <w:szCs w:val="24"/>
        </w:rPr>
        <w:t xml:space="preserve"> </w:t>
      </w:r>
      <w:r w:rsidR="3D733C3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D733C33" w:rsidRPr="00D44D33">
        <w:rPr>
          <w:rFonts w:ascii="Times New Roman" w:eastAsiaTheme="minorEastAsia" w:hAnsi="Times New Roman" w:cs="Times New Roman"/>
          <w:sz w:val="24"/>
          <w:szCs w:val="24"/>
        </w:rPr>
        <w:t>2</w:t>
      </w:r>
      <w:r w:rsidR="007C77E5" w:rsidRPr="00D44D33">
        <w:rPr>
          <w:rFonts w:ascii="Times New Roman" w:eastAsiaTheme="minorEastAsia" w:hAnsi="Times New Roman" w:cs="Times New Roman"/>
          <w:sz w:val="24"/>
          <w:szCs w:val="24"/>
        </w:rPr>
        <w:t>–</w:t>
      </w:r>
      <w:r w:rsidR="00311B34" w:rsidRPr="00D44D33">
        <w:rPr>
          <w:rFonts w:ascii="Times New Roman" w:eastAsiaTheme="minorEastAsia" w:hAnsi="Times New Roman" w:cs="Times New Roman"/>
          <w:sz w:val="24"/>
          <w:szCs w:val="24"/>
        </w:rPr>
        <w:t>5</w:t>
      </w:r>
      <w:r w:rsidR="004D3A23" w:rsidRPr="00D44D33">
        <w:rPr>
          <w:rFonts w:ascii="Times New Roman" w:eastAsiaTheme="minorEastAsia" w:hAnsi="Times New Roman" w:cs="Times New Roman"/>
          <w:sz w:val="24"/>
          <w:szCs w:val="24"/>
        </w:rPr>
        <w:t xml:space="preserve"> Pt</w:t>
      </w:r>
      <w:r w:rsidR="16C39606" w:rsidRPr="00D44D33">
        <w:rPr>
          <w:rFonts w:ascii="Times New Roman" w:eastAsiaTheme="minorEastAsia" w:hAnsi="Times New Roman" w:cs="Times New Roman"/>
          <w:sz w:val="24"/>
          <w:szCs w:val="24"/>
        </w:rPr>
        <w:t>.</w:t>
      </w:r>
    </w:p>
    <w:p w14:paraId="7DBC978B" w14:textId="05961A8D" w:rsidR="372BF5D1" w:rsidRPr="00D44D33" w:rsidRDefault="372BF5D1"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0B7C7019" w:rsidRPr="00D44D33">
        <w:rPr>
          <w:rFonts w:ascii="Times New Roman" w:eastAsiaTheme="minorEastAsia" w:hAnsi="Times New Roman" w:cs="Times New Roman"/>
          <w:sz w:val="24"/>
          <w:szCs w:val="24"/>
          <w:lang w:eastAsia="pl-PL"/>
        </w:rPr>
        <w:t>przedsiębiorca</w:t>
      </w:r>
      <w:r w:rsidR="00970B2E" w:rsidRPr="00D44D33">
        <w:rPr>
          <w:rFonts w:ascii="Times New Roman" w:eastAsiaTheme="minorEastAsia" w:hAnsi="Times New Roman" w:cs="Times New Roman"/>
          <w:sz w:val="24"/>
          <w:szCs w:val="24"/>
          <w:lang w:eastAsia="pl-PL"/>
        </w:rPr>
        <w:t xml:space="preserve"> </w:t>
      </w:r>
      <w:r w:rsidR="0B7C7019"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0B7C7019" w:rsidRPr="00D44D33">
        <w:rPr>
          <w:rFonts w:ascii="Times New Roman" w:eastAsiaTheme="minorEastAsia" w:hAnsi="Times New Roman" w:cs="Times New Roman"/>
          <w:sz w:val="24"/>
          <w:szCs w:val="24"/>
          <w:lang w:eastAsia="pl-PL"/>
        </w:rPr>
        <w:t>elektronicznej</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34502E" w:rsidRPr="00D44D33">
        <w:rPr>
          <w:rFonts w:ascii="Times New Roman" w:eastAsiaTheme="minorEastAsia" w:hAnsi="Times New Roman" w:cs="Times New Roman"/>
          <w:sz w:val="24"/>
          <w:szCs w:val="24"/>
          <w:lang w:eastAsia="pl-PL"/>
        </w:rPr>
        <w:t>216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przedstawia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szczegółowe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uzasadnienie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oparciu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ponosi</w:t>
      </w:r>
      <w:r w:rsidR="00970B2E" w:rsidRPr="00D44D33">
        <w:rPr>
          <w:rFonts w:ascii="Times New Roman" w:eastAsiaTheme="minorEastAsia" w:hAnsi="Times New Roman" w:cs="Times New Roman"/>
          <w:sz w:val="24"/>
          <w:szCs w:val="24"/>
          <w:lang w:eastAsia="pl-PL"/>
        </w:rPr>
        <w:t xml:space="preserve"> </w:t>
      </w:r>
      <w:r w:rsidR="7A31F207" w:rsidRPr="00D44D33">
        <w:rPr>
          <w:rFonts w:ascii="Times New Roman" w:eastAsiaTheme="minorEastAsia" w:hAnsi="Times New Roman" w:cs="Times New Roman"/>
          <w:sz w:val="24"/>
          <w:szCs w:val="24"/>
          <w:lang w:eastAsia="pl-PL"/>
        </w:rPr>
        <w:t>przedsiębiorca</w:t>
      </w:r>
      <w:r w:rsidR="00970B2E" w:rsidRPr="00D44D33">
        <w:rPr>
          <w:rFonts w:ascii="Times New Roman" w:eastAsiaTheme="minorEastAsia" w:hAnsi="Times New Roman" w:cs="Times New Roman"/>
          <w:sz w:val="24"/>
          <w:szCs w:val="24"/>
          <w:lang w:eastAsia="pl-PL"/>
        </w:rPr>
        <w:t xml:space="preserve"> </w:t>
      </w:r>
      <w:r w:rsidR="7A31F207"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7A31F207" w:rsidRPr="00D44D33">
        <w:rPr>
          <w:rFonts w:ascii="Times New Roman" w:eastAsiaTheme="minorEastAsia" w:hAnsi="Times New Roman" w:cs="Times New Roman"/>
          <w:sz w:val="24"/>
          <w:szCs w:val="24"/>
          <w:lang w:eastAsia="pl-PL"/>
        </w:rPr>
        <w:t>elektronicznej</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p>
    <w:p w14:paraId="470EB95D" w14:textId="18C4B25F" w:rsidR="372BF5D1" w:rsidRPr="00D44D33" w:rsidRDefault="372BF5D1"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04478F" w:rsidRPr="00D44D33">
        <w:rPr>
          <w:rFonts w:ascii="Times New Roman" w:eastAsiaTheme="minorEastAsia" w:hAnsi="Times New Roman" w:cs="Times New Roman"/>
          <w:sz w:val="24"/>
          <w:szCs w:val="24"/>
          <w:lang w:eastAsia="pl-PL"/>
        </w:rPr>
        <w:t>weryfikuje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04478F" w:rsidRPr="00D44D33">
        <w:rPr>
          <w:rFonts w:ascii="Times New Roman" w:eastAsiaTheme="minorEastAsia" w:hAnsi="Times New Roman" w:cs="Times New Roman"/>
          <w:sz w:val="24"/>
          <w:szCs w:val="24"/>
          <w:lang w:eastAsia="pl-PL"/>
        </w:rPr>
        <w:t>y</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ale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tylko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według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sposob</w:t>
      </w:r>
      <w:r w:rsidR="195753D1" w:rsidRPr="00D44D33">
        <w:rPr>
          <w:rFonts w:ascii="Times New Roman" w:eastAsiaTheme="minorEastAsia" w:hAnsi="Times New Roman" w:cs="Times New Roman"/>
          <w:sz w:val="24"/>
          <w:szCs w:val="24"/>
          <w:lang w:eastAsia="pl-PL"/>
        </w:rPr>
        <w: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w:t>
      </w:r>
      <w:r w:rsidR="5B5DC31C" w:rsidRPr="00D44D33">
        <w:rPr>
          <w:rFonts w:ascii="Times New Roman" w:eastAsiaTheme="minorEastAsia" w:hAnsi="Times New Roman" w:cs="Times New Roman"/>
          <w:sz w:val="24"/>
          <w:szCs w:val="24"/>
          <w:lang w:eastAsia="pl-PL"/>
        </w:rPr>
        <w: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nakładającej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34502E" w:rsidRPr="00D44D33">
        <w:rPr>
          <w:rFonts w:ascii="Times New Roman" w:eastAsiaTheme="minorEastAsia" w:hAnsi="Times New Roman" w:cs="Times New Roman"/>
          <w:sz w:val="24"/>
          <w:szCs w:val="24"/>
          <w:lang w:eastAsia="pl-PL"/>
        </w:rPr>
        <w:t>216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Jeżeli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okaże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nieprawidłowa,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maksymalny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albo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poziom,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biorąc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uwagę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wytyczne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p>
    <w:p w14:paraId="1AEA0705" w14:textId="4CFB9F15" w:rsidR="372BF5D1" w:rsidRPr="00D44D33" w:rsidRDefault="372BF5D1"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F0C0963"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3F0C0963"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3F0C0963"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34502E" w:rsidRPr="00D44D33">
        <w:rPr>
          <w:rFonts w:ascii="Times New Roman" w:eastAsiaTheme="minorEastAsia" w:hAnsi="Times New Roman" w:cs="Times New Roman"/>
          <w:sz w:val="24"/>
          <w:szCs w:val="24"/>
          <w:lang w:eastAsia="pl-PL"/>
        </w:rPr>
        <w:t>216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6B3A56F6"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6B3A56F6"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6B3A56F6" w:rsidRPr="00D44D33">
        <w:rPr>
          <w:rFonts w:ascii="Times New Roman" w:eastAsiaTheme="minorEastAsia" w:hAnsi="Times New Roman" w:cs="Times New Roman"/>
          <w:sz w:val="24"/>
          <w:szCs w:val="24"/>
          <w:lang w:eastAsia="pl-PL"/>
        </w:rPr>
        <w:t>elektronicznej</w:t>
      </w:r>
      <w:r w:rsidR="00311B34"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przeprowadzana</w:t>
      </w:r>
      <w:r w:rsidR="00970B2E" w:rsidRPr="00D44D33">
        <w:rPr>
          <w:rFonts w:ascii="Times New Roman" w:eastAsiaTheme="minorEastAsia" w:hAnsi="Times New Roman" w:cs="Times New Roman"/>
          <w:sz w:val="24"/>
          <w:szCs w:val="24"/>
        </w:rPr>
        <w:t xml:space="preserve"> </w:t>
      </w:r>
      <w:r w:rsidR="00593809" w:rsidRPr="00D44D33">
        <w:rPr>
          <w:rFonts w:ascii="Times New Roman" w:eastAsiaTheme="minorEastAsia" w:hAnsi="Times New Roman" w:cs="Times New Roman"/>
          <w:sz w:val="24"/>
          <w:szCs w:val="24"/>
        </w:rPr>
        <w:t>ocena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4478F" w:rsidRPr="00D44D33">
        <w:rPr>
          <w:rFonts w:ascii="Times New Roman" w:eastAsiaTheme="minorEastAsia" w:hAnsi="Times New Roman" w:cs="Times New Roman"/>
          <w:sz w:val="24"/>
          <w:szCs w:val="24"/>
        </w:rPr>
        <w:t>weryfikację</w:t>
      </w:r>
      <w:r w:rsidR="00970B2E" w:rsidRPr="00D44D33">
        <w:rPr>
          <w:rFonts w:ascii="Times New Roman" w:eastAsiaTheme="minorEastAsia" w:hAnsi="Times New Roman" w:cs="Times New Roman"/>
          <w:sz w:val="24"/>
          <w:szCs w:val="24"/>
        </w:rPr>
        <w:t xml:space="preserve"> </w:t>
      </w:r>
      <w:r w:rsidR="00061EBB" w:rsidRPr="00D44D33">
        <w:rPr>
          <w:rFonts w:ascii="Times New Roman" w:eastAsiaTheme="minorEastAsia" w:hAnsi="Times New Roman" w:cs="Times New Roman"/>
          <w:sz w:val="24"/>
          <w:szCs w:val="24"/>
        </w:rPr>
        <w:t xml:space="preserve">przeprowadzoną przez </w:t>
      </w:r>
      <w:r w:rsidRPr="00D44D33">
        <w:rPr>
          <w:rFonts w:ascii="Times New Roman" w:eastAsiaTheme="minorEastAsia" w:hAnsi="Times New Roman" w:cs="Times New Roman"/>
          <w:sz w:val="24"/>
          <w:szCs w:val="24"/>
        </w:rPr>
        <w:t>biegłego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rewidenta,</w:t>
      </w:r>
      <w:r w:rsidR="00970B2E" w:rsidRPr="00D44D33">
        <w:rPr>
          <w:rFonts w:ascii="Times New Roman" w:eastAsiaTheme="minorEastAsia" w:hAnsi="Times New Roman" w:cs="Times New Roman"/>
          <w:sz w:val="24"/>
          <w:szCs w:val="24"/>
        </w:rPr>
        <w:t xml:space="preserve"> </w:t>
      </w:r>
      <w:r w:rsidR="008C1B3B" w:rsidRPr="00D44D33">
        <w:rPr>
          <w:rFonts w:ascii="Times New Roman" w:eastAsiaTheme="minorEastAsia" w:hAnsi="Times New Roman" w:cs="Times New Roman"/>
          <w:sz w:val="24"/>
          <w:szCs w:val="24"/>
          <w:lang w:eastAsia="pl-PL"/>
        </w:rPr>
        <w:t>wskazaną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5C2DE0FD"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34502E" w:rsidRPr="00D44D33">
        <w:rPr>
          <w:rFonts w:ascii="Times New Roman" w:eastAsiaTheme="minorEastAsia" w:hAnsi="Times New Roman" w:cs="Times New Roman"/>
          <w:sz w:val="24"/>
          <w:szCs w:val="24"/>
          <w:lang w:eastAsia="pl-PL"/>
        </w:rPr>
        <w:t>257</w:t>
      </w:r>
      <w:r w:rsidR="00970B2E" w:rsidRPr="00D44D33">
        <w:rPr>
          <w:rFonts w:ascii="Times New Roman" w:eastAsiaTheme="minorEastAsia" w:hAnsi="Times New Roman" w:cs="Times New Roman"/>
          <w:sz w:val="24"/>
          <w:szCs w:val="24"/>
          <w:lang w:eastAsia="pl-PL"/>
        </w:rPr>
        <w:t xml:space="preserve"> </w:t>
      </w:r>
      <w:r w:rsidR="5C2DE0FD"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B31FCF" w:rsidRPr="00D44D33">
        <w:rPr>
          <w:rFonts w:ascii="Times New Roman" w:eastAsiaTheme="minorEastAsia" w:hAnsi="Times New Roman" w:cs="Times New Roman"/>
          <w:sz w:val="24"/>
          <w:szCs w:val="24"/>
          <w:lang w:eastAsia="pl-PL"/>
        </w:rPr>
        <w:t>7</w:t>
      </w:r>
      <w:r w:rsidR="5C2DE0FD" w:rsidRPr="00D44D33">
        <w:rPr>
          <w:rFonts w:ascii="Times New Roman" w:eastAsiaTheme="minorEastAsia" w:hAnsi="Times New Roman" w:cs="Times New Roman"/>
          <w:sz w:val="24"/>
          <w:szCs w:val="24"/>
          <w:lang w:eastAsia="pl-PL"/>
        </w:rPr>
        <w:t>.</w:t>
      </w:r>
    </w:p>
    <w:p w14:paraId="1F1C0351" w14:textId="27875E16" w:rsidR="372BF5D1" w:rsidRPr="00D44D33" w:rsidRDefault="372BF5D1"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podkreślić,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nałożonego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69DABF67" w:rsidRPr="00D44D33">
        <w:rPr>
          <w:rFonts w:ascii="Times New Roman" w:eastAsiaTheme="minorEastAsia" w:hAnsi="Times New Roman" w:cs="Times New Roman"/>
          <w:sz w:val="24"/>
          <w:szCs w:val="24"/>
          <w:lang w:eastAsia="pl-PL"/>
        </w:rPr>
        <w:t>przedsiębiorc</w:t>
      </w:r>
      <w:r w:rsidR="5EA48F02" w:rsidRPr="00D44D33">
        <w:rPr>
          <w:rFonts w:ascii="Times New Roman" w:eastAsiaTheme="minorEastAsia" w:hAnsi="Times New Roman" w:cs="Times New Roman"/>
          <w:sz w:val="24"/>
          <w:szCs w:val="24"/>
          <w:lang w:eastAsia="pl-PL"/>
        </w:rPr>
        <w:t>ę</w:t>
      </w:r>
      <w:r w:rsidR="00970B2E" w:rsidRPr="00D44D33">
        <w:rPr>
          <w:rFonts w:ascii="Times New Roman" w:eastAsiaTheme="minorEastAsia" w:hAnsi="Times New Roman" w:cs="Times New Roman"/>
          <w:sz w:val="24"/>
          <w:szCs w:val="24"/>
          <w:lang w:eastAsia="pl-PL"/>
        </w:rPr>
        <w:t xml:space="preserve"> </w:t>
      </w:r>
      <w:r w:rsidR="69DABF67"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69DABF67" w:rsidRPr="00D44D33">
        <w:rPr>
          <w:rFonts w:ascii="Times New Roman" w:eastAsiaTheme="minorEastAsia" w:hAnsi="Times New Roman" w:cs="Times New Roman"/>
          <w:sz w:val="24"/>
          <w:szCs w:val="24"/>
          <w:lang w:eastAsia="pl-PL"/>
        </w:rPr>
        <w:t>elektronicznej</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tylko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7380BD4E" w:rsidRPr="00D44D33">
        <w:rPr>
          <w:rFonts w:ascii="Times New Roman" w:eastAsiaTheme="minorEastAsia" w:hAnsi="Times New Roman" w:cs="Times New Roman"/>
          <w:sz w:val="24"/>
          <w:szCs w:val="24"/>
          <w:lang w:eastAsia="pl-PL"/>
        </w:rPr>
        <w:t>5</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maksymalny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albo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poziom.</w:t>
      </w:r>
    </w:p>
    <w:p w14:paraId="10B7EC42" w14:textId="4966883F" w:rsidR="372BF5D1" w:rsidRPr="00D44D33" w:rsidRDefault="00061EBB"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Przepis u</w:t>
      </w:r>
      <w:r w:rsidR="372BF5D1" w:rsidRPr="00D44D33">
        <w:rPr>
          <w:rFonts w:ascii="Times New Roman" w:eastAsiaTheme="minorEastAsia" w:hAnsi="Times New Roman" w:cs="Times New Roman"/>
          <w:sz w:val="24"/>
          <w:szCs w:val="24"/>
        </w:rPr>
        <w:t>st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1A37204"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szczególnej</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wymienionej</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00311B3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11B34"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311B34"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00311B34" w:rsidRPr="00D44D33">
        <w:rPr>
          <w:rFonts w:ascii="Times New Roman" w:eastAsiaTheme="minorEastAsia" w:hAnsi="Times New Roman" w:cs="Times New Roman"/>
          <w:sz w:val="24"/>
          <w:szCs w:val="24"/>
        </w:rPr>
        <w:t>2</w:t>
      </w:r>
      <w:r w:rsidR="007F13D7" w:rsidRPr="00D44D33">
        <w:rPr>
          <w:rFonts w:ascii="Times New Roman" w:eastAsiaTheme="minorEastAsia" w:hAnsi="Times New Roman" w:cs="Times New Roman"/>
          <w:sz w:val="24"/>
          <w:szCs w:val="24"/>
        </w:rPr>
        <w:t xml:space="preserve"> EKŁE</w:t>
      </w:r>
      <w:r w:rsidR="372BF5D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wydatkami</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poniesionymi</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4569CAB5" w:rsidRPr="00D44D33">
        <w:rPr>
          <w:rFonts w:ascii="Times New Roman" w:eastAsiaTheme="minorEastAsia" w:hAnsi="Times New Roman" w:cs="Times New Roman"/>
          <w:sz w:val="24"/>
          <w:szCs w:val="24"/>
          <w:lang w:eastAsia="pl-PL"/>
        </w:rPr>
        <w:t>przedsiębiorc</w:t>
      </w:r>
      <w:r w:rsidR="12685B9C" w:rsidRPr="00D44D33">
        <w:rPr>
          <w:rFonts w:ascii="Times New Roman" w:eastAsiaTheme="minorEastAsia" w:hAnsi="Times New Roman" w:cs="Times New Roman"/>
          <w:sz w:val="24"/>
          <w:szCs w:val="24"/>
          <w:lang w:eastAsia="pl-PL"/>
        </w:rPr>
        <w:t>ę</w:t>
      </w:r>
      <w:r w:rsidR="00970B2E" w:rsidRPr="00D44D33">
        <w:rPr>
          <w:rFonts w:ascii="Times New Roman" w:eastAsiaTheme="minorEastAsia" w:hAnsi="Times New Roman" w:cs="Times New Roman"/>
          <w:sz w:val="24"/>
          <w:szCs w:val="24"/>
          <w:lang w:eastAsia="pl-PL"/>
        </w:rPr>
        <w:t xml:space="preserve"> </w:t>
      </w:r>
      <w:r w:rsidR="4569CAB5"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4569CAB5"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nowe</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przedsięwzięcie</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inwestycyjne</w:t>
      </w:r>
      <w:r w:rsidR="372BF5D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lang w:eastAsia="pl-PL"/>
        </w:rPr>
        <w:t>ustalaniu</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3C4B3C"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zachętę</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7DC2B4DD" w:rsidRPr="00D44D33">
        <w:rPr>
          <w:rFonts w:ascii="Times New Roman" w:eastAsiaTheme="minorEastAsia" w:hAnsi="Times New Roman" w:cs="Times New Roman"/>
          <w:sz w:val="24"/>
          <w:szCs w:val="24"/>
          <w:lang w:eastAsia="pl-PL"/>
        </w:rPr>
        <w:t>przedsiębiorc</w:t>
      </w:r>
      <w:r w:rsidR="7FC9E2C5" w:rsidRPr="00D44D33">
        <w:rPr>
          <w:rFonts w:ascii="Times New Roman" w:eastAsiaTheme="minorEastAsia" w:hAnsi="Times New Roman" w:cs="Times New Roman"/>
          <w:sz w:val="24"/>
          <w:szCs w:val="24"/>
          <w:lang w:eastAsia="pl-PL"/>
        </w:rPr>
        <w:t>y</w:t>
      </w:r>
      <w:r w:rsidR="00970B2E" w:rsidRPr="00D44D33">
        <w:rPr>
          <w:rFonts w:ascii="Times New Roman" w:eastAsiaTheme="minorEastAsia" w:hAnsi="Times New Roman" w:cs="Times New Roman"/>
          <w:sz w:val="24"/>
          <w:szCs w:val="24"/>
          <w:lang w:eastAsia="pl-PL"/>
        </w:rPr>
        <w:t xml:space="preserve"> </w:t>
      </w:r>
      <w:r w:rsidR="7DC2B4DD"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7DC2B4DD"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72BF5D1"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nowych</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przedsięwzięć</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inwestycyjnych,</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budowy</w:t>
      </w:r>
      <w:r w:rsidR="00970B2E" w:rsidRPr="00D44D33">
        <w:rPr>
          <w:rFonts w:ascii="Times New Roman" w:eastAsiaTheme="minorEastAsia" w:hAnsi="Times New Roman" w:cs="Times New Roman"/>
          <w:sz w:val="24"/>
          <w:szCs w:val="24"/>
          <w:lang w:eastAsia="pl-PL"/>
        </w:rPr>
        <w:t xml:space="preserve"> </w:t>
      </w:r>
      <w:r w:rsidR="372BF5D1"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53A62A17"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53A62A17"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53A62A17"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53A62A17"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007F13D7" w:rsidRPr="00D44D33">
        <w:rPr>
          <w:rFonts w:ascii="Times New Roman" w:eastAsiaTheme="minorEastAsia" w:hAnsi="Times New Roman" w:cs="Times New Roman"/>
          <w:sz w:val="24"/>
          <w:szCs w:val="24"/>
          <w:lang w:eastAsia="pl-PL"/>
        </w:rPr>
        <w:t>Przepis u</w:t>
      </w:r>
      <w:r w:rsidR="00FE49F1" w:rsidRPr="00D44D33">
        <w:rPr>
          <w:rFonts w:ascii="Times New Roman" w:eastAsiaTheme="minorEastAsia" w:hAnsi="Times New Roman" w:cs="Times New Roman"/>
          <w:sz w:val="24"/>
          <w:szCs w:val="24"/>
          <w:lang w:eastAsia="pl-PL"/>
        </w:rPr>
        <w:t>st.</w:t>
      </w:r>
      <w:r w:rsidR="00970B2E" w:rsidRPr="00D44D33">
        <w:rPr>
          <w:rFonts w:ascii="Times New Roman" w:eastAsiaTheme="minorEastAsia" w:hAnsi="Times New Roman" w:cs="Times New Roman"/>
          <w:sz w:val="24"/>
          <w:szCs w:val="24"/>
          <w:lang w:eastAsia="pl-PL"/>
        </w:rPr>
        <w:t xml:space="preserve"> </w:t>
      </w:r>
      <w:r w:rsidR="00FE49F1" w:rsidRPr="00D44D33">
        <w:rPr>
          <w:rFonts w:ascii="Times New Roman" w:eastAsiaTheme="minorEastAsia" w:hAnsi="Times New Roman" w:cs="Times New Roman"/>
          <w:sz w:val="24"/>
          <w:szCs w:val="24"/>
          <w:lang w:eastAsia="pl-PL"/>
        </w:rPr>
        <w:t>7</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39</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40</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FE49F1" w:rsidRPr="00D44D33">
        <w:rPr>
          <w:rFonts w:ascii="Times New Roman" w:eastAsiaTheme="minorEastAsia" w:hAnsi="Times New Roman" w:cs="Times New Roman"/>
          <w:sz w:val="24"/>
          <w:szCs w:val="24"/>
        </w:rPr>
        <w:t>Pt.</w:t>
      </w:r>
    </w:p>
    <w:p w14:paraId="7AEF4B6F" w14:textId="1805AF88" w:rsidR="5D713A1E" w:rsidRPr="00D44D33" w:rsidRDefault="5D713A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4502E" w:rsidRPr="00D44D33">
        <w:rPr>
          <w:rFonts w:ascii="Times New Roman" w:eastAsiaTheme="minorEastAsia" w:hAnsi="Times New Roman" w:cs="Times New Roman"/>
          <w:b/>
          <w:bCs/>
          <w:sz w:val="24"/>
          <w:szCs w:val="24"/>
        </w:rPr>
        <w:t>218</w:t>
      </w:r>
    </w:p>
    <w:p w14:paraId="492DC8A6" w14:textId="4C7FA2DF" w:rsidR="5D713A1E" w:rsidRPr="00D44D33" w:rsidRDefault="5D713A1E"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rozliczeń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między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przenoszeniem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numerów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wyborem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dostawcy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Artykuł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106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łączy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abonentów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bezpłatnego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przeniesienia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numeru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wyboru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dostawcy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w:t>
      </w:r>
      <w:r w:rsidR="009D2489" w:rsidRPr="00D44D33">
        <w:rPr>
          <w:rFonts w:ascii="Times New Roman" w:eastAsiaTheme="minorEastAsia" w:hAnsi="Times New Roman" w:cs="Times New Roman"/>
          <w:sz w:val="24"/>
          <w:szCs w:val="24"/>
          <w:lang w:eastAsia="pl-PL"/>
        </w:rPr>
        <w:t>.</w:t>
      </w:r>
    </w:p>
    <w:p w14:paraId="7C7774B9" w14:textId="0820B583" w:rsidR="5D713A1E" w:rsidRPr="00D44D33" w:rsidRDefault="5D713A1E"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w:t>
      </w:r>
      <w:r w:rsidR="007F13D7" w:rsidRPr="00D44D33">
        <w:rPr>
          <w:rFonts w:ascii="Times New Roman" w:eastAsiaTheme="minorEastAsia" w:hAnsi="Times New Roman" w:cs="Times New Roman"/>
          <w:sz w:val="24"/>
          <w:szCs w:val="24"/>
          <w:lang w:eastAsia="pl-PL"/>
        </w:rPr>
        <w:t>rojektowane p</w:t>
      </w:r>
      <w:r w:rsidRPr="00D44D33">
        <w:rPr>
          <w:rFonts w:ascii="Times New Roman" w:eastAsiaTheme="minorEastAsia" w:hAnsi="Times New Roman" w:cs="Times New Roman"/>
          <w:sz w:val="24"/>
          <w:szCs w:val="24"/>
          <w:lang w:eastAsia="pl-PL"/>
        </w:rPr>
        <w:t>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informują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tylko,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przenoszeniem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opłaty</w:t>
      </w:r>
      <w:r w:rsidR="007F13D7" w:rsidRPr="00D44D33">
        <w:rPr>
          <w:rFonts w:ascii="Times New Roman" w:eastAsiaTheme="minorEastAsia" w:hAnsi="Times New Roman" w:cs="Times New Roman"/>
          <w:sz w:val="24"/>
          <w:szCs w:val="24"/>
          <w:lang w:eastAsia="pl-PL"/>
        </w:rPr>
        <w:t xml:space="preserve"> 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uwzględniać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ponoszone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usługą.</w:t>
      </w:r>
    </w:p>
    <w:p w14:paraId="0DC5D70B" w14:textId="69E01EE8" w:rsidR="39E3101E" w:rsidRPr="00D44D33" w:rsidRDefault="007F13D7"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Przepis a</w:t>
      </w:r>
      <w:r w:rsidR="39E3101E" w:rsidRPr="00D44D33">
        <w:rPr>
          <w:rFonts w:ascii="Times New Roman" w:eastAsiaTheme="minorEastAsia" w:hAnsi="Times New Roman" w:cs="Times New Roman"/>
          <w:sz w:val="24"/>
          <w:szCs w:val="24"/>
          <w:lang w:eastAsia="pl-PL"/>
        </w:rPr>
        <w:t>rt.</w:t>
      </w:r>
      <w:r w:rsidR="00970B2E" w:rsidRPr="00D44D33">
        <w:rPr>
          <w:rFonts w:ascii="Times New Roman" w:eastAsiaTheme="minorEastAsia" w:hAnsi="Times New Roman" w:cs="Times New Roman"/>
          <w:sz w:val="24"/>
          <w:szCs w:val="24"/>
          <w:lang w:eastAsia="pl-PL"/>
        </w:rPr>
        <w:t xml:space="preserve"> </w:t>
      </w:r>
      <w:r w:rsidR="0034502E" w:rsidRPr="00D44D33">
        <w:rPr>
          <w:rFonts w:ascii="Times New Roman" w:eastAsiaTheme="minorEastAsia" w:hAnsi="Times New Roman" w:cs="Times New Roman"/>
          <w:sz w:val="24"/>
          <w:szCs w:val="24"/>
          <w:lang w:eastAsia="pl-PL"/>
        </w:rPr>
        <w:t>218</w:t>
      </w:r>
      <w:r w:rsidR="00970B2E" w:rsidRPr="00D44D33">
        <w:rPr>
          <w:rFonts w:ascii="Times New Roman" w:eastAsiaTheme="minorEastAsia" w:hAnsi="Times New Roman" w:cs="Times New Roman"/>
          <w:sz w:val="24"/>
          <w:szCs w:val="24"/>
          <w:lang w:eastAsia="pl-PL"/>
        </w:rPr>
        <w:t xml:space="preserve"> </w:t>
      </w:r>
      <w:r w:rsidR="39E3101E"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39E3101E" w:rsidRPr="00D44D33">
        <w:rPr>
          <w:rFonts w:ascii="Times New Roman" w:eastAsiaTheme="minorEastAsia" w:hAnsi="Times New Roman" w:cs="Times New Roman"/>
          <w:sz w:val="24"/>
          <w:szCs w:val="24"/>
          <w:lang w:eastAsia="pl-PL"/>
        </w:rPr>
        <w:t>odpowiednikiem</w:t>
      </w:r>
      <w:r w:rsidR="00970B2E" w:rsidRPr="00D44D33">
        <w:rPr>
          <w:rFonts w:ascii="Times New Roman" w:eastAsiaTheme="minorEastAsia" w:hAnsi="Times New Roman" w:cs="Times New Roman"/>
          <w:sz w:val="24"/>
          <w:szCs w:val="24"/>
          <w:lang w:eastAsia="pl-PL"/>
        </w:rPr>
        <w:t xml:space="preserve"> </w:t>
      </w:r>
      <w:r w:rsidR="39E3101E"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39E3101E" w:rsidRPr="00D44D33">
        <w:rPr>
          <w:rFonts w:ascii="Times New Roman" w:eastAsiaTheme="minorEastAsia" w:hAnsi="Times New Roman" w:cs="Times New Roman"/>
          <w:sz w:val="24"/>
          <w:szCs w:val="24"/>
          <w:lang w:eastAsia="pl-PL"/>
        </w:rPr>
        <w:t>41</w:t>
      </w:r>
      <w:r w:rsidR="00970B2E" w:rsidRPr="00D44D33">
        <w:rPr>
          <w:rFonts w:ascii="Times New Roman" w:eastAsiaTheme="minorEastAsia" w:hAnsi="Times New Roman" w:cs="Times New Roman"/>
          <w:sz w:val="24"/>
          <w:szCs w:val="24"/>
          <w:lang w:eastAsia="pl-PL"/>
        </w:rPr>
        <w:t xml:space="preserve"> </w:t>
      </w:r>
      <w:r w:rsidR="39E3101E" w:rsidRPr="00D44D33">
        <w:rPr>
          <w:rFonts w:ascii="Times New Roman" w:eastAsiaTheme="minorEastAsia" w:hAnsi="Times New Roman" w:cs="Times New Roman"/>
          <w:sz w:val="24"/>
          <w:szCs w:val="24"/>
          <w:lang w:eastAsia="pl-PL"/>
        </w:rPr>
        <w:t>Pt.</w:t>
      </w:r>
    </w:p>
    <w:p w14:paraId="3C1D71B3" w14:textId="77777777" w:rsidR="0047172A" w:rsidRDefault="0047172A" w:rsidP="00D44D33">
      <w:pPr>
        <w:spacing w:before="120" w:after="120" w:line="360" w:lineRule="auto"/>
        <w:jc w:val="center"/>
        <w:rPr>
          <w:rFonts w:ascii="Times New Roman" w:eastAsiaTheme="minorEastAsia" w:hAnsi="Times New Roman" w:cs="Times New Roman"/>
          <w:b/>
          <w:bCs/>
          <w:sz w:val="24"/>
          <w:szCs w:val="24"/>
        </w:rPr>
      </w:pPr>
    </w:p>
    <w:p w14:paraId="79D781F5" w14:textId="7867AB24" w:rsidR="1A4898FB" w:rsidRPr="00D44D33" w:rsidRDefault="1A4898F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4502E" w:rsidRPr="00D44D33">
        <w:rPr>
          <w:rFonts w:ascii="Times New Roman" w:eastAsiaTheme="minorEastAsia" w:hAnsi="Times New Roman" w:cs="Times New Roman"/>
          <w:b/>
          <w:bCs/>
          <w:sz w:val="24"/>
          <w:szCs w:val="24"/>
        </w:rPr>
        <w:t>219</w:t>
      </w:r>
    </w:p>
    <w:p w14:paraId="5BA18059" w14:textId="79FAE9DB" w:rsidR="00FE49F1" w:rsidRPr="00D44D33" w:rsidRDefault="1A4898F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zakańczanie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implementację</w:t>
      </w:r>
      <w:r w:rsidR="00970B2E" w:rsidRPr="00D44D33">
        <w:rPr>
          <w:rFonts w:ascii="Times New Roman" w:eastAsiaTheme="minorEastAsia" w:hAnsi="Times New Roman" w:cs="Times New Roman"/>
          <w:sz w:val="24"/>
          <w:szCs w:val="24"/>
          <w:lang w:eastAsia="pl-PL"/>
        </w:rPr>
        <w:t xml:space="preserve"> </w:t>
      </w:r>
      <w:r w:rsidR="7B785BA4" w:rsidRPr="00D44D33">
        <w:rPr>
          <w:rFonts w:ascii="Times New Roman" w:eastAsiaTheme="minorEastAsia" w:hAnsi="Times New Roman" w:cs="Times New Roman"/>
          <w:sz w:val="24"/>
          <w:szCs w:val="24"/>
          <w:lang w:eastAsia="pl-PL"/>
        </w:rPr>
        <w:t>nowej</w:t>
      </w:r>
      <w:r w:rsidR="00970B2E" w:rsidRPr="00D44D33">
        <w:rPr>
          <w:rFonts w:ascii="Times New Roman" w:eastAsiaTheme="minorEastAsia" w:hAnsi="Times New Roman" w:cs="Times New Roman"/>
          <w:sz w:val="24"/>
          <w:szCs w:val="24"/>
          <w:lang w:eastAsia="pl-PL"/>
        </w:rPr>
        <w:t xml:space="preserve"> </w:t>
      </w:r>
      <w:r w:rsidR="7B785BA4" w:rsidRPr="00D44D33">
        <w:rPr>
          <w:rFonts w:ascii="Times New Roman" w:eastAsiaTheme="minorEastAsia" w:hAnsi="Times New Roman" w:cs="Times New Roman"/>
          <w:sz w:val="24"/>
          <w:szCs w:val="24"/>
          <w:lang w:eastAsia="pl-PL"/>
        </w:rPr>
        <w:t>regulacji</w:t>
      </w:r>
      <w:r w:rsidR="00970B2E" w:rsidRPr="00D44D33">
        <w:rPr>
          <w:rFonts w:ascii="Times New Roman" w:eastAsiaTheme="minorEastAsia" w:hAnsi="Times New Roman" w:cs="Times New Roman"/>
          <w:sz w:val="24"/>
          <w:szCs w:val="24"/>
          <w:lang w:eastAsia="pl-PL"/>
        </w:rPr>
        <w:t xml:space="preserve"> </w:t>
      </w:r>
      <w:r w:rsidR="7B785BA4" w:rsidRPr="00D44D33">
        <w:rPr>
          <w:rFonts w:ascii="Times New Roman" w:eastAsiaTheme="minorEastAsia" w:hAnsi="Times New Roman" w:cs="Times New Roman"/>
          <w:sz w:val="24"/>
          <w:szCs w:val="24"/>
          <w:lang w:eastAsia="pl-PL"/>
        </w:rPr>
        <w:t>czyli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7F13D7"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75</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3F933632" w:rsidRPr="00D44D33">
        <w:rPr>
          <w:rFonts w:ascii="Times New Roman" w:eastAsiaTheme="minorEastAsia" w:hAnsi="Times New Roman" w:cs="Times New Roman"/>
          <w:sz w:val="24"/>
          <w:szCs w:val="24"/>
        </w:rPr>
        <w: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606958C0" w:rsidRPr="00D44D33">
        <w:rPr>
          <w:rFonts w:ascii="Times New Roman" w:eastAsiaTheme="minorEastAsia" w:hAnsi="Times New Roman" w:cs="Times New Roman"/>
          <w:sz w:val="24"/>
          <w:szCs w:val="24"/>
          <w:lang w:eastAsia="pl-PL"/>
        </w:rPr>
        <w:t>przedsiębiorca</w:t>
      </w:r>
      <w:r w:rsidR="00970B2E" w:rsidRPr="00D44D33">
        <w:rPr>
          <w:rFonts w:ascii="Times New Roman" w:eastAsiaTheme="minorEastAsia" w:hAnsi="Times New Roman" w:cs="Times New Roman"/>
          <w:sz w:val="24"/>
          <w:szCs w:val="24"/>
          <w:lang w:eastAsia="pl-PL"/>
        </w:rPr>
        <w:t xml:space="preserve"> </w:t>
      </w:r>
      <w:r w:rsidR="606958C0"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606958C0"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7B5496C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B5496CC" w:rsidRPr="00D44D33">
        <w:rPr>
          <w:rFonts w:ascii="Times New Roman" w:eastAsiaTheme="minorEastAsia" w:hAnsi="Times New Roman" w:cs="Times New Roman"/>
          <w:sz w:val="24"/>
          <w:szCs w:val="24"/>
        </w:rPr>
        <w:t>wyższe</w:t>
      </w:r>
      <w:r w:rsidR="00970B2E" w:rsidRPr="00D44D33">
        <w:rPr>
          <w:rFonts w:ascii="Times New Roman" w:eastAsiaTheme="minorEastAsia" w:hAnsi="Times New Roman" w:cs="Times New Roman"/>
          <w:sz w:val="24"/>
          <w:szCs w:val="24"/>
        </w:rPr>
        <w:t xml:space="preserve"> </w:t>
      </w:r>
      <w:r w:rsidR="7B5496CC"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5E727DF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w:t>
      </w:r>
      <w:r w:rsidR="0090347E" w:rsidRPr="00D44D33">
        <w:rPr>
          <w:rFonts w:ascii="Times New Roman" w:eastAsiaTheme="minorEastAsia" w:hAnsi="Times New Roman" w:cs="Times New Roman"/>
          <w:sz w:val="24"/>
          <w:szCs w:val="24"/>
        </w:rPr>
        <w:t>i</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delegowanym</w:t>
      </w:r>
      <w:r w:rsidR="00970B2E" w:rsidRPr="00D44D33">
        <w:rPr>
          <w:rFonts w:ascii="Times New Roman" w:eastAsiaTheme="minorEastAsia" w:hAnsi="Times New Roman" w:cs="Times New Roman"/>
          <w:sz w:val="24"/>
          <w:szCs w:val="24"/>
        </w:rPr>
        <w:t xml:space="preserve"> </w:t>
      </w:r>
      <w:r w:rsidR="68AFAB6E" w:rsidRPr="00D44D33">
        <w:rPr>
          <w:rFonts w:ascii="Times New Roman" w:eastAsiaTheme="minorEastAsia" w:hAnsi="Times New Roman" w:cs="Times New Roman"/>
          <w:sz w:val="24"/>
          <w:szCs w:val="24"/>
        </w:rPr>
        <w:t>wydanym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7F13D7" w:rsidRPr="00D44D33">
        <w:rPr>
          <w:rFonts w:ascii="Times New Roman" w:eastAsiaTheme="minorEastAsia" w:hAnsi="Times New Roman" w:cs="Times New Roman"/>
          <w:sz w:val="24"/>
          <w:szCs w:val="24"/>
        </w:rPr>
        <w:t xml:space="preserve">omisję </w:t>
      </w:r>
      <w:r w:rsidRPr="00D44D33">
        <w:rPr>
          <w:rFonts w:ascii="Times New Roman" w:eastAsiaTheme="minorEastAsia" w:hAnsi="Times New Roman" w:cs="Times New Roman"/>
          <w:sz w:val="24"/>
          <w:szCs w:val="24"/>
        </w:rPr>
        <w:t>E</w:t>
      </w:r>
      <w:r w:rsidR="007F13D7" w:rsidRPr="00D44D33">
        <w:rPr>
          <w:rFonts w:ascii="Times New Roman" w:eastAsiaTheme="minorEastAsia" w:hAnsi="Times New Roman" w:cs="Times New Roman"/>
          <w:sz w:val="24"/>
          <w:szCs w:val="24"/>
        </w:rPr>
        <w:t>uropejską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najlepszą</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wiedzą</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8258D"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00A35315" w:rsidRPr="00D44D33">
        <w:rPr>
          <w:rFonts w:ascii="Times New Roman" w:eastAsiaTheme="minorEastAsia" w:hAnsi="Times New Roman" w:cs="Times New Roman"/>
          <w:sz w:val="24"/>
          <w:szCs w:val="24"/>
        </w:rPr>
        <w:t>ust.1</w:t>
      </w:r>
      <w:r w:rsidR="007F13D7" w:rsidRPr="00D44D33">
        <w:rPr>
          <w:rFonts w:ascii="Times New Roman" w:eastAsiaTheme="minorEastAsia" w:hAnsi="Times New Roman" w:cs="Times New Roman"/>
          <w:sz w:val="24"/>
          <w:szCs w:val="24"/>
        </w:rPr>
        <w:t xml:space="preserve"> EKŁE</w:t>
      </w:r>
      <w:r w:rsidR="00A3531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Komisja</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Europejska</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planuje</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wydać</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akt</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delegowany</w:t>
      </w:r>
      <w:r w:rsidR="00B86E1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E495A"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98258D"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1C051E"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wymaga</w:t>
      </w:r>
      <w:r w:rsidR="001C051E" w:rsidRPr="00D44D33">
        <w:rPr>
          <w:rFonts w:ascii="Times New Roman" w:hAnsi="Times New Roman" w:cs="Times New Roman"/>
          <w:sz w:val="24"/>
          <w:szCs w:val="24"/>
        </w:rPr>
        <w:t>ł</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transpozycji</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każde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rozporządzenie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przyjmowane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instytucje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unijne,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niezależnie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charakter</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ustawodawczy</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rozporządzenie),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nieustawodawczy</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np.</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rozporządzenie</w:t>
      </w:r>
      <w:r w:rsidR="00970B2E" w:rsidRPr="00D44D33">
        <w:rPr>
          <w:rFonts w:ascii="Times New Roman" w:hAnsi="Times New Roman" w:cs="Times New Roman"/>
          <w:sz w:val="24"/>
          <w:szCs w:val="24"/>
        </w:rPr>
        <w:t xml:space="preserve"> </w:t>
      </w:r>
      <w:r w:rsidR="0098258D" w:rsidRPr="00D44D33">
        <w:rPr>
          <w:rFonts w:ascii="Times New Roman" w:hAnsi="Times New Roman" w:cs="Times New Roman"/>
          <w:sz w:val="24"/>
          <w:szCs w:val="24"/>
        </w:rPr>
        <w:t>wykonawcze).</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Przepis</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porządkuje</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tylko</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regulacje</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C26B10" w:rsidRPr="00D44D33">
        <w:rPr>
          <w:rFonts w:ascii="Times New Roman" w:hAnsi="Times New Roman" w:cs="Times New Roman"/>
          <w:sz w:val="24"/>
          <w:szCs w:val="24"/>
        </w:rPr>
        <w:t>zakresie</w:t>
      </w:r>
      <w:r w:rsidR="00B86E1E" w:rsidRPr="00D44D33">
        <w:rPr>
          <w:rFonts w:ascii="Times New Roman" w:hAnsi="Times New Roman" w:cs="Times New Roman"/>
          <w:sz w:val="24"/>
          <w:szCs w:val="24"/>
        </w:rPr>
        <w:t>.</w:t>
      </w:r>
    </w:p>
    <w:p w14:paraId="5DC5C958" w14:textId="21B5B5C8" w:rsidR="1A4898FB" w:rsidRPr="00D44D33" w:rsidRDefault="1A4898FB"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7F13D7" w:rsidRPr="00D44D33">
        <w:rPr>
          <w:rFonts w:ascii="Times New Roman" w:eastAsiaTheme="minorEastAsia" w:hAnsi="Times New Roman" w:cs="Times New Roman"/>
          <w:sz w:val="24"/>
          <w:szCs w:val="24"/>
        </w:rPr>
        <w:t xml:space="preserve">omisję </w:t>
      </w:r>
      <w:r w:rsidRPr="00D44D33">
        <w:rPr>
          <w:rFonts w:ascii="Times New Roman" w:eastAsiaTheme="minorEastAsia" w:hAnsi="Times New Roman" w:cs="Times New Roman"/>
          <w:sz w:val="24"/>
          <w:szCs w:val="24"/>
        </w:rPr>
        <w:t>E</w:t>
      </w:r>
      <w:r w:rsidR="007F13D7" w:rsidRPr="00D44D33">
        <w:rPr>
          <w:rFonts w:ascii="Times New Roman" w:eastAsiaTheme="minorEastAsia" w:hAnsi="Times New Roman" w:cs="Times New Roman"/>
          <w:sz w:val="24"/>
          <w:szCs w:val="24"/>
        </w:rPr>
        <w:t>uropejską</w:t>
      </w:r>
      <w:r w:rsidR="00970B2E" w:rsidRPr="00D44D33">
        <w:rPr>
          <w:rFonts w:ascii="Times New Roman" w:eastAsiaTheme="minorEastAsia" w:hAnsi="Times New Roman" w:cs="Times New Roman"/>
          <w:sz w:val="24"/>
          <w:szCs w:val="24"/>
        </w:rPr>
        <w:t xml:space="preserve"> </w:t>
      </w:r>
      <w:r w:rsidR="00832761"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stawki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zakańczanie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4EFF439"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14EFF439" w:rsidRPr="00D44D33">
        <w:rPr>
          <w:rFonts w:ascii="Times New Roman" w:eastAsiaTheme="minorEastAsia" w:hAnsi="Times New Roman" w:cs="Times New Roman"/>
          <w:sz w:val="24"/>
          <w:szCs w:val="24"/>
          <w:lang w:eastAsia="pl-PL"/>
        </w:rPr>
        <w:t>komunikacji</w:t>
      </w:r>
      <w:r w:rsidR="00970B2E" w:rsidRPr="00D44D33">
        <w:rPr>
          <w:rFonts w:ascii="Times New Roman" w:eastAsiaTheme="minorEastAsia" w:hAnsi="Times New Roman" w:cs="Times New Roman"/>
          <w:sz w:val="24"/>
          <w:szCs w:val="24"/>
          <w:lang w:eastAsia="pl-PL"/>
        </w:rPr>
        <w:t xml:space="preserve"> </w:t>
      </w:r>
      <w:r w:rsidR="14EFF439" w:rsidRPr="00D44D33">
        <w:rPr>
          <w:rFonts w:ascii="Times New Roman" w:eastAsiaTheme="minorEastAsia" w:hAnsi="Times New Roman" w:cs="Times New Roman"/>
          <w:sz w:val="24"/>
          <w:szCs w:val="24"/>
          <w:lang w:eastAsia="pl-PL"/>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stosowania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zakańczanie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połączeń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określając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opłaty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musiał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wziąć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uwagę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wymienione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7F13D7" w:rsidRPr="00D44D33">
        <w:rPr>
          <w:rFonts w:ascii="Times New Roman" w:eastAsiaTheme="minorEastAsia" w:hAnsi="Times New Roman" w:cs="Times New Roman"/>
          <w:sz w:val="24"/>
          <w:szCs w:val="24"/>
          <w:lang w:eastAsia="pl-PL"/>
        </w:rPr>
        <w:t>z</w:t>
      </w:r>
      <w:r w:rsidRPr="00D44D33">
        <w:rPr>
          <w:rFonts w:ascii="Times New Roman" w:eastAsiaTheme="minorEastAsia" w:hAnsi="Times New Roman" w:cs="Times New Roman"/>
          <w:sz w:val="24"/>
          <w:szCs w:val="24"/>
          <w:lang w:eastAsia="pl-PL"/>
        </w:rPr>
        <w:t>ałączniku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p>
    <w:p w14:paraId="07CA2E35" w14:textId="5A99A986" w:rsidR="1A4898FB" w:rsidRPr="00D44D33" w:rsidRDefault="75663AFE"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6C1577B6" w:rsidRPr="00D44D33">
        <w:rPr>
          <w:rFonts w:ascii="Times New Roman" w:eastAsiaTheme="minorEastAsia" w:hAnsi="Times New Roman" w:cs="Times New Roman"/>
          <w:sz w:val="24"/>
          <w:szCs w:val="24"/>
          <w:lang w:eastAsia="pl-PL"/>
        </w:rPr>
        <w:t>4</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wdrażającym</w:t>
      </w:r>
      <w:r w:rsidR="00371EEA">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75</w:t>
      </w:r>
      <w:r w:rsidR="00970B2E" w:rsidRPr="00D44D33">
        <w:rPr>
          <w:rFonts w:ascii="Times New Roman" w:eastAsiaTheme="minorEastAsia" w:hAnsi="Times New Roman" w:cs="Times New Roman"/>
          <w:sz w:val="24"/>
          <w:szCs w:val="24"/>
          <w:lang w:eastAsia="pl-PL"/>
        </w:rPr>
        <w:t xml:space="preserve"> </w:t>
      </w:r>
      <w:r w:rsidR="007F13D7" w:rsidRPr="00D44D33">
        <w:rPr>
          <w:rFonts w:ascii="Times New Roman" w:eastAsiaTheme="minorEastAsia" w:hAnsi="Times New Roman" w:cs="Times New Roman"/>
          <w:sz w:val="24"/>
          <w:szCs w:val="24"/>
          <w:lang w:eastAsia="pl-PL"/>
        </w:rPr>
        <w:t xml:space="preserve">ust. 3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monitorować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zakańczanie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wydawanym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podstawie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75</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1A4898FB"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75EE947" w:rsidRPr="00D44D33">
        <w:rPr>
          <w:rFonts w:ascii="Times New Roman" w:eastAsiaTheme="minorEastAsia" w:hAnsi="Times New Roman" w:cs="Times New Roman"/>
          <w:sz w:val="24"/>
          <w:szCs w:val="24"/>
        </w:rPr>
        <w:t>5</w:t>
      </w:r>
      <w:r w:rsidR="1A4898F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przedstawiać</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K</w:t>
      </w:r>
      <w:r w:rsidR="007F13D7" w:rsidRPr="00D44D33">
        <w:rPr>
          <w:rFonts w:ascii="Times New Roman" w:eastAsiaTheme="minorEastAsia" w:hAnsi="Times New Roman" w:cs="Times New Roman"/>
          <w:sz w:val="24"/>
          <w:szCs w:val="24"/>
        </w:rPr>
        <w:t xml:space="preserve">omisji </w:t>
      </w:r>
      <w:r w:rsidR="1A4898FB" w:rsidRPr="00D44D33">
        <w:rPr>
          <w:rFonts w:ascii="Times New Roman" w:eastAsiaTheme="minorEastAsia" w:hAnsi="Times New Roman" w:cs="Times New Roman"/>
          <w:sz w:val="24"/>
          <w:szCs w:val="24"/>
        </w:rPr>
        <w:t>E</w:t>
      </w:r>
      <w:r w:rsidR="007F13D7" w:rsidRPr="00D44D33">
        <w:rPr>
          <w:rFonts w:ascii="Times New Roman" w:eastAsiaTheme="minorEastAsia" w:hAnsi="Times New Roman" w:cs="Times New Roman"/>
          <w:sz w:val="24"/>
          <w:szCs w:val="24"/>
        </w:rPr>
        <w:t>uropejskiej</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sprawozdanie</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zakańczanie</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sieciach</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wymogiem</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wynikającym</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A4898FB"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1A4898FB" w:rsidRPr="00D44D33">
        <w:rPr>
          <w:rFonts w:ascii="Times New Roman" w:eastAsiaTheme="minorEastAsia" w:hAnsi="Times New Roman" w:cs="Times New Roman"/>
          <w:sz w:val="24"/>
          <w:szCs w:val="24"/>
          <w:lang w:eastAsia="pl-PL"/>
        </w:rPr>
        <w:t>75</w:t>
      </w:r>
      <w:r w:rsidR="00970B2E" w:rsidRPr="00D44D33">
        <w:rPr>
          <w:rFonts w:ascii="Times New Roman" w:eastAsiaTheme="minorEastAsia" w:hAnsi="Times New Roman" w:cs="Times New Roman"/>
          <w:sz w:val="24"/>
          <w:szCs w:val="24"/>
          <w:lang w:eastAsia="pl-PL"/>
        </w:rPr>
        <w:t xml:space="preserve"> </w:t>
      </w:r>
      <w:r w:rsidR="007F13D7" w:rsidRPr="00D44D33">
        <w:rPr>
          <w:rFonts w:ascii="Times New Roman" w:eastAsiaTheme="minorEastAsia" w:hAnsi="Times New Roman" w:cs="Times New Roman"/>
          <w:sz w:val="24"/>
          <w:szCs w:val="24"/>
          <w:lang w:eastAsia="pl-PL"/>
        </w:rPr>
        <w:t xml:space="preserve">ust. 3 </w:t>
      </w:r>
      <w:r w:rsidR="1A4898FB" w:rsidRPr="00D44D33">
        <w:rPr>
          <w:rFonts w:ascii="Times New Roman" w:eastAsiaTheme="minorEastAsia" w:hAnsi="Times New Roman" w:cs="Times New Roman"/>
          <w:sz w:val="24"/>
          <w:szCs w:val="24"/>
          <w:lang w:eastAsia="pl-PL"/>
        </w:rPr>
        <w:t>EKŁE.</w:t>
      </w:r>
    </w:p>
    <w:p w14:paraId="6C1F7352" w14:textId="1B6E3622" w:rsidR="00327F80" w:rsidRPr="00D44D33" w:rsidRDefault="00327F8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lang w:eastAsia="pl-PL"/>
        </w:rPr>
        <w:t xml:space="preserve">Projektodawca w ust. 3 pkt 1 użył angielskiego słowa „bottom-up” ze względu na to, że w języku polskim </w:t>
      </w:r>
      <w:r w:rsidR="007F13D7" w:rsidRPr="00D44D33">
        <w:rPr>
          <w:rFonts w:ascii="Times New Roman" w:eastAsiaTheme="minorEastAsia" w:hAnsi="Times New Roman" w:cs="Times New Roman"/>
          <w:sz w:val="24"/>
          <w:szCs w:val="24"/>
          <w:lang w:eastAsia="pl-PL"/>
        </w:rPr>
        <w:t xml:space="preserve">brak </w:t>
      </w:r>
      <w:r w:rsidRPr="00D44D33">
        <w:rPr>
          <w:rFonts w:ascii="Times New Roman" w:eastAsiaTheme="minorEastAsia" w:hAnsi="Times New Roman" w:cs="Times New Roman"/>
          <w:sz w:val="24"/>
          <w:szCs w:val="24"/>
          <w:lang w:eastAsia="pl-PL"/>
        </w:rPr>
        <w:t>odpowiednika powyższego słowa, oznaczającego rodzaj model kosztowego służącego kalkulacji kosztów różnych usług telekomunikacyjnych, które byłoby w powszechnym użyciu</w:t>
      </w:r>
      <w:r w:rsidR="007F13D7" w:rsidRPr="00D44D33">
        <w:rPr>
          <w:rFonts w:ascii="Times New Roman" w:eastAsiaTheme="minorEastAsia" w:hAnsi="Times New Roman" w:cs="Times New Roman"/>
          <w:sz w:val="24"/>
          <w:szCs w:val="24"/>
          <w:lang w:eastAsia="pl-PL"/>
        </w:rPr>
        <w:t>,</w:t>
      </w:r>
      <w:r w:rsidRPr="00D44D33">
        <w:rPr>
          <w:rFonts w:ascii="Times New Roman" w:eastAsiaTheme="minorEastAsia" w:hAnsi="Times New Roman" w:cs="Times New Roman"/>
          <w:sz w:val="24"/>
          <w:szCs w:val="24"/>
          <w:lang w:eastAsia="pl-PL"/>
        </w:rPr>
        <w:t xml:space="preserve"> i nie budziło wątpliwości co do jego znaczenia. Dotychczas w aktach prawnych nie było tak szczegółowych zapisów i nazwa modelu się w nich nie pojawiała. Natomiast w powszechnym użyciu, </w:t>
      </w:r>
      <w:r w:rsidR="003A309E" w:rsidRPr="00D44D33">
        <w:rPr>
          <w:rFonts w:ascii="Times New Roman" w:eastAsiaTheme="minorEastAsia" w:hAnsi="Times New Roman" w:cs="Times New Roman"/>
          <w:sz w:val="24"/>
          <w:szCs w:val="24"/>
          <w:lang w:eastAsia="pl-PL"/>
        </w:rPr>
        <w:t>m.in</w:t>
      </w:r>
      <w:r w:rsidRPr="00D44D33">
        <w:rPr>
          <w:rFonts w:ascii="Times New Roman" w:eastAsiaTheme="minorEastAsia" w:hAnsi="Times New Roman" w:cs="Times New Roman"/>
          <w:sz w:val="24"/>
          <w:szCs w:val="24"/>
          <w:lang w:eastAsia="pl-PL"/>
        </w:rPr>
        <w:t>. w decyzjach Prezesa UKE używana jest tylko angielska nazwa tego modelu.</w:t>
      </w:r>
      <w:r w:rsidR="00045F29" w:rsidRPr="00D44D33">
        <w:rPr>
          <w:rFonts w:ascii="Times New Roman" w:eastAsiaTheme="minorEastAsia" w:hAnsi="Times New Roman" w:cs="Times New Roman"/>
          <w:sz w:val="24"/>
          <w:szCs w:val="24"/>
          <w:lang w:eastAsia="pl-PL"/>
        </w:rPr>
        <w:t xml:space="preserve"> W EKŁE ta nazwa została przetłumaczona, ale jej tłumaczenie budziło wątpliwości już u projektodawcy Pke, dlatego </w:t>
      </w:r>
      <w:r w:rsidR="003A309E" w:rsidRPr="00D44D33">
        <w:rPr>
          <w:rFonts w:ascii="Times New Roman" w:eastAsiaTheme="minorEastAsia" w:hAnsi="Times New Roman" w:cs="Times New Roman"/>
          <w:sz w:val="24"/>
          <w:szCs w:val="24"/>
          <w:lang w:eastAsia="pl-PL"/>
        </w:rPr>
        <w:t>zdecydowano się na użycie dodatkowo w Pke angielskiej nazwy.</w:t>
      </w:r>
    </w:p>
    <w:p w14:paraId="725B56AE" w14:textId="7B906B12" w:rsidR="00C953E3" w:rsidRPr="00D44D33" w:rsidRDefault="00C953E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220</w:t>
      </w:r>
    </w:p>
    <w:p w14:paraId="35195097" w14:textId="37638678" w:rsidR="00C953E3" w:rsidRPr="00D44D33" w:rsidRDefault="00A3221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A7DF4F3"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A7DF4F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A7DF4F3"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nałożony</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równego</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traktowania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953E3" w:rsidRPr="00D44D33">
        <w:rPr>
          <w:rFonts w:ascii="Times New Roman" w:eastAsiaTheme="minorEastAsia" w:hAnsi="Times New Roman" w:cs="Times New Roman"/>
          <w:sz w:val="24"/>
          <w:szCs w:val="24"/>
        </w:rPr>
        <w:t>dostępie</w:t>
      </w:r>
      <w:r w:rsidR="007F13D7" w:rsidRPr="00D44D33">
        <w:rPr>
          <w:rFonts w:ascii="Times New Roman" w:eastAsiaTheme="minorEastAsia" w:hAnsi="Times New Roman" w:cs="Times New Roman"/>
          <w:sz w:val="24"/>
          <w:szCs w:val="24"/>
        </w:rPr>
        <w:t xml:space="preserve"> telekomunikacyjnym</w:t>
      </w:r>
      <w:r w:rsidR="000168D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7C77E5"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p>
    <w:p w14:paraId="2735829B" w14:textId="6E1F8014" w:rsidR="00A3221C" w:rsidRPr="00D44D33" w:rsidRDefault="00A3221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54C22" w:rsidRPr="00D44D33">
        <w:rPr>
          <w:rFonts w:ascii="Times New Roman" w:eastAsiaTheme="minorEastAsia" w:hAnsi="Times New Roman" w:cs="Times New Roman"/>
          <w:sz w:val="24"/>
          <w:szCs w:val="24"/>
        </w:rPr>
        <w:t>2</w:t>
      </w:r>
      <w:r w:rsidR="007F13D7"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oferta</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ramowa.</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załączniku</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II</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Z</w:t>
      </w:r>
      <w:r w:rsidR="001E6435" w:rsidRPr="00D44D33">
        <w:rPr>
          <w:rFonts w:ascii="Times New Roman" w:eastAsiaTheme="minorEastAsia" w:hAnsi="Times New Roman" w:cs="Times New Roman"/>
          <w:sz w:val="24"/>
          <w:szCs w:val="24"/>
        </w:rPr>
        <w:t>amiast</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z</w:t>
      </w:r>
      <w:r w:rsidR="00C3226C" w:rsidRPr="00D44D33">
        <w:rPr>
          <w:rFonts w:ascii="Times New Roman" w:eastAsiaTheme="minorEastAsia" w:hAnsi="Times New Roman" w:cs="Times New Roman"/>
          <w:sz w:val="24"/>
          <w:szCs w:val="24"/>
        </w:rPr>
        <w:t>godnie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69</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7F13D7" w:rsidRPr="00D44D33">
        <w:rPr>
          <w:rFonts w:ascii="Times New Roman" w:eastAsiaTheme="minorEastAsia" w:hAnsi="Times New Roman" w:cs="Times New Roman"/>
          <w:sz w:val="24"/>
          <w:szCs w:val="24"/>
        </w:rPr>
        <w:t xml:space="preserve">EKŁE </w:t>
      </w:r>
      <w:r w:rsidR="00C3226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określ</w:t>
      </w:r>
      <w:r w:rsidR="00F02A4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wytyczne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minimalnych</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kryteriów</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C3226C"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ustępów</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odnoszących</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określał</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CC6D84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1E6435" w:rsidRPr="00D44D33">
        <w:rPr>
          <w:rFonts w:ascii="Times New Roman" w:eastAsiaTheme="minorEastAsia" w:hAnsi="Times New Roman" w:cs="Times New Roman"/>
          <w:sz w:val="24"/>
          <w:szCs w:val="24"/>
        </w:rPr>
        <w:t>rynkowej</w:t>
      </w:r>
      <w:r w:rsidR="00287F2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największym</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stopniu</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uwzględniać</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wytyczne</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minimalnych</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kryteriów</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87094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69</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uwzględniania</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wytycznych</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176D6"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03873"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p>
    <w:p w14:paraId="4AE02E4E" w14:textId="20C65553" w:rsidR="00E355FD" w:rsidRPr="00D44D33" w:rsidRDefault="0060387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221</w:t>
      </w:r>
    </w:p>
    <w:p w14:paraId="155D3071" w14:textId="49817547" w:rsidR="00FE2F71" w:rsidRPr="00D44D33" w:rsidRDefault="00E6755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F13D7" w:rsidRPr="00D44D33">
        <w:rPr>
          <w:rFonts w:ascii="Times New Roman" w:eastAsiaTheme="minorEastAsia" w:hAnsi="Times New Roman" w:cs="Times New Roman"/>
          <w:sz w:val="24"/>
          <w:szCs w:val="24"/>
        </w:rPr>
        <w:t xml:space="preserve">projektowanym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kilku</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1A156BB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A156BBC"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1A156BBC" w:rsidRPr="00D44D33">
        <w:rPr>
          <w:rFonts w:ascii="Times New Roman" w:eastAsiaTheme="minorEastAsia" w:hAnsi="Times New Roman" w:cs="Times New Roman"/>
          <w:sz w:val="24"/>
          <w:szCs w:val="24"/>
        </w:rPr>
        <w:t>zmiany</w:t>
      </w:r>
      <w:r w:rsidR="0049453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w:t>
      </w:r>
      <w:r w:rsidR="00555A4B" w:rsidRPr="00D44D33">
        <w:rPr>
          <w:rFonts w:ascii="Times New Roman" w:eastAsiaTheme="minorEastAsia" w:hAnsi="Times New Roman" w:cs="Times New Roman"/>
          <w:sz w:val="24"/>
          <w:szCs w:val="24"/>
        </w:rPr>
        <w:t>ić</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494530"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hyperlink r:id="rId20">
        <w:r w:rsidRPr="00D44D33">
          <w:rPr>
            <w:rStyle w:val="Hipercze"/>
            <w:rFonts w:ascii="Times New Roman" w:hAnsi="Times New Roman" w:cs="Times New Roman"/>
            <w:color w:val="auto"/>
            <w:sz w:val="24"/>
            <w:szCs w:val="24"/>
            <w:u w:val="none"/>
          </w:rPr>
          <w:t>art.</w:t>
        </w:r>
        <w:r w:rsidR="00970B2E" w:rsidRPr="00D44D33">
          <w:rPr>
            <w:rStyle w:val="Hipercze"/>
            <w:rFonts w:ascii="Times New Roman" w:hAnsi="Times New Roman" w:cs="Times New Roman"/>
            <w:color w:val="auto"/>
            <w:sz w:val="24"/>
            <w:szCs w:val="24"/>
            <w:u w:val="none"/>
          </w:rPr>
          <w:t xml:space="preserve"> </w:t>
        </w:r>
        <w:r w:rsidRPr="00D44D33">
          <w:rPr>
            <w:rStyle w:val="Hipercze"/>
            <w:rFonts w:ascii="Times New Roman" w:hAnsi="Times New Roman" w:cs="Times New Roman"/>
            <w:color w:val="auto"/>
            <w:sz w:val="24"/>
            <w:szCs w:val="24"/>
            <w:u w:val="none"/>
          </w:rPr>
          <w:t>104</w:t>
        </w:r>
      </w:hyperlink>
      <w:r w:rsidR="00970B2E" w:rsidRPr="00D44D33">
        <w:rPr>
          <w:rFonts w:ascii="Times New Roman" w:eastAsiaTheme="minorEastAsia" w:hAnsi="Times New Roman" w:cs="Times New Roman"/>
          <w:sz w:val="24"/>
          <w:szCs w:val="24"/>
        </w:rPr>
        <w:t xml:space="preserve"> </w:t>
      </w:r>
      <w:r w:rsidR="007F13D7" w:rsidRPr="00D44D33">
        <w:rPr>
          <w:rFonts w:ascii="Times New Roman" w:eastAsiaTheme="minorEastAsia" w:hAnsi="Times New Roman" w:cs="Times New Roman"/>
          <w:sz w:val="24"/>
          <w:szCs w:val="24"/>
        </w:rPr>
        <w:t>k</w:t>
      </w:r>
      <w:r w:rsidR="00F94297" w:rsidRPr="00D44D33">
        <w:rPr>
          <w:rFonts w:ascii="Times New Roman" w:eastAsiaTheme="minorEastAsia" w:hAnsi="Times New Roman" w:cs="Times New Roman"/>
          <w:sz w:val="24"/>
          <w:szCs w:val="24"/>
        </w:rPr>
        <w:t>pa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arunkiem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w:t>
      </w:r>
      <w:r w:rsidR="6CC43809" w:rsidRPr="00D44D33">
        <w:rPr>
          <w:rFonts w:ascii="Times New Roman" w:eastAsiaTheme="minorEastAsia" w:hAnsi="Times New Roman" w:cs="Times New Roman"/>
          <w:sz w:val="24"/>
          <w:szCs w:val="24"/>
        </w:rPr>
        <w:t>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w:t>
      </w:r>
      <w:r w:rsidR="00564A45" w:rsidRPr="00D44D33">
        <w:rPr>
          <w:rFonts w:ascii="Times New Roman" w:eastAsiaTheme="minorEastAsia" w:hAnsi="Times New Roman" w:cs="Times New Roman"/>
          <w:sz w:val="24"/>
          <w:szCs w:val="24"/>
        </w:rPr>
        <w:t>zących</w:t>
      </w:r>
      <w:r w:rsidR="00970B2E" w:rsidRPr="00D44D33">
        <w:rPr>
          <w:rFonts w:ascii="Times New Roman" w:eastAsiaTheme="minorEastAsia" w:hAnsi="Times New Roman" w:cs="Times New Roman"/>
          <w:sz w:val="24"/>
          <w:szCs w:val="24"/>
        </w:rPr>
        <w:t xml:space="preserve"> </w:t>
      </w:r>
      <w:r w:rsidR="00564A45"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564A45"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564A4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64A45" w:rsidRPr="00D44D33">
        <w:rPr>
          <w:rFonts w:ascii="Times New Roman" w:eastAsiaTheme="minorEastAsia" w:hAnsi="Times New Roman" w:cs="Times New Roman"/>
          <w:sz w:val="24"/>
          <w:szCs w:val="24"/>
        </w:rPr>
        <w:t>dostępu</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zatwierdzić</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7D13536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7D135365" w:rsidRPr="00D44D33">
        <w:rPr>
          <w:rFonts w:ascii="Times New Roman" w:eastAsiaTheme="minorEastAsia" w:hAnsi="Times New Roman" w:cs="Times New Roman"/>
          <w:sz w:val="24"/>
          <w:szCs w:val="24"/>
        </w:rPr>
        <w:t>odrzucić</w:t>
      </w:r>
      <w:r w:rsidR="00970B2E" w:rsidRPr="00D44D33">
        <w:rPr>
          <w:rFonts w:ascii="Times New Roman" w:eastAsiaTheme="minorEastAsia" w:hAnsi="Times New Roman" w:cs="Times New Roman"/>
          <w:sz w:val="24"/>
          <w:szCs w:val="24"/>
        </w:rPr>
        <w:t xml:space="preserve"> </w:t>
      </w:r>
      <w:r w:rsidR="7D135365" w:rsidRPr="00D44D33">
        <w:rPr>
          <w:rFonts w:ascii="Times New Roman" w:eastAsiaTheme="minorEastAsia" w:hAnsi="Times New Roman" w:cs="Times New Roman"/>
          <w:sz w:val="24"/>
          <w:szCs w:val="24"/>
        </w:rPr>
        <w:t>proponowaną</w:t>
      </w:r>
      <w:r w:rsidR="00970B2E" w:rsidRPr="00D44D33">
        <w:rPr>
          <w:rFonts w:ascii="Times New Roman" w:eastAsiaTheme="minorEastAsia" w:hAnsi="Times New Roman" w:cs="Times New Roman"/>
          <w:sz w:val="24"/>
          <w:szCs w:val="24"/>
        </w:rPr>
        <w:t xml:space="preserve"> </w:t>
      </w:r>
      <w:r w:rsidR="7D135365" w:rsidRPr="00D44D33">
        <w:rPr>
          <w:rFonts w:ascii="Times New Roman" w:eastAsiaTheme="minorEastAsia" w:hAnsi="Times New Roman" w:cs="Times New Roman"/>
          <w:sz w:val="24"/>
          <w:szCs w:val="24"/>
        </w:rPr>
        <w:t>zmianę</w:t>
      </w:r>
      <w:r w:rsidR="00555A4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samodzielne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ustaleni</w:t>
      </w:r>
      <w:r w:rsidR="006D1608"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UKE</w:t>
      </w:r>
      <w:r w:rsidR="006D160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nieprzedstawienia</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55A4B"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6D160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7139B09"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7139B09"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7139B09" w:rsidRPr="00D44D33">
        <w:rPr>
          <w:rFonts w:ascii="Times New Roman" w:eastAsiaTheme="minorEastAsia" w:hAnsi="Times New Roman" w:cs="Times New Roman"/>
          <w:sz w:val="24"/>
          <w:szCs w:val="24"/>
        </w:rPr>
        <w:t>elektronicznej</w:t>
      </w:r>
      <w:r w:rsidR="00555A4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3182B2E" w14:textId="427AB683" w:rsidR="003570D0" w:rsidRPr="00D44D33" w:rsidRDefault="4B7945D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urzędu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uzasadniony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uprawnionego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zobowiązać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przygotowania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oferty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ramowej</w:t>
      </w:r>
      <w:r w:rsidR="40234604"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2FBB498F"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53D53460" w:rsidRPr="00D44D33">
        <w:rPr>
          <w:rFonts w:ascii="Times New Roman" w:eastAsiaTheme="minorEastAsia" w:hAnsi="Times New Roman" w:cs="Times New Roman"/>
          <w:sz w:val="24"/>
          <w:szCs w:val="24"/>
        </w:rPr>
        <w:t>wprowadzon</w:t>
      </w:r>
      <w:r w:rsidR="3410B45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4F143D2D"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4F143D2D" w:rsidRPr="00D44D33">
        <w:rPr>
          <w:rFonts w:ascii="Times New Roman" w:eastAsiaTheme="minorEastAsia" w:hAnsi="Times New Roman" w:cs="Times New Roman"/>
          <w:sz w:val="24"/>
          <w:szCs w:val="24"/>
        </w:rPr>
        <w:t>umożliwiającą</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przedstawieni</w:t>
      </w:r>
      <w:r w:rsidR="74B86468"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24F3802"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10B802FE"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0B802FE"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47E85734" w:rsidRPr="00D44D33">
        <w:rPr>
          <w:rFonts w:ascii="Times New Roman" w:eastAsia="Times New Roman" w:hAnsi="Times New Roman" w:cs="Times New Roman"/>
          <w:sz w:val="24"/>
          <w:szCs w:val="24"/>
        </w:rPr>
        <w:t>zobowiązanego</w:t>
      </w:r>
      <w:r w:rsidR="00970B2E" w:rsidRPr="00D44D33">
        <w:rPr>
          <w:rFonts w:ascii="Times New Roman" w:eastAsia="Times New Roman" w:hAnsi="Times New Roman" w:cs="Times New Roman"/>
          <w:sz w:val="24"/>
          <w:szCs w:val="24"/>
        </w:rPr>
        <w:t xml:space="preserve"> </w:t>
      </w:r>
      <w:r w:rsidR="47E85734"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7E85734" w:rsidRPr="00D44D33">
        <w:rPr>
          <w:rFonts w:ascii="Times New Roman" w:eastAsia="Times New Roman" w:hAnsi="Times New Roman" w:cs="Times New Roman"/>
          <w:sz w:val="24"/>
          <w:szCs w:val="24"/>
        </w:rPr>
        <w:t>przedłożenia</w:t>
      </w:r>
      <w:r w:rsidR="00970B2E" w:rsidRPr="00D44D33">
        <w:rPr>
          <w:rFonts w:ascii="Times New Roman" w:eastAsia="Times New Roman" w:hAnsi="Times New Roman" w:cs="Times New Roman"/>
          <w:sz w:val="24"/>
          <w:szCs w:val="24"/>
        </w:rPr>
        <w:t xml:space="preserve"> </w:t>
      </w:r>
      <w:r w:rsidR="47E85734" w:rsidRPr="00D44D33">
        <w:rPr>
          <w:rFonts w:ascii="Times New Roman" w:eastAsia="Times New Roman" w:hAnsi="Times New Roman" w:cs="Times New Roman"/>
          <w:sz w:val="24"/>
          <w:szCs w:val="24"/>
        </w:rPr>
        <w:t>oferty</w:t>
      </w:r>
      <w:r w:rsidR="00970B2E" w:rsidRPr="00D44D33">
        <w:rPr>
          <w:rFonts w:ascii="Times New Roman" w:eastAsia="Times New Roman" w:hAnsi="Times New Roman" w:cs="Times New Roman"/>
          <w:sz w:val="24"/>
          <w:szCs w:val="24"/>
        </w:rPr>
        <w:t xml:space="preserve"> </w:t>
      </w:r>
      <w:r w:rsidR="47E85734" w:rsidRPr="00D44D33">
        <w:rPr>
          <w:rFonts w:ascii="Times New Roman" w:eastAsia="Times New Roman" w:hAnsi="Times New Roman" w:cs="Times New Roman"/>
          <w:sz w:val="24"/>
          <w:szCs w:val="24"/>
        </w:rPr>
        <w:t>ramowej</w:t>
      </w:r>
      <w:r w:rsidR="2737D9A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004C4C"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004C4C"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przesądzenie,</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przedłożenia</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musiał</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występować</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zobowiązanie</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samego</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siebie</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przedłożenia</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lecz</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razu</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przedłożyć</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7276F238"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obu</w:t>
      </w:r>
      <w:r w:rsidR="00970B2E" w:rsidRPr="00D44D33">
        <w:rPr>
          <w:rFonts w:ascii="Times New Roman" w:eastAsiaTheme="minorEastAsia" w:hAnsi="Times New Roman" w:cs="Times New Roman"/>
          <w:sz w:val="24"/>
          <w:szCs w:val="24"/>
        </w:rPr>
        <w:t xml:space="preserve"> </w:t>
      </w:r>
      <w:r w:rsidR="5D9D9C0A" w:rsidRPr="00D44D33">
        <w:rPr>
          <w:rFonts w:ascii="Times New Roman" w:eastAsiaTheme="minorEastAsia" w:hAnsi="Times New Roman" w:cs="Times New Roman"/>
          <w:sz w:val="24"/>
          <w:szCs w:val="24"/>
        </w:rPr>
        <w:t>wyże</w:t>
      </w:r>
      <w:r w:rsidR="4DAB70FB"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4DAB70FB" w:rsidRPr="00D44D33">
        <w:rPr>
          <w:rFonts w:ascii="Times New Roman" w:eastAsiaTheme="minorEastAsia" w:hAnsi="Times New Roman" w:cs="Times New Roman"/>
          <w:sz w:val="24"/>
          <w:szCs w:val="24"/>
        </w:rPr>
        <w:t>opisanych</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246C5271" w:rsidRPr="00D44D33">
        <w:rPr>
          <w:rFonts w:ascii="Times New Roman" w:eastAsiaTheme="minorEastAsia" w:hAnsi="Times New Roman" w:cs="Times New Roman"/>
          <w:sz w:val="24"/>
          <w:szCs w:val="24"/>
        </w:rPr>
        <w:t>o</w:t>
      </w:r>
      <w:r w:rsidR="008F6A58" w:rsidRPr="00D44D33">
        <w:rPr>
          <w:rFonts w:ascii="Times New Roman" w:eastAsiaTheme="minorEastAsia" w:hAnsi="Times New Roman" w:cs="Times New Roman"/>
          <w:sz w:val="24"/>
          <w:szCs w:val="24"/>
        </w:rPr>
        <w:t>rgan</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przedłożonego</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ramowej</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pryzmat</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zapotrzebowania</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wydać</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F6A58"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podstaw</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różnicowania</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kto</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inicjatorem</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stwierdzone</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spełnienie</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96FA487" w:rsidRPr="00D44D33">
        <w:rPr>
          <w:rFonts w:ascii="Times New Roman" w:eastAsiaTheme="minorEastAsia" w:hAnsi="Times New Roman" w:cs="Times New Roman"/>
          <w:sz w:val="24"/>
          <w:szCs w:val="24"/>
        </w:rPr>
        <w:t>zapotrzebowania.</w:t>
      </w:r>
      <w:r w:rsidR="00970B2E" w:rsidRPr="00D44D33">
        <w:rPr>
          <w:rFonts w:ascii="Times New Roman" w:eastAsiaTheme="minorEastAsia" w:hAnsi="Times New Roman" w:cs="Times New Roman"/>
          <w:sz w:val="24"/>
          <w:szCs w:val="24"/>
        </w:rPr>
        <w:t xml:space="preserve"> </w:t>
      </w:r>
    </w:p>
    <w:p w14:paraId="413D4C2B" w14:textId="04BFD8D6" w:rsidR="0054261A" w:rsidRPr="00D44D33" w:rsidRDefault="008A2869"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ujednolicon</w:t>
      </w:r>
      <w:r w:rsidR="007F13D7"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tekst</w:t>
      </w:r>
      <w:r w:rsidR="007F13D7" w:rsidRPr="00D44D33">
        <w:rPr>
          <w:rFonts w:ascii="Times New Roman" w:eastAsiaTheme="minorEastAsia" w:hAnsi="Times New Roman" w:cs="Times New Roman"/>
          <w:sz w:val="24"/>
          <w:szCs w:val="24"/>
        </w:rPr>
        <w: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ramowej.</w:t>
      </w:r>
    </w:p>
    <w:p w14:paraId="679FD9E5" w14:textId="73C40B4B" w:rsidR="00D60597" w:rsidRPr="00D44D33" w:rsidRDefault="00D6059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222</w:t>
      </w:r>
    </w:p>
    <w:p w14:paraId="7A7722F2" w14:textId="08DC857F" w:rsidR="00CF5A71" w:rsidRPr="00D44D33" w:rsidRDefault="00F1188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w:t>
      </w:r>
      <w:r w:rsidR="007F13D7" w:rsidRPr="00D44D33">
        <w:rPr>
          <w:rFonts w:ascii="Times New Roman" w:eastAsiaTheme="minorEastAsia" w:hAnsi="Times New Roman" w:cs="Times New Roman"/>
          <w:sz w:val="24"/>
          <w:szCs w:val="24"/>
        </w:rPr>
        <w:t>rojektowany p</w:t>
      </w:r>
      <w:r w:rsidRPr="00D44D33">
        <w:rPr>
          <w:rFonts w:ascii="Times New Roman" w:eastAsiaTheme="minorEastAsia" w:hAnsi="Times New Roman" w:cs="Times New Roman"/>
          <w:sz w:val="24"/>
          <w:szCs w:val="24"/>
        </w:rPr>
        <w:t>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6</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FF0005"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wyznaczone</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posiadając</w:t>
      </w:r>
      <w:r w:rsidR="00ED2E9A"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znaczącą</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rynkową</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wyjątkowych</w:t>
      </w:r>
      <w:r w:rsidR="00970B2E" w:rsidRPr="00D44D33">
        <w:rPr>
          <w:rFonts w:ascii="Times New Roman" w:eastAsiaTheme="minorEastAsia" w:hAnsi="Times New Roman" w:cs="Times New Roman"/>
          <w:sz w:val="24"/>
          <w:szCs w:val="24"/>
        </w:rPr>
        <w:t xml:space="preserve"> </w:t>
      </w:r>
      <w:r w:rsidR="0054778F" w:rsidRPr="00D44D33">
        <w:rPr>
          <w:rFonts w:ascii="Times New Roman" w:eastAsiaTheme="minorEastAsia" w:hAnsi="Times New Roman" w:cs="Times New Roman"/>
          <w:sz w:val="24"/>
          <w:szCs w:val="24"/>
        </w:rPr>
        <w:t>okolicznościach.</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tożsamy</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funkcjonował</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24B08E8" w:rsidRPr="00D44D33">
        <w:rPr>
          <w:rFonts w:ascii="Times New Roman" w:eastAsiaTheme="minorEastAsia" w:hAnsi="Times New Roman" w:cs="Times New Roman"/>
          <w:sz w:val="24"/>
          <w:szCs w:val="24"/>
        </w:rPr>
        <w:t>44.</w:t>
      </w:r>
    </w:p>
    <w:p w14:paraId="47848850" w14:textId="45751C39" w:rsidR="00C44093" w:rsidRPr="00D44D33" w:rsidRDefault="00E60B7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223</w:t>
      </w:r>
    </w:p>
    <w:p w14:paraId="426E3C34" w14:textId="0EFA0114" w:rsidR="004734DF" w:rsidRPr="00D44D33" w:rsidRDefault="004734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w:t>
      </w:r>
      <w:r w:rsidR="007F13D7" w:rsidRPr="00D44D33">
        <w:rPr>
          <w:rFonts w:ascii="Times New Roman" w:eastAsiaTheme="minorEastAsia" w:hAnsi="Times New Roman" w:cs="Times New Roman"/>
          <w:sz w:val="24"/>
          <w:szCs w:val="24"/>
        </w:rPr>
        <w:t>rojektowany p</w:t>
      </w:r>
      <w:r w:rsidRPr="00D44D33">
        <w:rPr>
          <w:rFonts w:ascii="Times New Roman" w:eastAsiaTheme="minorEastAsia" w:hAnsi="Times New Roman" w:cs="Times New Roman"/>
          <w:sz w:val="24"/>
          <w:szCs w:val="24"/>
        </w:rPr>
        <w:t>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54C22" w:rsidRPr="00D44D33">
        <w:rPr>
          <w:rFonts w:ascii="Times New Roman" w:eastAsiaTheme="minorEastAsia" w:hAnsi="Times New Roman" w:cs="Times New Roman"/>
          <w:sz w:val="24"/>
          <w:szCs w:val="24"/>
        </w:rPr>
        <w:t>222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w:t>
      </w:r>
      <w:r w:rsidR="00FA5ECC"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p>
    <w:p w14:paraId="1A087A40" w14:textId="4FC228DD" w:rsidR="00AF5FE1" w:rsidRPr="00D44D33" w:rsidRDefault="0072787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K</w:t>
      </w:r>
      <w:r w:rsidR="007F13D7" w:rsidRPr="00D44D33">
        <w:rPr>
          <w:rFonts w:ascii="Times New Roman" w:eastAsiaTheme="minorEastAsia" w:hAnsi="Times New Roman" w:cs="Times New Roman"/>
          <w:sz w:val="24"/>
          <w:szCs w:val="24"/>
        </w:rPr>
        <w:t xml:space="preserve">omisji </w:t>
      </w:r>
      <w:r w:rsidR="00FA5ECC" w:rsidRPr="00D44D33">
        <w:rPr>
          <w:rFonts w:ascii="Times New Roman" w:eastAsiaTheme="minorEastAsia" w:hAnsi="Times New Roman" w:cs="Times New Roman"/>
          <w:sz w:val="24"/>
          <w:szCs w:val="24"/>
        </w:rPr>
        <w:t>E</w:t>
      </w:r>
      <w:r w:rsidR="007F13D7" w:rsidRPr="00D44D33">
        <w:rPr>
          <w:rFonts w:ascii="Times New Roman" w:eastAsiaTheme="minorEastAsia" w:hAnsi="Times New Roman" w:cs="Times New Roman"/>
          <w:sz w:val="24"/>
          <w:szCs w:val="24"/>
        </w:rPr>
        <w:t>uropejskiej</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nieprzewidzianych</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dyrektywami</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typowym</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postępowaniem</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konsolidacyjn</w:t>
      </w:r>
      <w:r w:rsidR="0080306A" w:rsidRPr="00D44D33">
        <w:rPr>
          <w:rFonts w:ascii="Times New Roman" w:eastAsiaTheme="minorEastAsia" w:hAnsi="Times New Roman" w:cs="Times New Roman"/>
          <w:sz w:val="24"/>
          <w:szCs w:val="24"/>
        </w:rPr>
        <w:t>ym.</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7F13D7" w:rsidRPr="00D44D33">
        <w:rPr>
          <w:rFonts w:ascii="Times New Roman" w:eastAsiaTheme="minorEastAsia" w:hAnsi="Times New Roman" w:cs="Times New Roman"/>
          <w:sz w:val="24"/>
          <w:szCs w:val="24"/>
        </w:rPr>
        <w:t xml:space="preserve">Europejskiej </w:t>
      </w:r>
      <w:r w:rsidR="00FA5EC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wyrażana</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00FA5ECC"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pozytywna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uprawnia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nakładającej</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złożonym</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Komisji</w:t>
      </w:r>
      <w:r w:rsidR="007F13D7" w:rsidRPr="00D44D33">
        <w:rPr>
          <w:rFonts w:ascii="Times New Roman" w:eastAsiaTheme="minorEastAsia" w:hAnsi="Times New Roman" w:cs="Times New Roman"/>
          <w:sz w:val="24"/>
          <w:szCs w:val="24"/>
        </w:rPr>
        <w:t xml:space="preserve"> Europejskiej</w:t>
      </w:r>
      <w:r w:rsidR="0080306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wycofać</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proponowany</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środek</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Komisją.</w:t>
      </w:r>
      <w:r w:rsidR="00970B2E" w:rsidRPr="00D44D33">
        <w:rPr>
          <w:rFonts w:ascii="Times New Roman" w:eastAsiaTheme="minorEastAsia" w:hAnsi="Times New Roman" w:cs="Times New Roman"/>
          <w:sz w:val="24"/>
          <w:szCs w:val="24"/>
        </w:rPr>
        <w:t xml:space="preserve"> </w:t>
      </w:r>
      <w:r w:rsidR="002E5381"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 xml:space="preserve">Europejską </w:t>
      </w:r>
      <w:r w:rsidR="0080306A"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0080306A" w:rsidRPr="00D44D33">
        <w:rPr>
          <w:rFonts w:ascii="Times New Roman" w:eastAsiaTheme="minorEastAsia" w:hAnsi="Times New Roman" w:cs="Times New Roman"/>
          <w:sz w:val="24"/>
          <w:szCs w:val="24"/>
        </w:rPr>
        <w:t>obowiązek.</w:t>
      </w:r>
    </w:p>
    <w:p w14:paraId="256705FC" w14:textId="469725A1" w:rsidR="00FE5B0C" w:rsidRPr="00D44D33" w:rsidRDefault="00FE5B0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w:t>
      </w:r>
      <w:r w:rsidR="00086786" w:rsidRPr="00D44D33">
        <w:rPr>
          <w:rFonts w:ascii="Times New Roman" w:eastAsiaTheme="minorEastAsia" w:hAnsi="Times New Roman" w:cs="Times New Roman"/>
          <w:b/>
          <w:bCs/>
          <w:sz w:val="24"/>
          <w:szCs w:val="24"/>
        </w:rPr>
        <w:t>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224</w:t>
      </w:r>
      <w:r w:rsidR="4AEAAA8D" w:rsidRPr="00D44D33">
        <w:rPr>
          <w:rFonts w:ascii="Times New Roman" w:eastAsiaTheme="minorEastAsia" w:hAnsi="Times New Roman" w:cs="Times New Roman"/>
          <w:b/>
          <w:bCs/>
          <w:sz w:val="24"/>
          <w:szCs w:val="24"/>
        </w:rPr>
        <w:t>–</w:t>
      </w:r>
      <w:r w:rsidR="00354C22" w:rsidRPr="00D44D33">
        <w:rPr>
          <w:rFonts w:ascii="Times New Roman" w:eastAsiaTheme="minorEastAsia" w:hAnsi="Times New Roman" w:cs="Times New Roman"/>
          <w:b/>
          <w:bCs/>
          <w:sz w:val="24"/>
          <w:szCs w:val="24"/>
        </w:rPr>
        <w:t>230</w:t>
      </w:r>
      <w:r w:rsidRPr="00D44D33">
        <w:rPr>
          <w:rFonts w:ascii="Times New Roman" w:eastAsiaTheme="minorEastAsia" w:hAnsi="Times New Roman" w:cs="Times New Roman"/>
          <w:b/>
          <w:bCs/>
          <w:sz w:val="24"/>
          <w:szCs w:val="24"/>
        </w:rPr>
        <w:t xml:space="preserve"> </w:t>
      </w:r>
    </w:p>
    <w:p w14:paraId="5246972E" w14:textId="7C5D4985" w:rsidR="00086786" w:rsidRPr="00D44D33" w:rsidRDefault="00FE5B0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Separacja funkcjonalna</w:t>
      </w:r>
    </w:p>
    <w:p w14:paraId="7922A6CF" w14:textId="2F8B6509"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separacji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46019"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znowelizowany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44b</w:t>
      </w:r>
      <w:r w:rsidR="00BA36D9"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44g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dobrowolnego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 xml:space="preserve">w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(dobrowolny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Przepis a</w:t>
      </w:r>
      <w:r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modyfikacji.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szereg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p>
    <w:p w14:paraId="3FF0C141" w14:textId="77777777" w:rsidR="00FE5B0C" w:rsidRPr="00D44D33" w:rsidRDefault="0008678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224</w:t>
      </w:r>
      <w:r w:rsidR="00FE5B0C" w:rsidRPr="00D44D33">
        <w:rPr>
          <w:rFonts w:ascii="Times New Roman" w:eastAsiaTheme="minorEastAsia" w:hAnsi="Times New Roman" w:cs="Times New Roman"/>
          <w:b/>
          <w:bCs/>
          <w:sz w:val="24"/>
          <w:szCs w:val="24"/>
        </w:rPr>
        <w:t xml:space="preserve"> </w:t>
      </w:r>
    </w:p>
    <w:p w14:paraId="0D3E6C4E" w14:textId="1232BDF9" w:rsidR="00086786" w:rsidRPr="00D44D33" w:rsidRDefault="00FE5B0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Podział funkcjonalny</w:t>
      </w:r>
    </w:p>
    <w:p w14:paraId="2ECDB71E" w14:textId="05BEBC84"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t>
      </w:r>
      <w:r w:rsidR="005D057A" w:rsidRPr="00D44D33">
        <w:rPr>
          <w:rFonts w:ascii="Times New Roman" w:eastAsiaTheme="minorEastAsia" w:hAnsi="Times New Roman" w:cs="Times New Roman"/>
          <w:sz w:val="24"/>
          <w:szCs w:val="24"/>
        </w:rPr>
        <w:t>tanowi</w:t>
      </w:r>
      <w:r w:rsidR="00970B2E" w:rsidRPr="00D44D33">
        <w:rPr>
          <w:rFonts w:ascii="Times New Roman" w:eastAsiaTheme="minorEastAsia" w:hAnsi="Times New Roman" w:cs="Times New Roman"/>
          <w:sz w:val="24"/>
          <w:szCs w:val="24"/>
        </w:rPr>
        <w:t xml:space="preserve"> </w:t>
      </w:r>
      <w:r w:rsidR="005D057A"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005D057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D057A" w:rsidRPr="00D44D33">
        <w:rPr>
          <w:rFonts w:ascii="Times New Roman" w:eastAsiaTheme="minorEastAsia" w:hAnsi="Times New Roman" w:cs="Times New Roman"/>
          <w:sz w:val="24"/>
          <w:szCs w:val="24"/>
        </w:rPr>
        <w:t>77</w:t>
      </w:r>
      <w:r w:rsidR="00970B2E" w:rsidRPr="00D44D33">
        <w:rPr>
          <w:rFonts w:ascii="Times New Roman" w:eastAsiaTheme="minorEastAsia" w:hAnsi="Times New Roman" w:cs="Times New Roman"/>
          <w:sz w:val="24"/>
          <w:szCs w:val="24"/>
        </w:rPr>
        <w:t xml:space="preserve"> </w:t>
      </w:r>
      <w:r w:rsidR="005D057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D057A"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371EEA">
        <w:rPr>
          <w:rFonts w:ascii="Times New Roman" w:eastAsiaTheme="minorEastAsia" w:hAnsi="Times New Roman" w:cs="Times New Roman"/>
          <w:sz w:val="24"/>
          <w:szCs w:val="24"/>
        </w:rPr>
        <w:t xml:space="preserve"> </w:t>
      </w:r>
    </w:p>
    <w:p w14:paraId="24F6B804" w14:textId="2E1789EF"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świadczącego</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hurtowych</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odpowiadającym</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detalicznym</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zintegrowanym</w:t>
      </w:r>
      <w:r w:rsidR="00970B2E" w:rsidRPr="00D44D33">
        <w:rPr>
          <w:rFonts w:ascii="Times New Roman" w:eastAsiaTheme="minorEastAsia" w:hAnsi="Times New Roman" w:cs="Times New Roman"/>
          <w:sz w:val="24"/>
          <w:szCs w:val="24"/>
        </w:rPr>
        <w:t xml:space="preserve"> </w:t>
      </w:r>
      <w:r w:rsidR="00A245E2"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A245E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istnieją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niewydolność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w:t>
      </w:r>
      <w:r w:rsidR="00110F4E"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wyodrębnieniu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powierzona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110F4E" w:rsidRPr="00D44D33">
        <w:rPr>
          <w:rFonts w:ascii="Times New Roman" w:eastAsiaTheme="minorEastAsia" w:hAnsi="Times New Roman" w:cs="Times New Roman"/>
          <w:sz w:val="24"/>
          <w:szCs w:val="24"/>
        </w:rPr>
        <w:t>ż</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spółki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dominującej,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procesów.</w:t>
      </w:r>
      <w:r w:rsidR="00970B2E" w:rsidRPr="00D44D33">
        <w:rPr>
          <w:rFonts w:ascii="Times New Roman" w:eastAsiaTheme="minorEastAsia" w:hAnsi="Times New Roman" w:cs="Times New Roman"/>
          <w:sz w:val="24"/>
          <w:szCs w:val="24"/>
        </w:rPr>
        <w:t xml:space="preserve"> </w:t>
      </w:r>
    </w:p>
    <w:p w14:paraId="27FE3B2F" w14:textId="12DA8F3C"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dyskryminacji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egzekwowaniu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naprawczym,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FE5B0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54DCA9F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zamierza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F056BC"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F056BC"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F056BC"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 xml:space="preserve">Europejską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wewnętrznym.</w:t>
      </w:r>
    </w:p>
    <w:p w14:paraId="5F3149B9" w14:textId="1D8521DF"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00E61B46" w14:textId="17713CC2" w:rsidR="00086786" w:rsidRPr="00D44D33" w:rsidRDefault="00332E2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225</w:t>
      </w:r>
    </w:p>
    <w:p w14:paraId="16B0F079" w14:textId="78129231"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 xml:space="preserve">Europejską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skoordynowaną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p>
    <w:p w14:paraId="1D061399" w14:textId="176D2BE1"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0D2A980F" w14:textId="5239129B" w:rsidR="00086786" w:rsidRPr="00D44D33" w:rsidRDefault="0008678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226</w:t>
      </w:r>
    </w:p>
    <w:p w14:paraId="36182D83" w14:textId="09ED2B2A"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FE5B0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 xml:space="preserve">dla uniknięcia wątpliwości interpretacyjnych,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wyklucza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hurtowych.</w:t>
      </w:r>
    </w:p>
    <w:p w14:paraId="5896C34E" w14:textId="7937BA7C"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2ACF7F39" w14:textId="69FA28F8" w:rsidR="00086786" w:rsidRPr="00D44D33" w:rsidRDefault="0008678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227</w:t>
      </w:r>
    </w:p>
    <w:p w14:paraId="75507928" w14:textId="6785B443" w:rsidR="00086786" w:rsidRPr="00D44D33" w:rsidRDefault="00332E2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kierujących</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wydzieloną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jednostką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organizacyjną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zajęć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wydzielonej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jednostce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spółce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zależnej,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dominującej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powiązanej,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pełnienia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funkcji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organach</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pełnienia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funkcji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doradczych</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podmiotów.</w:t>
      </w:r>
    </w:p>
    <w:p w14:paraId="2B44F05D" w14:textId="0F61639B" w:rsidR="00086786" w:rsidRPr="00D44D33" w:rsidRDefault="0008678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228</w:t>
      </w:r>
    </w:p>
    <w:p w14:paraId="0EC5EAF1" w14:textId="2ACE2829"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44f</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59D2DA25" w14:textId="6A9D9B2F"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status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spółce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kapitałowej),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7C77E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7C77E5" w:rsidRPr="00D44D33">
        <w:rPr>
          <w:rFonts w:ascii="Times New Roman" w:eastAsiaTheme="minorEastAsia" w:hAnsi="Times New Roman" w:cs="Times New Roman"/>
          <w:sz w:val="24"/>
          <w:szCs w:val="24"/>
        </w:rPr>
        <w:t>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separacji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legislacyjnym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niniejszego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optymalną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separacji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wyodrębnionej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p>
    <w:p w14:paraId="090798EF" w14:textId="704D8960"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7C77E5" w:rsidRPr="00D44D33">
        <w:rPr>
          <w:rFonts w:ascii="Times New Roman" w:eastAsiaTheme="minorEastAsia" w:hAnsi="Times New Roman" w:cs="Times New Roman"/>
          <w:sz w:val="24"/>
          <w:szCs w:val="24"/>
        </w:rPr>
        <w:t xml:space="preserve">z dnia z dnia 2 lipca 2004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swobodzie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gospodarczej</w:t>
      </w:r>
      <w:r w:rsidR="007C77E5" w:rsidRPr="00D44D33">
        <w:rPr>
          <w:rFonts w:ascii="Times New Roman" w:eastAsiaTheme="minorEastAsia" w:hAnsi="Times New Roman" w:cs="Times New Roman"/>
          <w:sz w:val="24"/>
          <w:szCs w:val="24"/>
        </w:rPr>
        <w:t xml:space="preserve"> (Dz. U. z 2017 r. poz. </w:t>
      </w:r>
      <w:r w:rsidR="007C77E5" w:rsidRPr="00D44D33">
        <w:rPr>
          <w:rFonts w:ascii="Times New Roman" w:hAnsi="Times New Roman" w:cs="Times New Roman"/>
          <w:sz w:val="24"/>
          <w:szCs w:val="24"/>
        </w:rPr>
        <w:t xml:space="preserve">2168, </w:t>
      </w:r>
      <w:r w:rsidR="00862484" w:rsidRPr="00D44D33">
        <w:rPr>
          <w:rFonts w:ascii="Times New Roman" w:eastAsiaTheme="minorEastAsia" w:hAnsi="Times New Roman" w:cs="Times New Roman"/>
          <w:sz w:val="24"/>
          <w:szCs w:val="24"/>
        </w:rPr>
        <w:t>z późn. zm.)</w:t>
      </w:r>
      <w:r w:rsidR="004A5C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C77E5" w:rsidRPr="00D44D33">
        <w:rPr>
          <w:rFonts w:ascii="Times New Roman" w:eastAsiaTheme="minorEastAsia" w:hAnsi="Times New Roman" w:cs="Times New Roman"/>
          <w:sz w:val="24"/>
          <w:szCs w:val="24"/>
        </w:rPr>
        <w:t xml:space="preserve">zwana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7C77E5"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usdg</w:t>
      </w:r>
      <w:r w:rsidR="007C77E5"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wyodrębniona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siedzibą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Usdg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zastąpiona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7C77E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zagranicznych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zdefiniowane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usdg.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posłużyć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interpretacji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0382B3FD" w14:textId="6160259F"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sierpnia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1997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Sądowym</w:t>
      </w:r>
      <w:r w:rsidR="64E764C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ujawnione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siedziby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oddziałów.</w:t>
      </w:r>
      <w:r w:rsidR="00371EEA">
        <w:rPr>
          <w:rFonts w:ascii="Times New Roman" w:eastAsiaTheme="minorEastAsia" w:hAnsi="Times New Roman" w:cs="Times New Roman"/>
          <w:sz w:val="24"/>
          <w:szCs w:val="24"/>
        </w:rPr>
        <w:t xml:space="preserve"> </w:t>
      </w:r>
    </w:p>
    <w:p w14:paraId="483F9600" w14:textId="0F4D8A3A"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FE5B0C" w:rsidRPr="00D44D33">
        <w:rPr>
          <w:rFonts w:ascii="Times New Roman" w:eastAsiaTheme="minorEastAsia" w:hAnsi="Times New Roman" w:cs="Times New Roman"/>
          <w:sz w:val="24"/>
          <w:szCs w:val="24"/>
        </w:rPr>
        <w:t>c</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A6A5478" w14:textId="11426F5C" w:rsidR="00086786" w:rsidRPr="00D44D33" w:rsidRDefault="00086786" w:rsidP="00D44D33">
      <w:pPr>
        <w:pStyle w:val="Akapitzlist"/>
        <w:numPr>
          <w:ilvl w:val="0"/>
          <w:numId w:val="111"/>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43</w:t>
      </w:r>
      <w:r w:rsidRPr="00D44D33">
        <w:rPr>
          <w:rFonts w:ascii="Times New Roman" w:eastAsiaTheme="minorEastAsia" w:hAnsi="Times New Roman" w:cs="Times New Roman"/>
          <w:sz w:val="24"/>
          <w:szCs w:val="24"/>
          <w:vertAlign w:val="superscript"/>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firma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siedzibę,</w:t>
      </w:r>
      <w:r w:rsidR="00970B2E" w:rsidRPr="00D44D33">
        <w:rPr>
          <w:rFonts w:ascii="Times New Roman" w:eastAsiaTheme="minorEastAsia" w:hAnsi="Times New Roman" w:cs="Times New Roman"/>
          <w:sz w:val="24"/>
          <w:szCs w:val="24"/>
        </w:rPr>
        <w:t xml:space="preserve"> </w:t>
      </w:r>
    </w:p>
    <w:p w14:paraId="6C374A98" w14:textId="4F9136DA" w:rsidR="00086786" w:rsidRPr="00D44D33" w:rsidRDefault="00086786" w:rsidP="00D44D33">
      <w:pPr>
        <w:pStyle w:val="Akapitzlist"/>
        <w:numPr>
          <w:ilvl w:val="0"/>
          <w:numId w:val="111"/>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109</w:t>
      </w:r>
      <w:r w:rsidRPr="00D44D33">
        <w:rPr>
          <w:rFonts w:ascii="Times New Roman" w:eastAsiaTheme="minorEastAsia" w:hAnsi="Times New Roman" w:cs="Times New Roman"/>
          <w:sz w:val="24"/>
          <w:szCs w:val="24"/>
          <w:vertAlign w:val="superscript"/>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prokurę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(prokura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oddziałowa).</w:t>
      </w:r>
    </w:p>
    <w:p w14:paraId="2035A29B" w14:textId="75152A04" w:rsidR="00086786" w:rsidRPr="00D44D33" w:rsidRDefault="00870FF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równie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26</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1974</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Kodeks</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20</w:t>
      </w:r>
      <w:r w:rsidR="006D6BDE" w:rsidRPr="00D44D33">
        <w:rPr>
          <w:rFonts w:ascii="Times New Roman" w:eastAsiaTheme="minorEastAsia" w:hAnsi="Times New Roman" w:cs="Times New Roman"/>
          <w:sz w:val="24"/>
          <w:szCs w:val="24"/>
        </w:rPr>
        <w:t>2</w:t>
      </w:r>
      <w:r w:rsidR="00FE5B0C" w:rsidRPr="00D44D33">
        <w:rPr>
          <w:rFonts w:ascii="Times New Roman" w:eastAsiaTheme="minorEastAsia" w:hAnsi="Times New Roman" w:cs="Times New Roman"/>
          <w:sz w:val="24"/>
          <w:szCs w:val="24"/>
        </w:rPr>
        <w:t>2</w:t>
      </w:r>
      <w:r w:rsidR="006D6BD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1</w:t>
      </w:r>
      <w:r w:rsidR="00FE5B0C" w:rsidRPr="00D44D33">
        <w:rPr>
          <w:rFonts w:ascii="Times New Roman" w:eastAsiaTheme="minorEastAsia" w:hAnsi="Times New Roman" w:cs="Times New Roman"/>
          <w:sz w:val="24"/>
          <w:szCs w:val="24"/>
        </w:rPr>
        <w:t>510</w:t>
      </w:r>
      <w:r w:rsidR="007864B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62484" w:rsidRPr="00D44D33">
        <w:rPr>
          <w:rFonts w:ascii="Times New Roman" w:eastAsiaTheme="minorEastAsia" w:hAnsi="Times New Roman" w:cs="Times New Roman"/>
          <w:sz w:val="24"/>
          <w:szCs w:val="24"/>
        </w:rPr>
        <w:t>z późn. zm.)</w:t>
      </w:r>
      <w:r w:rsidR="00371EEA">
        <w:rPr>
          <w:rFonts w:ascii="Times New Roman" w:eastAsiaTheme="minorEastAsia" w:hAnsi="Times New Roman" w:cs="Times New Roman"/>
          <w:sz w:val="24"/>
          <w:szCs w:val="24"/>
        </w:rPr>
        <w:t xml:space="preserve"> </w:t>
      </w:r>
      <w:r w:rsidR="006D6BDE" w:rsidRPr="00D44D33">
        <w:rPr>
          <w:rFonts w:ascii="Times New Roman" w:eastAsiaTheme="minorEastAsia" w:hAnsi="Times New Roman" w:cs="Times New Roman"/>
          <w:sz w:val="24"/>
          <w:szCs w:val="24"/>
        </w:rPr>
        <w:t>pra</w:t>
      </w:r>
      <w:r w:rsidR="00086786" w:rsidRPr="00D44D33">
        <w:rPr>
          <w:rFonts w:ascii="Times New Roman" w:eastAsiaTheme="minorEastAsia" w:hAnsi="Times New Roman" w:cs="Times New Roman"/>
          <w:sz w:val="24"/>
          <w:szCs w:val="24"/>
        </w:rPr>
        <w:t>codawcą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jednostka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organizacyjna,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cho</w:t>
      </w:r>
      <w:r w:rsidR="00CC4F00" w:rsidRPr="00D44D33">
        <w:rPr>
          <w:rFonts w:ascii="Times New Roman" w:eastAsiaTheme="minorEastAsia" w:hAnsi="Times New Roman" w:cs="Times New Roman"/>
          <w:sz w:val="24"/>
          <w:szCs w:val="24"/>
        </w:rPr>
        <w:t>ćby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posiadała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osobowości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osoba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fizyczna,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zatrudniają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pracowników.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uznania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pracodawcę</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oddziału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spółki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potwierdza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orzecznictwo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Sądu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Najwyższego.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w:t>
      </w:r>
      <w:r w:rsidR="00FE5B0C" w:rsidRPr="00D44D33">
        <w:rPr>
          <w:rFonts w:ascii="Times New Roman" w:eastAsiaTheme="minorEastAsia" w:hAnsi="Times New Roman" w:cs="Times New Roman"/>
          <w:sz w:val="24"/>
          <w:szCs w:val="24"/>
        </w:rPr>
        <w:t xml:space="preserve">ąd </w:t>
      </w:r>
      <w:r w:rsidR="00086786" w:rsidRPr="00D44D33">
        <w:rPr>
          <w:rFonts w:ascii="Times New Roman" w:eastAsiaTheme="minorEastAsia" w:hAnsi="Times New Roman" w:cs="Times New Roman"/>
          <w:sz w:val="24"/>
          <w:szCs w:val="24"/>
        </w:rPr>
        <w:t>N</w:t>
      </w:r>
      <w:r w:rsidR="00FE5B0C" w:rsidRPr="00D44D33">
        <w:rPr>
          <w:rFonts w:ascii="Times New Roman" w:eastAsiaTheme="minorEastAsia" w:hAnsi="Times New Roman" w:cs="Times New Roman"/>
          <w:sz w:val="24"/>
          <w:szCs w:val="24"/>
        </w:rPr>
        <w:t>ajwyższy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stwierdził,</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każda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osoba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prawna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pracodawcą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FE5B0C" w:rsidRPr="00D44D33">
        <w:rPr>
          <w:rFonts w:ascii="Times New Roman" w:eastAsiaTheme="minorEastAsia" w:hAnsi="Times New Roman" w:cs="Times New Roman"/>
          <w:sz w:val="24"/>
          <w:szCs w:val="24"/>
        </w:rPr>
        <w:t xml:space="preserve">ustawy z dnia 26 kwietnia 1974 r. – </w:t>
      </w:r>
      <w:r w:rsidR="00086786" w:rsidRPr="00D44D33">
        <w:rPr>
          <w:rFonts w:ascii="Times New Roman" w:eastAsiaTheme="minorEastAsia" w:hAnsi="Times New Roman" w:cs="Times New Roman"/>
          <w:sz w:val="24"/>
          <w:szCs w:val="24"/>
        </w:rPr>
        <w:t>Kodeks</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pracowników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pracodawcę</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jednostkę</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organizacyjną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stanowiącą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składową</w:t>
      </w:r>
      <w:r w:rsidR="00086786" w:rsidRPr="00D44D33">
        <w:rPr>
          <w:rStyle w:val="Odwoanieprzypisudolnego"/>
          <w:rFonts w:ascii="Times New Roman" w:eastAsiaTheme="minorEastAsia" w:hAnsi="Times New Roman" w:cs="Times New Roman"/>
          <w:sz w:val="24"/>
          <w:szCs w:val="24"/>
        </w:rPr>
        <w:footnoteReference w:id="2"/>
      </w:r>
      <w:r w:rsidR="001F28F0" w:rsidRPr="00D44D33">
        <w:rPr>
          <w:rFonts w:ascii="Times New Roman" w:eastAsiaTheme="minorEastAsia" w:hAnsi="Times New Roman" w:cs="Times New Roman"/>
          <w:sz w:val="24"/>
          <w:szCs w:val="24"/>
          <w:vertAlign w:val="superscript"/>
        </w:rPr>
        <w:t>)</w:t>
      </w:r>
      <w:r w:rsidR="0008678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jednostka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organizacyjna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niewyposażona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osobowość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prawną,</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dostatecznie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wyodrębniona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organizacyjnym</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finansowym</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uprawniona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samodzielnego</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zatrudniania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pracowników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pracodawcę</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jednostki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organizacyjnej,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kierownik</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przyjmuje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zwalnia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pracowników</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upoważnienia)</w:t>
      </w:r>
      <w:r w:rsidR="00086786" w:rsidRPr="00D44D33">
        <w:rPr>
          <w:rStyle w:val="Odwoanieprzypisudolnego"/>
          <w:rFonts w:ascii="Times New Roman" w:eastAsiaTheme="minorEastAsia" w:hAnsi="Times New Roman" w:cs="Times New Roman"/>
          <w:sz w:val="24"/>
          <w:szCs w:val="24"/>
        </w:rPr>
        <w:footnoteReference w:id="3"/>
      </w:r>
      <w:r w:rsidR="001F28F0" w:rsidRPr="00D44D33">
        <w:rPr>
          <w:rFonts w:ascii="Times New Roman" w:eastAsiaTheme="minorEastAsia" w:hAnsi="Times New Roman" w:cs="Times New Roman"/>
          <w:sz w:val="24"/>
          <w:szCs w:val="24"/>
          <w:vertAlign w:val="superscript"/>
        </w:rPr>
        <w:t>)</w:t>
      </w:r>
      <w:r w:rsidR="00086786" w:rsidRPr="00D44D33">
        <w:rPr>
          <w:rFonts w:ascii="Times New Roman" w:eastAsiaTheme="minorEastAsia" w:hAnsi="Times New Roman" w:cs="Times New Roman"/>
          <w:sz w:val="24"/>
          <w:szCs w:val="24"/>
        </w:rPr>
        <w:t>.</w:t>
      </w:r>
    </w:p>
    <w:p w14:paraId="44ABD1AD" w14:textId="32CDCA68"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44f</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2410E3" w:rsidRPr="00D44D33">
        <w:rPr>
          <w:rFonts w:ascii="Times New Roman" w:eastAsiaTheme="minorEastAsia" w:hAnsi="Times New Roman" w:cs="Times New Roman"/>
          <w:sz w:val="24"/>
          <w:szCs w:val="24"/>
        </w:rPr>
        <w:t xml:space="preserve">Pt </w:t>
      </w:r>
      <w:r w:rsidRPr="00D44D33">
        <w:rPr>
          <w:rFonts w:ascii="Times New Roman" w:eastAsiaTheme="minorEastAsia" w:hAnsi="Times New Roman" w:cs="Times New Roman"/>
          <w:sz w:val="24"/>
          <w:szCs w:val="24"/>
        </w:rPr>
        <w:t>stwierdzono,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29AD355A" w:rsidRPr="00D44D33">
        <w:rPr>
          <w:rFonts w:ascii="Times New Roman" w:eastAsiaTheme="minorEastAsia" w:hAnsi="Times New Roman" w:cs="Times New Roman"/>
          <w:sz w:val="24"/>
          <w:szCs w:val="24"/>
        </w:rPr>
        <w:t>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„Wydzielona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pracodawcą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pracodawcy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wydzieloną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organizacyjną.”.</w:t>
      </w:r>
      <w:r w:rsidR="00970B2E" w:rsidRPr="00D44D33">
        <w:rPr>
          <w:rFonts w:ascii="Times New Roman" w:eastAsiaTheme="minorEastAsia" w:hAnsi="Times New Roman" w:cs="Times New Roman"/>
          <w:sz w:val="24"/>
          <w:szCs w:val="24"/>
        </w:rPr>
        <w:t xml:space="preserve"> </w:t>
      </w:r>
    </w:p>
    <w:p w14:paraId="56247EEA" w14:textId="21E2EC8B" w:rsidR="002410E3" w:rsidRPr="00D44D33" w:rsidRDefault="002410E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w:t>
      </w:r>
      <w:r w:rsidR="00086786" w:rsidRPr="00D44D33">
        <w:rPr>
          <w:rFonts w:ascii="Times New Roman" w:eastAsiaTheme="minorEastAsia" w:hAnsi="Times New Roman" w:cs="Times New Roman"/>
          <w:b/>
          <w:bCs/>
          <w:sz w:val="24"/>
          <w:szCs w:val="24"/>
        </w:rPr>
        <w:t>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229</w:t>
      </w:r>
      <w:r w:rsidRPr="00D44D33">
        <w:rPr>
          <w:rFonts w:ascii="Times New Roman" w:eastAsiaTheme="minorEastAsia" w:hAnsi="Times New Roman" w:cs="Times New Roman"/>
          <w:b/>
          <w:bCs/>
          <w:sz w:val="24"/>
          <w:szCs w:val="24"/>
        </w:rPr>
        <w:t xml:space="preserve"> </w:t>
      </w:r>
    </w:p>
    <w:p w14:paraId="0E97AAA0" w14:textId="5125BE68" w:rsidR="00086786" w:rsidRPr="00D44D33" w:rsidRDefault="002410E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Dobrowolny podział przedsiębiorstwa zintegrowanego pionowo</w:t>
      </w:r>
    </w:p>
    <w:p w14:paraId="6B796841" w14:textId="279E42B2" w:rsidR="00086786" w:rsidRPr="00D44D33" w:rsidRDefault="00091D1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78</w:t>
      </w:r>
      <w:r w:rsidR="00970B2E" w:rsidRPr="00D44D33">
        <w:rPr>
          <w:rFonts w:ascii="Times New Roman" w:eastAsiaTheme="minorEastAsia" w:hAnsi="Times New Roman" w:cs="Times New Roman"/>
          <w:sz w:val="24"/>
          <w:szCs w:val="24"/>
        </w:rPr>
        <w:t xml:space="preserve"> </w:t>
      </w:r>
      <w:r w:rsidR="00086786"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p>
    <w:p w14:paraId="2BA1854B" w14:textId="27EB57F7"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44g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2410E3" w:rsidRPr="00D44D33">
        <w:rPr>
          <w:rFonts w:ascii="Times New Roman" w:eastAsiaTheme="minorEastAsia" w:hAnsi="Times New Roman" w:cs="Times New Roman"/>
          <w:sz w:val="24"/>
          <w:szCs w:val="24"/>
        </w:rPr>
        <w:t xml:space="preserve">Pt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właściciela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aktywów,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p>
    <w:p w14:paraId="6E835580" w14:textId="259FD446" w:rsidR="00086786" w:rsidRPr="00D44D33" w:rsidRDefault="0008678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akapit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2410E3" w:rsidRPr="00D44D33">
        <w:rPr>
          <w:rFonts w:ascii="Times New Roman" w:eastAsiaTheme="minorEastAsia" w:hAnsi="Times New Roman" w:cs="Times New Roman"/>
          <w:sz w:val="24"/>
          <w:szCs w:val="24"/>
        </w:rPr>
        <w:t xml:space="preserve">EKŁE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trzecim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uczynić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wiążącymi</w:t>
      </w:r>
      <w:r w:rsidR="00110F4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monitorować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znalazły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odzwierciedlenie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p>
    <w:p w14:paraId="3F7405BD" w14:textId="37476A8E" w:rsidR="00A43797" w:rsidRPr="00D44D33" w:rsidRDefault="00A43797"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230</w:t>
      </w:r>
    </w:p>
    <w:p w14:paraId="610CEF69" w14:textId="17BD0953" w:rsidR="00A43797" w:rsidRPr="00D44D33" w:rsidRDefault="00A4379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ułatwienie</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przechodzenia</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tradycyjnych</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miedzianych</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003676B5" w:rsidRPr="00D44D33">
        <w:rPr>
          <w:rFonts w:ascii="Times New Roman" w:eastAsiaTheme="minorEastAsia" w:hAnsi="Times New Roman" w:cs="Times New Roman"/>
          <w:sz w:val="24"/>
          <w:szCs w:val="24"/>
        </w:rPr>
        <w:t>generacji.</w:t>
      </w:r>
      <w:r w:rsidR="00970B2E" w:rsidRPr="00D44D33">
        <w:rPr>
          <w:rFonts w:ascii="Times New Roman" w:eastAsiaTheme="minorEastAsia" w:hAnsi="Times New Roman" w:cs="Times New Roman"/>
          <w:sz w:val="24"/>
          <w:szCs w:val="24"/>
        </w:rPr>
        <w:t xml:space="preserve"> </w:t>
      </w:r>
      <w:r w:rsidR="00176F72"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D034E6"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00D034E6" w:rsidRPr="00D44D33">
        <w:rPr>
          <w:rFonts w:ascii="Times New Roman" w:eastAsiaTheme="minorEastAsia" w:hAnsi="Times New Roman" w:cs="Times New Roman"/>
          <w:sz w:val="24"/>
          <w:szCs w:val="24"/>
        </w:rPr>
        <w:t>nadzór</w:t>
      </w:r>
      <w:r w:rsidR="00970B2E" w:rsidRPr="00D44D33">
        <w:rPr>
          <w:rFonts w:ascii="Times New Roman" w:eastAsiaTheme="minorEastAsia" w:hAnsi="Times New Roman" w:cs="Times New Roman"/>
          <w:sz w:val="24"/>
          <w:szCs w:val="24"/>
        </w:rPr>
        <w:t xml:space="preserve"> </w:t>
      </w:r>
      <w:r w:rsidR="00D034E6"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00D034E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D034E6" w:rsidRPr="00D44D33">
        <w:rPr>
          <w:rFonts w:ascii="Times New Roman" w:eastAsiaTheme="minorEastAsia" w:hAnsi="Times New Roman" w:cs="Times New Roman"/>
          <w:sz w:val="24"/>
          <w:szCs w:val="24"/>
        </w:rPr>
        <w:t>procesem</w:t>
      </w:r>
      <w:r w:rsidR="00970B2E" w:rsidRPr="00D44D33">
        <w:rPr>
          <w:rFonts w:ascii="Times New Roman" w:eastAsiaTheme="minorEastAsia" w:hAnsi="Times New Roman" w:cs="Times New Roman"/>
          <w:sz w:val="24"/>
          <w:szCs w:val="24"/>
        </w:rPr>
        <w:t xml:space="preserve"> </w:t>
      </w:r>
      <w:r w:rsidR="00D034E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usprawnić</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regulacyjny</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proces</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wycofania</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zastąpienia</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obejmował</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przejrzysty</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migracji,</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przewidywał</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dostępność</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alternatywnych</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przynajmniej</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porównywalnej</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pozwalających</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D20F0" w:rsidRPr="00D44D33">
        <w:rPr>
          <w:rFonts w:ascii="Times New Roman" w:eastAsiaTheme="minorEastAsia" w:hAnsi="Times New Roman" w:cs="Times New Roman"/>
          <w:sz w:val="24"/>
          <w:szCs w:val="24"/>
        </w:rPr>
        <w:t>zmoderniz</w:t>
      </w:r>
      <w:r w:rsidR="00F658ED" w:rsidRPr="00D44D33">
        <w:rPr>
          <w:rFonts w:ascii="Times New Roman" w:eastAsiaTheme="minorEastAsia" w:hAnsi="Times New Roman" w:cs="Times New Roman"/>
          <w:sz w:val="24"/>
          <w:szCs w:val="24"/>
        </w:rPr>
        <w:t>owanej</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sieciowej</w:t>
      </w:r>
      <w:r w:rsidR="0F187E8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F658E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Dyrektywa</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organowi</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uchylenie</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F739AD" w:rsidRPr="00D44D33">
        <w:rPr>
          <w:rFonts w:ascii="Times New Roman" w:eastAsiaTheme="minorEastAsia" w:hAnsi="Times New Roman" w:cs="Times New Roman"/>
          <w:sz w:val="24"/>
          <w:szCs w:val="24"/>
        </w:rPr>
        <w:t>miedzianej</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chwilą</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ustanowienia</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migracji</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powiadomił</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uniknięcie</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nieuzasadnionych</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opóźnień</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F5358" w:rsidRPr="00D44D33">
        <w:rPr>
          <w:rFonts w:ascii="Times New Roman" w:eastAsiaTheme="minorEastAsia" w:hAnsi="Times New Roman" w:cs="Times New Roman"/>
          <w:sz w:val="24"/>
          <w:szCs w:val="24"/>
        </w:rPr>
        <w:t>migracji.</w:t>
      </w:r>
    </w:p>
    <w:p w14:paraId="4849817C" w14:textId="7BC0CF4C" w:rsidR="008D6FF1" w:rsidRPr="00D44D33" w:rsidRDefault="00FF5358" w:rsidP="00D44D33">
      <w:pPr>
        <w:spacing w:before="120" w:after="120" w:line="360" w:lineRule="auto"/>
        <w:jc w:val="both"/>
        <w:rPr>
          <w:rStyle w:val="normaltextrun"/>
          <w:rFonts w:ascii="Times New Roman" w:hAnsi="Times New Roman" w:cs="Times New Roman"/>
          <w:bCs/>
          <w:sz w:val="24"/>
          <w:szCs w:val="24"/>
        </w:rPr>
      </w:pP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znalazły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odzwierciedlenie</w:t>
      </w:r>
      <w:r w:rsidR="00970B2E" w:rsidRPr="00D44D33">
        <w:rPr>
          <w:rFonts w:ascii="Times New Roman" w:eastAsiaTheme="minorEastAsia" w:hAnsi="Times New Roman" w:cs="Times New Roman"/>
          <w:sz w:val="24"/>
          <w:szCs w:val="24"/>
        </w:rPr>
        <w:t xml:space="preserve"> </w:t>
      </w:r>
      <w:r w:rsidR="007611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611F8"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177A02" w:rsidRPr="00D44D33">
        <w:rPr>
          <w:rFonts w:ascii="Times New Roman" w:eastAsiaTheme="minorEastAsia" w:hAnsi="Times New Roman" w:cs="Times New Roman"/>
          <w:sz w:val="24"/>
          <w:szCs w:val="24"/>
        </w:rPr>
        <w:t>przepisie</w:t>
      </w:r>
      <w:r w:rsidR="007611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611F8"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uszczegóławia</w:t>
      </w:r>
      <w:r w:rsidR="00970B2E" w:rsidRPr="00D44D33">
        <w:rPr>
          <w:rFonts w:ascii="Times New Roman" w:eastAsiaTheme="minorEastAsia" w:hAnsi="Times New Roman" w:cs="Times New Roman"/>
          <w:sz w:val="24"/>
          <w:szCs w:val="24"/>
        </w:rPr>
        <w:t xml:space="preserve"> </w:t>
      </w:r>
      <w:r w:rsidR="00CA6A12"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CA6A12"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procedur</w:t>
      </w:r>
      <w:r w:rsidR="008D6FF1"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powiadamiania</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migracji</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zatwierdzania</w:t>
      </w:r>
      <w:r w:rsidR="00970B2E" w:rsidRPr="00D44D33">
        <w:rPr>
          <w:rFonts w:ascii="Times New Roman" w:eastAsiaTheme="minorEastAsia" w:hAnsi="Times New Roman" w:cs="Times New Roman"/>
          <w:sz w:val="24"/>
          <w:szCs w:val="24"/>
        </w:rPr>
        <w:t xml:space="preserve"> </w:t>
      </w:r>
      <w:r w:rsidR="00795198"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pro</w:t>
      </w:r>
      <w:r w:rsidR="002410E3" w:rsidRPr="00D44D33">
        <w:rPr>
          <w:rFonts w:ascii="Times New Roman" w:eastAsiaTheme="minorEastAsia" w:hAnsi="Times New Roman" w:cs="Times New Roman"/>
          <w:sz w:val="24"/>
          <w:szCs w:val="24"/>
        </w:rPr>
        <w:t>jektowanym</w:t>
      </w:r>
      <w:r w:rsidR="00970B2E" w:rsidRPr="00D44D33">
        <w:rPr>
          <w:rFonts w:ascii="Times New Roman" w:eastAsiaTheme="minorEastAsia" w:hAnsi="Times New Roman" w:cs="Times New Roman"/>
          <w:sz w:val="24"/>
          <w:szCs w:val="24"/>
        </w:rPr>
        <w:t xml:space="preserve"> </w:t>
      </w:r>
      <w:r w:rsidR="00AA0F0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A0F0D" w:rsidRPr="00D44D33">
        <w:rPr>
          <w:rFonts w:ascii="Times New Roman" w:eastAsiaTheme="minorEastAsia" w:hAnsi="Times New Roman" w:cs="Times New Roman"/>
          <w:sz w:val="24"/>
          <w:szCs w:val="24"/>
        </w:rPr>
        <w:t>230</w:t>
      </w:r>
      <w:r w:rsidR="00970B2E" w:rsidRPr="00D44D33">
        <w:rPr>
          <w:rFonts w:ascii="Times New Roman" w:eastAsiaTheme="minorEastAsia" w:hAnsi="Times New Roman" w:cs="Times New Roman"/>
          <w:sz w:val="24"/>
          <w:szCs w:val="24"/>
        </w:rPr>
        <w:t xml:space="preserve"> </w:t>
      </w:r>
      <w:r w:rsidR="00AA0F0D" w:rsidRPr="00D44D33">
        <w:rPr>
          <w:rFonts w:ascii="Times New Roman" w:eastAsiaTheme="minorEastAsia" w:hAnsi="Times New Roman" w:cs="Times New Roman"/>
          <w:sz w:val="24"/>
          <w:szCs w:val="24"/>
        </w:rPr>
        <w:t>Pke</w:t>
      </w:r>
      <w:r w:rsidR="008D6FF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wydzielić</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dwa</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tryby</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00AA0F0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D6FF1" w:rsidRPr="00D44D33">
        <w:rPr>
          <w:rFonts w:ascii="Times New Roman" w:eastAsiaTheme="minorEastAsia" w:hAnsi="Times New Roman" w:cs="Times New Roman"/>
          <w:sz w:val="24"/>
          <w:szCs w:val="24"/>
        </w:rPr>
        <w:t>migracji.</w:t>
      </w:r>
      <w:r w:rsidR="00970B2E" w:rsidRPr="00D44D33">
        <w:rPr>
          <w:rFonts w:ascii="Times New Roman" w:eastAsiaTheme="minorEastAsia" w:hAnsi="Times New Roman" w:cs="Times New Roman"/>
          <w:sz w:val="24"/>
          <w:szCs w:val="24"/>
        </w:rPr>
        <w:t xml:space="preserve"> </w:t>
      </w:r>
      <w:r w:rsidR="008D6FF1" w:rsidRPr="00D44D33">
        <w:rPr>
          <w:rFonts w:ascii="Times New Roman" w:hAnsi="Times New Roman" w:cs="Times New Roman"/>
          <w:bCs/>
          <w:sz w:val="24"/>
          <w:szCs w:val="24"/>
        </w:rPr>
        <w:t>Pierwszy</w:t>
      </w:r>
      <w:r w:rsidR="00970B2E" w:rsidRPr="00D44D33">
        <w:rPr>
          <w:rFonts w:ascii="Times New Roman" w:hAnsi="Times New Roman" w:cs="Times New Roman"/>
          <w:bCs/>
          <w:sz w:val="24"/>
          <w:szCs w:val="24"/>
        </w:rPr>
        <w:t xml:space="preserve"> </w:t>
      </w:r>
      <w:r w:rsidR="002410E3" w:rsidRPr="00D44D33">
        <w:rPr>
          <w:rFonts w:ascii="Times New Roman" w:hAnsi="Times New Roman" w:cs="Times New Roman"/>
          <w:bCs/>
          <w:sz w:val="24"/>
          <w:szCs w:val="24"/>
        </w:rPr>
        <w:t xml:space="preserve">- </w:t>
      </w:r>
      <w:r w:rsidR="008D6FF1" w:rsidRPr="00D44D33">
        <w:rPr>
          <w:rFonts w:ascii="Times New Roman" w:hAnsi="Times New Roman" w:cs="Times New Roman"/>
          <w:bCs/>
          <w:sz w:val="24"/>
          <w:szCs w:val="24"/>
        </w:rPr>
        <w:t>„ogólny”,</w:t>
      </w:r>
      <w:r w:rsidR="00970B2E" w:rsidRPr="00D44D33">
        <w:rPr>
          <w:rFonts w:ascii="Times New Roman" w:hAnsi="Times New Roman" w:cs="Times New Roman"/>
          <w:bCs/>
          <w:sz w:val="24"/>
          <w:szCs w:val="24"/>
        </w:rPr>
        <w:t xml:space="preserve"> </w:t>
      </w:r>
      <w:r w:rsidR="008D6FF1" w:rsidRPr="00D44D33">
        <w:rPr>
          <w:rFonts w:ascii="Times New Roman" w:hAnsi="Times New Roman" w:cs="Times New Roman"/>
          <w:bCs/>
          <w:sz w:val="24"/>
          <w:szCs w:val="24"/>
        </w:rPr>
        <w:t>zgodnie</w:t>
      </w:r>
      <w:r w:rsidR="00970B2E" w:rsidRPr="00D44D33">
        <w:rPr>
          <w:rFonts w:ascii="Times New Roman" w:hAnsi="Times New Roman" w:cs="Times New Roman"/>
          <w:bCs/>
          <w:sz w:val="24"/>
          <w:szCs w:val="24"/>
        </w:rPr>
        <w:t xml:space="preserve"> </w:t>
      </w:r>
      <w:r w:rsidR="008D6FF1" w:rsidRPr="00D44D33">
        <w:rPr>
          <w:rFonts w:ascii="Times New Roman" w:hAnsi="Times New Roman" w:cs="Times New Roman"/>
          <w:bCs/>
          <w:sz w:val="24"/>
          <w:szCs w:val="24"/>
        </w:rPr>
        <w:t>z</w:t>
      </w:r>
      <w:r w:rsidR="00970B2E" w:rsidRPr="00D44D33">
        <w:rPr>
          <w:rFonts w:ascii="Times New Roman" w:hAnsi="Times New Roman" w:cs="Times New Roman"/>
          <w:bCs/>
          <w:sz w:val="24"/>
          <w:szCs w:val="24"/>
        </w:rPr>
        <w:t xml:space="preserve"> </w:t>
      </w:r>
      <w:r w:rsidR="008D6FF1" w:rsidRPr="00D44D33">
        <w:rPr>
          <w:rFonts w:ascii="Times New Roman" w:hAnsi="Times New Roman" w:cs="Times New Roman"/>
          <w:bCs/>
          <w:sz w:val="24"/>
          <w:szCs w:val="24"/>
        </w:rPr>
        <w:t>którym</w:t>
      </w:r>
      <w:r w:rsidR="00970B2E" w:rsidRPr="00D44D33">
        <w:rPr>
          <w:rFonts w:ascii="Times New Roman" w:hAnsi="Times New Roman" w:cs="Times New Roman"/>
          <w:bCs/>
          <w:sz w:val="24"/>
          <w:szCs w:val="24"/>
        </w:rPr>
        <w:t xml:space="preserve"> </w:t>
      </w:r>
      <w:r w:rsidR="008D6FF1" w:rsidRPr="00D44D33">
        <w:rPr>
          <w:rStyle w:val="normaltextrun"/>
          <w:rFonts w:ascii="Times New Roman" w:hAnsi="Times New Roman" w:cs="Times New Roman"/>
          <w:sz w:val="24"/>
          <w:szCs w:val="24"/>
        </w:rPr>
        <w:t>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później</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niż</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terminie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12</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miesięcy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przed</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planowanym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terminem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rozpoczęcia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operator</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SMP</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złoży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powiadomienie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zamiarze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infrastruktury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objętej</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obowiązkami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regulacyjnym.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tego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trybu</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zastosowanie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co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zasady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ogólne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postępowanie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administracyjne.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Dodatkowymi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wymogami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formalnymi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powiadomienia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(wniosku,</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podania)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jest</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wykaz</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bCs/>
          <w:sz w:val="24"/>
          <w:szCs w:val="24"/>
        </w:rPr>
        <w:t>infrastruktury</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objętej</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migracją</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oraz</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bCs/>
          <w:sz w:val="24"/>
          <w:szCs w:val="24"/>
        </w:rPr>
        <w:t>przejrzysty</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harmonogram</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i</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warunki</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migracji</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z</w:t>
      </w:r>
      <w:r w:rsidR="00970B2E" w:rsidRPr="00D44D33">
        <w:rPr>
          <w:rStyle w:val="normaltextrun"/>
          <w:rFonts w:ascii="Times New Roman" w:hAnsi="Times New Roman" w:cs="Times New Roman"/>
          <w:bCs/>
          <w:sz w:val="24"/>
          <w:szCs w:val="24"/>
        </w:rPr>
        <w:t xml:space="preserve"> </w:t>
      </w:r>
      <w:r w:rsidR="008D6FF1" w:rsidRPr="00D44D33">
        <w:rPr>
          <w:rStyle w:val="normaltextrun"/>
          <w:rFonts w:ascii="Times New Roman" w:hAnsi="Times New Roman" w:cs="Times New Roman"/>
          <w:bCs/>
          <w:sz w:val="24"/>
          <w:szCs w:val="24"/>
        </w:rPr>
        <w:t>infrastruktury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(dwa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ostatnie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dokumenty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muszą</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zawierać</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terminy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powiadamiania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podmiotów</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korzystających</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tej</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infrastruktury,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oraz</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alternatywne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sposoby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zapewnienia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dostępu</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telekomunikacyjnego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umożliwiające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świadczenie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usług</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co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najmniej</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porównywalnej</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jakości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dotychczasowym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użytkownikom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końcowym).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Prezes</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UKE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zatwierdza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całości</w:t>
      </w:r>
      <w:r w:rsidR="002410E3" w:rsidRPr="00D44D33">
        <w:rPr>
          <w:rStyle w:val="normaltextrun"/>
          <w:rFonts w:ascii="Times New Roman" w:hAnsi="Times New Roman" w:cs="Times New Roman"/>
          <w:sz w:val="24"/>
          <w:szCs w:val="24"/>
        </w:rPr>
        <w:t>,</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drodze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decyzji</w:t>
      </w:r>
      <w:r w:rsidR="002410E3" w:rsidRPr="00D44D33">
        <w:rPr>
          <w:rStyle w:val="normaltextrun"/>
          <w:rFonts w:ascii="Times New Roman" w:hAnsi="Times New Roman" w:cs="Times New Roman"/>
          <w:sz w:val="24"/>
          <w:szCs w:val="24"/>
        </w:rPr>
        <w:t>,</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powiadomienie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albo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odmawia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zatwierdzenia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powiadomienia</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zamiarze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infrastruktury,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jeżeli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harmonogram</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warunki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są</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przejrzyste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zapewniają</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ochrony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konkurencji</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lub</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nie</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zapewniają</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ochrony</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praw</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użytkowników</w:t>
      </w:r>
      <w:r w:rsidR="00970B2E" w:rsidRPr="00D44D33">
        <w:rPr>
          <w:rStyle w:val="normaltextrun"/>
          <w:rFonts w:ascii="Times New Roman" w:hAnsi="Times New Roman" w:cs="Times New Roman"/>
          <w:sz w:val="24"/>
          <w:szCs w:val="24"/>
        </w:rPr>
        <w:t xml:space="preserve"> </w:t>
      </w:r>
      <w:r w:rsidR="008D6FF1" w:rsidRPr="00D44D33">
        <w:rPr>
          <w:rStyle w:val="normaltextrun"/>
          <w:rFonts w:ascii="Times New Roman" w:hAnsi="Times New Roman" w:cs="Times New Roman"/>
          <w:sz w:val="24"/>
          <w:szCs w:val="24"/>
        </w:rPr>
        <w:t>końcowych.</w:t>
      </w:r>
      <w:r w:rsidR="00970B2E" w:rsidRPr="00D44D33">
        <w:rPr>
          <w:rStyle w:val="normaltextrun"/>
          <w:rFonts w:ascii="Times New Roman" w:hAnsi="Times New Roman" w:cs="Times New Roman"/>
          <w:sz w:val="24"/>
          <w:szCs w:val="24"/>
        </w:rPr>
        <w:t xml:space="preserve"> </w:t>
      </w:r>
    </w:p>
    <w:p w14:paraId="46F952EE" w14:textId="5705126F" w:rsidR="008D6FF1" w:rsidRPr="00D44D33" w:rsidRDefault="008D6FF1" w:rsidP="00D44D33">
      <w:pPr>
        <w:spacing w:before="120" w:after="120" w:line="360" w:lineRule="auto"/>
        <w:jc w:val="both"/>
        <w:rPr>
          <w:rStyle w:val="normaltextrun"/>
          <w:rFonts w:ascii="Times New Roman" w:hAnsi="Times New Roman" w:cs="Times New Roman"/>
          <w:sz w:val="24"/>
          <w:szCs w:val="24"/>
        </w:rPr>
      </w:pPr>
      <w:r w:rsidRPr="00D44D33">
        <w:rPr>
          <w:rStyle w:val="normaltextrun"/>
          <w:rFonts w:ascii="Times New Roman" w:hAnsi="Times New Roman" w:cs="Times New Roman"/>
          <w:sz w:val="24"/>
          <w:szCs w:val="24"/>
        </w:rPr>
        <w:t>Drugi</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trybów</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można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określić</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jako</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„szczególny”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lub</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uproszczony.</w:t>
      </w:r>
      <w:r w:rsidR="00371EEA">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Dotyczy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on</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infrastruktury:</w:t>
      </w:r>
    </w:p>
    <w:p w14:paraId="65EF48FA" w14:textId="09AAC31D" w:rsidR="008D6FF1" w:rsidRPr="00D44D33" w:rsidRDefault="008D6FF1" w:rsidP="00D44D33">
      <w:pPr>
        <w:pStyle w:val="Akapitzlist"/>
        <w:numPr>
          <w:ilvl w:val="0"/>
          <w:numId w:val="113"/>
        </w:numPr>
        <w:spacing w:before="120" w:after="120" w:line="360" w:lineRule="auto"/>
        <w:jc w:val="both"/>
        <w:rPr>
          <w:rStyle w:val="normaltextrun"/>
          <w:rFonts w:ascii="Times New Roman" w:hAnsi="Times New Roman" w:cs="Times New Roman"/>
          <w:sz w:val="24"/>
          <w:szCs w:val="24"/>
        </w:rPr>
      </w:pPr>
      <w:r w:rsidRPr="00D44D33">
        <w:rPr>
          <w:rStyle w:val="normaltextrun"/>
          <w:rFonts w:ascii="Times New Roman" w:hAnsi="Times New Roman" w:cs="Times New Roman"/>
          <w:sz w:val="24"/>
          <w:szCs w:val="24"/>
        </w:rPr>
        <w:t>za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pomocą</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której</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są</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świadczone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usługi</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komunikacji</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elektronicznej</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użytkownikom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końcowym,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lub</w:t>
      </w:r>
    </w:p>
    <w:p w14:paraId="27CF9AD4" w14:textId="6A19AA42" w:rsidR="008D6FF1" w:rsidRPr="00D44D33" w:rsidRDefault="008D6FF1" w:rsidP="00D44D33">
      <w:pPr>
        <w:pStyle w:val="paragraph"/>
        <w:numPr>
          <w:ilvl w:val="0"/>
          <w:numId w:val="113"/>
        </w:numPr>
        <w:spacing w:before="120" w:beforeAutospacing="0" w:after="120" w:afterAutospacing="0" w:line="360" w:lineRule="auto"/>
        <w:jc w:val="both"/>
        <w:textAlignment w:val="baseline"/>
        <w:rPr>
          <w:lang w:eastAsia="en-US"/>
        </w:rPr>
      </w:pPr>
      <w:r w:rsidRPr="00D44D33">
        <w:rPr>
          <w:rStyle w:val="normaltextrun"/>
          <w:lang w:eastAsia="en-US"/>
        </w:rPr>
        <w:t>w</w:t>
      </w:r>
      <w:r w:rsidR="00970B2E" w:rsidRPr="00D44D33">
        <w:rPr>
          <w:rStyle w:val="normaltextrun"/>
          <w:lang w:eastAsia="en-US"/>
        </w:rPr>
        <w:t xml:space="preserve"> </w:t>
      </w:r>
      <w:r w:rsidRPr="00D44D33">
        <w:rPr>
          <w:rStyle w:val="normaltextrun"/>
          <w:lang w:eastAsia="en-US"/>
        </w:rPr>
        <w:t>miejsce</w:t>
      </w:r>
      <w:r w:rsidR="00970B2E" w:rsidRPr="00D44D33">
        <w:rPr>
          <w:rStyle w:val="normaltextrun"/>
          <w:lang w:eastAsia="en-US"/>
        </w:rPr>
        <w:t xml:space="preserve"> </w:t>
      </w:r>
      <w:r w:rsidRPr="00D44D33">
        <w:rPr>
          <w:rStyle w:val="normaltextrun"/>
          <w:lang w:eastAsia="en-US"/>
        </w:rPr>
        <w:t>której</w:t>
      </w:r>
      <w:r w:rsidR="00970B2E" w:rsidRPr="00D44D33">
        <w:rPr>
          <w:rStyle w:val="normaltextrun"/>
          <w:lang w:eastAsia="en-US"/>
        </w:rPr>
        <w:t xml:space="preserve"> </w:t>
      </w:r>
      <w:r w:rsidRPr="00D44D33">
        <w:rPr>
          <w:rStyle w:val="normaltextrun"/>
          <w:lang w:eastAsia="en-US"/>
        </w:rPr>
        <w:t>został</w:t>
      </w:r>
      <w:r w:rsidR="00970B2E" w:rsidRPr="00D44D33">
        <w:rPr>
          <w:rStyle w:val="normaltextrun"/>
          <w:lang w:eastAsia="en-US"/>
        </w:rPr>
        <w:t xml:space="preserve"> </w:t>
      </w:r>
      <w:r w:rsidRPr="00D44D33">
        <w:rPr>
          <w:rStyle w:val="normaltextrun"/>
          <w:lang w:eastAsia="en-US"/>
        </w:rPr>
        <w:t>zapewniony</w:t>
      </w:r>
      <w:r w:rsidR="00970B2E" w:rsidRPr="00D44D33">
        <w:rPr>
          <w:rStyle w:val="normaltextrun"/>
          <w:lang w:eastAsia="en-US"/>
        </w:rPr>
        <w:t xml:space="preserve"> </w:t>
      </w:r>
      <w:r w:rsidRPr="00D44D33">
        <w:rPr>
          <w:rStyle w:val="normaltextrun"/>
          <w:lang w:eastAsia="en-US"/>
        </w:rPr>
        <w:t>alternatywny</w:t>
      </w:r>
      <w:r w:rsidR="00970B2E" w:rsidRPr="00D44D33">
        <w:rPr>
          <w:rStyle w:val="normaltextrun"/>
          <w:lang w:eastAsia="en-US"/>
        </w:rPr>
        <w:t xml:space="preserve"> </w:t>
      </w:r>
      <w:r w:rsidRPr="00D44D33">
        <w:rPr>
          <w:rStyle w:val="normaltextrun"/>
          <w:lang w:eastAsia="en-US"/>
        </w:rPr>
        <w:t>sposób</w:t>
      </w:r>
      <w:r w:rsidR="00970B2E" w:rsidRPr="00D44D33">
        <w:rPr>
          <w:rStyle w:val="normaltextrun"/>
          <w:lang w:eastAsia="en-US"/>
        </w:rPr>
        <w:t xml:space="preserve"> </w:t>
      </w:r>
      <w:r w:rsidRPr="00D44D33">
        <w:rPr>
          <w:rStyle w:val="normaltextrun"/>
          <w:lang w:eastAsia="en-US"/>
        </w:rPr>
        <w:t>zapewnienia</w:t>
      </w:r>
      <w:r w:rsidR="00970B2E" w:rsidRPr="00D44D33">
        <w:rPr>
          <w:rStyle w:val="normaltextrun"/>
          <w:lang w:eastAsia="en-US"/>
        </w:rPr>
        <w:t xml:space="preserve"> </w:t>
      </w:r>
      <w:r w:rsidRPr="00D44D33">
        <w:rPr>
          <w:rStyle w:val="normaltextrun"/>
          <w:lang w:eastAsia="en-US"/>
        </w:rPr>
        <w:t>dostępu</w:t>
      </w:r>
      <w:r w:rsidR="00970B2E" w:rsidRPr="00D44D33">
        <w:rPr>
          <w:rStyle w:val="normaltextrun"/>
          <w:lang w:eastAsia="en-US"/>
        </w:rPr>
        <w:t xml:space="preserve"> </w:t>
      </w:r>
      <w:r w:rsidRPr="00D44D33">
        <w:rPr>
          <w:rStyle w:val="normaltextrun"/>
          <w:lang w:eastAsia="en-US"/>
        </w:rPr>
        <w:t>telekomunikacyjnego,</w:t>
      </w:r>
      <w:r w:rsidR="00970B2E" w:rsidRPr="00D44D33">
        <w:rPr>
          <w:rStyle w:val="normaltextrun"/>
          <w:lang w:eastAsia="en-US"/>
        </w:rPr>
        <w:t xml:space="preserve"> </w:t>
      </w:r>
      <w:r w:rsidRPr="00D44D33">
        <w:rPr>
          <w:rStyle w:val="normaltextrun"/>
          <w:lang w:eastAsia="en-US"/>
        </w:rPr>
        <w:t>o</w:t>
      </w:r>
      <w:r w:rsidR="00970B2E" w:rsidRPr="00D44D33">
        <w:rPr>
          <w:rStyle w:val="normaltextrun"/>
          <w:lang w:eastAsia="en-US"/>
        </w:rPr>
        <w:t xml:space="preserve"> </w:t>
      </w:r>
      <w:r w:rsidRPr="00D44D33">
        <w:rPr>
          <w:rStyle w:val="normaltextrun"/>
          <w:lang w:eastAsia="en-US"/>
        </w:rPr>
        <w:t>którym</w:t>
      </w:r>
      <w:r w:rsidR="00970B2E" w:rsidRPr="00D44D33">
        <w:rPr>
          <w:rStyle w:val="normaltextrun"/>
          <w:lang w:eastAsia="en-US"/>
        </w:rPr>
        <w:t xml:space="preserve"> </w:t>
      </w:r>
      <w:r w:rsidRPr="00D44D33">
        <w:rPr>
          <w:rStyle w:val="normaltextrun"/>
          <w:lang w:eastAsia="en-US"/>
        </w:rPr>
        <w:t>mowa</w:t>
      </w:r>
      <w:r w:rsidR="00970B2E" w:rsidRPr="00D44D33">
        <w:rPr>
          <w:rStyle w:val="normaltextrun"/>
          <w:lang w:eastAsia="en-US"/>
        </w:rPr>
        <w:t xml:space="preserve"> </w:t>
      </w:r>
      <w:r w:rsidRPr="00D44D33">
        <w:rPr>
          <w:rStyle w:val="normaltextrun"/>
          <w:lang w:eastAsia="en-US"/>
        </w:rPr>
        <w:t>w</w:t>
      </w:r>
      <w:r w:rsidR="00970B2E" w:rsidRPr="00D44D33">
        <w:rPr>
          <w:rStyle w:val="normaltextrun"/>
          <w:lang w:eastAsia="en-US"/>
        </w:rPr>
        <w:t xml:space="preserve"> </w:t>
      </w:r>
      <w:r w:rsidRPr="00D44D33">
        <w:rPr>
          <w:rStyle w:val="normaltextrun"/>
          <w:lang w:eastAsia="en-US"/>
        </w:rPr>
        <w:t>ust.</w:t>
      </w:r>
      <w:r w:rsidR="00970B2E" w:rsidRPr="00D44D33">
        <w:rPr>
          <w:rStyle w:val="normaltextrun"/>
          <w:lang w:eastAsia="en-US"/>
        </w:rPr>
        <w:t xml:space="preserve"> </w:t>
      </w:r>
      <w:r w:rsidRPr="00D44D33">
        <w:rPr>
          <w:rStyle w:val="normaltextrun"/>
          <w:lang w:eastAsia="en-US"/>
        </w:rPr>
        <w:t>3</w:t>
      </w:r>
      <w:r w:rsidR="00970B2E" w:rsidRPr="00D44D33">
        <w:rPr>
          <w:rStyle w:val="normaltextrun"/>
          <w:lang w:eastAsia="en-US"/>
        </w:rPr>
        <w:t xml:space="preserve"> </w:t>
      </w:r>
      <w:r w:rsidRPr="00D44D33">
        <w:rPr>
          <w:rStyle w:val="normaltextrun"/>
          <w:lang w:eastAsia="en-US"/>
        </w:rPr>
        <w:t>pkt</w:t>
      </w:r>
      <w:r w:rsidR="00970B2E" w:rsidRPr="00D44D33">
        <w:rPr>
          <w:rStyle w:val="normaltextrun"/>
          <w:lang w:eastAsia="en-US"/>
        </w:rPr>
        <w:t xml:space="preserve"> </w:t>
      </w:r>
      <w:r w:rsidRPr="00D44D33">
        <w:rPr>
          <w:rStyle w:val="normaltextrun"/>
          <w:lang w:eastAsia="en-US"/>
        </w:rPr>
        <w:t>2,</w:t>
      </w:r>
      <w:r w:rsidR="00970B2E" w:rsidRPr="00D44D33">
        <w:rPr>
          <w:rStyle w:val="normaltextrun"/>
          <w:lang w:eastAsia="en-US"/>
        </w:rPr>
        <w:t xml:space="preserve"> </w:t>
      </w:r>
      <w:r w:rsidRPr="00D44D33">
        <w:rPr>
          <w:rStyle w:val="normaltextrun"/>
          <w:lang w:eastAsia="en-US"/>
        </w:rPr>
        <w:t>tym</w:t>
      </w:r>
      <w:r w:rsidR="00970B2E" w:rsidRPr="00D44D33">
        <w:rPr>
          <w:rStyle w:val="normaltextrun"/>
          <w:lang w:eastAsia="en-US"/>
        </w:rPr>
        <w:t xml:space="preserve"> </w:t>
      </w:r>
      <w:r w:rsidRPr="00D44D33">
        <w:rPr>
          <w:rStyle w:val="normaltextrun"/>
          <w:lang w:eastAsia="en-US"/>
        </w:rPr>
        <w:t>samym</w:t>
      </w:r>
      <w:r w:rsidR="00970B2E" w:rsidRPr="00D44D33">
        <w:rPr>
          <w:rStyle w:val="normaltextrun"/>
          <w:lang w:eastAsia="en-US"/>
        </w:rPr>
        <w:t xml:space="preserve"> </w:t>
      </w:r>
      <w:r w:rsidRPr="00D44D33">
        <w:rPr>
          <w:rStyle w:val="normaltextrun"/>
          <w:lang w:eastAsia="en-US"/>
        </w:rPr>
        <w:t>użytkownikom</w:t>
      </w:r>
      <w:r w:rsidR="00970B2E" w:rsidRPr="00D44D33">
        <w:rPr>
          <w:rStyle w:val="normaltextrun"/>
          <w:lang w:eastAsia="en-US"/>
        </w:rPr>
        <w:t xml:space="preserve"> </w:t>
      </w:r>
      <w:r w:rsidRPr="00D44D33">
        <w:rPr>
          <w:rStyle w:val="normaltextrun"/>
          <w:lang w:eastAsia="en-US"/>
        </w:rPr>
        <w:t>końcowym,</w:t>
      </w:r>
      <w:r w:rsidR="00970B2E" w:rsidRPr="00D44D33">
        <w:rPr>
          <w:rStyle w:val="normaltextrun"/>
          <w:lang w:eastAsia="en-US"/>
        </w:rPr>
        <w:t xml:space="preserve"> </w:t>
      </w:r>
      <w:r w:rsidRPr="00D44D33">
        <w:rPr>
          <w:rStyle w:val="normaltextrun"/>
          <w:lang w:eastAsia="en-US"/>
        </w:rPr>
        <w:t>z</w:t>
      </w:r>
      <w:r w:rsidR="00970B2E" w:rsidRPr="00D44D33">
        <w:rPr>
          <w:rStyle w:val="normaltextrun"/>
          <w:lang w:eastAsia="en-US"/>
        </w:rPr>
        <w:t xml:space="preserve"> </w:t>
      </w:r>
      <w:r w:rsidRPr="00D44D33">
        <w:rPr>
          <w:rStyle w:val="normaltextrun"/>
          <w:lang w:eastAsia="en-US"/>
        </w:rPr>
        <w:t>wykorzystaniem</w:t>
      </w:r>
      <w:r w:rsidR="00970B2E" w:rsidRPr="00D44D33">
        <w:rPr>
          <w:rStyle w:val="normaltextrun"/>
          <w:lang w:eastAsia="en-US"/>
        </w:rPr>
        <w:t xml:space="preserve"> </w:t>
      </w:r>
      <w:r w:rsidRPr="00D44D33">
        <w:rPr>
          <w:rStyle w:val="normaltextrun"/>
          <w:lang w:eastAsia="en-US"/>
        </w:rPr>
        <w:t>wyłącznie</w:t>
      </w:r>
      <w:r w:rsidR="00970B2E" w:rsidRPr="00D44D33">
        <w:rPr>
          <w:rStyle w:val="normaltextrun"/>
          <w:lang w:eastAsia="en-US"/>
        </w:rPr>
        <w:t xml:space="preserve"> </w:t>
      </w:r>
      <w:r w:rsidRPr="00D44D33">
        <w:rPr>
          <w:rStyle w:val="normaltextrun"/>
          <w:lang w:eastAsia="en-US"/>
        </w:rPr>
        <w:t>stacjonarnej</w:t>
      </w:r>
      <w:r w:rsidR="00970B2E" w:rsidRPr="00D44D33">
        <w:rPr>
          <w:rStyle w:val="normaltextrun"/>
          <w:lang w:eastAsia="en-US"/>
        </w:rPr>
        <w:t xml:space="preserve"> </w:t>
      </w:r>
      <w:r w:rsidRPr="00D44D33">
        <w:rPr>
          <w:rStyle w:val="normaltextrun"/>
          <w:lang w:eastAsia="en-US"/>
        </w:rPr>
        <w:t>sieci</w:t>
      </w:r>
      <w:r w:rsidR="00970B2E" w:rsidRPr="00D44D33">
        <w:rPr>
          <w:rStyle w:val="normaltextrun"/>
          <w:lang w:eastAsia="en-US"/>
        </w:rPr>
        <w:t xml:space="preserve"> </w:t>
      </w:r>
      <w:r w:rsidRPr="00D44D33">
        <w:rPr>
          <w:rStyle w:val="normaltextrun"/>
          <w:lang w:eastAsia="en-US"/>
        </w:rPr>
        <w:t>telekomunikacyjnej</w:t>
      </w:r>
      <w:r w:rsidR="00970B2E" w:rsidRPr="00D44D33">
        <w:rPr>
          <w:rStyle w:val="normaltextrun"/>
          <w:lang w:eastAsia="en-US"/>
        </w:rPr>
        <w:t xml:space="preserve"> </w:t>
      </w:r>
      <w:r w:rsidRPr="00D44D33">
        <w:rPr>
          <w:rStyle w:val="normaltextrun"/>
          <w:lang w:eastAsia="en-US"/>
        </w:rPr>
        <w:t>spełniającej</w:t>
      </w:r>
      <w:r w:rsidR="00970B2E" w:rsidRPr="00D44D33">
        <w:rPr>
          <w:rStyle w:val="normaltextrun"/>
          <w:lang w:eastAsia="en-US"/>
        </w:rPr>
        <w:t xml:space="preserve"> </w:t>
      </w:r>
      <w:r w:rsidRPr="00D44D33">
        <w:rPr>
          <w:rStyle w:val="normaltextrun"/>
          <w:lang w:eastAsia="en-US"/>
        </w:rPr>
        <w:t>wymagania,</w:t>
      </w:r>
      <w:r w:rsidR="00970B2E" w:rsidRPr="00D44D33">
        <w:rPr>
          <w:rStyle w:val="normaltextrun"/>
          <w:lang w:eastAsia="en-US"/>
        </w:rPr>
        <w:t xml:space="preserve"> </w:t>
      </w:r>
      <w:r w:rsidRPr="00D44D33">
        <w:rPr>
          <w:rStyle w:val="normaltextrun"/>
          <w:lang w:eastAsia="en-US"/>
        </w:rPr>
        <w:t>o</w:t>
      </w:r>
      <w:r w:rsidR="00970B2E" w:rsidRPr="00D44D33">
        <w:rPr>
          <w:rStyle w:val="normaltextrun"/>
          <w:lang w:eastAsia="en-US"/>
        </w:rPr>
        <w:t xml:space="preserve"> </w:t>
      </w:r>
      <w:r w:rsidRPr="00D44D33">
        <w:rPr>
          <w:rStyle w:val="normaltextrun"/>
          <w:lang w:eastAsia="en-US"/>
        </w:rPr>
        <w:t>których</w:t>
      </w:r>
      <w:r w:rsidR="00970B2E" w:rsidRPr="00D44D33">
        <w:rPr>
          <w:rStyle w:val="normaltextrun"/>
          <w:lang w:eastAsia="en-US"/>
        </w:rPr>
        <w:t xml:space="preserve"> </w:t>
      </w:r>
      <w:r w:rsidRPr="00D44D33">
        <w:rPr>
          <w:rStyle w:val="normaltextrun"/>
          <w:lang w:eastAsia="en-US"/>
        </w:rPr>
        <w:t>mowa</w:t>
      </w:r>
      <w:r w:rsidR="00970B2E" w:rsidRPr="00D44D33">
        <w:rPr>
          <w:rStyle w:val="normaltextrun"/>
          <w:lang w:eastAsia="en-US"/>
        </w:rPr>
        <w:t xml:space="preserve"> </w:t>
      </w:r>
      <w:r w:rsidRPr="00D44D33">
        <w:rPr>
          <w:rStyle w:val="normaltextrun"/>
          <w:lang w:eastAsia="en-US"/>
        </w:rPr>
        <w:t>w</w:t>
      </w:r>
      <w:r w:rsidR="00970B2E" w:rsidRPr="00D44D33">
        <w:rPr>
          <w:rStyle w:val="normaltextrun"/>
          <w:lang w:eastAsia="en-US"/>
        </w:rPr>
        <w:t xml:space="preserve"> </w:t>
      </w:r>
      <w:r w:rsidRPr="00D44D33">
        <w:rPr>
          <w:rStyle w:val="normaltextrun"/>
          <w:lang w:eastAsia="en-US"/>
        </w:rPr>
        <w:t>art.</w:t>
      </w:r>
      <w:r w:rsidR="00970B2E" w:rsidRPr="00D44D33">
        <w:rPr>
          <w:rStyle w:val="normaltextrun"/>
          <w:lang w:eastAsia="en-US"/>
        </w:rPr>
        <w:t xml:space="preserve"> </w:t>
      </w:r>
      <w:r w:rsidRPr="00D44D33">
        <w:rPr>
          <w:rStyle w:val="normaltextrun"/>
          <w:lang w:eastAsia="en-US"/>
        </w:rPr>
        <w:t>2</w:t>
      </w:r>
      <w:r w:rsidR="00970B2E" w:rsidRPr="00D44D33">
        <w:rPr>
          <w:rStyle w:val="normaltextrun"/>
          <w:lang w:eastAsia="en-US"/>
        </w:rPr>
        <w:t xml:space="preserve"> </w:t>
      </w:r>
      <w:r w:rsidRPr="00D44D33">
        <w:rPr>
          <w:rStyle w:val="normaltextrun"/>
          <w:lang w:eastAsia="en-US"/>
        </w:rPr>
        <w:t>pkt</w:t>
      </w:r>
      <w:r w:rsidR="00970B2E" w:rsidRPr="00D44D33">
        <w:rPr>
          <w:rStyle w:val="normaltextrun"/>
          <w:lang w:eastAsia="en-US"/>
        </w:rPr>
        <w:t xml:space="preserve"> </w:t>
      </w:r>
      <w:r w:rsidR="004C6E4B" w:rsidRPr="00D44D33">
        <w:rPr>
          <w:rStyle w:val="normaltextrun"/>
          <w:lang w:eastAsia="en-US"/>
        </w:rPr>
        <w:t xml:space="preserve">57 </w:t>
      </w:r>
      <w:r w:rsidRPr="00D44D33">
        <w:rPr>
          <w:rStyle w:val="normaltextrun"/>
          <w:lang w:eastAsia="en-US"/>
        </w:rPr>
        <w:t>lit.</w:t>
      </w:r>
      <w:r w:rsidR="00970B2E" w:rsidRPr="00D44D33">
        <w:rPr>
          <w:rStyle w:val="normaltextrun"/>
          <w:lang w:eastAsia="en-US"/>
        </w:rPr>
        <w:t xml:space="preserve"> </w:t>
      </w:r>
      <w:r w:rsidRPr="00D44D33">
        <w:rPr>
          <w:rStyle w:val="normaltextrun"/>
          <w:lang w:eastAsia="en-US"/>
        </w:rPr>
        <w:t>a</w:t>
      </w:r>
      <w:r w:rsidR="00970B2E" w:rsidRPr="00D44D33">
        <w:rPr>
          <w:rStyle w:val="normaltextrun"/>
          <w:lang w:eastAsia="en-US"/>
        </w:rPr>
        <w:t xml:space="preserve"> </w:t>
      </w:r>
      <w:r w:rsidRPr="00D44D33">
        <w:rPr>
          <w:rStyle w:val="normaltextrun"/>
          <w:lang w:eastAsia="en-US"/>
        </w:rPr>
        <w:t>ustawy</w:t>
      </w:r>
      <w:r w:rsidR="002410E3" w:rsidRPr="00D44D33">
        <w:rPr>
          <w:rStyle w:val="normaltextrun"/>
          <w:lang w:eastAsia="en-US"/>
        </w:rPr>
        <w:t>.</w:t>
      </w:r>
    </w:p>
    <w:p w14:paraId="62738218" w14:textId="6943D372" w:rsidR="00C44093" w:rsidRPr="00D44D33" w:rsidRDefault="008D6FF1" w:rsidP="00D44D33">
      <w:pPr>
        <w:spacing w:before="120" w:after="120" w:line="360" w:lineRule="auto"/>
        <w:jc w:val="both"/>
        <w:rPr>
          <w:rFonts w:ascii="Times New Roman" w:hAnsi="Times New Roman" w:cs="Times New Roman"/>
          <w:bCs/>
          <w:sz w:val="24"/>
          <w:szCs w:val="24"/>
        </w:rPr>
      </w:pPr>
      <w:r w:rsidRPr="00D44D33">
        <w:rPr>
          <w:rFonts w:ascii="Times New Roman" w:hAnsi="Times New Roman" w:cs="Times New Roman"/>
          <w:sz w:val="24"/>
          <w:szCs w:val="24"/>
        </w:rPr>
        <w:t>Wtedy</w:t>
      </w:r>
      <w:r w:rsidR="00970B2E" w:rsidRPr="00D44D33">
        <w:rPr>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termin</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na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złożenie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powiadomien</w:t>
      </w:r>
      <w:r w:rsidR="00AA0F0D" w:rsidRPr="00D44D33">
        <w:rPr>
          <w:rStyle w:val="normaltextrun"/>
          <w:rFonts w:ascii="Times New Roman" w:hAnsi="Times New Roman" w:cs="Times New Roman"/>
          <w:sz w:val="24"/>
          <w:szCs w:val="24"/>
        </w:rPr>
        <w:t>ia</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przed</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migracją</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jest</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krótszy</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i</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wynosi</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3</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zamiast</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12</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miesięcy</w:t>
      </w:r>
      <w:r w:rsidRPr="00D44D33">
        <w:rPr>
          <w:rStyle w:val="normaltextrun"/>
          <w:rFonts w:ascii="Times New Roman" w:hAnsi="Times New Roman" w:cs="Times New Roman"/>
          <w:sz w:val="24"/>
          <w:szCs w:val="24"/>
        </w:rPr>
        <w:t>.</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Operator</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dodatkowo</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załącza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również</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oświadczenie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spełnieniu</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warunku</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wskazanego</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ust.</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2</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pkt</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1</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lub</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2.</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To</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oświadczenie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wraz</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wykazem,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harmonogramem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i</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warunkami</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determinuje,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który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ww.</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trybów</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zastosowanie.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Zgodnie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trybem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szczególnym</w:t>
      </w:r>
      <w:r w:rsidR="00AA0F0D" w:rsidRPr="00D44D33">
        <w:rPr>
          <w:rStyle w:val="normaltextrun"/>
          <w:rFonts w:ascii="Times New Roman" w:hAnsi="Times New Roman" w:cs="Times New Roman"/>
          <w:sz w:val="24"/>
          <w:szCs w:val="24"/>
        </w:rPr>
        <w:t>,</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zastosowanie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ma</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instytucja</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zgody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milczącej.</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Prezes</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UKE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3</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miesiące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na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wydanie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decyzji,</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przy</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czym</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należy</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podkreślić,</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że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trakcie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biegu</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terminu</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może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też</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wskazać</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nowy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termin</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załatwienia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sprawy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formie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postanowienia.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Wtedy</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postępowanie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będzie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prowadzone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zgodnie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trybem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„ogólnym”</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i</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danej</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sprawie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(związanej</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z</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konkretnym</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powiadomieniem</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o</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migracji)</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nie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ma</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zastosowanie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milcząca</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zgoda</w:t>
      </w:r>
      <w:r w:rsidRPr="00D44D33">
        <w:rPr>
          <w:rStyle w:val="normaltextrun"/>
          <w:rFonts w:ascii="Times New Roman" w:hAnsi="Times New Roman" w:cs="Times New Roman"/>
          <w:sz w:val="24"/>
          <w:szCs w:val="24"/>
        </w:rPr>
        <w:t>.</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Poza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ww.</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zastrzeżeniem,</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zastosowanie</w:t>
      </w:r>
      <w:r w:rsidR="00970B2E" w:rsidRPr="00D44D33">
        <w:rPr>
          <w:rStyle w:val="normaltextrun"/>
          <w:rFonts w:ascii="Times New Roman" w:hAnsi="Times New Roman" w:cs="Times New Roman"/>
          <w:sz w:val="24"/>
          <w:szCs w:val="24"/>
        </w:rPr>
        <w:t xml:space="preserve"> </w:t>
      </w:r>
      <w:r w:rsidR="00AA0F0D" w:rsidRPr="00D44D33">
        <w:rPr>
          <w:rStyle w:val="normaltextrun"/>
          <w:rFonts w:ascii="Times New Roman" w:hAnsi="Times New Roman" w:cs="Times New Roman"/>
          <w:sz w:val="24"/>
          <w:szCs w:val="24"/>
        </w:rPr>
        <w:t>ma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instytucja</w:t>
      </w:r>
      <w:r w:rsidR="00970B2E" w:rsidRPr="00D44D33">
        <w:rPr>
          <w:rStyle w:val="normaltextrun"/>
          <w:rFonts w:ascii="Times New Roman" w:hAnsi="Times New Roman" w:cs="Times New Roman"/>
          <w:sz w:val="24"/>
          <w:szCs w:val="24"/>
        </w:rPr>
        <w:t xml:space="preserve"> </w:t>
      </w:r>
      <w:r w:rsidR="00B77ED0" w:rsidRPr="00D44D33">
        <w:rPr>
          <w:rStyle w:val="normaltextrun"/>
          <w:rFonts w:ascii="Times New Roman" w:hAnsi="Times New Roman" w:cs="Times New Roman"/>
          <w:sz w:val="24"/>
          <w:szCs w:val="24"/>
        </w:rPr>
        <w:t>milczącego załatwienia sprawy</w:t>
      </w:r>
      <w:r w:rsidR="00B77ED0" w:rsidRPr="00D44D33" w:rsidDel="00B77ED0">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określona</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w</w:t>
      </w:r>
      <w:r w:rsidR="00970B2E" w:rsidRPr="00D44D33">
        <w:rPr>
          <w:rStyle w:val="normaltextrun"/>
          <w:rFonts w:ascii="Times New Roman" w:hAnsi="Times New Roman" w:cs="Times New Roman"/>
          <w:sz w:val="24"/>
          <w:szCs w:val="24"/>
        </w:rPr>
        <w:t xml:space="preserve"> </w:t>
      </w:r>
      <w:r w:rsidR="002410E3" w:rsidRPr="00D44D33">
        <w:rPr>
          <w:rStyle w:val="normaltextrun"/>
          <w:rFonts w:ascii="Times New Roman" w:hAnsi="Times New Roman" w:cs="Times New Roman"/>
          <w:sz w:val="24"/>
          <w:szCs w:val="24"/>
        </w:rPr>
        <w:t>d</w:t>
      </w:r>
      <w:r w:rsidRPr="00D44D33">
        <w:rPr>
          <w:rStyle w:val="normaltextrun"/>
          <w:rFonts w:ascii="Times New Roman" w:hAnsi="Times New Roman" w:cs="Times New Roman"/>
          <w:sz w:val="24"/>
          <w:szCs w:val="24"/>
        </w:rPr>
        <w:t>ziale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II</w:t>
      </w:r>
      <w:r w:rsidR="00970B2E" w:rsidRPr="00D44D33">
        <w:rPr>
          <w:rStyle w:val="normaltextrun"/>
          <w:rFonts w:ascii="Times New Roman" w:hAnsi="Times New Roman" w:cs="Times New Roman"/>
          <w:sz w:val="24"/>
          <w:szCs w:val="24"/>
        </w:rPr>
        <w:t xml:space="preserve"> </w:t>
      </w:r>
      <w:r w:rsidR="002410E3" w:rsidRPr="00D44D33">
        <w:rPr>
          <w:rStyle w:val="normaltextrun"/>
          <w:rFonts w:ascii="Times New Roman" w:hAnsi="Times New Roman" w:cs="Times New Roman"/>
          <w:sz w:val="24"/>
          <w:szCs w:val="24"/>
        </w:rPr>
        <w:t>r</w:t>
      </w:r>
      <w:r w:rsidRPr="00D44D33">
        <w:rPr>
          <w:rStyle w:val="normaltextrun"/>
          <w:rFonts w:ascii="Times New Roman" w:hAnsi="Times New Roman" w:cs="Times New Roman"/>
          <w:sz w:val="24"/>
          <w:szCs w:val="24"/>
        </w:rPr>
        <w:t>ozdziale</w:t>
      </w:r>
      <w:r w:rsidR="00970B2E" w:rsidRPr="00D44D33">
        <w:rPr>
          <w:rStyle w:val="normaltextrun"/>
          <w:rFonts w:ascii="Times New Roman" w:hAnsi="Times New Roman" w:cs="Times New Roman"/>
          <w:sz w:val="24"/>
          <w:szCs w:val="24"/>
        </w:rPr>
        <w:t xml:space="preserve"> </w:t>
      </w:r>
      <w:r w:rsidRPr="00D44D33">
        <w:rPr>
          <w:rStyle w:val="normaltextrun"/>
          <w:rFonts w:ascii="Times New Roman" w:hAnsi="Times New Roman" w:cs="Times New Roman"/>
          <w:sz w:val="24"/>
          <w:szCs w:val="24"/>
        </w:rPr>
        <w:t>8</w:t>
      </w:r>
      <w:r w:rsidR="002410E3" w:rsidRPr="00D44D33">
        <w:rPr>
          <w:rStyle w:val="normaltextrun"/>
          <w:rFonts w:ascii="Times New Roman" w:hAnsi="Times New Roman" w:cs="Times New Roman"/>
          <w:sz w:val="24"/>
          <w:szCs w:val="24"/>
        </w:rPr>
        <w:t>a</w:t>
      </w:r>
      <w:r w:rsidR="00970B2E" w:rsidRPr="00D44D33">
        <w:rPr>
          <w:rStyle w:val="normaltextrun"/>
          <w:rFonts w:ascii="Times New Roman" w:hAnsi="Times New Roman" w:cs="Times New Roman"/>
          <w:sz w:val="24"/>
          <w:szCs w:val="24"/>
        </w:rPr>
        <w:t xml:space="preserve"> </w:t>
      </w:r>
      <w:r w:rsidR="002410E3" w:rsidRPr="00D44D33">
        <w:rPr>
          <w:rStyle w:val="normaltextrun"/>
          <w:rFonts w:ascii="Times New Roman" w:hAnsi="Times New Roman" w:cs="Times New Roman"/>
          <w:sz w:val="24"/>
          <w:szCs w:val="24"/>
        </w:rPr>
        <w:t>k</w:t>
      </w:r>
      <w:r w:rsidRPr="00D44D33">
        <w:rPr>
          <w:rStyle w:val="normaltextrun"/>
          <w:rFonts w:ascii="Times New Roman" w:hAnsi="Times New Roman" w:cs="Times New Roman"/>
          <w:sz w:val="24"/>
          <w:szCs w:val="24"/>
        </w:rPr>
        <w:t>pa.</w:t>
      </w:r>
    </w:p>
    <w:p w14:paraId="1428FFBE" w14:textId="6A13BA97" w:rsidR="001F28F0" w:rsidRPr="00D44D33" w:rsidRDefault="00177A0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3</w:t>
      </w:r>
    </w:p>
    <w:p w14:paraId="0452ACB6" w14:textId="03E7CC82" w:rsidR="00177A02" w:rsidRPr="00D44D33" w:rsidRDefault="00177A0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Ograniczenia</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na</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rynkach</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detalicznych</w:t>
      </w:r>
    </w:p>
    <w:p w14:paraId="72B87B5C" w14:textId="60274952" w:rsidR="00C51F2B" w:rsidRPr="00D44D33" w:rsidRDefault="00271009"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4C22" w:rsidRPr="00D44D33">
        <w:rPr>
          <w:rFonts w:ascii="Times New Roman" w:eastAsiaTheme="minorEastAsia" w:hAnsi="Times New Roman" w:cs="Times New Roman"/>
          <w:b/>
          <w:bCs/>
          <w:sz w:val="24"/>
          <w:szCs w:val="24"/>
        </w:rPr>
        <w:t>231</w:t>
      </w:r>
    </w:p>
    <w:p w14:paraId="2A616FEF" w14:textId="432D4F14" w:rsidR="00A66152" w:rsidRPr="00D44D33" w:rsidRDefault="00727A6C" w:rsidP="00D44D33">
      <w:pPr>
        <w:pStyle w:val="CZWSPPKTczwsplnapunktw"/>
        <w:spacing w:before="120" w:after="120" w:line="360" w:lineRule="auto"/>
        <w:rPr>
          <w:rFonts w:eastAsiaTheme="minorEastAsia" w:cs="Times New Roman"/>
          <w:sz w:val="24"/>
          <w:szCs w:val="24"/>
        </w:rPr>
      </w:pPr>
      <w:r w:rsidRPr="00D44D33">
        <w:rPr>
          <w:rFonts w:eastAsiaTheme="minorEastAsia" w:cs="Times New Roman"/>
          <w:sz w:val="24"/>
          <w:szCs w:val="24"/>
        </w:rPr>
        <w:t>Projektowany</w:t>
      </w:r>
      <w:r w:rsidR="00970B2E" w:rsidRPr="00D44D33">
        <w:rPr>
          <w:rFonts w:eastAsiaTheme="minorEastAsia" w:cs="Times New Roman"/>
          <w:sz w:val="24"/>
          <w:szCs w:val="24"/>
        </w:rPr>
        <w:t xml:space="preserve"> </w:t>
      </w:r>
      <w:r w:rsidRPr="00D44D33">
        <w:rPr>
          <w:rFonts w:eastAsiaTheme="minorEastAsia" w:cs="Times New Roman"/>
          <w:sz w:val="24"/>
          <w:szCs w:val="24"/>
        </w:rPr>
        <w:t>przepis</w:t>
      </w:r>
      <w:r w:rsidR="00970B2E" w:rsidRPr="00D44D33">
        <w:rPr>
          <w:rFonts w:eastAsiaTheme="minorEastAsia" w:cs="Times New Roman"/>
          <w:sz w:val="24"/>
          <w:szCs w:val="24"/>
        </w:rPr>
        <w:t xml:space="preserve"> </w:t>
      </w:r>
      <w:r w:rsidRPr="00D44D33">
        <w:rPr>
          <w:rFonts w:eastAsiaTheme="minorEastAsia" w:cs="Times New Roman"/>
          <w:sz w:val="24"/>
          <w:szCs w:val="24"/>
        </w:rPr>
        <w:t>dotyczy</w:t>
      </w:r>
      <w:r w:rsidR="00970B2E" w:rsidRPr="00D44D33">
        <w:rPr>
          <w:rFonts w:eastAsiaTheme="minorEastAsia" w:cs="Times New Roman"/>
          <w:sz w:val="24"/>
          <w:szCs w:val="24"/>
        </w:rPr>
        <w:t xml:space="preserve"> </w:t>
      </w:r>
      <w:r w:rsidRPr="00D44D33">
        <w:rPr>
          <w:rFonts w:eastAsiaTheme="minorEastAsia" w:cs="Times New Roman"/>
          <w:sz w:val="24"/>
          <w:szCs w:val="24"/>
        </w:rPr>
        <w:t>nakładania</w:t>
      </w:r>
      <w:r w:rsidR="00970B2E" w:rsidRPr="00D44D33">
        <w:rPr>
          <w:rFonts w:eastAsiaTheme="minorEastAsia" w:cs="Times New Roman"/>
          <w:sz w:val="24"/>
          <w:szCs w:val="24"/>
        </w:rPr>
        <w:t xml:space="preserve"> </w:t>
      </w:r>
      <w:r w:rsidRPr="00D44D33">
        <w:rPr>
          <w:rFonts w:eastAsiaTheme="minorEastAsia" w:cs="Times New Roman"/>
          <w:sz w:val="24"/>
          <w:szCs w:val="24"/>
        </w:rPr>
        <w:t>obowiązków</w:t>
      </w:r>
      <w:r w:rsidR="00970B2E" w:rsidRPr="00D44D33">
        <w:rPr>
          <w:rFonts w:eastAsiaTheme="minorEastAsia" w:cs="Times New Roman"/>
          <w:sz w:val="24"/>
          <w:szCs w:val="24"/>
        </w:rPr>
        <w:t xml:space="preserve"> </w:t>
      </w:r>
      <w:r w:rsidRPr="00D44D33">
        <w:rPr>
          <w:rFonts w:eastAsiaTheme="minorEastAsia" w:cs="Times New Roman"/>
          <w:sz w:val="24"/>
          <w:szCs w:val="24"/>
        </w:rPr>
        <w:t>na</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przedsiębiorcę</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telekomunikacyjnego</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o</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znaczącej</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pozycji</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rynkowej</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na</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rynku</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usług</w:t>
      </w:r>
      <w:r w:rsidR="00970B2E" w:rsidRPr="00D44D33">
        <w:rPr>
          <w:rFonts w:eastAsiaTheme="minorEastAsia" w:cs="Times New Roman"/>
          <w:sz w:val="24"/>
          <w:szCs w:val="24"/>
        </w:rPr>
        <w:t xml:space="preserve"> </w:t>
      </w:r>
      <w:r w:rsidR="00074179" w:rsidRPr="00D44D33">
        <w:rPr>
          <w:rFonts w:eastAsiaTheme="minorEastAsia" w:cs="Times New Roman"/>
          <w:sz w:val="24"/>
          <w:szCs w:val="24"/>
        </w:rPr>
        <w:t>detalicznych</w:t>
      </w:r>
      <w:r w:rsidR="00970B2E" w:rsidRPr="00D44D33">
        <w:rPr>
          <w:rFonts w:eastAsiaTheme="minorEastAsia" w:cs="Times New Roman"/>
          <w:sz w:val="24"/>
          <w:szCs w:val="24"/>
        </w:rPr>
        <w:t xml:space="preserve"> </w:t>
      </w:r>
      <w:r w:rsidRPr="00D44D33">
        <w:rPr>
          <w:rFonts w:eastAsiaTheme="minorEastAsia" w:cs="Times New Roman"/>
          <w:sz w:val="24"/>
          <w:szCs w:val="24"/>
        </w:rPr>
        <w:t>i</w:t>
      </w:r>
      <w:r w:rsidR="00970B2E" w:rsidRPr="00D44D33">
        <w:rPr>
          <w:rFonts w:eastAsiaTheme="minorEastAsia" w:cs="Times New Roman"/>
          <w:sz w:val="24"/>
          <w:szCs w:val="24"/>
        </w:rPr>
        <w:t xml:space="preserve"> </w:t>
      </w:r>
      <w:r w:rsidRPr="00D44D33">
        <w:rPr>
          <w:rFonts w:eastAsiaTheme="minorEastAsia" w:cs="Times New Roman"/>
          <w:sz w:val="24"/>
          <w:szCs w:val="24"/>
        </w:rPr>
        <w:t>nie</w:t>
      </w:r>
      <w:r w:rsidR="00970B2E" w:rsidRPr="00D44D33">
        <w:rPr>
          <w:rFonts w:eastAsiaTheme="minorEastAsia" w:cs="Times New Roman"/>
          <w:sz w:val="24"/>
          <w:szCs w:val="24"/>
        </w:rPr>
        <w:t xml:space="preserve"> </w:t>
      </w:r>
      <w:r w:rsidRPr="00D44D33">
        <w:rPr>
          <w:rFonts w:eastAsiaTheme="minorEastAsia" w:cs="Times New Roman"/>
          <w:sz w:val="24"/>
          <w:szCs w:val="24"/>
        </w:rPr>
        <w:t>odbiega</w:t>
      </w:r>
      <w:r w:rsidR="00970B2E" w:rsidRPr="00D44D33">
        <w:rPr>
          <w:rFonts w:eastAsiaTheme="minorEastAsia" w:cs="Times New Roman"/>
          <w:sz w:val="24"/>
          <w:szCs w:val="24"/>
        </w:rPr>
        <w:t xml:space="preserve"> </w:t>
      </w:r>
      <w:r w:rsidRPr="00D44D33">
        <w:rPr>
          <w:rFonts w:eastAsiaTheme="minorEastAsia" w:cs="Times New Roman"/>
          <w:sz w:val="24"/>
          <w:szCs w:val="24"/>
        </w:rPr>
        <w:t>w</w:t>
      </w:r>
      <w:r w:rsidR="00970B2E" w:rsidRPr="00D44D33">
        <w:rPr>
          <w:rFonts w:eastAsiaTheme="minorEastAsia" w:cs="Times New Roman"/>
          <w:sz w:val="24"/>
          <w:szCs w:val="24"/>
        </w:rPr>
        <w:t xml:space="preserve"> </w:t>
      </w:r>
      <w:r w:rsidRPr="00D44D33">
        <w:rPr>
          <w:rFonts w:eastAsiaTheme="minorEastAsia" w:cs="Times New Roman"/>
          <w:sz w:val="24"/>
          <w:szCs w:val="24"/>
        </w:rPr>
        <w:t>sposób</w:t>
      </w:r>
      <w:r w:rsidR="00970B2E" w:rsidRPr="00D44D33">
        <w:rPr>
          <w:rFonts w:eastAsiaTheme="minorEastAsia" w:cs="Times New Roman"/>
          <w:sz w:val="24"/>
          <w:szCs w:val="24"/>
        </w:rPr>
        <w:t xml:space="preserve"> </w:t>
      </w:r>
      <w:r w:rsidRPr="00D44D33">
        <w:rPr>
          <w:rFonts w:eastAsiaTheme="minorEastAsia" w:cs="Times New Roman"/>
          <w:sz w:val="24"/>
          <w:szCs w:val="24"/>
        </w:rPr>
        <w:t>zasadniczy</w:t>
      </w:r>
      <w:r w:rsidR="00970B2E" w:rsidRPr="00D44D33">
        <w:rPr>
          <w:rFonts w:eastAsiaTheme="minorEastAsia" w:cs="Times New Roman"/>
          <w:sz w:val="24"/>
          <w:szCs w:val="24"/>
        </w:rPr>
        <w:t xml:space="preserve"> </w:t>
      </w:r>
      <w:r w:rsidRPr="00D44D33">
        <w:rPr>
          <w:rFonts w:eastAsiaTheme="minorEastAsia" w:cs="Times New Roman"/>
          <w:sz w:val="24"/>
          <w:szCs w:val="24"/>
        </w:rPr>
        <w:t>od</w:t>
      </w:r>
      <w:r w:rsidR="00970B2E" w:rsidRPr="00D44D33">
        <w:rPr>
          <w:rFonts w:eastAsiaTheme="minorEastAsia" w:cs="Times New Roman"/>
          <w:sz w:val="24"/>
          <w:szCs w:val="24"/>
        </w:rPr>
        <w:t xml:space="preserve"> </w:t>
      </w:r>
      <w:r w:rsidRPr="00D44D33">
        <w:rPr>
          <w:rFonts w:eastAsiaTheme="minorEastAsia" w:cs="Times New Roman"/>
          <w:sz w:val="24"/>
          <w:szCs w:val="24"/>
        </w:rPr>
        <w:t>dotychczasowej</w:t>
      </w:r>
      <w:r w:rsidR="00970B2E" w:rsidRPr="00D44D33">
        <w:rPr>
          <w:rFonts w:eastAsiaTheme="minorEastAsia" w:cs="Times New Roman"/>
          <w:sz w:val="24"/>
          <w:szCs w:val="24"/>
        </w:rPr>
        <w:t xml:space="preserve"> </w:t>
      </w:r>
      <w:r w:rsidRPr="00D44D33">
        <w:rPr>
          <w:rFonts w:eastAsiaTheme="minorEastAsia" w:cs="Times New Roman"/>
          <w:sz w:val="24"/>
          <w:szCs w:val="24"/>
        </w:rPr>
        <w:t>treści</w:t>
      </w:r>
      <w:r w:rsidR="00970B2E" w:rsidRPr="00D44D33">
        <w:rPr>
          <w:rFonts w:eastAsiaTheme="minorEastAsia" w:cs="Times New Roman"/>
          <w:sz w:val="24"/>
          <w:szCs w:val="24"/>
        </w:rPr>
        <w:t xml:space="preserve"> </w:t>
      </w:r>
      <w:r w:rsidRPr="00D44D33">
        <w:rPr>
          <w:rFonts w:eastAsiaTheme="minorEastAsia" w:cs="Times New Roman"/>
          <w:sz w:val="24"/>
          <w:szCs w:val="24"/>
        </w:rPr>
        <w:t>art.</w:t>
      </w:r>
      <w:r w:rsidR="00970B2E" w:rsidRPr="00D44D33">
        <w:rPr>
          <w:rFonts w:eastAsiaTheme="minorEastAsia" w:cs="Times New Roman"/>
          <w:sz w:val="24"/>
          <w:szCs w:val="24"/>
        </w:rPr>
        <w:t xml:space="preserve"> </w:t>
      </w:r>
      <w:r w:rsidRPr="00D44D33">
        <w:rPr>
          <w:rFonts w:eastAsiaTheme="minorEastAsia" w:cs="Times New Roman"/>
          <w:sz w:val="24"/>
          <w:szCs w:val="24"/>
        </w:rPr>
        <w:t>46</w:t>
      </w:r>
      <w:r w:rsidR="00970B2E" w:rsidRPr="00D44D33">
        <w:rPr>
          <w:rFonts w:eastAsiaTheme="minorEastAsia" w:cs="Times New Roman"/>
          <w:sz w:val="24"/>
          <w:szCs w:val="24"/>
        </w:rPr>
        <w:t xml:space="preserve"> </w:t>
      </w:r>
      <w:r w:rsidRPr="00D44D33">
        <w:rPr>
          <w:rFonts w:eastAsiaTheme="minorEastAsia" w:cs="Times New Roman"/>
          <w:sz w:val="24"/>
          <w:szCs w:val="24"/>
        </w:rPr>
        <w:t>Pt</w:t>
      </w:r>
      <w:r w:rsidR="00A66152" w:rsidRPr="00D44D33">
        <w:rPr>
          <w:rFonts w:eastAsiaTheme="minorEastAsia" w:cs="Times New Roman"/>
          <w:sz w:val="24"/>
          <w:szCs w:val="24"/>
        </w:rPr>
        <w:t>,</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z</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tym</w:t>
      </w:r>
      <w:r w:rsidR="79EB1062" w:rsidRPr="00D44D33">
        <w:rPr>
          <w:rFonts w:eastAsiaTheme="minorEastAsia" w:cs="Times New Roman"/>
          <w:sz w:val="24"/>
          <w:szCs w:val="24"/>
        </w:rPr>
        <w:t>,</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że</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dotyczy</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obowiązków</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nakładanych</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na</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przedsiębiorcę</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komunikacji</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elektronicznej</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o</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znaczącej</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pozycji</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rynkowej</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na</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danym</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rynku</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detalicznym.</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Zakres</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ten</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jest</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zatem</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szerszy</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niż</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dotychczas</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obowiązujący</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na</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gruncie</w:t>
      </w:r>
      <w:r w:rsidR="00970B2E" w:rsidRPr="00D44D33">
        <w:rPr>
          <w:rFonts w:eastAsiaTheme="minorEastAsia" w:cs="Times New Roman"/>
          <w:sz w:val="24"/>
          <w:szCs w:val="24"/>
        </w:rPr>
        <w:t xml:space="preserve"> </w:t>
      </w:r>
      <w:r w:rsidR="00110F4E" w:rsidRPr="00D44D33">
        <w:rPr>
          <w:rFonts w:eastAsiaTheme="minorEastAsia" w:cs="Times New Roman"/>
          <w:sz w:val="24"/>
          <w:szCs w:val="24"/>
        </w:rPr>
        <w:t>Pt</w:t>
      </w:r>
      <w:r w:rsidR="00A66152" w:rsidRPr="00D44D33">
        <w:rPr>
          <w:rFonts w:eastAsiaTheme="minorEastAsia" w:cs="Times New Roman"/>
          <w:sz w:val="24"/>
          <w:szCs w:val="24"/>
        </w:rPr>
        <w:t>,</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który</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obejmował</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przedsiębiorców</w:t>
      </w:r>
      <w:r w:rsidR="00970B2E" w:rsidRPr="00D44D33">
        <w:rPr>
          <w:rFonts w:eastAsiaTheme="minorEastAsia" w:cs="Times New Roman"/>
          <w:sz w:val="24"/>
          <w:szCs w:val="24"/>
        </w:rPr>
        <w:t xml:space="preserve"> </w:t>
      </w:r>
      <w:r w:rsidR="00A66152" w:rsidRPr="00D44D33">
        <w:rPr>
          <w:rFonts w:eastAsiaTheme="minorEastAsia" w:cs="Times New Roman"/>
          <w:sz w:val="24"/>
          <w:szCs w:val="24"/>
        </w:rPr>
        <w:t>telekomunikacyjnych.</w:t>
      </w:r>
    </w:p>
    <w:p w14:paraId="770FF2DF" w14:textId="69F902E4" w:rsidR="00C51F2B" w:rsidRPr="00D44D33" w:rsidRDefault="00692D0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Rynkami</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detalicznymi</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rynki</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560267"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nakładane</w:t>
      </w:r>
      <w:r w:rsidR="21C74C0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analiza</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wykaże,</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rynek</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detaliczny</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skutecznie</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konkurencyjny</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C10E2B"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36469A" w:rsidRPr="00D44D33">
        <w:rPr>
          <w:rFonts w:ascii="Times New Roman" w:eastAsiaTheme="minorEastAsia" w:hAnsi="Times New Roman" w:cs="Times New Roman"/>
          <w:sz w:val="24"/>
          <w:szCs w:val="24"/>
        </w:rPr>
        <w:t>dostępowe</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doprowadziły</w:t>
      </w:r>
      <w:r w:rsidR="00FF788A"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00327071" w:rsidRPr="00D44D33">
        <w:rPr>
          <w:rFonts w:ascii="Times New Roman" w:eastAsiaTheme="minorEastAsia" w:hAnsi="Times New Roman" w:cs="Times New Roman"/>
          <w:sz w:val="24"/>
          <w:szCs w:val="24"/>
        </w:rPr>
        <w:t>regulacyjnej</w:t>
      </w:r>
      <w:r w:rsidR="00074179" w:rsidRPr="00D44D33">
        <w:rPr>
          <w:rFonts w:ascii="Times New Roman" w:eastAsiaTheme="minorEastAsia" w:hAnsi="Times New Roman" w:cs="Times New Roman"/>
          <w:sz w:val="24"/>
          <w:szCs w:val="24"/>
        </w:rPr>
        <w:t>.</w:t>
      </w:r>
    </w:p>
    <w:p w14:paraId="39E5470E" w14:textId="10F0E628" w:rsidR="00711B17" w:rsidRPr="00D44D33" w:rsidRDefault="00182FE3" w:rsidP="00D44D33">
      <w:pPr>
        <w:spacing w:before="120" w:after="120" w:line="360" w:lineRule="auto"/>
        <w:jc w:val="center"/>
        <w:rPr>
          <w:rStyle w:val="articletitle"/>
          <w:rFonts w:ascii="Times New Roman" w:eastAsiaTheme="minorEastAsia" w:hAnsi="Times New Roman" w:cs="Times New Roman"/>
          <w:b/>
          <w:bCs/>
          <w:sz w:val="24"/>
          <w:szCs w:val="24"/>
        </w:rPr>
      </w:pPr>
      <w:r w:rsidRPr="00D44D33">
        <w:rPr>
          <w:rStyle w:val="articletitle"/>
          <w:rFonts w:ascii="Times New Roman" w:eastAsiaTheme="minorEastAsia" w:hAnsi="Times New Roman" w:cs="Times New Roman"/>
          <w:b/>
          <w:bCs/>
          <w:sz w:val="24"/>
          <w:szCs w:val="24"/>
        </w:rPr>
        <w:t>Art.</w:t>
      </w:r>
      <w:r w:rsidR="00970B2E" w:rsidRPr="00D44D33">
        <w:rPr>
          <w:rStyle w:val="articletitle"/>
          <w:rFonts w:ascii="Times New Roman" w:eastAsiaTheme="minorEastAsia" w:hAnsi="Times New Roman" w:cs="Times New Roman"/>
          <w:b/>
          <w:bCs/>
          <w:sz w:val="24"/>
          <w:szCs w:val="24"/>
        </w:rPr>
        <w:t xml:space="preserve"> </w:t>
      </w:r>
      <w:r w:rsidR="00354C22" w:rsidRPr="00D44D33">
        <w:rPr>
          <w:rStyle w:val="articletitle"/>
          <w:rFonts w:ascii="Times New Roman" w:eastAsiaTheme="minorEastAsia" w:hAnsi="Times New Roman" w:cs="Times New Roman"/>
          <w:b/>
          <w:bCs/>
          <w:sz w:val="24"/>
          <w:szCs w:val="24"/>
        </w:rPr>
        <w:t>232</w:t>
      </w:r>
    </w:p>
    <w:p w14:paraId="2BE3A93F" w14:textId="60091FE1" w:rsidR="000E527A" w:rsidRPr="00D44D33" w:rsidRDefault="000E527A" w:rsidP="00D44D33">
      <w:pPr>
        <w:spacing w:before="120" w:after="120" w:line="360" w:lineRule="auto"/>
        <w:jc w:val="both"/>
        <w:rPr>
          <w:rStyle w:val="articletitle"/>
          <w:rFonts w:ascii="Times New Roman" w:eastAsiaTheme="minorEastAsia" w:hAnsi="Times New Roman" w:cs="Times New Roman"/>
          <w:sz w:val="24"/>
          <w:szCs w:val="24"/>
        </w:rPr>
      </w:pPr>
      <w:r w:rsidRPr="00D44D33">
        <w:rPr>
          <w:rStyle w:val="articletitle"/>
          <w:rFonts w:ascii="Times New Roman" w:eastAsiaTheme="minorEastAsia" w:hAnsi="Times New Roman" w:cs="Times New Roman"/>
          <w:sz w:val="24"/>
          <w:szCs w:val="24"/>
        </w:rPr>
        <w:t>Projektowany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przepis</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jest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analogiczny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do</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dotychczasowej</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regulacji</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zawartej</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Pt</w:t>
      </w:r>
      <w:r w:rsidR="00A76FAD"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r w:rsidR="00A76FAD" w:rsidRPr="00D44D33">
        <w:rPr>
          <w:rStyle w:val="articletitle"/>
          <w:rFonts w:ascii="Times New Roman" w:eastAsiaTheme="minorEastAsia" w:hAnsi="Times New Roman" w:cs="Times New Roman"/>
          <w:sz w:val="24"/>
          <w:szCs w:val="24"/>
        </w:rPr>
        <w:t>z</w:t>
      </w:r>
      <w:r w:rsidR="00970B2E" w:rsidRPr="00D44D33">
        <w:rPr>
          <w:rStyle w:val="articletitle"/>
          <w:rFonts w:ascii="Times New Roman" w:eastAsiaTheme="minorEastAsia" w:hAnsi="Times New Roman" w:cs="Times New Roman"/>
          <w:sz w:val="24"/>
          <w:szCs w:val="24"/>
        </w:rPr>
        <w:t xml:space="preserve"> </w:t>
      </w:r>
      <w:r w:rsidR="00A76FAD" w:rsidRPr="00D44D33">
        <w:rPr>
          <w:rStyle w:val="articletitle"/>
          <w:rFonts w:ascii="Times New Roman" w:eastAsiaTheme="minorEastAsia" w:hAnsi="Times New Roman" w:cs="Times New Roman"/>
          <w:sz w:val="24"/>
          <w:szCs w:val="24"/>
        </w:rPr>
        <w:t>tą</w:t>
      </w:r>
      <w:r w:rsidR="00970B2E" w:rsidRPr="00D44D33">
        <w:rPr>
          <w:rStyle w:val="articletitle"/>
          <w:rFonts w:ascii="Times New Roman" w:eastAsiaTheme="minorEastAsia" w:hAnsi="Times New Roman" w:cs="Times New Roman"/>
          <w:sz w:val="24"/>
          <w:szCs w:val="24"/>
        </w:rPr>
        <w:t xml:space="preserve"> </w:t>
      </w:r>
      <w:r w:rsidR="00A76FAD" w:rsidRPr="00D44D33">
        <w:rPr>
          <w:rStyle w:val="articletitle"/>
          <w:rFonts w:ascii="Times New Roman" w:eastAsiaTheme="minorEastAsia" w:hAnsi="Times New Roman" w:cs="Times New Roman"/>
          <w:sz w:val="24"/>
          <w:szCs w:val="24"/>
        </w:rPr>
        <w:t>różnicą,</w:t>
      </w:r>
      <w:r w:rsidR="00970B2E" w:rsidRPr="00D44D33">
        <w:rPr>
          <w:rStyle w:val="articletitle"/>
          <w:rFonts w:ascii="Times New Roman" w:eastAsiaTheme="minorEastAsia" w:hAnsi="Times New Roman" w:cs="Times New Roman"/>
          <w:sz w:val="24"/>
          <w:szCs w:val="24"/>
        </w:rPr>
        <w:t xml:space="preserve"> </w:t>
      </w:r>
      <w:r w:rsidR="00A76FAD" w:rsidRPr="00D44D33">
        <w:rPr>
          <w:rStyle w:val="articletitle"/>
          <w:rFonts w:ascii="Times New Roman" w:eastAsiaTheme="minorEastAsia" w:hAnsi="Times New Roman" w:cs="Times New Roman"/>
          <w:sz w:val="24"/>
          <w:szCs w:val="24"/>
        </w:rPr>
        <w:t>iż</w:t>
      </w:r>
      <w:r w:rsidR="00970B2E" w:rsidRPr="00D44D33">
        <w:rPr>
          <w:rStyle w:val="articletitle"/>
          <w:rFonts w:ascii="Times New Roman" w:eastAsiaTheme="minorEastAsia" w:hAnsi="Times New Roman" w:cs="Times New Roman"/>
          <w:sz w:val="24"/>
          <w:szCs w:val="24"/>
        </w:rPr>
        <w:t xml:space="preserve"> </w:t>
      </w:r>
      <w:r w:rsidR="00A76FAD" w:rsidRPr="00D44D33">
        <w:rPr>
          <w:rStyle w:val="articletitle"/>
          <w:rFonts w:ascii="Times New Roman" w:eastAsiaTheme="minorEastAsia" w:hAnsi="Times New Roman" w:cs="Times New Roman"/>
          <w:sz w:val="24"/>
          <w:szCs w:val="24"/>
        </w:rPr>
        <w:t>dotyczy</w:t>
      </w:r>
      <w:r w:rsidR="00970B2E" w:rsidRPr="00D44D33">
        <w:rPr>
          <w:rStyle w:val="articletitle"/>
          <w:rFonts w:ascii="Times New Roman" w:eastAsiaTheme="minorEastAsia" w:hAnsi="Times New Roman" w:cs="Times New Roman"/>
          <w:sz w:val="24"/>
          <w:szCs w:val="24"/>
        </w:rPr>
        <w:t xml:space="preserve"> </w:t>
      </w:r>
      <w:r w:rsidR="00A76FAD"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A76FA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A76FAD" w:rsidRPr="00D44D33">
        <w:rPr>
          <w:rFonts w:ascii="Times New Roman" w:eastAsiaTheme="minorEastAsia" w:hAnsi="Times New Roman" w:cs="Times New Roman"/>
          <w:sz w:val="24"/>
          <w:szCs w:val="24"/>
        </w:rPr>
        <w:t>elektronicznej</w:t>
      </w:r>
      <w:r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Przepis</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dotyczy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przypadku,</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gdy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na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podstawie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projektowanego</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art.</w:t>
      </w:r>
      <w:r w:rsidR="00970B2E" w:rsidRPr="00D44D33">
        <w:rPr>
          <w:rStyle w:val="articletitle"/>
          <w:rFonts w:ascii="Times New Roman" w:eastAsiaTheme="minorEastAsia" w:hAnsi="Times New Roman" w:cs="Times New Roman"/>
          <w:sz w:val="24"/>
          <w:szCs w:val="24"/>
        </w:rPr>
        <w:t xml:space="preserve"> </w:t>
      </w:r>
      <w:r w:rsidR="00BC6457" w:rsidRPr="00D44D33">
        <w:rPr>
          <w:rStyle w:val="articletitle"/>
          <w:rFonts w:ascii="Times New Roman" w:eastAsiaTheme="minorEastAsia" w:hAnsi="Times New Roman" w:cs="Times New Roman"/>
          <w:sz w:val="24"/>
          <w:szCs w:val="24"/>
        </w:rPr>
        <w:t xml:space="preserve">231 ust. 3 pkt 4 </w:t>
      </w:r>
      <w:r w:rsidRPr="00D44D33">
        <w:rPr>
          <w:rStyle w:val="articletitle"/>
          <w:rFonts w:ascii="Times New Roman" w:eastAsiaTheme="minorEastAsia" w:hAnsi="Times New Roman" w:cs="Times New Roman"/>
          <w:sz w:val="24"/>
          <w:szCs w:val="24"/>
        </w:rPr>
        <w:t>Prezes</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nałoży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obowiązek</w:t>
      </w:r>
      <w:r w:rsidR="00970B2E" w:rsidRPr="00D44D33">
        <w:rPr>
          <w:rStyle w:val="articletitle"/>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przedumownych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Możliwość</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nałożenia</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takiego</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obowiązku</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wynika</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z</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art.</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83</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ust.</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2</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EKŁE,</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który</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to</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przepis</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dotyczy</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m.in.</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możliwości</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zastosowania</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środków</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kontroli</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poszczególnych</w:t>
      </w:r>
      <w:r w:rsidR="00970B2E" w:rsidRPr="00D44D33">
        <w:rPr>
          <w:rStyle w:val="articletitle"/>
          <w:rFonts w:ascii="Times New Roman" w:eastAsiaTheme="minorEastAsia" w:hAnsi="Times New Roman" w:cs="Times New Roman"/>
          <w:sz w:val="24"/>
          <w:szCs w:val="24"/>
        </w:rPr>
        <w:t xml:space="preserve"> </w:t>
      </w:r>
      <w:r w:rsidR="00E77547" w:rsidRPr="00D44D33">
        <w:rPr>
          <w:rStyle w:val="articletitle"/>
          <w:rFonts w:ascii="Times New Roman" w:eastAsiaTheme="minorEastAsia" w:hAnsi="Times New Roman" w:cs="Times New Roman"/>
          <w:sz w:val="24"/>
          <w:szCs w:val="24"/>
        </w:rPr>
        <w:t>taryf.</w:t>
      </w:r>
    </w:p>
    <w:p w14:paraId="57E0A276" w14:textId="54ACE879" w:rsidR="00E77547" w:rsidRPr="00D44D33" w:rsidRDefault="00E77547" w:rsidP="00D44D33">
      <w:pPr>
        <w:spacing w:before="120" w:after="120" w:line="360" w:lineRule="auto"/>
        <w:jc w:val="both"/>
        <w:rPr>
          <w:rStyle w:val="articletitle"/>
          <w:rFonts w:ascii="Times New Roman" w:eastAsiaTheme="minorEastAsia" w:hAnsi="Times New Roman" w:cs="Times New Roman"/>
          <w:sz w:val="24"/>
          <w:szCs w:val="24"/>
        </w:rPr>
      </w:pPr>
      <w:r w:rsidRPr="00D44D33">
        <w:rPr>
          <w:rStyle w:val="articletitle"/>
          <w:rFonts w:ascii="Times New Roman" w:eastAsiaTheme="minorEastAsia" w:hAnsi="Times New Roman" w:cs="Times New Roman"/>
          <w:sz w:val="24"/>
          <w:szCs w:val="24"/>
        </w:rPr>
        <w:t>Projektowany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przepis</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uszczegóławia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procedurę</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zatwierdzania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przez</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Prezesa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przedumownych</w:t>
      </w:r>
      <w:r w:rsidR="009F33FE"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zakreślając</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termin</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przedłożenia</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planowanych</w:t>
      </w:r>
      <w:r w:rsidR="00970B2E" w:rsidRPr="00D44D33">
        <w:rPr>
          <w:rStyle w:val="articletitle"/>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przedumownych</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do</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zatwierdzenia,</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przewidując</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możliwość</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zgłoszenia</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sprzeciwu</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przez</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Prezesa</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oraz</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regulując</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kwestie</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publikowania</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na</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stronie</w:t>
      </w:r>
      <w:r w:rsidR="00970B2E" w:rsidRPr="00D44D33">
        <w:rPr>
          <w:rStyle w:val="articletitle"/>
          <w:rFonts w:ascii="Times New Roman" w:eastAsiaTheme="minorEastAsia" w:hAnsi="Times New Roman" w:cs="Times New Roman"/>
          <w:sz w:val="24"/>
          <w:szCs w:val="24"/>
        </w:rPr>
        <w:t xml:space="preserve"> </w:t>
      </w:r>
      <w:r w:rsidR="00110F4E" w:rsidRPr="00D44D33">
        <w:rPr>
          <w:rStyle w:val="articletitle"/>
          <w:rFonts w:ascii="Times New Roman" w:eastAsiaTheme="minorEastAsia" w:hAnsi="Times New Roman" w:cs="Times New Roman"/>
          <w:sz w:val="24"/>
          <w:szCs w:val="24"/>
        </w:rPr>
        <w:t>podmiotowej</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BIP</w:t>
      </w:r>
      <w:r w:rsidR="00970B2E" w:rsidRPr="00D44D33">
        <w:rPr>
          <w:rStyle w:val="articletitle"/>
          <w:rFonts w:ascii="Times New Roman" w:eastAsiaTheme="minorEastAsia" w:hAnsi="Times New Roman" w:cs="Times New Roman"/>
          <w:sz w:val="24"/>
          <w:szCs w:val="24"/>
        </w:rPr>
        <w:t xml:space="preserve"> </w:t>
      </w:r>
      <w:r w:rsidR="009F33FE"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410D8" w:rsidRPr="00D44D33">
        <w:rPr>
          <w:rFonts w:ascii="Times New Roman" w:eastAsiaTheme="minorEastAsia" w:hAnsi="Times New Roman" w:cs="Times New Roman"/>
          <w:sz w:val="24"/>
          <w:szCs w:val="24"/>
        </w:rPr>
        <w:t>przedumownych.</w:t>
      </w:r>
      <w:r w:rsidR="00371EEA">
        <w:rPr>
          <w:rStyle w:val="articletitle"/>
          <w:rFonts w:ascii="Times New Roman" w:eastAsiaTheme="minorEastAsia" w:hAnsi="Times New Roman" w:cs="Times New Roman"/>
          <w:sz w:val="24"/>
          <w:szCs w:val="24"/>
        </w:rPr>
        <w:t xml:space="preserve"> </w:t>
      </w:r>
    </w:p>
    <w:p w14:paraId="20876CC0" w14:textId="5918E536" w:rsidR="001F28F0" w:rsidRPr="00D44D33" w:rsidRDefault="00E67DF9" w:rsidP="00D44D33">
      <w:pPr>
        <w:pStyle w:val="ZROZDZODDZOZNzmoznrozdzoddzartykuempunktem"/>
        <w:spacing w:before="120" w:after="120"/>
        <w:ind w:left="0"/>
        <w:rPr>
          <w:rFonts w:ascii="Times New Roman" w:hAnsi="Times New Roman" w:cs="Times New Roman"/>
          <w:b/>
        </w:rPr>
      </w:pPr>
      <w:r w:rsidRPr="00D44D33">
        <w:rPr>
          <w:rFonts w:ascii="Times New Roman" w:hAnsi="Times New Roman" w:cs="Times New Roman"/>
          <w:b/>
        </w:rPr>
        <w:t>R</w:t>
      </w:r>
      <w:r w:rsidR="00754575" w:rsidRPr="00D44D33">
        <w:rPr>
          <w:rFonts w:ascii="Times New Roman" w:hAnsi="Times New Roman" w:cs="Times New Roman"/>
          <w:b/>
        </w:rPr>
        <w:t>ozdział</w:t>
      </w:r>
      <w:r w:rsidR="00970B2E" w:rsidRPr="00D44D33">
        <w:rPr>
          <w:rFonts w:ascii="Times New Roman" w:hAnsi="Times New Roman" w:cs="Times New Roman"/>
          <w:b/>
        </w:rPr>
        <w:t xml:space="preserve"> </w:t>
      </w:r>
      <w:r w:rsidR="00354C22" w:rsidRPr="00D44D33">
        <w:rPr>
          <w:rFonts w:ascii="Times New Roman" w:hAnsi="Times New Roman" w:cs="Times New Roman"/>
          <w:b/>
        </w:rPr>
        <w:t>4</w:t>
      </w:r>
    </w:p>
    <w:p w14:paraId="5FC57B22" w14:textId="0663C111" w:rsidR="00E67DF9" w:rsidRPr="00D44D33" w:rsidRDefault="00E67DF9" w:rsidP="00D44D33">
      <w:pPr>
        <w:pStyle w:val="ZROZDZODDZOZNzmoznrozdzoddzartykuempunktem"/>
        <w:spacing w:before="120" w:after="120"/>
        <w:ind w:left="0"/>
        <w:rPr>
          <w:rFonts w:ascii="Times New Roman" w:hAnsi="Times New Roman" w:cs="Times New Roman"/>
          <w:b/>
        </w:rPr>
      </w:pPr>
      <w:r w:rsidRPr="00D44D33">
        <w:rPr>
          <w:rFonts w:ascii="Times New Roman" w:hAnsi="Times New Roman" w:cs="Times New Roman"/>
          <w:b/>
        </w:rPr>
        <w:t>Szczegółowe</w:t>
      </w:r>
      <w:r w:rsidR="00970B2E" w:rsidRPr="00D44D33">
        <w:rPr>
          <w:rFonts w:ascii="Times New Roman" w:hAnsi="Times New Roman" w:cs="Times New Roman"/>
          <w:b/>
        </w:rPr>
        <w:t xml:space="preserve"> </w:t>
      </w:r>
      <w:r w:rsidRPr="00D44D33">
        <w:rPr>
          <w:rFonts w:ascii="Times New Roman" w:hAnsi="Times New Roman" w:cs="Times New Roman"/>
          <w:b/>
        </w:rPr>
        <w:t>warunki</w:t>
      </w:r>
      <w:r w:rsidR="00970B2E" w:rsidRPr="00D44D33">
        <w:rPr>
          <w:rFonts w:ascii="Times New Roman" w:hAnsi="Times New Roman" w:cs="Times New Roman"/>
          <w:b/>
        </w:rPr>
        <w:t xml:space="preserve"> </w:t>
      </w:r>
      <w:r w:rsidRPr="00D44D33">
        <w:rPr>
          <w:rFonts w:ascii="Times New Roman" w:hAnsi="Times New Roman" w:cs="Times New Roman"/>
          <w:b/>
        </w:rPr>
        <w:t>regulacyjne</w:t>
      </w:r>
    </w:p>
    <w:p w14:paraId="3611A144" w14:textId="2B1E26BB" w:rsidR="00E67DF9" w:rsidRPr="00D44D33" w:rsidRDefault="00E67DF9" w:rsidP="00D44D33">
      <w:pPr>
        <w:spacing w:before="120" w:after="120" w:line="360" w:lineRule="auto"/>
        <w:jc w:val="both"/>
        <w:rPr>
          <w:rStyle w:val="articletitle"/>
          <w:rFonts w:ascii="Times New Roman" w:eastAsiaTheme="minorEastAsia" w:hAnsi="Times New Roman" w:cs="Times New Roman"/>
          <w:sz w:val="24"/>
          <w:szCs w:val="24"/>
        </w:rPr>
      </w:pPr>
      <w:r w:rsidRPr="00D44D33">
        <w:rPr>
          <w:rStyle w:val="articletitle"/>
          <w:rFonts w:ascii="Times New Roman" w:eastAsiaTheme="minorEastAsia" w:hAnsi="Times New Roman" w:cs="Times New Roman"/>
          <w:sz w:val="24"/>
          <w:szCs w:val="24"/>
        </w:rPr>
        <w:t>Proponowane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przepisy</w:t>
      </w:r>
      <w:r w:rsidR="00970B2E" w:rsidRPr="00D44D33">
        <w:rPr>
          <w:rStyle w:val="articletitle"/>
          <w:rFonts w:ascii="Times New Roman" w:eastAsiaTheme="minorEastAsia" w:hAnsi="Times New Roman" w:cs="Times New Roman"/>
          <w:sz w:val="24"/>
          <w:szCs w:val="24"/>
        </w:rPr>
        <w:t xml:space="preserve"> </w:t>
      </w:r>
      <w:r w:rsidR="002410E3" w:rsidRPr="00D44D33">
        <w:rPr>
          <w:rStyle w:val="articletitle"/>
          <w:rFonts w:ascii="Times New Roman" w:eastAsiaTheme="minorEastAsia" w:hAnsi="Times New Roman" w:cs="Times New Roman"/>
          <w:sz w:val="24"/>
          <w:szCs w:val="24"/>
        </w:rPr>
        <w:t>r</w:t>
      </w:r>
      <w:r w:rsidRPr="00D44D33">
        <w:rPr>
          <w:rStyle w:val="articletitle"/>
          <w:rFonts w:ascii="Times New Roman" w:eastAsiaTheme="minorEastAsia" w:hAnsi="Times New Roman" w:cs="Times New Roman"/>
          <w:sz w:val="24"/>
          <w:szCs w:val="24"/>
        </w:rPr>
        <w:t>ozdziału</w:t>
      </w:r>
      <w:r w:rsidR="00970B2E" w:rsidRPr="00D44D33">
        <w:rPr>
          <w:rStyle w:val="articletitle"/>
          <w:rFonts w:ascii="Times New Roman" w:eastAsiaTheme="minorEastAsia" w:hAnsi="Times New Roman" w:cs="Times New Roman"/>
          <w:sz w:val="24"/>
          <w:szCs w:val="24"/>
        </w:rPr>
        <w:t xml:space="preserve"> </w:t>
      </w:r>
      <w:r w:rsidR="00B30CA9" w:rsidRPr="00D44D33">
        <w:rPr>
          <w:rStyle w:val="articletitle"/>
          <w:rFonts w:ascii="Times New Roman" w:eastAsiaTheme="minorEastAsia" w:hAnsi="Times New Roman" w:cs="Times New Roman"/>
          <w:sz w:val="24"/>
          <w:szCs w:val="24"/>
        </w:rPr>
        <w:t>4</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„Szczegółowe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warunki</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regulacyjne”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art.</w:t>
      </w:r>
      <w:r w:rsidR="00970B2E" w:rsidRPr="00D44D33">
        <w:rPr>
          <w:rStyle w:val="articletitle"/>
          <w:rFonts w:ascii="Times New Roman" w:eastAsiaTheme="minorEastAsia" w:hAnsi="Times New Roman" w:cs="Times New Roman"/>
          <w:sz w:val="24"/>
          <w:szCs w:val="24"/>
        </w:rPr>
        <w:t xml:space="preserve"> </w:t>
      </w:r>
      <w:r w:rsidR="00B30CA9" w:rsidRPr="00D44D33">
        <w:rPr>
          <w:rStyle w:val="articletitle"/>
          <w:rFonts w:ascii="Times New Roman" w:eastAsiaTheme="minorEastAsia" w:hAnsi="Times New Roman" w:cs="Times New Roman"/>
          <w:sz w:val="24"/>
          <w:szCs w:val="24"/>
        </w:rPr>
        <w:t>233</w:t>
      </w:r>
      <w:r w:rsidR="00A47B9B" w:rsidRPr="00D44D33">
        <w:rPr>
          <w:rStyle w:val="articletitle"/>
          <w:rFonts w:ascii="Times New Roman" w:eastAsiaTheme="minorEastAsia" w:hAnsi="Times New Roman" w:cs="Times New Roman"/>
          <w:sz w:val="24"/>
          <w:szCs w:val="24"/>
        </w:rPr>
        <w:t>–</w:t>
      </w:r>
      <w:r w:rsidR="00B30CA9" w:rsidRPr="00D44D33">
        <w:rPr>
          <w:rStyle w:val="articletitle"/>
          <w:rFonts w:ascii="Times New Roman" w:eastAsiaTheme="minorEastAsia" w:hAnsi="Times New Roman" w:cs="Times New Roman"/>
          <w:sz w:val="24"/>
          <w:szCs w:val="24"/>
        </w:rPr>
        <w:t>236</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projektu</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ustawy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Pke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mają</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na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celu</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przeniesienie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na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grunt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nowego</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aktu</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instytucji</w:t>
      </w:r>
      <w:r w:rsidR="00970B2E" w:rsidRPr="00D44D33">
        <w:rPr>
          <w:rStyle w:val="articletitle"/>
          <w:rFonts w:ascii="Times New Roman" w:eastAsiaTheme="minorEastAsia" w:hAnsi="Times New Roman" w:cs="Times New Roman"/>
          <w:sz w:val="24"/>
          <w:szCs w:val="24"/>
        </w:rPr>
        <w:t xml:space="preserve"> </w:t>
      </w:r>
      <w:r w:rsidR="389BD02E" w:rsidRPr="00D44D33">
        <w:rPr>
          <w:rStyle w:val="articletitle"/>
          <w:rFonts w:ascii="Times New Roman" w:eastAsiaTheme="minorEastAsia" w:hAnsi="Times New Roman" w:cs="Times New Roman"/>
          <w:sz w:val="24"/>
          <w:szCs w:val="24"/>
        </w:rPr>
        <w:t>ustanowionych</w:t>
      </w:r>
      <w:r w:rsidR="00970B2E" w:rsidRPr="00D44D33">
        <w:rPr>
          <w:rStyle w:val="articletitle"/>
          <w:rFonts w:ascii="Times New Roman" w:eastAsiaTheme="minorEastAsia" w:hAnsi="Times New Roman" w:cs="Times New Roman"/>
          <w:sz w:val="24"/>
          <w:szCs w:val="24"/>
        </w:rPr>
        <w:t xml:space="preserve"> </w:t>
      </w:r>
      <w:r w:rsidR="389BD02E" w:rsidRPr="00D44D33">
        <w:rPr>
          <w:rStyle w:val="articletitle"/>
          <w:rFonts w:ascii="Times New Roman" w:eastAsiaTheme="minorEastAsia" w:hAnsi="Times New Roman" w:cs="Times New Roman"/>
          <w:sz w:val="24"/>
          <w:szCs w:val="24"/>
        </w:rPr>
        <w:t>przepisem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art.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43a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w:t>
      </w:r>
      <w:r w:rsidR="00A47B9B" w:rsidRPr="00D44D33">
        <w:rPr>
          <w:rStyle w:val="articletitle"/>
          <w:rFonts w:ascii="Times New Roman" w:eastAsiaTheme="minorEastAsia" w:hAnsi="Times New Roman" w:cs="Times New Roman"/>
          <w:sz w:val="24"/>
          <w:szCs w:val="24"/>
        </w:rPr>
        <w:t>t</w:t>
      </w:r>
      <w:r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p>
    <w:p w14:paraId="5D648658" w14:textId="0864C951" w:rsidR="00E67DF9" w:rsidRPr="00D44D33" w:rsidRDefault="00E67DF9" w:rsidP="00D44D33">
      <w:pPr>
        <w:spacing w:before="120" w:after="120" w:line="360" w:lineRule="auto"/>
        <w:jc w:val="both"/>
        <w:rPr>
          <w:rStyle w:val="articletitle"/>
          <w:rFonts w:ascii="Times New Roman" w:eastAsiaTheme="minorEastAsia" w:hAnsi="Times New Roman" w:cs="Times New Roman"/>
          <w:sz w:val="24"/>
          <w:szCs w:val="24"/>
        </w:rPr>
      </w:pPr>
      <w:r w:rsidRPr="00D44D33">
        <w:rPr>
          <w:rStyle w:val="articletitle"/>
          <w:rFonts w:ascii="Times New Roman" w:eastAsiaTheme="minorEastAsia" w:hAnsi="Times New Roman" w:cs="Times New Roman"/>
          <w:sz w:val="24"/>
          <w:szCs w:val="24"/>
        </w:rPr>
        <w:t>Postanowienia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art.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43a</w:t>
      </w:r>
      <w:r w:rsidR="00970B2E" w:rsidRPr="00D44D33">
        <w:rPr>
          <w:rStyle w:val="articletitle"/>
          <w:rFonts w:ascii="Times New Roman" w:eastAsiaTheme="minorEastAsia" w:hAnsi="Times New Roman" w:cs="Times New Roman"/>
          <w:sz w:val="24"/>
          <w:szCs w:val="24"/>
        </w:rPr>
        <w:t xml:space="preserve"> </w:t>
      </w:r>
      <w:r w:rsidR="002410E3" w:rsidRPr="00D44D33">
        <w:rPr>
          <w:rStyle w:val="articletitle"/>
          <w:rFonts w:ascii="Times New Roman" w:eastAsiaTheme="minorEastAsia" w:hAnsi="Times New Roman" w:cs="Times New Roman"/>
          <w:sz w:val="24"/>
          <w:szCs w:val="24"/>
        </w:rPr>
        <w:t xml:space="preserve">Pt </w:t>
      </w:r>
      <w:r w:rsidRPr="00D44D33">
        <w:rPr>
          <w:rStyle w:val="articletitle"/>
          <w:rFonts w:ascii="Times New Roman" w:eastAsiaTheme="minorEastAsia" w:hAnsi="Times New Roman" w:cs="Times New Roman"/>
          <w:sz w:val="24"/>
          <w:szCs w:val="24"/>
        </w:rPr>
        <w:t>zostały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wprowadzone</w:t>
      </w:r>
      <w:r w:rsidR="00371EEA">
        <w:rPr>
          <w:rStyle w:val="articletitle"/>
          <w:rFonts w:ascii="Times New Roman" w:eastAsiaTheme="minorEastAsia" w:hAnsi="Times New Roman" w:cs="Times New Roman"/>
          <w:sz w:val="24"/>
          <w:szCs w:val="24"/>
        </w:rPr>
        <w:t xml:space="preserve"> </w:t>
      </w:r>
      <w:r w:rsidR="002410E3" w:rsidRPr="00D44D33">
        <w:rPr>
          <w:rStyle w:val="articletitle"/>
          <w:rFonts w:ascii="Times New Roman" w:eastAsiaTheme="minorEastAsia" w:hAnsi="Times New Roman" w:cs="Times New Roman"/>
          <w:sz w:val="24"/>
          <w:szCs w:val="24"/>
        </w:rPr>
        <w:t xml:space="preserve">ustawą </w:t>
      </w:r>
      <w:r w:rsidRPr="00D44D33">
        <w:rPr>
          <w:rStyle w:val="articletitle"/>
          <w:rFonts w:ascii="Times New Roman" w:eastAsiaTheme="minorEastAsia" w:hAnsi="Times New Roman" w:cs="Times New Roman"/>
          <w:sz w:val="24"/>
          <w:szCs w:val="24"/>
        </w:rPr>
        <w:t>z</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29</w:t>
      </w:r>
      <w:r w:rsidR="00A47B9B" w:rsidRPr="00D44D33">
        <w:rPr>
          <w:rStyle w:val="articletitle"/>
          <w:rFonts w:ascii="Times New Roman" w:eastAsiaTheme="minorEastAsia" w:hAnsi="Times New Roman" w:cs="Times New Roman"/>
          <w:sz w:val="24"/>
          <w:szCs w:val="24"/>
        </w:rPr>
        <w:t xml:space="preserve"> października </w:t>
      </w:r>
      <w:r w:rsidRPr="00D44D33">
        <w:rPr>
          <w:rStyle w:val="articletitle"/>
          <w:rFonts w:ascii="Times New Roman" w:eastAsiaTheme="minorEastAsia" w:hAnsi="Times New Roman" w:cs="Times New Roman"/>
          <w:sz w:val="24"/>
          <w:szCs w:val="24"/>
        </w:rPr>
        <w:t>2010</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r.</w:t>
      </w:r>
      <w:r w:rsidR="00970B2E" w:rsidRPr="00D44D33">
        <w:rPr>
          <w:rStyle w:val="articletitle"/>
          <w:rFonts w:ascii="Times New Roman" w:eastAsiaTheme="minorEastAsia" w:hAnsi="Times New Roman" w:cs="Times New Roman"/>
          <w:sz w:val="24"/>
          <w:szCs w:val="24"/>
        </w:rPr>
        <w:t xml:space="preserve"> </w:t>
      </w:r>
      <w:r w:rsidR="002410E3" w:rsidRPr="00D44D33">
        <w:rPr>
          <w:rFonts w:ascii="Times New Roman" w:eastAsiaTheme="minorEastAsia" w:hAnsi="Times New Roman" w:cs="Times New Roman"/>
          <w:sz w:val="24"/>
          <w:szCs w:val="24"/>
        </w:rPr>
        <w:t xml:space="preserve">o zmianie ustawy — Prawo telekomunikacyjne </w:t>
      </w:r>
      <w:r w:rsidRPr="00D44D33">
        <w:rPr>
          <w:rStyle w:val="articletitle"/>
          <w:rFonts w:ascii="Times New Roman" w:eastAsiaTheme="minorEastAsia" w:hAnsi="Times New Roman" w:cs="Times New Roman"/>
          <w:sz w:val="24"/>
          <w:szCs w:val="24"/>
        </w:rPr>
        <w:t>(Dz.</w:t>
      </w:r>
      <w:r w:rsidR="002410E3"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hyperlink r:id="rId21">
        <w:r w:rsidRPr="00D44D33">
          <w:rPr>
            <w:rStyle w:val="articletitle"/>
            <w:rFonts w:ascii="Times New Roman" w:eastAsiaTheme="minorEastAsia" w:hAnsi="Times New Roman" w:cs="Times New Roman"/>
            <w:sz w:val="24"/>
            <w:szCs w:val="24"/>
          </w:rPr>
          <w:t>poz.</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1499</w:t>
        </w:r>
      </w:hyperlink>
      <w:r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Przyczynkiem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do</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ich</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kodyfikacji</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były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doświadczenia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Prezesa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związane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z</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zawarciem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i</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wykonywaniem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porozumienia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pomiędzy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Prezesem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w:t>
      </w:r>
      <w:r w:rsidR="00970B2E" w:rsidRPr="00D44D33">
        <w:rPr>
          <w:rStyle w:val="articletitle"/>
          <w:rFonts w:ascii="Times New Roman" w:eastAsiaTheme="minorEastAsia" w:hAnsi="Times New Roman" w:cs="Times New Roman"/>
          <w:sz w:val="24"/>
          <w:szCs w:val="24"/>
        </w:rPr>
        <w:t xml:space="preserve"> </w:t>
      </w:r>
      <w:r w:rsidR="18348F7B" w:rsidRPr="00D44D33">
        <w:rPr>
          <w:rStyle w:val="articletitle"/>
          <w:rFonts w:ascii="Times New Roman" w:eastAsiaTheme="minorEastAsia" w:hAnsi="Times New Roman" w:cs="Times New Roman"/>
          <w:sz w:val="24"/>
          <w:szCs w:val="24"/>
        </w:rPr>
        <w:t>największym</w:t>
      </w:r>
      <w:r w:rsidR="00970B2E" w:rsidRPr="00D44D33">
        <w:rPr>
          <w:rStyle w:val="articletitle"/>
          <w:rFonts w:ascii="Times New Roman" w:eastAsiaTheme="minorEastAsia" w:hAnsi="Times New Roman" w:cs="Times New Roman"/>
          <w:sz w:val="24"/>
          <w:szCs w:val="24"/>
        </w:rPr>
        <w:t xml:space="preserve"> </w:t>
      </w:r>
      <w:r w:rsidR="18348F7B" w:rsidRPr="00D44D33">
        <w:rPr>
          <w:rStyle w:val="articletitle"/>
          <w:rFonts w:ascii="Times New Roman" w:eastAsiaTheme="minorEastAsia" w:hAnsi="Times New Roman" w:cs="Times New Roman"/>
          <w:sz w:val="24"/>
          <w:szCs w:val="24"/>
        </w:rPr>
        <w:t>wówczas</w:t>
      </w:r>
      <w:r w:rsidR="00970B2E" w:rsidRPr="00D44D33">
        <w:rPr>
          <w:rStyle w:val="articletitle"/>
          <w:rFonts w:ascii="Times New Roman" w:eastAsiaTheme="minorEastAsia" w:hAnsi="Times New Roman" w:cs="Times New Roman"/>
          <w:sz w:val="24"/>
          <w:szCs w:val="24"/>
        </w:rPr>
        <w:t xml:space="preserve"> </w:t>
      </w:r>
      <w:r w:rsidR="0A263594" w:rsidRPr="00D44D33">
        <w:rPr>
          <w:rStyle w:val="articletitle"/>
          <w:rFonts w:ascii="Times New Roman" w:eastAsiaTheme="minorEastAsia" w:hAnsi="Times New Roman" w:cs="Times New Roman"/>
          <w:sz w:val="24"/>
          <w:szCs w:val="24"/>
        </w:rPr>
        <w:t>operatorem</w:t>
      </w:r>
      <w:r w:rsidR="00970B2E" w:rsidRPr="00D44D33">
        <w:rPr>
          <w:rStyle w:val="articletitle"/>
          <w:rFonts w:ascii="Times New Roman" w:eastAsiaTheme="minorEastAsia" w:hAnsi="Times New Roman" w:cs="Times New Roman"/>
          <w:sz w:val="24"/>
          <w:szCs w:val="24"/>
        </w:rPr>
        <w:t xml:space="preserve"> </w:t>
      </w:r>
      <w:r w:rsidR="18348F7B" w:rsidRPr="00D44D33">
        <w:rPr>
          <w:rStyle w:val="articletitle"/>
          <w:rFonts w:ascii="Times New Roman" w:eastAsiaTheme="minorEastAsia" w:hAnsi="Times New Roman" w:cs="Times New Roman"/>
          <w:sz w:val="24"/>
          <w:szCs w:val="24"/>
        </w:rPr>
        <w:t>telekomunikacyjnym</w:t>
      </w:r>
      <w:r w:rsidRPr="00D44D33">
        <w:rPr>
          <w:rStyle w:val="articletitle"/>
          <w:rFonts w:ascii="Times New Roman" w:eastAsiaTheme="minorEastAsia" w:hAnsi="Times New Roman" w:cs="Times New Roman"/>
          <w:sz w:val="24"/>
          <w:szCs w:val="24"/>
        </w:rPr>
        <w:t>.</w:t>
      </w:r>
      <w:r w:rsidR="00371EEA">
        <w:rPr>
          <w:rStyle w:val="articletitle"/>
          <w:rFonts w:ascii="Times New Roman" w:eastAsiaTheme="minorEastAsia" w:hAnsi="Times New Roman" w:cs="Times New Roman"/>
          <w:sz w:val="24"/>
          <w:szCs w:val="24"/>
        </w:rPr>
        <w:t xml:space="preserve"> </w:t>
      </w:r>
    </w:p>
    <w:p w14:paraId="7482B33C" w14:textId="4BB165A9" w:rsidR="00DC123B" w:rsidRPr="00D44D33" w:rsidRDefault="00E67DF9" w:rsidP="00D44D33">
      <w:pPr>
        <w:spacing w:before="120" w:after="120" w:line="360" w:lineRule="auto"/>
        <w:jc w:val="both"/>
        <w:rPr>
          <w:rStyle w:val="articletitle"/>
          <w:rFonts w:ascii="Times New Roman" w:eastAsiaTheme="minorEastAsia" w:hAnsi="Times New Roman" w:cs="Times New Roman"/>
          <w:sz w:val="24"/>
          <w:szCs w:val="24"/>
        </w:rPr>
      </w:pPr>
      <w:r w:rsidRPr="00D44D33">
        <w:rPr>
          <w:rStyle w:val="articletitle"/>
          <w:rFonts w:ascii="Times New Roman" w:eastAsiaTheme="minorEastAsia" w:hAnsi="Times New Roman" w:cs="Times New Roman"/>
          <w:sz w:val="24"/>
          <w:szCs w:val="24"/>
        </w:rPr>
        <w:t>Regulacja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ta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ma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na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celu</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umożliwienie</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włączenia</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zobowiązań</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przedsiębiorcy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uzgodnionych</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pomiędzy</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przedsiębiorcą</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a</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organem</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regulacyjnym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mechanizm</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regulacji</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rynków</w:t>
      </w:r>
      <w:r w:rsidR="00970B2E" w:rsidRPr="00D44D33">
        <w:rPr>
          <w:rStyle w:val="articletitle"/>
          <w:rFonts w:ascii="Times New Roman" w:eastAsiaTheme="minorEastAsia" w:hAnsi="Times New Roman" w:cs="Times New Roman"/>
          <w:sz w:val="24"/>
          <w:szCs w:val="24"/>
        </w:rPr>
        <w:t xml:space="preserve"> </w:t>
      </w:r>
      <w:r w:rsidRPr="00D44D33">
        <w:rPr>
          <w:rStyle w:val="articletitle"/>
          <w:rFonts w:ascii="Times New Roman" w:eastAsiaTheme="minorEastAsia" w:hAnsi="Times New Roman" w:cs="Times New Roman"/>
          <w:sz w:val="24"/>
          <w:szCs w:val="24"/>
        </w:rPr>
        <w:t>telekomunikacyjnych.</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Nowa</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regulacja</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tym</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zakresie</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powtarza</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rozwiązania</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przyjęte</w:t>
      </w:r>
      <w:r w:rsidR="00970B2E" w:rsidRPr="00D44D33">
        <w:rPr>
          <w:rStyle w:val="articletitle"/>
          <w:rFonts w:ascii="Times New Roman" w:eastAsiaTheme="minorEastAsia" w:hAnsi="Times New Roman" w:cs="Times New Roman"/>
          <w:sz w:val="24"/>
          <w:szCs w:val="24"/>
        </w:rPr>
        <w:t xml:space="preserve"> </w:t>
      </w:r>
      <w:r w:rsidR="0C0EE761"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0C0EE761" w:rsidRPr="00D44D33">
        <w:rPr>
          <w:rStyle w:val="articletitle"/>
          <w:rFonts w:ascii="Times New Roman" w:eastAsiaTheme="minorEastAsia" w:hAnsi="Times New Roman" w:cs="Times New Roman"/>
          <w:sz w:val="24"/>
          <w:szCs w:val="24"/>
        </w:rPr>
        <w:t>ustawie</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uchylanej.</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Wskazać</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jednakże</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należy,</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że</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proponowane</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przepisy</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zostały</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przystosowane</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do</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systematyki</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nowej</w:t>
      </w:r>
      <w:r w:rsidR="00970B2E" w:rsidRPr="00D44D33">
        <w:rPr>
          <w:rStyle w:val="articletitle"/>
          <w:rFonts w:ascii="Times New Roman" w:eastAsiaTheme="minorEastAsia" w:hAnsi="Times New Roman" w:cs="Times New Roman"/>
          <w:sz w:val="24"/>
          <w:szCs w:val="24"/>
        </w:rPr>
        <w:t xml:space="preserve"> </w:t>
      </w:r>
      <w:r w:rsidR="00DC123B" w:rsidRPr="00D44D33">
        <w:rPr>
          <w:rStyle w:val="articletitle"/>
          <w:rFonts w:ascii="Times New Roman" w:eastAsiaTheme="minorEastAsia" w:hAnsi="Times New Roman" w:cs="Times New Roman"/>
          <w:sz w:val="24"/>
          <w:szCs w:val="24"/>
        </w:rPr>
        <w:t>kodyfikacji.</w:t>
      </w:r>
      <w:r w:rsidR="00970B2E" w:rsidRPr="00D44D33">
        <w:rPr>
          <w:rStyle w:val="articletitle"/>
          <w:rFonts w:ascii="Times New Roman" w:eastAsiaTheme="minorEastAsia" w:hAnsi="Times New Roman" w:cs="Times New Roman"/>
          <w:sz w:val="24"/>
          <w:szCs w:val="24"/>
        </w:rPr>
        <w:t xml:space="preserve"> </w:t>
      </w:r>
    </w:p>
    <w:p w14:paraId="5522F9C2" w14:textId="26544436" w:rsidR="00696205" w:rsidRPr="00D44D33" w:rsidRDefault="005410D8" w:rsidP="00D44D33">
      <w:pPr>
        <w:pStyle w:val="ZROZDZODDZOZNzmoznrozdzoddzartykuempunktem"/>
        <w:spacing w:before="120" w:after="120"/>
        <w:ind w:left="0"/>
        <w:rPr>
          <w:rFonts w:ascii="Times New Roman" w:hAnsi="Times New Roman" w:cs="Times New Roman"/>
          <w:b/>
        </w:rPr>
      </w:pPr>
      <w:r w:rsidRPr="00D44D33">
        <w:rPr>
          <w:rFonts w:ascii="Times New Roman" w:hAnsi="Times New Roman" w:cs="Times New Roman"/>
          <w:b/>
        </w:rPr>
        <w:t>Art.</w:t>
      </w:r>
      <w:r w:rsidR="00970B2E" w:rsidRPr="00D44D33">
        <w:rPr>
          <w:rFonts w:ascii="Times New Roman" w:hAnsi="Times New Roman" w:cs="Times New Roman"/>
          <w:b/>
        </w:rPr>
        <w:t xml:space="preserve"> </w:t>
      </w:r>
      <w:r w:rsidR="00B30CA9" w:rsidRPr="00D44D33">
        <w:rPr>
          <w:rFonts w:ascii="Times New Roman" w:hAnsi="Times New Roman" w:cs="Times New Roman"/>
          <w:b/>
        </w:rPr>
        <w:t>233</w:t>
      </w:r>
    </w:p>
    <w:p w14:paraId="39D47625" w14:textId="209E6107" w:rsidR="00DC123B" w:rsidRPr="00D44D33" w:rsidRDefault="00DC123B"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lang w:eastAsia="pl-PL"/>
        </w:rPr>
        <w:t>Przepisy</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tego</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artykułu</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wskazują,</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że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postępowanie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sprawie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zatwierdzenia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szczegółowych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warunków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regulacyjnych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jest</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postępowaniem</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wnioskowym.</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Podmiotem</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uprawnionym</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do</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złożenia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wniosku</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jest</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przedsiębiorca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komunikacji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elektronicznej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o</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znaczącej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pozycji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rynkowej.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Przepis</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ten</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definiuje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czym</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są</w:t>
      </w:r>
      <w:r w:rsidR="00970B2E" w:rsidRPr="00D44D33">
        <w:rPr>
          <w:rFonts w:ascii="Times New Roman" w:hAnsi="Times New Roman" w:cs="Times New Roman"/>
          <w:sz w:val="24"/>
          <w:szCs w:val="24"/>
          <w:lang w:eastAsia="pl-PL"/>
        </w:rPr>
        <w:t xml:space="preserve"> </w:t>
      </w:r>
      <w:r w:rsidR="00B30CA9" w:rsidRPr="00D44D33">
        <w:rPr>
          <w:rFonts w:ascii="Times New Roman" w:hAnsi="Times New Roman" w:cs="Times New Roman"/>
          <w:sz w:val="24"/>
          <w:szCs w:val="24"/>
          <w:lang w:eastAsia="pl-PL"/>
        </w:rPr>
        <w:t>„</w:t>
      </w:r>
      <w:r w:rsidR="00287890" w:rsidRPr="00D44D33">
        <w:rPr>
          <w:rFonts w:ascii="Times New Roman" w:hAnsi="Times New Roman" w:cs="Times New Roman"/>
          <w:sz w:val="24"/>
          <w:szCs w:val="24"/>
          <w:lang w:eastAsia="pl-PL"/>
        </w:rPr>
        <w:t>szczegółowe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warunki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regulacyjne”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określają</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tym</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także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zakres,</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którego</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dotyczyć</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może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składany</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wniosek,</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wskazując</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na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szczegółowe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warunki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wykonywania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obowiązków</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regulacyjnych</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wcześniej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nałożonych</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na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przedsiębiorcę</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komunikacji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elektroniczne.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Do</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zakresu</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wniosku</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należeć</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mogą</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również</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inne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zobowiązań</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przedsiębiorcy</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komunikacji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elektronicznej,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które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mogą</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się</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przyczynić</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do</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skutecznej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realizacji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obowiązków</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regulacyjnych</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nałożonych</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na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przedsiębiorcę</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komunikacji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elektronicznej,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rozwoju</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równoprawnej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skutecznej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konkurencji,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rozwoju</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wykorzystania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infrastruktury</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telekomunikacyjnej</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oraz</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zapewnienia</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użytkownikom</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maksymalnych</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korzyści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zakresie</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różnorodności,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ceny</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jakości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usług</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komunikacji</w:t>
      </w:r>
      <w:r w:rsidR="00970B2E" w:rsidRPr="00D44D33">
        <w:rPr>
          <w:rFonts w:ascii="Times New Roman" w:hAnsi="Times New Roman" w:cs="Times New Roman"/>
          <w:sz w:val="24"/>
          <w:szCs w:val="24"/>
          <w:lang w:eastAsia="pl-PL"/>
        </w:rPr>
        <w:t xml:space="preserve"> </w:t>
      </w:r>
      <w:r w:rsidR="00287890" w:rsidRPr="00D44D33">
        <w:rPr>
          <w:rFonts w:ascii="Times New Roman" w:hAnsi="Times New Roman" w:cs="Times New Roman"/>
          <w:sz w:val="24"/>
          <w:szCs w:val="24"/>
          <w:lang w:eastAsia="pl-PL"/>
        </w:rPr>
        <w:t>elektronicznej.</w:t>
      </w:r>
    </w:p>
    <w:p w14:paraId="26C54E26" w14:textId="2B392475" w:rsidR="00E67DF9" w:rsidRPr="00D44D33" w:rsidRDefault="00287890" w:rsidP="00D44D33">
      <w:pPr>
        <w:spacing w:before="120" w:after="120" w:line="360" w:lineRule="auto"/>
        <w:jc w:val="center"/>
        <w:rPr>
          <w:rFonts w:ascii="Times New Roman" w:hAnsi="Times New Roman" w:cs="Times New Roman"/>
          <w:b/>
          <w:sz w:val="24"/>
          <w:szCs w:val="24"/>
        </w:rPr>
      </w:pPr>
      <w:r w:rsidRPr="00D44D33">
        <w:rPr>
          <w:rFonts w:ascii="Times New Roman" w:hAnsi="Times New Roman" w:cs="Times New Roman"/>
          <w:b/>
          <w:sz w:val="24"/>
          <w:szCs w:val="24"/>
          <w:lang w:eastAsia="pl-PL"/>
        </w:rPr>
        <w:t>Art.</w:t>
      </w:r>
      <w:r w:rsidR="00970B2E" w:rsidRPr="00D44D33">
        <w:rPr>
          <w:rFonts w:ascii="Times New Roman" w:hAnsi="Times New Roman" w:cs="Times New Roman"/>
          <w:b/>
          <w:sz w:val="24"/>
          <w:szCs w:val="24"/>
          <w:lang w:eastAsia="pl-PL"/>
        </w:rPr>
        <w:t xml:space="preserve"> </w:t>
      </w:r>
      <w:r w:rsidR="00B30CA9" w:rsidRPr="00D44D33">
        <w:rPr>
          <w:rFonts w:ascii="Times New Roman" w:hAnsi="Times New Roman" w:cs="Times New Roman"/>
          <w:b/>
          <w:sz w:val="24"/>
          <w:szCs w:val="24"/>
          <w:lang w:eastAsia="pl-PL"/>
        </w:rPr>
        <w:t>234</w:t>
      </w:r>
    </w:p>
    <w:p w14:paraId="7A53C013" w14:textId="120E29DB" w:rsidR="00287890" w:rsidRPr="00D44D33" w:rsidRDefault="00287890"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lang w:eastAsia="pl-PL"/>
        </w:rPr>
        <w:t>Przepisy</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tego</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artykułu</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określają</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odrębny</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sposób</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prowadzenia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postępowania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zakresie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zatwierdzenia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szczególnych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warunków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regulacyjnych,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przez</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określenie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uprawnień</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Prezesa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UKE.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Przyjęte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rozwiązania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dostosowane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są</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do</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dynamicznej</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specyfiki</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prowadzenia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ustaleń</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tym</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zakresie.</w:t>
      </w:r>
    </w:p>
    <w:p w14:paraId="79FC828C" w14:textId="6FDA61E0" w:rsidR="00287890" w:rsidRPr="00D44D33" w:rsidRDefault="00287890" w:rsidP="00D44D33">
      <w:pPr>
        <w:spacing w:before="120" w:after="120" w:line="360" w:lineRule="auto"/>
        <w:jc w:val="center"/>
        <w:rPr>
          <w:rFonts w:ascii="Times New Roman" w:hAnsi="Times New Roman" w:cs="Times New Roman"/>
          <w:b/>
          <w:sz w:val="24"/>
          <w:szCs w:val="24"/>
        </w:rPr>
      </w:pPr>
      <w:r w:rsidRPr="00D44D33">
        <w:rPr>
          <w:rFonts w:ascii="Times New Roman" w:hAnsi="Times New Roman" w:cs="Times New Roman"/>
          <w:b/>
          <w:sz w:val="24"/>
          <w:szCs w:val="24"/>
          <w:lang w:eastAsia="pl-PL"/>
        </w:rPr>
        <w:t>Art.</w:t>
      </w:r>
      <w:r w:rsidR="00970B2E" w:rsidRPr="00D44D33">
        <w:rPr>
          <w:rFonts w:ascii="Times New Roman" w:hAnsi="Times New Roman" w:cs="Times New Roman"/>
          <w:b/>
          <w:sz w:val="24"/>
          <w:szCs w:val="24"/>
          <w:lang w:eastAsia="pl-PL"/>
        </w:rPr>
        <w:t xml:space="preserve"> </w:t>
      </w:r>
      <w:r w:rsidR="00B30CA9" w:rsidRPr="00D44D33">
        <w:rPr>
          <w:rFonts w:ascii="Times New Roman" w:hAnsi="Times New Roman" w:cs="Times New Roman"/>
          <w:b/>
          <w:sz w:val="24"/>
          <w:szCs w:val="24"/>
          <w:lang w:eastAsia="pl-PL"/>
        </w:rPr>
        <w:t>235</w:t>
      </w:r>
    </w:p>
    <w:p w14:paraId="6729398E" w14:textId="20FC3545" w:rsidR="00287890" w:rsidRPr="00D44D33" w:rsidRDefault="00287890"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lang w:eastAsia="pl-PL"/>
        </w:rPr>
        <w:t>Przepis</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ten</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określa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sposób</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zatwierdzenia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szczególnych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warunków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regulacyjnych,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określa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termin</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na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podjęcie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tego</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rozstrzygnięcia.</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Przede</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wszystkim</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jednak</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wskazuje</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na</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kryteria</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oceny</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wniosku,</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jakim</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są</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cele</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określone</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art.</w:t>
      </w:r>
      <w:r w:rsidR="00970B2E" w:rsidRPr="00D44D33">
        <w:rPr>
          <w:rFonts w:ascii="Times New Roman" w:hAnsi="Times New Roman" w:cs="Times New Roman"/>
          <w:sz w:val="24"/>
          <w:szCs w:val="24"/>
          <w:lang w:eastAsia="pl-PL"/>
        </w:rPr>
        <w:t xml:space="preserve"> </w:t>
      </w:r>
      <w:r w:rsidR="00B30CA9" w:rsidRPr="00D44D33">
        <w:rPr>
          <w:rFonts w:ascii="Times New Roman" w:hAnsi="Times New Roman" w:cs="Times New Roman"/>
          <w:sz w:val="24"/>
          <w:szCs w:val="24"/>
          <w:lang w:eastAsia="pl-PL"/>
        </w:rPr>
        <w:t>407</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ust.</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2</w:t>
      </w:r>
      <w:r w:rsidR="00970B2E" w:rsidRPr="00D44D33">
        <w:rPr>
          <w:rFonts w:ascii="Times New Roman" w:hAnsi="Times New Roman" w:cs="Times New Roman"/>
          <w:sz w:val="24"/>
          <w:szCs w:val="24"/>
          <w:lang w:eastAsia="pl-PL"/>
        </w:rPr>
        <w:t xml:space="preserve"> </w:t>
      </w:r>
      <w:r w:rsidR="00990823" w:rsidRPr="00D44D33">
        <w:rPr>
          <w:rFonts w:ascii="Times New Roman" w:hAnsi="Times New Roman" w:cs="Times New Roman"/>
          <w:sz w:val="24"/>
          <w:szCs w:val="24"/>
          <w:lang w:eastAsia="pl-PL"/>
        </w:rPr>
        <w:t>Pke.</w:t>
      </w:r>
    </w:p>
    <w:p w14:paraId="3391F0CD" w14:textId="588FBC18" w:rsidR="00E67DF9" w:rsidRPr="00D44D33" w:rsidRDefault="00990823" w:rsidP="00D44D33">
      <w:pPr>
        <w:spacing w:before="120" w:after="120" w:line="360" w:lineRule="auto"/>
        <w:jc w:val="center"/>
        <w:rPr>
          <w:rFonts w:ascii="Times New Roman" w:hAnsi="Times New Roman" w:cs="Times New Roman"/>
          <w:b/>
          <w:sz w:val="24"/>
          <w:szCs w:val="24"/>
        </w:rPr>
      </w:pPr>
      <w:r w:rsidRPr="00D44D33">
        <w:rPr>
          <w:rFonts w:ascii="Times New Roman" w:hAnsi="Times New Roman" w:cs="Times New Roman"/>
          <w:b/>
          <w:sz w:val="24"/>
          <w:szCs w:val="24"/>
          <w:lang w:eastAsia="pl-PL"/>
        </w:rPr>
        <w:t>Art.</w:t>
      </w:r>
      <w:r w:rsidR="00970B2E" w:rsidRPr="00D44D33">
        <w:rPr>
          <w:rFonts w:ascii="Times New Roman" w:hAnsi="Times New Roman" w:cs="Times New Roman"/>
          <w:b/>
          <w:sz w:val="24"/>
          <w:szCs w:val="24"/>
          <w:lang w:eastAsia="pl-PL"/>
        </w:rPr>
        <w:t xml:space="preserve"> </w:t>
      </w:r>
      <w:r w:rsidR="00B30CA9" w:rsidRPr="00D44D33">
        <w:rPr>
          <w:rFonts w:ascii="Times New Roman" w:hAnsi="Times New Roman" w:cs="Times New Roman"/>
          <w:b/>
          <w:sz w:val="24"/>
          <w:szCs w:val="24"/>
          <w:lang w:eastAsia="pl-PL"/>
        </w:rPr>
        <w:t>236</w:t>
      </w:r>
    </w:p>
    <w:p w14:paraId="00CFB7C0" w14:textId="2E2E997C" w:rsidR="00990823" w:rsidRPr="00D44D33" w:rsidRDefault="00990823"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przepisie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tym</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wskazane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zostały</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przesłanki</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zatwierdzania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propozycji</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zawartych</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wniosku</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przedsiębiorcy</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komunikacji</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elektronicznej.</w:t>
      </w:r>
      <w:r w:rsidR="00970B2E" w:rsidRPr="00D44D33">
        <w:rPr>
          <w:rFonts w:ascii="Times New Roman" w:hAnsi="Times New Roman" w:cs="Times New Roman"/>
          <w:sz w:val="24"/>
          <w:szCs w:val="24"/>
          <w:lang w:eastAsia="pl-PL"/>
        </w:rPr>
        <w:t xml:space="preserve"> </w:t>
      </w:r>
      <w:r w:rsidR="002410E3" w:rsidRPr="00D44D33">
        <w:rPr>
          <w:rFonts w:ascii="Times New Roman" w:hAnsi="Times New Roman" w:cs="Times New Roman"/>
          <w:sz w:val="24"/>
          <w:szCs w:val="24"/>
          <w:lang w:eastAsia="pl-PL"/>
        </w:rPr>
        <w:t>Przepis u</w:t>
      </w:r>
      <w:r w:rsidRPr="00D44D33">
        <w:rPr>
          <w:rFonts w:ascii="Times New Roman" w:hAnsi="Times New Roman" w:cs="Times New Roman"/>
          <w:sz w:val="24"/>
          <w:szCs w:val="24"/>
          <w:lang w:eastAsia="pl-PL"/>
        </w:rPr>
        <w:t>st</w:t>
      </w:r>
      <w:r w:rsidR="002410E3" w:rsidRPr="00D44D33">
        <w:rPr>
          <w:rFonts w:ascii="Times New Roman" w:hAnsi="Times New Roman" w:cs="Times New Roman"/>
          <w:sz w:val="24"/>
          <w:szCs w:val="24"/>
          <w:lang w:eastAsia="pl-PL"/>
        </w:rPr>
        <w:t>.</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2</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określa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uprawnienia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Prezesa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UKE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zakresie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określenia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dodatkowe</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postanowienia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decyzji,</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co</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do</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zastrzeżenia</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warunków</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i</w:t>
      </w:r>
      <w:r w:rsidR="00970B2E" w:rsidRPr="00D44D33">
        <w:rPr>
          <w:rFonts w:ascii="Times New Roman" w:hAnsi="Times New Roman" w:cs="Times New Roman"/>
          <w:sz w:val="24"/>
          <w:szCs w:val="24"/>
          <w:lang w:eastAsia="pl-PL"/>
        </w:rPr>
        <w:t xml:space="preserve"> </w:t>
      </w:r>
      <w:r w:rsidRPr="00D44D33">
        <w:rPr>
          <w:rFonts w:ascii="Times New Roman" w:hAnsi="Times New Roman" w:cs="Times New Roman"/>
          <w:sz w:val="24"/>
          <w:szCs w:val="24"/>
          <w:lang w:eastAsia="pl-PL"/>
        </w:rPr>
        <w:t>terminów.</w:t>
      </w:r>
      <w:r w:rsidR="00371EEA">
        <w:rPr>
          <w:rFonts w:ascii="Times New Roman" w:hAnsi="Times New Roman" w:cs="Times New Roman"/>
          <w:sz w:val="24"/>
          <w:szCs w:val="24"/>
          <w:lang w:eastAsia="pl-PL"/>
        </w:rPr>
        <w:t xml:space="preserve"> </w:t>
      </w:r>
    </w:p>
    <w:p w14:paraId="09C99892" w14:textId="34C88DF4" w:rsidR="00A47B9B" w:rsidRPr="00D44D33" w:rsidRDefault="00941C32" w:rsidP="00D44D33">
      <w:pPr>
        <w:pStyle w:val="ZROZDZODDZOZNzmoznrozdzoddzartykuempunktem"/>
        <w:spacing w:before="120" w:after="120"/>
        <w:ind w:left="0"/>
        <w:rPr>
          <w:rFonts w:ascii="Times New Roman" w:hAnsi="Times New Roman" w:cs="Times New Roman"/>
          <w:b/>
        </w:rPr>
      </w:pPr>
      <w:r w:rsidRPr="00D44D33">
        <w:rPr>
          <w:rFonts w:ascii="Times New Roman" w:hAnsi="Times New Roman" w:cs="Times New Roman"/>
          <w:b/>
        </w:rPr>
        <w:t>R</w:t>
      </w:r>
      <w:r w:rsidR="00754575" w:rsidRPr="00D44D33">
        <w:rPr>
          <w:rFonts w:ascii="Times New Roman" w:hAnsi="Times New Roman" w:cs="Times New Roman"/>
          <w:b/>
        </w:rPr>
        <w:t>ozdział</w:t>
      </w:r>
      <w:r w:rsidR="00970B2E" w:rsidRPr="00D44D33">
        <w:rPr>
          <w:rFonts w:ascii="Times New Roman" w:hAnsi="Times New Roman" w:cs="Times New Roman"/>
          <w:b/>
        </w:rPr>
        <w:t xml:space="preserve"> </w:t>
      </w:r>
      <w:r w:rsidR="00B30CA9" w:rsidRPr="00D44D33">
        <w:rPr>
          <w:rFonts w:ascii="Times New Roman" w:hAnsi="Times New Roman" w:cs="Times New Roman"/>
          <w:b/>
        </w:rPr>
        <w:t>5</w:t>
      </w:r>
      <w:r w:rsidR="00970B2E" w:rsidRPr="00D44D33">
        <w:rPr>
          <w:rFonts w:ascii="Times New Roman" w:hAnsi="Times New Roman" w:cs="Times New Roman"/>
          <w:b/>
        </w:rPr>
        <w:t xml:space="preserve"> </w:t>
      </w:r>
    </w:p>
    <w:p w14:paraId="2850DB1B" w14:textId="15EEE16C" w:rsidR="00941C32" w:rsidRPr="00D44D33" w:rsidRDefault="00941C32" w:rsidP="00D44D33">
      <w:pPr>
        <w:pStyle w:val="ZROZDZODDZOZNzmoznrozdzoddzartykuempunktem"/>
        <w:spacing w:before="120" w:after="120"/>
        <w:ind w:left="0"/>
        <w:rPr>
          <w:rFonts w:ascii="Times New Roman" w:hAnsi="Times New Roman" w:cs="Times New Roman"/>
          <w:b/>
        </w:rPr>
      </w:pPr>
      <w:r w:rsidRPr="00D44D33">
        <w:rPr>
          <w:rFonts w:ascii="Times New Roman" w:hAnsi="Times New Roman" w:cs="Times New Roman"/>
          <w:b/>
        </w:rPr>
        <w:t>Szc</w:t>
      </w:r>
      <w:r w:rsidR="000F286A" w:rsidRPr="00D44D33">
        <w:rPr>
          <w:rFonts w:ascii="Times New Roman" w:hAnsi="Times New Roman" w:cs="Times New Roman"/>
          <w:b/>
        </w:rPr>
        <w:t>zegółowe</w:t>
      </w:r>
      <w:r w:rsidR="00970B2E" w:rsidRPr="00D44D33">
        <w:rPr>
          <w:rFonts w:ascii="Times New Roman" w:hAnsi="Times New Roman" w:cs="Times New Roman"/>
          <w:b/>
        </w:rPr>
        <w:t xml:space="preserve"> </w:t>
      </w:r>
      <w:r w:rsidR="000F286A" w:rsidRPr="00D44D33">
        <w:rPr>
          <w:rFonts w:ascii="Times New Roman" w:hAnsi="Times New Roman" w:cs="Times New Roman"/>
          <w:b/>
        </w:rPr>
        <w:t>warunki</w:t>
      </w:r>
      <w:r w:rsidR="00970B2E" w:rsidRPr="00D44D33">
        <w:rPr>
          <w:rFonts w:ascii="Times New Roman" w:hAnsi="Times New Roman" w:cs="Times New Roman"/>
          <w:b/>
        </w:rPr>
        <w:t xml:space="preserve"> </w:t>
      </w:r>
      <w:r w:rsidR="000F286A" w:rsidRPr="00D44D33">
        <w:rPr>
          <w:rFonts w:ascii="Times New Roman" w:hAnsi="Times New Roman" w:cs="Times New Roman"/>
          <w:b/>
        </w:rPr>
        <w:t>inwestowania</w:t>
      </w:r>
    </w:p>
    <w:p w14:paraId="40F26609" w14:textId="0633594D" w:rsidR="000F286A" w:rsidRPr="00D44D33" w:rsidRDefault="3A9A78CD"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Proponowane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2410E3" w:rsidRPr="00D44D33">
        <w:rPr>
          <w:rFonts w:ascii="Times New Roman" w:eastAsiaTheme="minorEastAsia" w:hAnsi="Times New Roman" w:cs="Times New Roman"/>
          <w:sz w:val="24"/>
          <w:szCs w:val="24"/>
          <w:lang w:eastAsia="pl-PL"/>
        </w:rPr>
        <w:t>r</w:t>
      </w:r>
      <w:r w:rsidRPr="00D44D33">
        <w:rPr>
          <w:rFonts w:ascii="Times New Roman" w:eastAsiaTheme="minorEastAsia" w:hAnsi="Times New Roman" w:cs="Times New Roman"/>
          <w:sz w:val="24"/>
          <w:szCs w:val="24"/>
          <w:lang w:eastAsia="pl-PL"/>
        </w:rPr>
        <w:t>ozdziału</w:t>
      </w:r>
      <w:r w:rsidR="00970B2E" w:rsidRPr="00D44D33">
        <w:rPr>
          <w:rFonts w:ascii="Times New Roman" w:eastAsiaTheme="minorEastAsia" w:hAnsi="Times New Roman" w:cs="Times New Roman"/>
          <w:sz w:val="24"/>
          <w:szCs w:val="24"/>
          <w:lang w:eastAsia="pl-PL"/>
        </w:rPr>
        <w:t xml:space="preserve"> </w:t>
      </w:r>
      <w:r w:rsidR="00B30CA9" w:rsidRPr="00D44D33">
        <w:rPr>
          <w:rFonts w:ascii="Times New Roman" w:eastAsiaTheme="minorEastAsia" w:hAnsi="Times New Roman" w:cs="Times New Roman"/>
          <w:sz w:val="24"/>
          <w:szCs w:val="24"/>
          <w:lang w:eastAsia="pl-PL"/>
        </w:rPr>
        <w:t>5</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„Szczegółowe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30CA9" w:rsidRPr="00D44D33">
        <w:rPr>
          <w:rFonts w:ascii="Times New Roman" w:eastAsiaTheme="minorEastAsia" w:hAnsi="Times New Roman" w:cs="Times New Roman"/>
          <w:sz w:val="24"/>
          <w:szCs w:val="24"/>
          <w:lang w:eastAsia="pl-PL"/>
        </w:rPr>
        <w:t>237</w:t>
      </w:r>
      <w:r w:rsidR="00A47B9B" w:rsidRPr="00D44D33">
        <w:rPr>
          <w:rFonts w:ascii="Times New Roman" w:eastAsiaTheme="minorEastAsia" w:hAnsi="Times New Roman" w:cs="Times New Roman"/>
          <w:sz w:val="24"/>
          <w:szCs w:val="24"/>
          <w:lang w:eastAsia="pl-PL"/>
        </w:rPr>
        <w:t>–</w:t>
      </w:r>
      <w:r w:rsidR="00B30CA9" w:rsidRPr="00D44D33">
        <w:rPr>
          <w:rFonts w:ascii="Times New Roman" w:eastAsiaTheme="minorEastAsia" w:hAnsi="Times New Roman" w:cs="Times New Roman"/>
          <w:sz w:val="24"/>
          <w:szCs w:val="24"/>
          <w:lang w:eastAsia="pl-PL"/>
        </w:rPr>
        <w:t>2</w:t>
      </w:r>
      <w:r w:rsidR="00E302CC" w:rsidRPr="00D44D33">
        <w:rPr>
          <w:rFonts w:ascii="Times New Roman" w:eastAsiaTheme="minorEastAsia" w:hAnsi="Times New Roman" w:cs="Times New Roman"/>
          <w:sz w:val="24"/>
          <w:szCs w:val="24"/>
          <w:lang w:eastAsia="pl-PL"/>
        </w:rPr>
        <w:t>52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ustawy</w:t>
      </w:r>
      <w:r w:rsidR="00970B2E" w:rsidRPr="00D44D33">
        <w:rPr>
          <w:rFonts w:ascii="Times New Roman" w:eastAsiaTheme="minorEastAsia" w:hAnsi="Times New Roman" w:cs="Times New Roman"/>
          <w:sz w:val="24"/>
          <w:szCs w:val="24"/>
          <w:lang w:eastAsia="pl-PL"/>
        </w:rPr>
        <w:t xml:space="preserve"> </w:t>
      </w:r>
      <w:r w:rsidR="7F0C4941" w:rsidRPr="00D44D33">
        <w:rPr>
          <w:rFonts w:ascii="Times New Roman" w:eastAsiaTheme="minorEastAsia" w:hAnsi="Times New Roman" w:cs="Times New Roman"/>
          <w:sz w:val="24"/>
          <w:szCs w:val="24"/>
          <w:lang w:eastAsia="pl-PL"/>
        </w:rPr>
        <w:t>Pke</w:t>
      </w:r>
      <w:r w:rsidR="0A42AF10"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A42AF10"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0A42AF10"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A42AF10"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0A42AF10" w:rsidRPr="00D44D33">
        <w:rPr>
          <w:rFonts w:ascii="Times New Roman" w:eastAsiaTheme="minorEastAsia" w:hAnsi="Times New Roman" w:cs="Times New Roman"/>
          <w:sz w:val="24"/>
          <w:szCs w:val="24"/>
          <w:lang w:eastAsia="pl-PL"/>
        </w:rPr>
        <w:t>implementację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w:t>
      </w:r>
      <w:r w:rsidR="009A0C4B" w:rsidRPr="00D44D33">
        <w:rPr>
          <w:rFonts w:ascii="Times New Roman" w:eastAsiaTheme="minorEastAsia" w:hAnsi="Times New Roman" w:cs="Times New Roman"/>
          <w:sz w:val="24"/>
          <w:szCs w:val="24"/>
          <w:lang w:eastAsia="pl-PL"/>
        </w:rPr>
        <w:t>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002410E3" w:rsidRPr="00D44D33">
        <w:rPr>
          <w:rFonts w:ascii="Times New Roman" w:eastAsiaTheme="minorEastAsia" w:hAnsi="Times New Roman" w:cs="Times New Roman"/>
          <w:sz w:val="24"/>
          <w:szCs w:val="24"/>
          <w:lang w:eastAsia="pl-PL"/>
        </w:rPr>
        <w:t xml:space="preserve">art. </w:t>
      </w:r>
      <w:r w:rsidRPr="00D44D33">
        <w:rPr>
          <w:rFonts w:ascii="Times New Roman" w:eastAsiaTheme="minorEastAsia" w:hAnsi="Times New Roman" w:cs="Times New Roman"/>
          <w:sz w:val="24"/>
          <w:szCs w:val="24"/>
          <w:lang w:eastAsia="pl-PL"/>
        </w:rPr>
        <w:t>7</w:t>
      </w:r>
      <w:r w:rsidR="009A0C4B" w:rsidRPr="00D44D33">
        <w:rPr>
          <w:rFonts w:ascii="Times New Roman" w:eastAsiaTheme="minorEastAsia" w:hAnsi="Times New Roman" w:cs="Times New Roman"/>
          <w:sz w:val="24"/>
          <w:szCs w:val="24"/>
          <w:lang w:eastAsia="pl-PL"/>
        </w:rPr>
        <w:t>9</w:t>
      </w:r>
      <w:r w:rsidR="00970B2E" w:rsidRPr="00D44D33">
        <w:rPr>
          <w:rFonts w:ascii="Times New Roman" w:eastAsiaTheme="minorEastAsia" w:hAnsi="Times New Roman" w:cs="Times New Roman"/>
          <w:sz w:val="24"/>
          <w:szCs w:val="24"/>
          <w:lang w:eastAsia="pl-PL"/>
        </w:rPr>
        <w:t xml:space="preserve"> </w:t>
      </w:r>
      <w:r w:rsidR="17635F45"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17635F45" w:rsidRPr="00D44D33">
        <w:rPr>
          <w:rFonts w:ascii="Times New Roman" w:eastAsiaTheme="minorEastAsia" w:hAnsi="Times New Roman" w:cs="Times New Roman"/>
          <w:sz w:val="24"/>
          <w:szCs w:val="24"/>
          <w:lang w:eastAsia="pl-PL"/>
        </w:rPr>
        <w:t>uwzględnienie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motyw</w:t>
      </w:r>
      <w:r w:rsidR="76F14EBF" w:rsidRPr="00D44D33">
        <w:rPr>
          <w:rFonts w:ascii="Times New Roman" w:eastAsiaTheme="minorEastAsia" w:hAnsi="Times New Roman" w:cs="Times New Roman"/>
          <w:sz w:val="24"/>
          <w:szCs w:val="24"/>
          <w:lang w:eastAsia="pl-PL"/>
        </w:rPr>
        <w: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198-201,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207</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0A60FD" w:rsidRPr="00D44D33">
        <w:rPr>
          <w:rFonts w:ascii="Times New Roman" w:eastAsiaTheme="minorEastAsia" w:hAnsi="Times New Roman" w:cs="Times New Roman"/>
          <w:sz w:val="24"/>
          <w:szCs w:val="24"/>
          <w:lang w:eastAsia="pl-PL"/>
        </w:rPr>
        <w:t xml:space="preserve">, jak również </w:t>
      </w:r>
      <w:r w:rsidR="00C676FB" w:rsidRPr="00D44D33">
        <w:rPr>
          <w:rFonts w:ascii="Times New Roman" w:eastAsiaTheme="minorEastAsia" w:hAnsi="Times New Roman" w:cs="Times New Roman"/>
          <w:sz w:val="24"/>
          <w:szCs w:val="24"/>
          <w:lang w:eastAsia="pl-PL"/>
        </w:rPr>
        <w:t>z</w:t>
      </w:r>
      <w:r w:rsidR="000A60FD" w:rsidRPr="00D44D33">
        <w:rPr>
          <w:rFonts w:ascii="Times New Roman" w:eastAsiaTheme="minorEastAsia" w:hAnsi="Times New Roman" w:cs="Times New Roman"/>
          <w:sz w:val="24"/>
          <w:szCs w:val="24"/>
          <w:lang w:eastAsia="pl-PL"/>
        </w:rPr>
        <w:t>ałącznika IV do tej dyrektywy</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Wspomniane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dyrektywy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(sankcjonowania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przedkładanych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przedsiębiorców</w:t>
      </w:r>
      <w:r w:rsidR="00970B2E" w:rsidRPr="00D44D33">
        <w:rPr>
          <w:rFonts w:ascii="Times New Roman" w:eastAsiaTheme="minorEastAsia" w:hAnsi="Times New Roman" w:cs="Times New Roman"/>
          <w:sz w:val="24"/>
          <w:szCs w:val="24"/>
          <w:lang w:eastAsia="pl-PL"/>
        </w:rPr>
        <w:t xml:space="preserve"> </w:t>
      </w:r>
      <w:r w:rsidR="463E8E4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63E8E4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(tzw.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SMP),</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54715281"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sieci/elementów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p>
    <w:p w14:paraId="2E414F32" w14:textId="62152123"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zauważyć,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przyjęte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europejskiego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prawodawcę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rozwiązania</w:t>
      </w:r>
      <w:r w:rsidR="00970B2E" w:rsidRPr="00D44D33">
        <w:rPr>
          <w:rFonts w:ascii="Times New Roman" w:eastAsiaTheme="minorEastAsia" w:hAnsi="Times New Roman" w:cs="Times New Roman"/>
          <w:sz w:val="24"/>
          <w:szCs w:val="24"/>
          <w:lang w:eastAsia="pl-PL"/>
        </w:rPr>
        <w:t xml:space="preserve"> </w:t>
      </w:r>
      <w:r w:rsidR="00110F4E"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wcześniej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choć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węższym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8</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dyrektywy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2002/19/WE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Parlamentu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Europejskiego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Rady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7</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marca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2002</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sprawie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dostępu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sieci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łączności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elektronicznej</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urządzeń</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towarzyszących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oraz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wzajemnych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połączeń</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(dyrektywa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dostępie).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sz w:val="24"/>
          <w:szCs w:val="24"/>
          <w:lang w:eastAsia="pl-PL"/>
        </w:rPr>
        <w:t>Wspomniany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8</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dyrektywy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znalazł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swoje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odzwierciedlenie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gruncie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43a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uchylanego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wprowadzone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w:t>
      </w:r>
      <w:r w:rsidR="00110F4E" w:rsidRPr="00D44D33">
        <w:rPr>
          <w:rFonts w:ascii="Times New Roman" w:eastAsiaTheme="minorEastAsia" w:hAnsi="Times New Roman" w:cs="Times New Roman"/>
          <w:sz w:val="24"/>
          <w:szCs w:val="24"/>
          <w:lang w:eastAsia="pl-PL"/>
        </w:rPr>
        <w:t>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października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2010</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ustawy</w:t>
      </w:r>
      <w:r w:rsidR="00970B2E" w:rsidRPr="00D44D33">
        <w:rPr>
          <w:rFonts w:ascii="Times New Roman" w:eastAsiaTheme="minorEastAsia" w:hAnsi="Times New Roman" w:cs="Times New Roman"/>
          <w:sz w:val="24"/>
          <w:szCs w:val="24"/>
          <w:lang w:eastAsia="pl-PL"/>
        </w:rPr>
        <w:t xml:space="preserve"> </w:t>
      </w:r>
      <w:r w:rsidR="00A47B9B"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t>
      </w:r>
      <w:r w:rsidR="00371EEA">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1499).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Unormowania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upoważniały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tzw.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szczegółowych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nakładanych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Szczegółowe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zainteresowanego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szczegółowe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wykonywania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wcześniej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mogących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przyczynić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rozwoju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równoprawnej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rozwoju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wykorzystania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nowoczesnej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infrastruktury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użytkownikom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maksymalnych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korzyści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różnorodności,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telekomunikacyjnych.</w:t>
      </w:r>
      <w:r w:rsidR="00970B2E" w:rsidRPr="00D44D33">
        <w:rPr>
          <w:rFonts w:ascii="Times New Roman" w:eastAsiaTheme="minorEastAsia" w:hAnsi="Times New Roman" w:cs="Times New Roman"/>
          <w:sz w:val="24"/>
          <w:szCs w:val="24"/>
          <w:lang w:eastAsia="pl-PL"/>
        </w:rPr>
        <w:t xml:space="preserve"> </w:t>
      </w:r>
    </w:p>
    <w:p w14:paraId="1A880888" w14:textId="411DD266"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Co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zaś</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unormowań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dyrektywy,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czynienia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będziemy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mieli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rozwiązaniami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Proponowane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wprowadzenie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mechanizmów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stworzenie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systemu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zachęt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jednoczesnym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zachowaniu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konkurencyjności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Docelowym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efektem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wprowadzonej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wywarcie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pozytywnego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wpływu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uczestników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00110F4E" w:rsidRPr="00D44D33">
        <w:rPr>
          <w:rFonts w:ascii="Times New Roman" w:eastAsiaTheme="minorEastAsia" w:hAnsi="Times New Roman" w:cs="Times New Roman"/>
          <w:sz w:val="24"/>
          <w:szCs w:val="24"/>
          <w:lang w:eastAsia="pl-PL"/>
        </w:rPr>
        <w:t>skutkuj</w:t>
      </w:r>
      <w:r w:rsidRPr="00D44D33">
        <w:rPr>
          <w:rFonts w:ascii="Times New Roman" w:eastAsiaTheme="minorEastAsia" w:hAnsi="Times New Roman" w:cs="Times New Roman"/>
          <w:sz w:val="24"/>
          <w:szCs w:val="24"/>
          <w:lang w:eastAsia="pl-PL"/>
        </w:rPr>
        <w:t>ącego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powstawaniem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jednocześnie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obniżaniu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budowy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zachowaniu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zrównoważonego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modelu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brakiem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konieczności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powielania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infrastruktury.</w:t>
      </w:r>
      <w:r w:rsidR="00970B2E" w:rsidRPr="00D44D33">
        <w:rPr>
          <w:rFonts w:ascii="Times New Roman" w:eastAsiaTheme="minorEastAsia" w:hAnsi="Times New Roman" w:cs="Times New Roman"/>
          <w:sz w:val="24"/>
          <w:szCs w:val="24"/>
          <w:lang w:eastAsia="pl-PL"/>
        </w:rPr>
        <w:t xml:space="preserve"> </w:t>
      </w:r>
    </w:p>
    <w:p w14:paraId="6FBC1B4D" w14:textId="5F54CAEC"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Decyzje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podstawie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akapit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czwarty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2D512E" w:rsidRPr="00D44D33">
        <w:rPr>
          <w:rFonts w:ascii="Times New Roman" w:eastAsiaTheme="minorEastAsia" w:hAnsi="Times New Roman" w:cs="Times New Roman"/>
          <w:sz w:val="24"/>
          <w:szCs w:val="24"/>
          <w:lang w:eastAsia="pl-PL"/>
        </w:rPr>
        <w:t>242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projektu</w:t>
      </w:r>
      <w:r w:rsidR="00970B2E" w:rsidRPr="00D44D33">
        <w:rPr>
          <w:rFonts w:ascii="Times New Roman" w:eastAsiaTheme="minorEastAsia" w:hAnsi="Times New Roman" w:cs="Times New Roman"/>
          <w:sz w:val="24"/>
          <w:szCs w:val="24"/>
          <w:lang w:eastAsia="pl-PL"/>
        </w:rPr>
        <w:t xml:space="preserve"> </w:t>
      </w:r>
      <w:r w:rsidR="43404BD5"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charakter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wiążący.</w:t>
      </w:r>
      <w:r w:rsidR="00970B2E" w:rsidRPr="00D44D33">
        <w:rPr>
          <w:rFonts w:ascii="Times New Roman" w:eastAsiaTheme="minorEastAsia" w:hAnsi="Times New Roman" w:cs="Times New Roman"/>
          <w:sz w:val="24"/>
          <w:szCs w:val="24"/>
          <w:lang w:eastAsia="pl-PL"/>
        </w:rPr>
        <w:t xml:space="preserve"> </w:t>
      </w:r>
      <w:r w:rsidR="5492EEAC" w:rsidRPr="00D44D33">
        <w:rPr>
          <w:rFonts w:ascii="Times New Roman" w:eastAsiaTheme="minorEastAsia" w:hAnsi="Times New Roman" w:cs="Times New Roman"/>
          <w:sz w:val="24"/>
          <w:szCs w:val="24"/>
          <w:lang w:eastAsia="pl-PL"/>
        </w:rPr>
        <w:t>P</w:t>
      </w:r>
      <w:r w:rsidRPr="00D44D33">
        <w:rPr>
          <w:rFonts w:ascii="Times New Roman" w:eastAsiaTheme="minorEastAsia" w:hAnsi="Times New Roman" w:cs="Times New Roman"/>
          <w:sz w:val="24"/>
          <w:szCs w:val="24"/>
          <w:lang w:eastAsia="pl-PL"/>
        </w:rPr>
        <w:t>rocedurze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konsolidacji</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podlegać</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będą</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decyzje</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wydawane</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podstawie</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243</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projektu</w:t>
      </w:r>
      <w:r w:rsidR="00970B2E" w:rsidRPr="00D44D33">
        <w:rPr>
          <w:rFonts w:ascii="Times New Roman" w:eastAsiaTheme="minorEastAsia" w:hAnsi="Times New Roman" w:cs="Times New Roman"/>
          <w:sz w:val="24"/>
          <w:szCs w:val="24"/>
          <w:lang w:eastAsia="pl-PL"/>
        </w:rPr>
        <w:t xml:space="preserve"> </w:t>
      </w:r>
      <w:r w:rsidR="50EC115B" w:rsidRPr="00D44D33">
        <w:rPr>
          <w:rFonts w:ascii="Times New Roman" w:eastAsiaTheme="minorEastAsia" w:hAnsi="Times New Roman" w:cs="Times New Roman"/>
          <w:sz w:val="24"/>
          <w:szCs w:val="24"/>
          <w:lang w:eastAsia="pl-PL"/>
        </w:rPr>
        <w:t>P</w:t>
      </w:r>
      <w:r w:rsidR="00C676FB" w:rsidRPr="00D44D33">
        <w:rPr>
          <w:rFonts w:ascii="Times New Roman" w:eastAsiaTheme="minorEastAsia" w:hAnsi="Times New Roman" w:cs="Times New Roman"/>
          <w:sz w:val="24"/>
          <w:szCs w:val="24"/>
          <w:lang w:eastAsia="pl-PL"/>
        </w:rPr>
        <w:t>ke</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Oznacza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w:t>
      </w:r>
      <w:r w:rsidR="49B2D3B9" w:rsidRPr="00D44D33">
        <w:rPr>
          <w:rFonts w:ascii="Times New Roman" w:eastAsiaTheme="minorEastAsia" w:hAnsi="Times New Roman" w:cs="Times New Roman"/>
          <w:sz w:val="24"/>
          <w:szCs w:val="24"/>
          <w:lang w:eastAsia="pl-PL"/>
        </w:rPr>
        <w: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muszą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notyfikowane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38BB4553" w:rsidRPr="00D44D33">
        <w:rPr>
          <w:rFonts w:ascii="Times New Roman" w:eastAsiaTheme="minorEastAsia" w:hAnsi="Times New Roman" w:cs="Times New Roman"/>
          <w:sz w:val="24"/>
          <w:szCs w:val="24"/>
          <w:lang w:eastAsia="pl-PL"/>
        </w:rPr>
        <w:t>5</w:t>
      </w:r>
      <w:r w:rsidR="00970B2E" w:rsidRPr="00D44D33">
        <w:rPr>
          <w:rFonts w:ascii="Times New Roman" w:eastAsiaTheme="minorEastAsia" w:hAnsi="Times New Roman" w:cs="Times New Roman"/>
          <w:sz w:val="24"/>
          <w:szCs w:val="24"/>
          <w:lang w:eastAsia="pl-PL"/>
        </w:rPr>
        <w:t xml:space="preserve"> </w:t>
      </w:r>
      <w:r w:rsidR="5752A7BF"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5752A7BF" w:rsidRPr="00D44D33">
        <w:rPr>
          <w:rFonts w:ascii="Times New Roman" w:eastAsiaTheme="minorEastAsia" w:hAnsi="Times New Roman" w:cs="Times New Roman"/>
          <w:sz w:val="24"/>
          <w:szCs w:val="24"/>
          <w:lang w:eastAsia="pl-PL"/>
        </w:rPr>
        <w:t>następnymi</w:t>
      </w:r>
      <w:r w:rsidRPr="00D44D33">
        <w:rPr>
          <w:rFonts w:ascii="Times New Roman" w:eastAsiaTheme="minorEastAsia" w:hAnsi="Times New Roman" w:cs="Times New Roman"/>
          <w:sz w:val="24"/>
          <w:szCs w:val="24"/>
          <w:lang w:eastAsia="pl-PL"/>
        </w:rPr>
        <w:t>.</w:t>
      </w:r>
      <w:r w:rsidR="00371EEA">
        <w:rPr>
          <w:rFonts w:ascii="Times New Roman" w:eastAsiaTheme="minorEastAsia" w:hAnsi="Times New Roman" w:cs="Times New Roman"/>
          <w:sz w:val="24"/>
          <w:szCs w:val="24"/>
          <w:lang w:eastAsia="pl-PL"/>
        </w:rPr>
        <w:t xml:space="preserve"> </w:t>
      </w:r>
    </w:p>
    <w:p w14:paraId="1E704745" w14:textId="658DBD2E"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usankcjonowanie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przedsiębiorców</w:t>
      </w:r>
      <w:r w:rsidR="00970B2E" w:rsidRPr="00D44D33">
        <w:rPr>
          <w:rFonts w:ascii="Times New Roman" w:eastAsiaTheme="minorEastAsia" w:hAnsi="Times New Roman" w:cs="Times New Roman"/>
          <w:sz w:val="24"/>
          <w:szCs w:val="24"/>
          <w:lang w:eastAsia="pl-PL"/>
        </w:rPr>
        <w:t xml:space="preserve"> </w:t>
      </w:r>
      <w:r w:rsidR="5491B351"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491B351"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dotychczas</w:t>
      </w:r>
      <w:r w:rsidR="00970B2E" w:rsidRPr="00D44D33">
        <w:rPr>
          <w:rFonts w:ascii="Times New Roman" w:eastAsiaTheme="minorEastAsia" w:hAnsi="Times New Roman" w:cs="Times New Roman"/>
          <w:sz w:val="24"/>
          <w:szCs w:val="24"/>
          <w:lang w:eastAsia="pl-PL"/>
        </w:rPr>
        <w:t xml:space="preserve"> </w:t>
      </w:r>
      <w:r w:rsidR="00110F4E" w:rsidRPr="00D44D33">
        <w:rPr>
          <w:rFonts w:ascii="Times New Roman" w:eastAsiaTheme="minorEastAsia" w:hAnsi="Times New Roman" w:cs="Times New Roman"/>
          <w:sz w:val="24"/>
          <w:szCs w:val="24"/>
          <w:lang w:eastAsia="pl-PL"/>
        </w:rPr>
        <w:t>taka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konstrukcja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funkcjonowała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gruncie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szerokorozumianego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Proponowane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zadanie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umocowanie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objętych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postępowaniem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konsolidacyjnym,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administracyjnych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sankcjonują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włączania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(przyłączania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realizowanych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ślad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dyrektywy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zawiera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zamkniętego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wyliczenia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przedmiotu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proponowanych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przykładowe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wyliczenie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zawiera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sfomułowanie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kontekście,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podkreślić,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proponowana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bezpośrednio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E302CC" w:rsidRPr="00D44D33">
        <w:rPr>
          <w:rFonts w:ascii="Times New Roman" w:eastAsiaTheme="minorEastAsia" w:hAnsi="Times New Roman" w:cs="Times New Roman"/>
          <w:sz w:val="24"/>
          <w:szCs w:val="24"/>
          <w:lang w:eastAsia="pl-PL"/>
        </w:rPr>
        <w:t>237</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ślad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motywu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in</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fine</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dobrowolnym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podziałem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przedsiębiorstwa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zintegrowanego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pionowo,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które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zostało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wyznaczone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jako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posiadające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znaczącą</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pozycję</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rynkową</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co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najmniej</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jednym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właściwym,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mogą</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zwiększać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przewidywalność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przejrzystość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tego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procesu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dzięki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ustanowieniu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procedury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wdrożenia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planowanego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podziału,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np.</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formie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harmonogramu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wdrażania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według</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jasno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określonych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kluczowych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etapów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podaniem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przewidywalnych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skutków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braku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realizacji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niektórych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etapów.</w:t>
      </w:r>
    </w:p>
    <w:p w14:paraId="546AE3ED" w14:textId="35978C61" w:rsidR="638D91CF" w:rsidRPr="00D44D33" w:rsidRDefault="638D91CF"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E302CC" w:rsidRPr="00D44D33">
        <w:rPr>
          <w:rFonts w:ascii="Times New Roman" w:eastAsiaTheme="minorEastAsia" w:hAnsi="Times New Roman" w:cs="Times New Roman"/>
          <w:b/>
          <w:bCs/>
          <w:sz w:val="24"/>
          <w:szCs w:val="24"/>
          <w:lang w:eastAsia="pl-PL"/>
        </w:rPr>
        <w:t>237</w:t>
      </w:r>
    </w:p>
    <w:p w14:paraId="23B6EE57" w14:textId="50624196"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w:t>
      </w:r>
      <w:r w:rsidR="00C676FB" w:rsidRPr="00D44D33">
        <w:rPr>
          <w:rFonts w:ascii="Times New Roman" w:eastAsiaTheme="minorEastAsia" w:hAnsi="Times New Roman" w:cs="Times New Roman"/>
          <w:sz w:val="24"/>
          <w:szCs w:val="24"/>
          <w:lang w:eastAsia="pl-PL"/>
        </w:rPr>
        <w:t>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E302CC" w:rsidRPr="00D44D33">
        <w:rPr>
          <w:rFonts w:ascii="Times New Roman" w:eastAsiaTheme="minorEastAsia" w:hAnsi="Times New Roman" w:cs="Times New Roman"/>
          <w:sz w:val="24"/>
          <w:szCs w:val="24"/>
          <w:lang w:eastAsia="pl-PL"/>
        </w:rPr>
        <w:t>237</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dokonują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akapit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pierwszy</w:t>
      </w:r>
      <w:r w:rsidR="00371EEA">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A47B9B" w:rsidRPr="00D44D33">
        <w:rPr>
          <w:rFonts w:ascii="Times New Roman" w:eastAsiaTheme="minorEastAsia" w:hAnsi="Times New Roman" w:cs="Times New Roman"/>
          <w:sz w:val="24"/>
          <w:szCs w:val="24"/>
          <w:lang w:eastAsia="pl-PL"/>
        </w:rPr>
        <w:t>–</w:t>
      </w:r>
      <w:r w:rsidRPr="00D44D33">
        <w:rPr>
          <w:rFonts w:ascii="Times New Roman" w:eastAsiaTheme="minorEastAsia" w:hAnsi="Times New Roman" w:cs="Times New Roman"/>
          <w:sz w:val="24"/>
          <w:szCs w:val="24"/>
          <w:lang w:eastAsia="pl-PL"/>
        </w:rPr>
        <w:t>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pierwszej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kolejności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przesłanki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58AFFC4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8AFFC4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mogli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skorzystać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instytucji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przedmiotowej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objęty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00C676FB" w:rsidRPr="00D44D33">
        <w:rPr>
          <w:rFonts w:ascii="Times New Roman" w:eastAsiaTheme="minorEastAsia" w:hAnsi="Times New Roman" w:cs="Times New Roman"/>
          <w:sz w:val="24"/>
          <w:szCs w:val="24"/>
          <w:lang w:eastAsia="pl-PL"/>
        </w:rPr>
        <w:t>Przepis u</w:t>
      </w:r>
      <w:r w:rsidRPr="00D44D33">
        <w:rPr>
          <w:rFonts w:ascii="Times New Roman" w:eastAsiaTheme="minorEastAsia" w:hAnsi="Times New Roman" w:cs="Times New Roman"/>
          <w:sz w:val="24"/>
          <w:szCs w:val="24"/>
          <w:lang w:eastAsia="pl-PL"/>
        </w:rPr>
        <w:t>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00A45254" w:rsidRPr="00D44D33">
        <w:rPr>
          <w:rFonts w:ascii="Times New Roman" w:eastAsiaTheme="minorEastAsia" w:hAnsi="Times New Roman" w:cs="Times New Roman"/>
          <w:sz w:val="24"/>
          <w:szCs w:val="24"/>
          <w:lang w:eastAsia="pl-PL"/>
        </w:rPr>
        <w:t>do</w:t>
      </w:r>
      <w:r w:rsidRPr="00D44D33">
        <w:rPr>
          <w:rFonts w:ascii="Times New Roman" w:eastAsiaTheme="minorEastAsia" w:hAnsi="Times New Roman" w:cs="Times New Roman"/>
          <w:sz w:val="24"/>
          <w:szCs w:val="24"/>
          <w:lang w:eastAsia="pl-PL"/>
        </w:rPr>
        <w:t>precyzowanie</w:t>
      </w:r>
      <w:r w:rsidR="00970B2E" w:rsidRPr="00D44D33">
        <w:rPr>
          <w:rFonts w:ascii="Times New Roman" w:eastAsiaTheme="minorEastAsia" w:hAnsi="Times New Roman" w:cs="Times New Roman"/>
          <w:sz w:val="24"/>
          <w:szCs w:val="24"/>
          <w:lang w:eastAsia="pl-PL"/>
        </w:rPr>
        <w:t xml:space="preserve"> </w:t>
      </w:r>
      <w:r w:rsidR="00110F4E" w:rsidRPr="00D44D33">
        <w:rPr>
          <w:rFonts w:ascii="Times New Roman" w:eastAsiaTheme="minorEastAsia" w:hAnsi="Times New Roman" w:cs="Times New Roman"/>
          <w:sz w:val="24"/>
          <w:szCs w:val="24"/>
          <w:lang w:eastAsia="pl-PL"/>
        </w:rPr>
        <w:t>podstawowego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p>
    <w:p w14:paraId="3BE24105" w14:textId="55A654E1" w:rsidR="000F286A" w:rsidRPr="00D44D33" w:rsidRDefault="6A81A57C" w:rsidP="00D44D33">
      <w:pPr>
        <w:suppressAutoHyphens/>
        <w:autoSpaceDE w:val="0"/>
        <w:autoSpaceDN w:val="0"/>
        <w:adjustRightInd w:val="0"/>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E302CC" w:rsidRPr="00D44D33">
        <w:rPr>
          <w:rFonts w:ascii="Times New Roman" w:eastAsiaTheme="minorEastAsia" w:hAnsi="Times New Roman" w:cs="Times New Roman"/>
          <w:b/>
          <w:bCs/>
          <w:sz w:val="24"/>
          <w:szCs w:val="24"/>
          <w:lang w:eastAsia="pl-PL"/>
        </w:rPr>
        <w:t>238</w:t>
      </w:r>
    </w:p>
    <w:p w14:paraId="71E5263E" w14:textId="2E225884"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C676FB" w:rsidRPr="00D44D33">
        <w:rPr>
          <w:rFonts w:ascii="Times New Roman" w:eastAsiaTheme="minorEastAsia" w:hAnsi="Times New Roman" w:cs="Times New Roman"/>
          <w:sz w:val="24"/>
          <w:szCs w:val="24"/>
          <w:lang w:eastAsia="pl-PL"/>
        </w:rPr>
        <w:t xml:space="preserve">projektowanym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E302CC" w:rsidRPr="00D44D33">
        <w:rPr>
          <w:rFonts w:ascii="Times New Roman" w:eastAsiaTheme="minorEastAsia" w:hAnsi="Times New Roman" w:cs="Times New Roman"/>
          <w:sz w:val="24"/>
          <w:szCs w:val="24"/>
          <w:lang w:eastAsia="pl-PL"/>
        </w:rPr>
        <w:t>238</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została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przedkładanych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(oprócz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przesłanek: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uczciwych,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rozsądnych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otwartych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wszystkich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uczestników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warunków</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muszą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obligatoryjnie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uregulowane: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zrównoważonej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szczegółowego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harmonogramu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wdrażania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obowiązywania.</w:t>
      </w:r>
    </w:p>
    <w:p w14:paraId="7EF91906" w14:textId="310B95EA"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Propozycja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E302CC" w:rsidRPr="00D44D33">
        <w:rPr>
          <w:rFonts w:ascii="Times New Roman" w:eastAsiaTheme="minorEastAsia" w:hAnsi="Times New Roman" w:cs="Times New Roman"/>
          <w:sz w:val="24"/>
          <w:szCs w:val="24"/>
          <w:lang w:eastAsia="pl-PL"/>
        </w:rPr>
        <w:t>238</w:t>
      </w:r>
      <w:r w:rsidR="00C676FB" w:rsidRPr="00D44D33">
        <w:rPr>
          <w:rFonts w:ascii="Times New Roman" w:eastAsiaTheme="minorEastAsia" w:hAnsi="Times New Roman" w:cs="Times New Roman"/>
          <w:sz w:val="24"/>
          <w:szCs w:val="24"/>
          <w:lang w:eastAsia="pl-PL"/>
        </w:rPr>
        <w:t>–</w:t>
      </w:r>
      <w:r w:rsidR="00B46A20" w:rsidRPr="00D44D33">
        <w:rPr>
          <w:rFonts w:ascii="Times New Roman" w:eastAsiaTheme="minorEastAsia" w:hAnsi="Times New Roman" w:cs="Times New Roman"/>
          <w:sz w:val="24"/>
          <w:szCs w:val="24"/>
          <w:lang w:eastAsia="pl-PL"/>
        </w:rPr>
        <w:t>243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postępowania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wydawaniem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bezpośrednio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motywu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205</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in</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medio</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należy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ustanowić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dla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przedsiębiorstw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procedurę</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składania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zobowiązań,</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dla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krajowych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organów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regulacyjnych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procedurę</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oceny,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uwzględnieniem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opinii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uczestników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drodze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testu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rynkowego,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oraz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stosownych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przypadkach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nadania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mocy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wiążącej</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wobec</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przedsiębiorstwa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możliwości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egzekwowania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krajowy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organ</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regulacyjny.</w:t>
      </w:r>
    </w:p>
    <w:p w14:paraId="3541E8CD" w14:textId="5BBCD939"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zauważyć,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inicjatorem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proponującym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treść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zawsze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poddany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przedsiębiorca</w:t>
      </w:r>
      <w:r w:rsidR="00970B2E" w:rsidRPr="00D44D33">
        <w:rPr>
          <w:rFonts w:ascii="Times New Roman" w:eastAsiaTheme="minorEastAsia" w:hAnsi="Times New Roman" w:cs="Times New Roman"/>
          <w:sz w:val="24"/>
          <w:szCs w:val="24"/>
        </w:rPr>
        <w:t xml:space="preserve"> </w:t>
      </w:r>
      <w:r w:rsidR="39DF4EA5"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9DF4EA5" w:rsidRPr="00D44D33">
        <w:rPr>
          <w:rFonts w:ascii="Times New Roman" w:eastAsiaTheme="minorEastAsia" w:hAnsi="Times New Roman" w:cs="Times New Roman"/>
          <w:sz w:val="24"/>
          <w:szCs w:val="24"/>
        </w:rPr>
        <w:t>elektronicznej</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Natomiast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spoczywał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publicznoprawny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potrzeby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poddane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stosownym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zmianom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uzupełnieniom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stosunku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pierwotnej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nakładanymi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371EEA">
        <w:rPr>
          <w:rFonts w:ascii="Times New Roman" w:eastAsiaTheme="minorEastAsia" w:hAnsi="Times New Roman" w:cs="Times New Roman"/>
          <w:sz w:val="24"/>
          <w:szCs w:val="24"/>
          <w:lang w:eastAsia="pl-PL"/>
        </w:rPr>
        <w:t xml:space="preserve"> </w:t>
      </w:r>
      <w:r w:rsidR="2AD6193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AD6193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potrzebami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mogły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przyczyniać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rPr>
        <w:t xml:space="preserve"> </w:t>
      </w:r>
      <w:r w:rsidR="6C8E236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6C8E2368" w:rsidRPr="00D44D33">
        <w:rPr>
          <w:rFonts w:ascii="Times New Roman" w:eastAsiaTheme="minorEastAsia" w:hAnsi="Times New Roman" w:cs="Times New Roman"/>
          <w:sz w:val="24"/>
          <w:szCs w:val="24"/>
        </w:rPr>
        <w:t>elektronicznej</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rozwoju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równoprawnej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rozwoju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wykorzystania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nowoczesnej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infrastruktury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użytkownikom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maksymalnych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korzyści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różnorodności,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telekomunikacyjnych.</w:t>
      </w:r>
      <w:r w:rsidR="00970B2E" w:rsidRPr="00D44D33">
        <w:rPr>
          <w:rFonts w:ascii="Times New Roman" w:eastAsiaTheme="minorEastAsia" w:hAnsi="Times New Roman" w:cs="Times New Roman"/>
          <w:sz w:val="24"/>
          <w:szCs w:val="24"/>
          <w:lang w:eastAsia="pl-PL"/>
        </w:rPr>
        <w:t xml:space="preserve"> </w:t>
      </w:r>
    </w:p>
    <w:p w14:paraId="0E963383" w14:textId="77777777" w:rsidR="0047172A" w:rsidRDefault="0047172A" w:rsidP="00D44D33">
      <w:pPr>
        <w:spacing w:before="120" w:after="120" w:line="360" w:lineRule="auto"/>
        <w:jc w:val="center"/>
        <w:rPr>
          <w:rFonts w:ascii="Times New Roman" w:eastAsiaTheme="minorEastAsia" w:hAnsi="Times New Roman" w:cs="Times New Roman"/>
          <w:b/>
          <w:bCs/>
          <w:sz w:val="24"/>
          <w:szCs w:val="24"/>
          <w:lang w:eastAsia="pl-PL"/>
        </w:rPr>
      </w:pPr>
    </w:p>
    <w:p w14:paraId="48190833" w14:textId="77777777" w:rsidR="0047172A" w:rsidRDefault="0047172A" w:rsidP="00D44D33">
      <w:pPr>
        <w:spacing w:before="120" w:after="120" w:line="360" w:lineRule="auto"/>
        <w:jc w:val="center"/>
        <w:rPr>
          <w:rFonts w:ascii="Times New Roman" w:eastAsiaTheme="minorEastAsia" w:hAnsi="Times New Roman" w:cs="Times New Roman"/>
          <w:b/>
          <w:bCs/>
          <w:sz w:val="24"/>
          <w:szCs w:val="24"/>
          <w:lang w:eastAsia="pl-PL"/>
        </w:rPr>
      </w:pPr>
    </w:p>
    <w:p w14:paraId="3C8CD06C" w14:textId="51190671" w:rsidR="03A51523" w:rsidRPr="00D44D33" w:rsidRDefault="03A51523"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B46A20" w:rsidRPr="00D44D33">
        <w:rPr>
          <w:rFonts w:ascii="Times New Roman" w:eastAsiaTheme="minorEastAsia" w:hAnsi="Times New Roman" w:cs="Times New Roman"/>
          <w:b/>
          <w:bCs/>
          <w:sz w:val="24"/>
          <w:szCs w:val="24"/>
          <w:lang w:eastAsia="pl-PL"/>
        </w:rPr>
        <w:t>239</w:t>
      </w:r>
    </w:p>
    <w:p w14:paraId="012491CF" w14:textId="5E1FBDC9" w:rsidR="000F286A" w:rsidRPr="00D44D33" w:rsidRDefault="3A9A78CD"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myśl</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239</w:t>
      </w:r>
      <w:r w:rsidR="00A47B9B"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postulaty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ab</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initio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motywu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206</w:t>
      </w:r>
      <w:r w:rsidR="00970B2E" w:rsidRPr="00D44D33">
        <w:rPr>
          <w:rFonts w:ascii="Times New Roman" w:eastAsiaTheme="minorEastAsia" w:hAnsi="Times New Roman" w:cs="Times New Roman"/>
          <w:sz w:val="24"/>
          <w:szCs w:val="24"/>
          <w:lang w:eastAsia="pl-PL"/>
        </w:rPr>
        <w:t xml:space="preserve"> </w:t>
      </w:r>
      <w:r w:rsidR="56CD4A1E" w:rsidRPr="00D44D33">
        <w:rPr>
          <w:rFonts w:ascii="Times New Roman" w:eastAsiaTheme="minorEastAsia" w:hAnsi="Times New Roman" w:cs="Times New Roman"/>
          <w:sz w:val="24"/>
          <w:szCs w:val="24"/>
          <w:lang w:eastAsia="pl-PL"/>
        </w:rPr>
        <w:t>EKŁE</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krajowe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organy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regulacyjne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powinny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być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stanie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uczynić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zobowiązania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wiążącymi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całości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lub</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części,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określony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czas,</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który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nie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powinien</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być</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dłuższy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niż</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okres,</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który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są</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składane,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przeprowadzeniu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testu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rynkowego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drodze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publicznych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konsultacji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zainteresowanymi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stronami.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w:t>
      </w:r>
      <w:r w:rsidR="00C676FB" w:rsidRPr="00D44D33">
        <w:rPr>
          <w:rFonts w:ascii="Times New Roman" w:eastAsiaTheme="minorEastAsia" w:hAnsi="Times New Roman" w:cs="Times New Roman"/>
          <w:sz w:val="24"/>
          <w:szCs w:val="24"/>
          <w:lang w:eastAsia="pl-PL"/>
        </w:rPr>
        <w: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C676FB" w:rsidRPr="00D44D33">
        <w:rPr>
          <w:rFonts w:ascii="Times New Roman" w:eastAsiaTheme="minorEastAsia" w:hAnsi="Times New Roman" w:cs="Times New Roman"/>
          <w:sz w:val="24"/>
          <w:szCs w:val="24"/>
          <w:lang w:eastAsia="pl-PL"/>
        </w:rPr>
        <w: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239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w:t>
      </w:r>
      <w:r w:rsidR="00C676FB" w:rsidRPr="00D44D33">
        <w:rPr>
          <w:rFonts w:ascii="Times New Roman" w:eastAsiaTheme="minorEastAsia" w:hAnsi="Times New Roman" w:cs="Times New Roman"/>
          <w:sz w:val="24"/>
          <w:szCs w:val="24"/>
          <w:lang w:eastAsia="pl-PL"/>
        </w:rPr>
        <w:t>astępnych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mógł,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przeprowadzeniem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testu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dalszych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odmówić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7F99FCEE"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jeżeli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analizy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wynika,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spełniają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przesłanek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238</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implementowanej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dyrektywy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wymagają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prowadzenia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„testu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gruncie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realizowany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publicznych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konsultacji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zainteresowanymi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ramach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prowadzona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analiza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stanowisk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konsultacyjnych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składanych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wyznaczonym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krótszym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30</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w:t>
      </w:r>
      <w:r w:rsidR="00970B2E" w:rsidRPr="00D44D33">
        <w:rPr>
          <w:rFonts w:ascii="Times New Roman" w:eastAsiaTheme="minorEastAsia" w:hAnsi="Times New Roman" w:cs="Times New Roman"/>
          <w:sz w:val="24"/>
          <w:szCs w:val="24"/>
          <w:lang w:eastAsia="pl-PL"/>
        </w:rPr>
        <w:t xml:space="preserve"> </w:t>
      </w:r>
    </w:p>
    <w:p w14:paraId="72FA6C1E" w14:textId="2498E911" w:rsidR="7175A6FC" w:rsidRPr="00D44D33" w:rsidRDefault="7175A6FC"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B46A20" w:rsidRPr="00D44D33">
        <w:rPr>
          <w:rFonts w:ascii="Times New Roman" w:eastAsiaTheme="minorEastAsia" w:hAnsi="Times New Roman" w:cs="Times New Roman"/>
          <w:b/>
          <w:bCs/>
          <w:sz w:val="24"/>
          <w:szCs w:val="24"/>
          <w:lang w:eastAsia="pl-PL"/>
        </w:rPr>
        <w:t>240</w:t>
      </w:r>
    </w:p>
    <w:p w14:paraId="0C12A467" w14:textId="4108C013" w:rsidR="000F286A" w:rsidRPr="00D44D33" w:rsidRDefault="094019C7"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A</w:t>
      </w:r>
      <w:r w:rsidR="000F286A" w:rsidRPr="00D44D33">
        <w:rPr>
          <w:rFonts w:ascii="Times New Roman" w:eastAsiaTheme="minorEastAsia" w:hAnsi="Times New Roman" w:cs="Times New Roman"/>
          <w:sz w:val="24"/>
          <w:szCs w:val="24"/>
          <w:lang w:eastAsia="pl-PL"/>
        </w:rPr>
        <w:t>by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umożliwić</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zapoznanie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propozycjami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aby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umożliwić</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przeprowadzenie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testu</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rynkowego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240</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zobowiązuje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publikacji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projektu</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Biuletynie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Publicznej.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projektowane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dokonują</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implementacji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p>
    <w:p w14:paraId="4239B8D8" w14:textId="02C0A8FB"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Procedurę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„testu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dalsze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C676FB"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wyłącznych,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lecz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obligatoryjnych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kryteriów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oceny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istotnych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stosunku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p>
    <w:p w14:paraId="3B74FD80" w14:textId="4BE47A5D" w:rsidR="4D37A88C" w:rsidRPr="00D44D33" w:rsidRDefault="4D37A88C"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B46A20" w:rsidRPr="00D44D33">
        <w:rPr>
          <w:rFonts w:ascii="Times New Roman" w:eastAsiaTheme="minorEastAsia" w:hAnsi="Times New Roman" w:cs="Times New Roman"/>
          <w:b/>
          <w:bCs/>
          <w:sz w:val="24"/>
          <w:szCs w:val="24"/>
          <w:lang w:eastAsia="pl-PL"/>
        </w:rPr>
        <w:t>241</w:t>
      </w:r>
    </w:p>
    <w:p w14:paraId="122DF8D6" w14:textId="0879A133" w:rsidR="17C31E6B" w:rsidRPr="00D44D33" w:rsidRDefault="63BA3137"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33922E47" w:rsidRPr="00D44D33">
        <w:rPr>
          <w:rFonts w:ascii="Times New Roman" w:eastAsiaTheme="minorEastAsia" w:hAnsi="Times New Roman" w:cs="Times New Roman"/>
          <w:sz w:val="24"/>
          <w:szCs w:val="24"/>
        </w:rPr>
        <w:t>wstępnie</w:t>
      </w:r>
      <w:r w:rsidR="00970B2E" w:rsidRPr="00D44D33">
        <w:rPr>
          <w:rFonts w:ascii="Times New Roman" w:eastAsiaTheme="minorEastAsia" w:hAnsi="Times New Roman" w:cs="Times New Roman"/>
          <w:sz w:val="24"/>
          <w:szCs w:val="24"/>
        </w:rPr>
        <w:t xml:space="preserve"> </w:t>
      </w:r>
      <w:r w:rsidR="33922E47" w:rsidRPr="00D44D33">
        <w:rPr>
          <w:rFonts w:ascii="Times New Roman" w:eastAsiaTheme="minorEastAsia" w:hAnsi="Times New Roman" w:cs="Times New Roman"/>
          <w:sz w:val="24"/>
          <w:szCs w:val="24"/>
        </w:rPr>
        <w:t>ocenia</w:t>
      </w:r>
      <w:r w:rsidR="00970B2E" w:rsidRPr="00D44D33">
        <w:rPr>
          <w:rFonts w:ascii="Times New Roman" w:eastAsiaTheme="minorEastAsia" w:hAnsi="Times New Roman" w:cs="Times New Roman"/>
          <w:sz w:val="24"/>
          <w:szCs w:val="24"/>
        </w:rPr>
        <w:t xml:space="preserve"> </w:t>
      </w:r>
      <w:r w:rsidR="7400C15E" w:rsidRPr="00D44D33">
        <w:rPr>
          <w:rFonts w:ascii="Times New Roman" w:eastAsiaTheme="minorEastAsia" w:hAnsi="Times New Roman" w:cs="Times New Roman"/>
          <w:sz w:val="24"/>
          <w:szCs w:val="24"/>
        </w:rPr>
        <w:t>złożone</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propozycj</w:t>
      </w:r>
      <w:r w:rsidR="20831363"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zobowiązań</w:t>
      </w:r>
      <w:r w:rsidR="13561BB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3561BBE"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13561BBE"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13561BB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3561BBE"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13561BBE" w:rsidRPr="00D44D33">
        <w:rPr>
          <w:rFonts w:ascii="Times New Roman" w:eastAsiaTheme="minorEastAsia" w:hAnsi="Times New Roman" w:cs="Times New Roman"/>
          <w:sz w:val="24"/>
          <w:szCs w:val="24"/>
        </w:rPr>
        <w:t>wzięcia</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76D59F92"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stanowisk</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złożon</w:t>
      </w:r>
      <w:r w:rsidR="0F6E331E" w:rsidRPr="00D44D33">
        <w:rPr>
          <w:rFonts w:ascii="Times New Roman" w:eastAsiaTheme="minorEastAsia" w:hAnsi="Times New Roman" w:cs="Times New Roman"/>
          <w:sz w:val="24"/>
          <w:szCs w:val="24"/>
        </w:rPr>
        <w:t>ych</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78929A04"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000F286A" w:rsidRPr="00D44D33">
        <w:rPr>
          <w:rFonts w:ascii="Times New Roman" w:eastAsiaTheme="minorEastAsia" w:hAnsi="Times New Roman" w:cs="Times New Roman"/>
          <w:sz w:val="24"/>
          <w:szCs w:val="24"/>
          <w:lang w:eastAsia="pl-PL"/>
        </w:rPr>
        <w:t>Proponowane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241</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doprecyzowują</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czynności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podejmowane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zobowiązując</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go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zawiadamia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411AAEC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11AAEC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znaczącej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pozycji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rynkowej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wstępnej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ocenie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złożonych</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uwzgledniającej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stanowiska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złożone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ramach</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konsultacji.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Stosownie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jeśli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wstępnej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oceny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wynikałoby,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zostały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spełnione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kryteria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wskazane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238</w:t>
      </w:r>
      <w:r w:rsidR="000F286A"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782D5911" w:rsidRPr="00D44D33">
        <w:rPr>
          <w:rFonts w:ascii="Times New Roman" w:eastAsiaTheme="minorEastAsia" w:hAnsi="Times New Roman" w:cs="Times New Roman"/>
          <w:sz w:val="24"/>
          <w:szCs w:val="24"/>
          <w:lang w:eastAsia="pl-PL"/>
        </w:rPr>
        <w:t>wówczas</w:t>
      </w:r>
      <w:r w:rsidR="00970B2E" w:rsidRPr="00D44D33">
        <w:rPr>
          <w:rFonts w:ascii="Times New Roman" w:eastAsiaTheme="minorEastAsia" w:hAnsi="Times New Roman" w:cs="Times New Roman"/>
          <w:sz w:val="24"/>
          <w:szCs w:val="24"/>
          <w:lang w:eastAsia="pl-PL"/>
        </w:rPr>
        <w:t xml:space="preserve"> </w:t>
      </w:r>
      <w:r w:rsidR="17C31E6B" w:rsidRPr="00D44D33">
        <w:rPr>
          <w:rFonts w:ascii="Times New Roman" w:eastAsiaTheme="minorEastAsia" w:hAnsi="Times New Roman" w:cs="Times New Roman"/>
          <w:sz w:val="24"/>
          <w:szCs w:val="24"/>
        </w:rPr>
        <w:t>p</w:t>
      </w:r>
      <w:r w:rsidR="3A9F8BD1" w:rsidRPr="00D44D33">
        <w:rPr>
          <w:rFonts w:ascii="Times New Roman" w:eastAsiaTheme="minorEastAsia" w:hAnsi="Times New Roman" w:cs="Times New Roman"/>
          <w:sz w:val="24"/>
          <w:szCs w:val="24"/>
        </w:rPr>
        <w:t>rzedsiębiorca</w:t>
      </w:r>
      <w:r w:rsidR="00970B2E" w:rsidRPr="00D44D33">
        <w:rPr>
          <w:rFonts w:ascii="Times New Roman" w:eastAsiaTheme="minorEastAsia" w:hAnsi="Times New Roman" w:cs="Times New Roman"/>
          <w:sz w:val="24"/>
          <w:szCs w:val="24"/>
        </w:rPr>
        <w:t xml:space="preserve"> </w:t>
      </w:r>
      <w:r w:rsidR="33A5DA9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3A5DA9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wstępnej</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dokonać</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propozycji</w:t>
      </w:r>
      <w:r w:rsidR="00970B2E" w:rsidRPr="00D44D33">
        <w:rPr>
          <w:rFonts w:ascii="Times New Roman" w:eastAsiaTheme="minorEastAsia" w:hAnsi="Times New Roman" w:cs="Times New Roman"/>
          <w:sz w:val="24"/>
          <w:szCs w:val="24"/>
        </w:rPr>
        <w:t xml:space="preserve"> </w:t>
      </w:r>
      <w:r w:rsidR="3A9F8BD1" w:rsidRPr="00D44D33">
        <w:rPr>
          <w:rFonts w:ascii="Times New Roman" w:eastAsiaTheme="minorEastAsia" w:hAnsi="Times New Roman" w:cs="Times New Roman"/>
          <w:sz w:val="24"/>
          <w:szCs w:val="24"/>
        </w:rPr>
        <w:t>zobowiązań</w:t>
      </w:r>
      <w:r w:rsidR="3878932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0BDADED"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wyznacza</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co</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najmniej</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14</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dniowy</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dokonanie</w:t>
      </w:r>
      <w:r w:rsidR="00970B2E" w:rsidRPr="00D44D33">
        <w:rPr>
          <w:rFonts w:ascii="Times New Roman" w:eastAsiaTheme="minorEastAsia" w:hAnsi="Times New Roman" w:cs="Times New Roman"/>
          <w:sz w:val="24"/>
          <w:szCs w:val="24"/>
          <w:lang w:eastAsia="pl-PL"/>
        </w:rPr>
        <w:t xml:space="preserve"> </w:t>
      </w:r>
      <w:r w:rsidR="30BDADED" w:rsidRPr="00D44D33">
        <w:rPr>
          <w:rFonts w:ascii="Times New Roman" w:eastAsiaTheme="minorEastAsia" w:hAnsi="Times New Roman" w:cs="Times New Roman"/>
          <w:sz w:val="24"/>
          <w:szCs w:val="24"/>
          <w:lang w:eastAsia="pl-PL"/>
        </w:rPr>
        <w:t>zmian</w:t>
      </w:r>
      <w:r w:rsidR="5C7275A5" w:rsidRPr="00D44D33">
        <w:rPr>
          <w:rFonts w:ascii="Times New Roman" w:eastAsiaTheme="minorEastAsia" w:hAnsi="Times New Roman" w:cs="Times New Roman"/>
          <w:sz w:val="24"/>
          <w:szCs w:val="24"/>
          <w:lang w:eastAsia="pl-PL"/>
        </w:rPr>
        <w:t>.</w:t>
      </w:r>
    </w:p>
    <w:p w14:paraId="08AFDB59" w14:textId="3D29C3B2" w:rsidR="0C722829" w:rsidRPr="00D44D33" w:rsidRDefault="0C722829"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B46A20" w:rsidRPr="00D44D33">
        <w:rPr>
          <w:rFonts w:ascii="Times New Roman" w:eastAsiaTheme="minorEastAsia" w:hAnsi="Times New Roman" w:cs="Times New Roman"/>
          <w:b/>
          <w:bCs/>
          <w:sz w:val="24"/>
          <w:szCs w:val="24"/>
          <w:lang w:eastAsia="pl-PL"/>
        </w:rPr>
        <w:t>242</w:t>
      </w:r>
    </w:p>
    <w:p w14:paraId="5D7EA23F" w14:textId="31D85A3A"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Unormowania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akapit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drugi,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akapit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czwarty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w:t>
      </w:r>
      <w:r w:rsidR="008C43A4" w:rsidRPr="00D44D33">
        <w:rPr>
          <w:rFonts w:ascii="Times New Roman" w:eastAsiaTheme="minorEastAsia" w:hAnsi="Times New Roman" w:cs="Times New Roman"/>
          <w:sz w:val="24"/>
          <w:szCs w:val="24"/>
          <w:lang w:eastAsia="pl-PL"/>
        </w:rPr>
        <w:t>KŁE.</w:t>
      </w:r>
      <w:r w:rsidR="00970B2E" w:rsidRPr="00D44D33">
        <w:rPr>
          <w:rFonts w:ascii="Times New Roman" w:eastAsiaTheme="minorEastAsia" w:hAnsi="Times New Roman" w:cs="Times New Roman"/>
          <w:sz w:val="24"/>
          <w:szCs w:val="24"/>
          <w:lang w:eastAsia="pl-PL"/>
        </w:rPr>
        <w:t xml:space="preserve"> </w:t>
      </w:r>
      <w:r w:rsidR="008C43A4"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8C43A4"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8C43A4"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008C43A4" w:rsidRPr="00D44D33">
        <w:rPr>
          <w:rFonts w:ascii="Times New Roman" w:eastAsiaTheme="minorEastAsia" w:hAnsi="Times New Roman" w:cs="Times New Roman"/>
          <w:sz w:val="24"/>
          <w:szCs w:val="24"/>
          <w:lang w:eastAsia="pl-PL"/>
        </w:rPr>
        <w:t>umocowują</w:t>
      </w:r>
      <w:r w:rsidR="00970B2E" w:rsidRPr="00D44D33">
        <w:rPr>
          <w:rFonts w:ascii="Times New Roman" w:eastAsiaTheme="minorEastAsia" w:hAnsi="Times New Roman" w:cs="Times New Roman"/>
          <w:sz w:val="24"/>
          <w:szCs w:val="24"/>
          <w:lang w:eastAsia="pl-PL"/>
        </w:rPr>
        <w:t xml:space="preserve"> </w:t>
      </w:r>
      <w:r w:rsidR="008C43A4" w:rsidRPr="00D44D33">
        <w:rPr>
          <w:rFonts w:ascii="Times New Roman" w:eastAsiaTheme="minorEastAsia" w:hAnsi="Times New Roman" w:cs="Times New Roman"/>
          <w:sz w:val="24"/>
          <w:szCs w:val="24"/>
          <w:lang w:eastAsia="pl-PL"/>
        </w:rPr>
        <w:t>P</w:t>
      </w:r>
      <w:r w:rsidRPr="00D44D33">
        <w:rPr>
          <w:rFonts w:ascii="Times New Roman" w:eastAsiaTheme="minorEastAsia" w:hAnsi="Times New Roman" w:cs="Times New Roman"/>
          <w:sz w:val="24"/>
          <w:szCs w:val="24"/>
          <w:lang w:eastAsia="pl-PL"/>
        </w:rPr>
        <w:t>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ślad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europejskim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prawodawcą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odnośnie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czasowych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siedmiu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Proponowany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potwierdza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kompetencje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funkcją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polityki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jednocześnie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dokonuje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A47B9B"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p>
    <w:p w14:paraId="5E233E93" w14:textId="60183B20" w:rsidR="4C909D56" w:rsidRPr="00D44D33" w:rsidRDefault="4C909D56"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B46A20" w:rsidRPr="00D44D33">
        <w:rPr>
          <w:rFonts w:ascii="Times New Roman" w:eastAsiaTheme="minorEastAsia" w:hAnsi="Times New Roman" w:cs="Times New Roman"/>
          <w:b/>
          <w:bCs/>
          <w:sz w:val="24"/>
          <w:szCs w:val="24"/>
          <w:lang w:eastAsia="pl-PL"/>
        </w:rPr>
        <w:t>243</w:t>
      </w:r>
    </w:p>
    <w:p w14:paraId="092478A1" w14:textId="38E88944"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Regulacja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uzależnia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zwrócenia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uchylanie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ile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obejmujących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bezpośrednio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Powyższa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zachętę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podjęcia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działań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zawarciem.</w:t>
      </w:r>
    </w:p>
    <w:p w14:paraId="57346931" w14:textId="7CA913A6" w:rsidR="000F286A" w:rsidRPr="00D44D33" w:rsidRDefault="000F286A" w:rsidP="00D44D33">
      <w:pPr>
        <w:autoSpaceDE w:val="0"/>
        <w:autoSpaceDN w:val="0"/>
        <w:adjustRightInd w:val="0"/>
        <w:spacing w:before="120" w:after="120" w:line="360" w:lineRule="auto"/>
        <w:jc w:val="both"/>
        <w:rPr>
          <w:rFonts w:ascii="Times New Roman" w:eastAsiaTheme="minorEastAsia" w:hAnsi="Times New Roman" w:cs="Times New Roman"/>
          <w:i/>
          <w:iCs/>
          <w:sz w:val="24"/>
          <w:szCs w:val="24"/>
        </w:rPr>
      </w:pP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46A20" w:rsidRPr="00D44D33">
        <w:rPr>
          <w:rFonts w:ascii="Times New Roman" w:eastAsiaTheme="minorEastAsia" w:hAnsi="Times New Roman" w:cs="Times New Roman"/>
          <w:sz w:val="24"/>
          <w:szCs w:val="24"/>
        </w:rPr>
        <w:t>243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00264FEF" w:rsidRPr="00D44D33">
        <w:rPr>
          <w:rFonts w:ascii="Times New Roman" w:eastAsiaTheme="minorEastAsia" w:hAnsi="Times New Roman" w:cs="Times New Roman"/>
          <w:sz w:val="24"/>
          <w:szCs w:val="24"/>
        </w:rPr>
        <w:t xml:space="preserve">utrzymania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264FE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64FEF" w:rsidRPr="00D44D33">
        <w:rPr>
          <w:rFonts w:ascii="Times New Roman" w:eastAsiaTheme="minorEastAsia" w:hAnsi="Times New Roman" w:cs="Times New Roman"/>
          <w:sz w:val="24"/>
          <w:szCs w:val="24"/>
        </w:rPr>
        <w:t>c</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iCs/>
          <w:sz w:val="24"/>
          <w:szCs w:val="24"/>
        </w:rPr>
        <w:t>in</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medio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i/>
          <w:iCs/>
          <w:sz w:val="24"/>
          <w:szCs w:val="24"/>
        </w:rPr>
        <w:t>Bez</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uszczerbku</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jednak</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dla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przepisów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dotyczących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traktowania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regulacyjnego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współinwestycji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charakter</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złożonych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zobowiązań</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jako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takich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ogranicza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uprawnień</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dyskrecjonalnych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przyznanych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krajowemu</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organowi</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regulacyjnemu</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do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wprowadzenia</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środków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naprawczych</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przedsiębiorstwie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wyznaczonym</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jako</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posiadające</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znaczącą</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pozycję</w:t>
      </w:r>
      <w:r w:rsidR="00970B2E" w:rsidRPr="00D44D33">
        <w:rPr>
          <w:rFonts w:ascii="Times New Roman" w:eastAsiaTheme="minorEastAsia" w:hAnsi="Times New Roman" w:cs="Times New Roman"/>
          <w:i/>
          <w:iCs/>
          <w:sz w:val="24"/>
          <w:szCs w:val="24"/>
        </w:rPr>
        <w:t xml:space="preserve"> </w:t>
      </w:r>
      <w:r w:rsidRPr="00D44D33">
        <w:rPr>
          <w:rFonts w:ascii="Times New Roman" w:eastAsiaTheme="minorEastAsia" w:hAnsi="Times New Roman" w:cs="Times New Roman"/>
          <w:i/>
          <w:iCs/>
          <w:sz w:val="24"/>
          <w:szCs w:val="24"/>
        </w:rPr>
        <w:t>rynkową.</w:t>
      </w:r>
      <w:r w:rsidR="00970B2E" w:rsidRPr="00D44D33">
        <w:rPr>
          <w:rFonts w:ascii="Times New Roman" w:eastAsiaTheme="minorEastAsia" w:hAnsi="Times New Roman" w:cs="Times New Roman"/>
          <w:i/>
          <w:iCs/>
          <w:sz w:val="24"/>
          <w:szCs w:val="24"/>
        </w:rPr>
        <w:t xml:space="preserve"> </w:t>
      </w:r>
    </w:p>
    <w:p w14:paraId="10B45931" w14:textId="798AFDE8"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Podobnie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pamiętać,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stosownych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podlega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procedurze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konsolidacji.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Oznacza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notyfikowana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E64201" w:rsidRPr="00D44D33">
        <w:rPr>
          <w:rFonts w:ascii="Times New Roman" w:eastAsiaTheme="minorEastAsia" w:hAnsi="Times New Roman" w:cs="Times New Roman"/>
          <w:sz w:val="24"/>
          <w:szCs w:val="24"/>
          <w:lang w:eastAsia="pl-PL"/>
        </w:rPr>
        <w:t>35</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przedłużających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obowiązywania,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niezależnie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utrzymują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zmieniają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Zaś</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w:t>
      </w:r>
      <w:r w:rsidR="0045087C" w:rsidRPr="00D44D33">
        <w:rPr>
          <w:rFonts w:ascii="Times New Roman" w:eastAsiaTheme="minorEastAsia" w:hAnsi="Times New Roman" w:cs="Times New Roman"/>
          <w:sz w:val="24"/>
          <w:szCs w:val="24"/>
          <w:lang w:eastAsia="pl-PL"/>
        </w:rPr>
        <w:t>jektowany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264FEF" w:rsidRPr="00D44D33">
        <w:rPr>
          <w:rFonts w:ascii="Times New Roman" w:eastAsiaTheme="minorEastAsia" w:hAnsi="Times New Roman" w:cs="Times New Roman"/>
          <w:sz w:val="24"/>
          <w:szCs w:val="24"/>
          <w:lang w:eastAsia="pl-PL"/>
        </w:rPr>
        <w:t xml:space="preserve">3 </w:t>
      </w:r>
      <w:r w:rsidRPr="00D44D33">
        <w:rPr>
          <w:rFonts w:ascii="Times New Roman" w:eastAsiaTheme="minorEastAsia" w:hAnsi="Times New Roman" w:cs="Times New Roman"/>
          <w:sz w:val="24"/>
          <w:szCs w:val="24"/>
          <w:lang w:eastAsia="pl-PL"/>
        </w:rPr>
        <w:t>potwierdza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kompetencje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funkcją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polityki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jednocześnie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dokonują</w:t>
      </w:r>
      <w:r w:rsidR="008C43A4" w:rsidRPr="00D44D33">
        <w:rPr>
          <w:rFonts w:ascii="Times New Roman" w:eastAsiaTheme="minorEastAsia" w:hAnsi="Times New Roman" w:cs="Times New Roman"/>
          <w:sz w:val="24"/>
          <w:szCs w:val="24"/>
          <w:lang w:eastAsia="pl-PL"/>
        </w:rPr>
        <w:t>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akapit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bezpośrednio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motywu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205</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in</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fine,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nawet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podjęcia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krajowe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organy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regulacyjne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wiążących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nienakładaniu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to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procedura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ta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pozostaje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bez</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uszczerbku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dla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stosowania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procedury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analizy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oraz</w:t>
      </w:r>
      <w:r w:rsidR="00371EEA">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obowiązku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stosowania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odpowiednich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proporcjonalnych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środków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naprawczych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służących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zaradzeniu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stwierdzonym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nieprawidłowościom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funkcjonowaniu</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rynku.</w:t>
      </w:r>
    </w:p>
    <w:p w14:paraId="71CE5EDA" w14:textId="15CA438B" w:rsidR="672F0D4E" w:rsidRPr="00D44D33" w:rsidRDefault="672F0D4E"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B46A20" w:rsidRPr="00D44D33">
        <w:rPr>
          <w:rFonts w:ascii="Times New Roman" w:eastAsiaTheme="minorEastAsia" w:hAnsi="Times New Roman" w:cs="Times New Roman"/>
          <w:b/>
          <w:bCs/>
          <w:sz w:val="24"/>
          <w:szCs w:val="24"/>
          <w:lang w:eastAsia="pl-PL"/>
        </w:rPr>
        <w:t>244</w:t>
      </w:r>
    </w:p>
    <w:p w14:paraId="1519B7ED" w14:textId="0BF8674B"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w:t>
      </w:r>
      <w:r w:rsidR="004041EA" w:rsidRPr="00D44D33">
        <w:rPr>
          <w:rFonts w:ascii="Times New Roman" w:eastAsiaTheme="minorEastAsia" w:hAnsi="Times New Roman" w:cs="Times New Roman"/>
          <w:sz w:val="24"/>
          <w:szCs w:val="24"/>
          <w:lang w:eastAsia="pl-PL"/>
        </w:rPr>
        <w:t>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244</w:t>
      </w:r>
      <w:r w:rsidR="00A47B9B" w:rsidRPr="00D44D33">
        <w:rPr>
          <w:rFonts w:ascii="Times New Roman" w:eastAsiaTheme="minorEastAsia" w:hAnsi="Times New Roman" w:cs="Times New Roman"/>
          <w:sz w:val="24"/>
          <w:szCs w:val="24"/>
          <w:lang w:eastAsia="pl-PL"/>
        </w:rPr>
        <w:t>–</w:t>
      </w:r>
      <w:r w:rsidR="00B46A20" w:rsidRPr="00D44D33">
        <w:rPr>
          <w:rFonts w:ascii="Times New Roman" w:eastAsiaTheme="minorEastAsia" w:hAnsi="Times New Roman" w:cs="Times New Roman"/>
          <w:sz w:val="24"/>
          <w:szCs w:val="24"/>
          <w:lang w:eastAsia="pl-PL"/>
        </w:rPr>
        <w:t>251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371EEA">
        <w:rPr>
          <w:rFonts w:ascii="Times New Roman" w:eastAsiaTheme="minorEastAsia" w:hAnsi="Times New Roman" w:cs="Times New Roman"/>
          <w:sz w:val="24"/>
          <w:szCs w:val="24"/>
          <w:lang w:eastAsia="pl-PL"/>
        </w:rPr>
        <w:t xml:space="preserve"> </w:t>
      </w:r>
      <w:r w:rsidR="004041EA" w:rsidRPr="00D44D33">
        <w:rPr>
          <w:rFonts w:ascii="Times New Roman" w:eastAsiaTheme="minorEastAsia" w:hAnsi="Times New Roman" w:cs="Times New Roman"/>
          <w:sz w:val="24"/>
          <w:szCs w:val="24"/>
          <w:lang w:eastAsia="pl-PL"/>
        </w:rPr>
        <w:t xml:space="preserve">art. </w:t>
      </w:r>
      <w:r w:rsidRPr="00D44D33">
        <w:rPr>
          <w:rFonts w:ascii="Times New Roman" w:eastAsiaTheme="minorEastAsia" w:hAnsi="Times New Roman" w:cs="Times New Roman"/>
          <w:sz w:val="24"/>
          <w:szCs w:val="24"/>
          <w:lang w:eastAsia="pl-PL"/>
        </w:rPr>
        <w:t>76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4041EA" w:rsidRPr="00D44D33">
        <w:rPr>
          <w:rFonts w:ascii="Times New Roman" w:eastAsiaTheme="minorEastAsia" w:hAnsi="Times New Roman" w:cs="Times New Roman"/>
          <w:sz w:val="24"/>
          <w:szCs w:val="24"/>
          <w:lang w:eastAsia="pl-PL"/>
        </w:rPr>
        <w:t>z1</w:t>
      </w:r>
      <w:r w:rsidRPr="00D44D33">
        <w:rPr>
          <w:rFonts w:ascii="Times New Roman" w:eastAsiaTheme="minorEastAsia" w:hAnsi="Times New Roman" w:cs="Times New Roman"/>
          <w:sz w:val="24"/>
          <w:szCs w:val="24"/>
          <w:lang w:eastAsia="pl-PL"/>
        </w:rPr>
        <w:t>ałącznika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IV</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implementujące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zadanie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przedsiębiorstwo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posiadające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znaczącą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pozycję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rynkową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skorzystać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wynikającej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zachętę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inwestycyjną,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deregulacji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bardzo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dużej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przepustowości,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powstających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Konstruowane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kryteria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oceny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przedkładanych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zawierających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obligatoryjne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elementy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przyszłych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kompetencji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zadanie,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ramach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polityki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wyeliminowanie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„pseudo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powyższe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rozumieć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eliminowanie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pozornych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służyć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wyłącznie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korzystania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deregulacji.</w:t>
      </w:r>
      <w:r w:rsidR="00371EEA">
        <w:rPr>
          <w:rFonts w:ascii="Times New Roman" w:eastAsiaTheme="minorEastAsia" w:hAnsi="Times New Roman" w:cs="Times New Roman"/>
          <w:sz w:val="24"/>
          <w:szCs w:val="24"/>
          <w:lang w:eastAsia="pl-PL"/>
        </w:rPr>
        <w:t xml:space="preserve"> </w:t>
      </w:r>
    </w:p>
    <w:p w14:paraId="16B1B3C6" w14:textId="496385BD"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podstawie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B46A20" w:rsidRPr="00D44D33">
        <w:rPr>
          <w:rFonts w:ascii="Times New Roman" w:eastAsiaTheme="minorEastAsia" w:hAnsi="Times New Roman" w:cs="Times New Roman"/>
          <w:sz w:val="24"/>
          <w:szCs w:val="24"/>
          <w:lang w:eastAsia="pl-PL"/>
        </w:rPr>
        <w:t>242</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ale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odzwierciedlenie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wytycznych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zawartych</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treści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motywu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199.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Ab</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initio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przedmiotu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umocowanie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sformułowania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spełnić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kryteriów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oceny.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pamiętać,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niespełnienia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odpowiednie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w:t>
      </w:r>
      <w:r w:rsidR="00970B2E" w:rsidRPr="00D44D33">
        <w:rPr>
          <w:rFonts w:ascii="Times New Roman" w:eastAsiaTheme="minorEastAsia" w:hAnsi="Times New Roman" w:cs="Times New Roman"/>
          <w:sz w:val="24"/>
          <w:szCs w:val="24"/>
          <w:lang w:eastAsia="pl-PL"/>
        </w:rPr>
        <w:t xml:space="preserve"> </w:t>
      </w:r>
    </w:p>
    <w:p w14:paraId="3A4A8101" w14:textId="25B96C6C"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Kolejne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formułują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kryteria</w:t>
      </w:r>
      <w:r w:rsidR="004041EA"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weryfikuje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bądź</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ocenia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obejmujących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swoim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pierwszej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kolejności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wymogi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formalne,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upowszechnieniem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udziału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wymogi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charakterze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gwarancyjnym.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Wymogi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charakterze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gwarancyjnym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w:t>
      </w:r>
      <w:r w:rsidR="00AB4E94" w:rsidRPr="00D44D33">
        <w:rPr>
          <w:rFonts w:ascii="Times New Roman" w:eastAsiaTheme="minorEastAsia" w:hAnsi="Times New Roman" w:cs="Times New Roman"/>
          <w:sz w:val="24"/>
          <w:szCs w:val="24"/>
          <w:lang w:eastAsia="pl-PL"/>
        </w:rPr>
        <w:t>ych</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zapewnić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przyłączenia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konkurencyjności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traktowania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traktowania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trzecich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sposób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ograniczający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Dalsze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wymogi,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oceną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przystępujących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racjonalnych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kryteriów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podmiotowych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zdolności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finansowej.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Wreszcie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formułowania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późniejszego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przystępowania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uwzględniać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zmieniające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otoczenie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inwestycyjne.</w:t>
      </w:r>
      <w:r w:rsidR="00371EEA">
        <w:rPr>
          <w:rFonts w:ascii="Times New Roman" w:eastAsiaTheme="minorEastAsia" w:hAnsi="Times New Roman" w:cs="Times New Roman"/>
          <w:sz w:val="24"/>
          <w:szCs w:val="24"/>
          <w:lang w:eastAsia="pl-PL"/>
        </w:rPr>
        <w:t xml:space="preserve"> </w:t>
      </w:r>
    </w:p>
    <w:p w14:paraId="5743E78B" w14:textId="6CAE014B" w:rsidR="1B756165" w:rsidRPr="00D44D33" w:rsidRDefault="1B756165"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245</w:t>
      </w:r>
    </w:p>
    <w:p w14:paraId="631693B7" w14:textId="125AB619" w:rsidR="000F286A" w:rsidRPr="00D44D33" w:rsidRDefault="004041E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Projektowany przepis a</w:t>
      </w:r>
      <w:r w:rsidR="000F286A" w:rsidRPr="00D44D33">
        <w:rPr>
          <w:rFonts w:ascii="Times New Roman" w:eastAsiaTheme="minorEastAsia" w:hAnsi="Times New Roman" w:cs="Times New Roman"/>
          <w:sz w:val="24"/>
          <w:szCs w:val="24"/>
          <w:lang w:eastAsia="pl-PL"/>
        </w:rPr>
        <w:t>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245</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ślad</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ustawodawcą</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europejskim</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określa</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przesłanki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otwartości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244</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wg</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dokonywał</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oceny</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obejmującej</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ofertę</w:t>
      </w:r>
      <w:r w:rsidR="00970B2E" w:rsidRPr="00D44D33">
        <w:rPr>
          <w:rFonts w:ascii="Times New Roman" w:eastAsiaTheme="minorEastAsia" w:hAnsi="Times New Roman" w:cs="Times New Roman"/>
          <w:sz w:val="24"/>
          <w:szCs w:val="24"/>
          <w:lang w:eastAsia="pl-PL"/>
        </w:rPr>
        <w:t xml:space="preserve"> </w:t>
      </w:r>
      <w:r w:rsidR="000F286A"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p>
    <w:p w14:paraId="742DB39C" w14:textId="21193E3E" w:rsidR="000F286A" w:rsidRPr="00D44D33" w:rsidRDefault="3D111266" w:rsidP="00D44D33">
      <w:pPr>
        <w:suppressAutoHyphens/>
        <w:autoSpaceDE w:val="0"/>
        <w:autoSpaceDN w:val="0"/>
        <w:adjustRightInd w:val="0"/>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246</w:t>
      </w:r>
    </w:p>
    <w:p w14:paraId="1850699A" w14:textId="592FF380"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i/>
          <w:iCs/>
          <w:sz w:val="24"/>
          <w:szCs w:val="24"/>
          <w:lang w:eastAsia="pl-PL"/>
        </w:rPr>
      </w:pPr>
      <w:r w:rsidRPr="00D44D33">
        <w:rPr>
          <w:rFonts w:ascii="Times New Roman" w:eastAsiaTheme="minorEastAsia" w:hAnsi="Times New Roman" w:cs="Times New Roman"/>
          <w:sz w:val="24"/>
          <w:szCs w:val="24"/>
          <w:lang w:eastAsia="pl-PL"/>
        </w:rPr>
        <w:t>Podobnie</w:t>
      </w:r>
      <w:r w:rsidR="00970B2E" w:rsidRPr="00D44D33">
        <w:rPr>
          <w:rFonts w:ascii="Times New Roman" w:eastAsiaTheme="minorEastAsia" w:hAnsi="Times New Roman" w:cs="Times New Roman"/>
          <w:sz w:val="24"/>
          <w:szCs w:val="24"/>
          <w:lang w:eastAsia="pl-PL"/>
        </w:rPr>
        <w:t xml:space="preserve"> </w:t>
      </w:r>
      <w:r w:rsidR="2B831E10" w:rsidRPr="00D44D33">
        <w:rPr>
          <w:rFonts w:ascii="Times New Roman" w:eastAsiaTheme="minorEastAsia" w:hAnsi="Times New Roman" w:cs="Times New Roman"/>
          <w:sz w:val="24"/>
          <w:szCs w:val="24"/>
          <w:lang w:eastAsia="pl-PL"/>
        </w:rPr>
        <w:t>jak</w:t>
      </w:r>
      <w:r w:rsidR="00970B2E" w:rsidRPr="00D44D33">
        <w:rPr>
          <w:rFonts w:ascii="Times New Roman" w:eastAsiaTheme="minorEastAsia" w:hAnsi="Times New Roman" w:cs="Times New Roman"/>
          <w:sz w:val="24"/>
          <w:szCs w:val="24"/>
          <w:lang w:eastAsia="pl-PL"/>
        </w:rPr>
        <w:t xml:space="preserve"> </w:t>
      </w:r>
      <w:r w:rsidR="2B831E10"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245</w:t>
      </w:r>
      <w:r w:rsidR="2B831E10" w:rsidRPr="00D44D33">
        <w:rPr>
          <w:rFonts w:ascii="Times New Roman" w:eastAsiaTheme="minorEastAsia" w:hAnsi="Times New Roman" w:cs="Times New Roman"/>
          <w:sz w:val="24"/>
          <w:szCs w:val="24"/>
          <w:lang w:eastAsia="pl-PL"/>
        </w:rPr>
        <w:t>,</w:t>
      </w:r>
      <w:r w:rsidR="00371EEA">
        <w:rPr>
          <w:rFonts w:ascii="Times New Roman" w:eastAsiaTheme="minorEastAsia" w:hAnsi="Times New Roman" w:cs="Times New Roman"/>
          <w:sz w:val="24"/>
          <w:szCs w:val="24"/>
          <w:lang w:eastAsia="pl-PL"/>
        </w:rPr>
        <w:t xml:space="preserve"> </w:t>
      </w:r>
      <w:r w:rsidR="6EC2D6E8" w:rsidRPr="00D44D33">
        <w:rPr>
          <w:rFonts w:ascii="Times New Roman" w:eastAsiaTheme="minorEastAsia" w:hAnsi="Times New Roman" w:cs="Times New Roman"/>
          <w:sz w:val="24"/>
          <w:szCs w:val="24"/>
          <w:lang w:eastAsia="pl-PL"/>
        </w:rPr>
        <w:t>a</w:t>
      </w:r>
      <w:r w:rsidRPr="00D44D33">
        <w:rPr>
          <w:rFonts w:ascii="Times New Roman" w:eastAsiaTheme="minorEastAsia" w:hAnsi="Times New Roman" w:cs="Times New Roman"/>
          <w:sz w:val="24"/>
          <w:szCs w:val="24"/>
          <w:lang w:eastAsia="pl-PL"/>
        </w:rPr>
        <w:t>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246</w:t>
      </w:r>
      <w:r w:rsidR="00970B2E" w:rsidRPr="00D44D33">
        <w:rPr>
          <w:rFonts w:ascii="Times New Roman" w:eastAsiaTheme="minorEastAsia" w:hAnsi="Times New Roman" w:cs="Times New Roman"/>
          <w:sz w:val="24"/>
          <w:szCs w:val="24"/>
          <w:lang w:eastAsia="pl-PL"/>
        </w:rPr>
        <w:t xml:space="preserve"> </w:t>
      </w:r>
      <w:r w:rsidR="004041EA" w:rsidRPr="00D44D33">
        <w:rPr>
          <w:rFonts w:ascii="Times New Roman" w:eastAsiaTheme="minorEastAsia" w:hAnsi="Times New Roman" w:cs="Times New Roman"/>
          <w:sz w:val="24"/>
          <w:szCs w:val="24"/>
          <w:lang w:eastAsia="pl-PL"/>
        </w:rPr>
        <w:t xml:space="preserve">również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doprecyzowanie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przesłanek,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dokonywał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weryfikacji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pkt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obejmującej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względem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możliwości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skutecznego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zrównoważonego</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konkurowania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długiej</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perspektywie</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rynkach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detalicznych,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na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których</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działa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przedsiębiorca</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t</w:t>
      </w:r>
      <w:r w:rsidR="00970B2E" w:rsidRPr="00D44D33">
        <w:rPr>
          <w:rFonts w:ascii="Times New Roman" w:eastAsiaTheme="minorEastAsia" w:hAnsi="Times New Roman" w:cs="Times New Roman"/>
          <w:i/>
          <w:iCs/>
          <w:sz w:val="24"/>
          <w:szCs w:val="24"/>
        </w:rPr>
        <w:t xml:space="preserve"> </w:t>
      </w:r>
      <w:r w:rsidR="7D9A2EE4" w:rsidRPr="00D44D33">
        <w:rPr>
          <w:rFonts w:ascii="Times New Roman" w:eastAsiaTheme="minorEastAsia" w:hAnsi="Times New Roman" w:cs="Times New Roman"/>
          <w:i/>
          <w:iCs/>
          <w:sz w:val="24"/>
          <w:szCs w:val="24"/>
        </w:rPr>
        <w:t>komunikacji</w:t>
      </w:r>
      <w:r w:rsidR="00970B2E" w:rsidRPr="00D44D33">
        <w:rPr>
          <w:rFonts w:ascii="Times New Roman" w:eastAsiaTheme="minorEastAsia" w:hAnsi="Times New Roman" w:cs="Times New Roman"/>
          <w:i/>
          <w:iCs/>
          <w:sz w:val="24"/>
          <w:szCs w:val="24"/>
        </w:rPr>
        <w:t xml:space="preserve"> </w:t>
      </w:r>
      <w:r w:rsidR="7D9A2EE4" w:rsidRPr="00D44D33">
        <w:rPr>
          <w:rFonts w:ascii="Times New Roman" w:eastAsiaTheme="minorEastAsia" w:hAnsi="Times New Roman" w:cs="Times New Roman"/>
          <w:i/>
          <w:iCs/>
          <w:sz w:val="24"/>
          <w:szCs w:val="24"/>
        </w:rPr>
        <w:t>elektronicznej</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posiadający</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znaczącą</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pozycję</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rynkową,</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innym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współinwestującym</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przedsiębiorcom</w:t>
      </w:r>
      <w:r w:rsidR="00970B2E" w:rsidRPr="00D44D33">
        <w:rPr>
          <w:rFonts w:ascii="Times New Roman" w:eastAsiaTheme="minorEastAsia" w:hAnsi="Times New Roman" w:cs="Times New Roman"/>
          <w:i/>
          <w:iCs/>
          <w:sz w:val="24"/>
          <w:szCs w:val="24"/>
          <w:lang w:eastAsia="pl-PL"/>
        </w:rPr>
        <w:t xml:space="preserve"> </w:t>
      </w:r>
      <w:r w:rsidR="007B8A93" w:rsidRPr="00D44D33">
        <w:rPr>
          <w:rFonts w:ascii="Times New Roman" w:eastAsiaTheme="minorEastAsia" w:hAnsi="Times New Roman" w:cs="Times New Roman"/>
          <w:i/>
          <w:iCs/>
          <w:sz w:val="24"/>
          <w:szCs w:val="24"/>
        </w:rPr>
        <w:t>komunikacji</w:t>
      </w:r>
      <w:r w:rsidR="00970B2E" w:rsidRPr="00D44D33">
        <w:rPr>
          <w:rFonts w:ascii="Times New Roman" w:eastAsiaTheme="minorEastAsia" w:hAnsi="Times New Roman" w:cs="Times New Roman"/>
          <w:i/>
          <w:iCs/>
          <w:sz w:val="24"/>
          <w:szCs w:val="24"/>
        </w:rPr>
        <w:t xml:space="preserve"> </w:t>
      </w:r>
      <w:r w:rsidR="007B8A93" w:rsidRPr="00D44D33">
        <w:rPr>
          <w:rFonts w:ascii="Times New Roman" w:eastAsiaTheme="minorEastAsia" w:hAnsi="Times New Roman" w:cs="Times New Roman"/>
          <w:i/>
          <w:iCs/>
          <w:sz w:val="24"/>
          <w:szCs w:val="24"/>
        </w:rPr>
        <w:t>elektronicznej</w:t>
      </w:r>
      <w:r w:rsidR="00D452DD" w:rsidRPr="00D44D33">
        <w:rPr>
          <w:rFonts w:ascii="Times New Roman" w:eastAsiaTheme="minorEastAsia" w:hAnsi="Times New Roman" w:cs="Times New Roman"/>
          <w:i/>
          <w:iCs/>
          <w:sz w:val="24"/>
          <w:szCs w:val="24"/>
        </w:rPr>
        <w:t>.</w:t>
      </w:r>
    </w:p>
    <w:p w14:paraId="5FEFEB38" w14:textId="5F6DB010" w:rsidR="724131E8" w:rsidRPr="00D44D33" w:rsidRDefault="724131E8"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247</w:t>
      </w:r>
    </w:p>
    <w:p w14:paraId="121FBEFB" w14:textId="7AE35C4F"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w:t>
      </w:r>
      <w:r w:rsidR="004041EA" w:rsidRPr="00D44D33">
        <w:rPr>
          <w:rFonts w:ascii="Times New Roman" w:eastAsiaTheme="minorEastAsia" w:hAnsi="Times New Roman" w:cs="Times New Roman"/>
          <w:sz w:val="24"/>
          <w:szCs w:val="24"/>
          <w:lang w:eastAsia="pl-PL"/>
        </w:rPr>
        <w:t>rojektowany p</w:t>
      </w:r>
      <w:r w:rsidRPr="00D44D33">
        <w:rPr>
          <w:rFonts w:ascii="Times New Roman" w:eastAsiaTheme="minorEastAsia" w:hAnsi="Times New Roman" w:cs="Times New Roman"/>
          <w:sz w:val="24"/>
          <w:szCs w:val="24"/>
          <w:lang w:eastAsia="pl-PL"/>
        </w:rPr>
        <w:t>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247</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004041EA" w:rsidRPr="00D44D33">
        <w:rPr>
          <w:rFonts w:ascii="Times New Roman" w:eastAsiaTheme="minorEastAsia" w:hAnsi="Times New Roman" w:cs="Times New Roman"/>
          <w:sz w:val="24"/>
          <w:szCs w:val="24"/>
          <w:lang w:eastAsia="pl-PL"/>
        </w:rPr>
        <w:t>z</w:t>
      </w:r>
      <w:r w:rsidRPr="00D44D33">
        <w:rPr>
          <w:rFonts w:ascii="Times New Roman" w:eastAsiaTheme="minorEastAsia" w:hAnsi="Times New Roman" w:cs="Times New Roman"/>
          <w:sz w:val="24"/>
          <w:szCs w:val="24"/>
          <w:lang w:eastAsia="pl-PL"/>
        </w:rPr>
        <w:t>ałącznika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IV</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00E8043D" w:rsidRPr="00D44D33">
        <w:rPr>
          <w:rFonts w:ascii="Times New Roman" w:eastAsiaTheme="minorEastAsia" w:hAnsi="Times New Roman" w:cs="Times New Roman"/>
          <w:sz w:val="24"/>
          <w:szCs w:val="24"/>
          <w:lang w:eastAsia="pl-PL"/>
        </w:rPr>
        <w:t>lit</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tiret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piąte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in</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fine</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powołany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współinwestorów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traktowaniem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udostępnia</w:t>
      </w:r>
      <w:r w:rsidR="00E355FD" w:rsidRPr="00D44D33">
        <w:rPr>
          <w:rFonts w:ascii="Times New Roman" w:eastAsiaTheme="minorEastAsia" w:hAnsi="Times New Roman" w:cs="Times New Roman"/>
          <w:sz w:val="24"/>
          <w:szCs w:val="24"/>
          <w:lang w:eastAsia="pl-PL"/>
        </w:rPr>
        <w:t>nia</w:t>
      </w:r>
      <w:r w:rsidR="00970B2E" w:rsidRPr="00D44D33">
        <w:rPr>
          <w:rFonts w:ascii="Times New Roman" w:eastAsiaTheme="minorEastAsia" w:hAnsi="Times New Roman" w:cs="Times New Roman"/>
          <w:sz w:val="24"/>
          <w:szCs w:val="24"/>
          <w:lang w:eastAsia="pl-PL"/>
        </w:rPr>
        <w:t xml:space="preserve"> </w:t>
      </w:r>
      <w:r w:rsidR="00E355FD" w:rsidRPr="00D44D33">
        <w:rPr>
          <w:rFonts w:ascii="Times New Roman" w:eastAsiaTheme="minorEastAsia" w:hAnsi="Times New Roman" w:cs="Times New Roman"/>
          <w:sz w:val="24"/>
          <w:szCs w:val="24"/>
          <w:lang w:eastAsia="pl-PL"/>
        </w:rPr>
        <w:t>przedmiotu</w:t>
      </w:r>
      <w:r w:rsidR="00970B2E" w:rsidRPr="00D44D33">
        <w:rPr>
          <w:rFonts w:ascii="Times New Roman" w:eastAsiaTheme="minorEastAsia" w:hAnsi="Times New Roman" w:cs="Times New Roman"/>
          <w:sz w:val="24"/>
          <w:szCs w:val="24"/>
          <w:lang w:eastAsia="pl-PL"/>
        </w:rPr>
        <w:t xml:space="preserve"> </w:t>
      </w:r>
      <w:r w:rsidR="00E355FD"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takim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powołana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spółki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bezpośrednio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pośrednio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wszystkim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współinwestorom.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ślad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udostępnianie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odbywa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równoważności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produktów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uczciwych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racjonalnych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włączając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finansowe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odzwierciedlające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różne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poziomy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ryzyka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zaakceptowanego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poszczególnych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współinwestorów.</w:t>
      </w:r>
    </w:p>
    <w:p w14:paraId="1A99888E" w14:textId="77777777" w:rsidR="0047172A" w:rsidRDefault="0047172A" w:rsidP="00D44D33">
      <w:pPr>
        <w:spacing w:before="120" w:after="120" w:line="360" w:lineRule="auto"/>
        <w:jc w:val="center"/>
        <w:rPr>
          <w:rFonts w:ascii="Times New Roman" w:eastAsiaTheme="minorEastAsia" w:hAnsi="Times New Roman" w:cs="Times New Roman"/>
          <w:b/>
          <w:bCs/>
          <w:sz w:val="24"/>
          <w:szCs w:val="24"/>
          <w:lang w:eastAsia="pl-PL"/>
        </w:rPr>
      </w:pPr>
    </w:p>
    <w:p w14:paraId="66EE4B6B" w14:textId="11418BB6" w:rsidR="5009FD0A" w:rsidRPr="00D44D33" w:rsidRDefault="5009FD0A"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248</w:t>
      </w:r>
    </w:p>
    <w:p w14:paraId="5ED03677" w14:textId="0D9672EA"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248</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odzwierciedla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E8043D" w:rsidRPr="00D44D33">
        <w:rPr>
          <w:rFonts w:ascii="Times New Roman" w:eastAsiaTheme="minorEastAsia" w:hAnsi="Times New Roman" w:cs="Times New Roman"/>
          <w:sz w:val="24"/>
          <w:szCs w:val="24"/>
          <w:lang w:eastAsia="pl-PL"/>
        </w:rPr>
        <w:t>lit</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0E8043D" w:rsidRPr="00D44D33">
        <w:rPr>
          <w:rFonts w:ascii="Times New Roman" w:eastAsiaTheme="minorEastAsia" w:hAnsi="Times New Roman" w:cs="Times New Roman"/>
          <w:sz w:val="24"/>
          <w:szCs w:val="24"/>
          <w:lang w:eastAsia="pl-PL"/>
        </w:rPr>
        <w:t>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tiret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piąte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i/>
          <w:iCs/>
          <w:sz w:val="24"/>
          <w:szCs w:val="24"/>
          <w:lang w:eastAsia="pl-PL"/>
        </w:rPr>
        <w:t>ab</w:t>
      </w:r>
      <w:r w:rsidR="00970B2E" w:rsidRPr="00D44D33">
        <w:rPr>
          <w:rFonts w:ascii="Times New Roman" w:eastAsiaTheme="minorEastAsia" w:hAnsi="Times New Roman" w:cs="Times New Roman"/>
          <w:i/>
          <w:iCs/>
          <w:sz w:val="24"/>
          <w:szCs w:val="24"/>
          <w:lang w:eastAsia="pl-PL"/>
        </w:rPr>
        <w:t xml:space="preserve"> </w:t>
      </w:r>
      <w:r w:rsidRPr="00D44D33">
        <w:rPr>
          <w:rFonts w:ascii="Times New Roman" w:eastAsiaTheme="minorEastAsia" w:hAnsi="Times New Roman" w:cs="Times New Roman"/>
          <w:i/>
          <w:iCs/>
          <w:sz w:val="24"/>
          <w:szCs w:val="24"/>
          <w:lang w:eastAsia="pl-PL"/>
        </w:rPr>
        <w:t>initio</w:t>
      </w:r>
      <w:r w:rsidR="00970B2E" w:rsidRPr="00D44D33">
        <w:rPr>
          <w:rFonts w:ascii="Times New Roman" w:eastAsiaTheme="minorEastAsia" w:hAnsi="Times New Roman" w:cs="Times New Roman"/>
          <w:sz w:val="24"/>
          <w:szCs w:val="24"/>
          <w:lang w:eastAsia="pl-PL"/>
        </w:rPr>
        <w:t xml:space="preserve"> </w:t>
      </w:r>
      <w:r w:rsidR="00E8043D" w:rsidRPr="00D44D33">
        <w:rPr>
          <w:rFonts w:ascii="Times New Roman" w:eastAsiaTheme="minorEastAsia" w:hAnsi="Times New Roman" w:cs="Times New Roman"/>
          <w:sz w:val="24"/>
          <w:szCs w:val="24"/>
          <w:lang w:eastAsia="pl-PL"/>
        </w:rPr>
        <w:t>z</w:t>
      </w:r>
      <w:r w:rsidRPr="00D44D33">
        <w:rPr>
          <w:rFonts w:ascii="Times New Roman" w:eastAsiaTheme="minorEastAsia" w:hAnsi="Times New Roman" w:cs="Times New Roman"/>
          <w:sz w:val="24"/>
          <w:szCs w:val="24"/>
          <w:lang w:eastAsia="pl-PL"/>
        </w:rPr>
        <w:t>ałącznika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IV</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adresatem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przygotowujący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wyraźne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odnośnie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telekomunikacyjnej,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powiązanych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zasobów,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przedmiotem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D452DD" w:rsidRPr="00D44D33">
        <w:rPr>
          <w:rFonts w:ascii="Times New Roman" w:eastAsiaTheme="minorEastAsia" w:hAnsi="Times New Roman" w:cs="Times New Roman"/>
          <w:sz w:val="24"/>
          <w:szCs w:val="24"/>
          <w:lang w:eastAsia="pl-PL"/>
        </w:rPr>
        <w:t>.</w:t>
      </w:r>
    </w:p>
    <w:p w14:paraId="74C650F6" w14:textId="775ABFB7" w:rsidR="0EF1B200" w:rsidRPr="00D44D33" w:rsidRDefault="0EF1B200"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249</w:t>
      </w:r>
    </w:p>
    <w:p w14:paraId="771CF67C" w14:textId="4BA32E58"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w:t>
      </w:r>
      <w:r w:rsidR="004041EA" w:rsidRPr="00D44D33">
        <w:rPr>
          <w:rFonts w:ascii="Times New Roman" w:eastAsiaTheme="minorEastAsia" w:hAnsi="Times New Roman" w:cs="Times New Roman"/>
          <w:sz w:val="24"/>
          <w:szCs w:val="24"/>
          <w:lang w:eastAsia="pl-PL"/>
        </w:rPr>
        <w:t>rojektowany p</w:t>
      </w:r>
      <w:r w:rsidRPr="00D44D33">
        <w:rPr>
          <w:rFonts w:ascii="Times New Roman" w:eastAsiaTheme="minorEastAsia" w:hAnsi="Times New Roman" w:cs="Times New Roman"/>
          <w:sz w:val="24"/>
          <w:szCs w:val="24"/>
          <w:lang w:eastAsia="pl-PL"/>
        </w:rPr>
        <w:t>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249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w:t>
      </w:r>
      <w:r w:rsidR="00AB4E94" w:rsidRPr="00D44D33">
        <w:rPr>
          <w:rFonts w:ascii="Times New Roman" w:eastAsiaTheme="minorEastAsia" w:hAnsi="Times New Roman" w:cs="Times New Roman"/>
          <w:sz w:val="24"/>
          <w:szCs w:val="24"/>
          <w:lang w:eastAsia="pl-PL"/>
        </w:rPr>
        <w:t>cję</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wytycznych</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4041EA" w:rsidRPr="00D44D33">
        <w:rPr>
          <w:rFonts w:ascii="Times New Roman" w:eastAsiaTheme="minorEastAsia" w:hAnsi="Times New Roman" w:cs="Times New Roman"/>
          <w:sz w:val="24"/>
          <w:szCs w:val="24"/>
          <w:lang w:eastAsia="pl-PL"/>
        </w:rPr>
        <w:t>z</w:t>
      </w:r>
      <w:r w:rsidR="00AB4E94" w:rsidRPr="00D44D33">
        <w:rPr>
          <w:rFonts w:ascii="Times New Roman" w:eastAsiaTheme="minorEastAsia" w:hAnsi="Times New Roman" w:cs="Times New Roman"/>
          <w:sz w:val="24"/>
          <w:szCs w:val="24"/>
          <w:lang w:eastAsia="pl-PL"/>
        </w:rPr>
        <w:t>ałącznika</w:t>
      </w:r>
      <w:r w:rsidR="00970B2E" w:rsidRPr="00D44D33">
        <w:rPr>
          <w:rFonts w:ascii="Times New Roman" w:eastAsiaTheme="minorEastAsia" w:hAnsi="Times New Roman" w:cs="Times New Roman"/>
          <w:sz w:val="24"/>
          <w:szCs w:val="24"/>
          <w:lang w:eastAsia="pl-PL"/>
        </w:rPr>
        <w:t xml:space="preserve"> </w:t>
      </w:r>
      <w:r w:rsidR="00AB4E94" w:rsidRPr="00D44D33">
        <w:rPr>
          <w:rFonts w:ascii="Times New Roman" w:eastAsiaTheme="minorEastAsia" w:hAnsi="Times New Roman" w:cs="Times New Roman"/>
          <w:sz w:val="24"/>
          <w:szCs w:val="24"/>
          <w:lang w:eastAsia="pl-PL"/>
        </w:rPr>
        <w:t>IV</w:t>
      </w:r>
      <w:r w:rsidR="00970B2E" w:rsidRPr="00D44D33">
        <w:rPr>
          <w:rFonts w:ascii="Times New Roman" w:eastAsiaTheme="minorEastAsia" w:hAnsi="Times New Roman" w:cs="Times New Roman"/>
          <w:sz w:val="24"/>
          <w:szCs w:val="24"/>
          <w:lang w:eastAsia="pl-PL"/>
        </w:rPr>
        <w:t xml:space="preserve"> </w:t>
      </w:r>
      <w:r w:rsidR="00E8043D" w:rsidRPr="00D44D33">
        <w:rPr>
          <w:rFonts w:ascii="Times New Roman" w:eastAsiaTheme="minorEastAsia" w:hAnsi="Times New Roman" w:cs="Times New Roman"/>
          <w:sz w:val="24"/>
          <w:szCs w:val="24"/>
          <w:lang w:eastAsia="pl-PL"/>
        </w:rPr>
        <w:t>lit</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00E8043D" w:rsidRPr="00D44D33">
        <w:rPr>
          <w:rFonts w:ascii="Times New Roman" w:eastAsiaTheme="minorEastAsia" w:hAnsi="Times New Roman" w:cs="Times New Roman"/>
          <w:sz w:val="24"/>
          <w:szCs w:val="24"/>
          <w:lang w:eastAsia="pl-PL"/>
        </w:rPr>
        <w:t>c</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tiret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odnośnie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ustanawiając</w:t>
      </w:r>
      <w:r w:rsidR="00AB4E94" w:rsidRPr="00D44D33">
        <w:rPr>
          <w:rFonts w:ascii="Times New Roman" w:eastAsiaTheme="minorEastAsia" w:hAnsi="Times New Roman" w:cs="Times New Roman"/>
          <w:sz w:val="24"/>
          <w:szCs w:val="24"/>
          <w:lang w:eastAsia="pl-PL"/>
        </w:rPr>
        <w: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ograniczających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przenoszenia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nabytych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współinwestorów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współinwestorów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gotowe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przystąpić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002F1964" w:rsidRPr="00D44D33">
        <w:rPr>
          <w:rFonts w:ascii="Times New Roman" w:eastAsiaTheme="minorEastAsia" w:hAnsi="Times New Roman" w:cs="Times New Roman"/>
          <w:sz w:val="24"/>
          <w:szCs w:val="24"/>
          <w:lang w:eastAsia="pl-PL"/>
        </w:rPr>
        <w:t>P</w:t>
      </w:r>
      <w:r w:rsidRPr="00D44D33">
        <w:rPr>
          <w:rFonts w:ascii="Times New Roman" w:eastAsiaTheme="minorEastAsia" w:hAnsi="Times New Roman" w:cs="Times New Roman"/>
          <w:sz w:val="24"/>
          <w:szCs w:val="24"/>
          <w:lang w:eastAsia="pl-PL"/>
        </w:rPr>
        <w:t>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wiąże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przeniesienia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2F1964" w:rsidRPr="00D44D33">
        <w:rPr>
          <w:rFonts w:ascii="Times New Roman" w:eastAsiaTheme="minorEastAsia" w:hAnsi="Times New Roman" w:cs="Times New Roman"/>
          <w:sz w:val="24"/>
          <w:szCs w:val="24"/>
          <w:lang w:eastAsia="pl-PL"/>
        </w:rPr>
        <w:t>jednoczesnym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przeniesieniem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wszystkich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wynikających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wcześniej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spoczywały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przenoszącym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Konstrukcja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zabezpieczenie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interesu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pozostałych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współinwestorów,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dopuszczając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sytuacji,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stosunku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umownego</w:t>
      </w:r>
      <w:r w:rsidR="00970B2E" w:rsidRPr="00D44D33">
        <w:rPr>
          <w:rFonts w:ascii="Times New Roman" w:eastAsiaTheme="minorEastAsia" w:hAnsi="Times New Roman" w:cs="Times New Roman"/>
          <w:sz w:val="24"/>
          <w:szCs w:val="24"/>
          <w:lang w:eastAsia="pl-PL"/>
        </w:rPr>
        <w:t xml:space="preserve"> </w:t>
      </w:r>
      <w:r w:rsidR="005410D8"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byłby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będący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wyłącznie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beneficjentem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eliminuje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sytuacje,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zbywający,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pozostałyby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przestałby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uczestnikiem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obrotu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gospodarczego.</w:t>
      </w:r>
      <w:r w:rsidR="00970B2E" w:rsidRPr="00D44D33">
        <w:rPr>
          <w:rFonts w:ascii="Times New Roman" w:eastAsiaTheme="minorEastAsia" w:hAnsi="Times New Roman" w:cs="Times New Roman"/>
          <w:sz w:val="24"/>
          <w:szCs w:val="24"/>
          <w:lang w:eastAsia="pl-PL"/>
        </w:rPr>
        <w:t xml:space="preserve"> </w:t>
      </w:r>
    </w:p>
    <w:p w14:paraId="2D28DC79" w14:textId="1104A57E" w:rsidR="3B296133" w:rsidRPr="00D44D33" w:rsidRDefault="3B296133"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250</w:t>
      </w:r>
    </w:p>
    <w:p w14:paraId="139ED751" w14:textId="16FE9247" w:rsidR="000F286A" w:rsidRPr="00D44D33" w:rsidRDefault="000F286A"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250</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odnoszą</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umów</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gdy</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umowa</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współinwestycji</w:t>
      </w:r>
      <w:r w:rsidR="00970B2E" w:rsidRPr="00D44D33">
        <w:rPr>
          <w:rFonts w:ascii="Times New Roman" w:eastAsiaTheme="minorEastAsia" w:hAnsi="Times New Roman" w:cs="Times New Roman"/>
          <w:sz w:val="24"/>
          <w:szCs w:val="24"/>
          <w:lang w:eastAsia="pl-PL"/>
        </w:rPr>
        <w:t xml:space="preserve"> </w:t>
      </w:r>
      <w:r w:rsidR="004041EA" w:rsidRPr="00D44D33">
        <w:rPr>
          <w:rFonts w:ascii="Times New Roman" w:eastAsiaTheme="minorEastAsia" w:hAnsi="Times New Roman" w:cs="Times New Roman"/>
          <w:sz w:val="24"/>
          <w:szCs w:val="24"/>
          <w:lang w:eastAsia="pl-PL"/>
        </w:rPr>
        <w:t xml:space="preserve">będzie </w:t>
      </w:r>
      <w:r w:rsidR="00957B9C" w:rsidRPr="00D44D33">
        <w:rPr>
          <w:rFonts w:ascii="Times New Roman" w:eastAsiaTheme="minorEastAsia" w:hAnsi="Times New Roman" w:cs="Times New Roman"/>
          <w:sz w:val="24"/>
          <w:szCs w:val="24"/>
          <w:lang w:eastAsia="pl-PL"/>
        </w:rPr>
        <w:t>dotyczyć</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związanych</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dostępem</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telekomunikacyjnym</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odpowiednie</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zastosowanie</w:t>
      </w:r>
      <w:r w:rsidR="00970B2E" w:rsidRPr="00D44D33">
        <w:rPr>
          <w:rFonts w:ascii="Times New Roman" w:eastAsiaTheme="minorEastAsia" w:hAnsi="Times New Roman" w:cs="Times New Roman"/>
          <w:sz w:val="24"/>
          <w:szCs w:val="24"/>
          <w:lang w:eastAsia="pl-PL"/>
        </w:rPr>
        <w:t xml:space="preserve"> </w:t>
      </w:r>
      <w:r w:rsidR="000A1AA3" w:rsidRPr="00D44D33">
        <w:rPr>
          <w:rFonts w:ascii="Times New Roman" w:eastAsiaTheme="minorEastAsia" w:hAnsi="Times New Roman" w:cs="Times New Roman"/>
          <w:sz w:val="24"/>
          <w:szCs w:val="24"/>
          <w:lang w:eastAsia="pl-PL"/>
        </w:rPr>
        <w:t xml:space="preserve">będą </w:t>
      </w:r>
      <w:r w:rsidR="00957B9C" w:rsidRPr="00D44D33">
        <w:rPr>
          <w:rFonts w:ascii="Times New Roman" w:eastAsiaTheme="minorEastAsia" w:hAnsi="Times New Roman" w:cs="Times New Roman"/>
          <w:sz w:val="24"/>
          <w:szCs w:val="24"/>
          <w:lang w:eastAsia="pl-PL"/>
        </w:rPr>
        <w:t>znajdować</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171</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dotyczące</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koordynacji</w:t>
      </w:r>
      <w:r w:rsidR="00970B2E" w:rsidRPr="00D44D33">
        <w:rPr>
          <w:rFonts w:ascii="Times New Roman" w:eastAsiaTheme="minorEastAsia" w:hAnsi="Times New Roman" w:cs="Times New Roman"/>
          <w:sz w:val="24"/>
          <w:szCs w:val="24"/>
          <w:lang w:eastAsia="pl-PL"/>
        </w:rPr>
        <w:t xml:space="preserve"> </w:t>
      </w:r>
      <w:r w:rsidR="00957B9C"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p>
    <w:p w14:paraId="4FB6EB3B" w14:textId="5C583883" w:rsidR="0065C382" w:rsidRPr="00D44D33" w:rsidRDefault="0065C382" w:rsidP="00D44D33">
      <w:pPr>
        <w:spacing w:before="120" w:after="120" w:line="360" w:lineRule="auto"/>
        <w:jc w:val="center"/>
        <w:rPr>
          <w:rFonts w:ascii="Times New Roman" w:eastAsiaTheme="minorEastAsia" w:hAnsi="Times New Roman" w:cs="Times New Roman"/>
          <w:b/>
          <w:bCs/>
          <w:sz w:val="24"/>
          <w:szCs w:val="24"/>
          <w:lang w:eastAsia="pl-PL"/>
        </w:rPr>
      </w:pPr>
      <w:r w:rsidRPr="00D44D33">
        <w:rPr>
          <w:rFonts w:ascii="Times New Roman" w:eastAsiaTheme="minorEastAsia" w:hAnsi="Times New Roman" w:cs="Times New Roman"/>
          <w:b/>
          <w:bCs/>
          <w:sz w:val="24"/>
          <w:szCs w:val="24"/>
          <w:lang w:eastAsia="pl-PL"/>
        </w:rPr>
        <w:t>Art.</w:t>
      </w:r>
      <w:r w:rsidR="00970B2E" w:rsidRPr="00D44D33">
        <w:rPr>
          <w:rFonts w:ascii="Times New Roman" w:eastAsiaTheme="minorEastAsia" w:hAnsi="Times New Roman" w:cs="Times New Roman"/>
          <w:b/>
          <w:bCs/>
          <w:sz w:val="24"/>
          <w:szCs w:val="24"/>
          <w:lang w:eastAsia="pl-PL"/>
        </w:rPr>
        <w:t xml:space="preserve"> </w:t>
      </w:r>
      <w:r w:rsidR="00DB7F97" w:rsidRPr="00D44D33">
        <w:rPr>
          <w:rFonts w:ascii="Times New Roman" w:eastAsiaTheme="minorEastAsia" w:hAnsi="Times New Roman" w:cs="Times New Roman"/>
          <w:b/>
          <w:bCs/>
          <w:sz w:val="24"/>
          <w:szCs w:val="24"/>
          <w:lang w:eastAsia="pl-PL"/>
        </w:rPr>
        <w:t>251</w:t>
      </w:r>
    </w:p>
    <w:p w14:paraId="376B281A" w14:textId="05DE8E10" w:rsidR="000F286A" w:rsidRPr="00D44D33" w:rsidRDefault="000F286A" w:rsidP="00D44D33">
      <w:pPr>
        <w:widowControl w:val="0"/>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w:t>
      </w:r>
      <w:r w:rsidR="000A1AA3" w:rsidRPr="00D44D33">
        <w:rPr>
          <w:rFonts w:ascii="Times New Roman" w:eastAsiaTheme="minorEastAsia" w:hAnsi="Times New Roman" w:cs="Times New Roman"/>
          <w:sz w:val="24"/>
          <w:szCs w:val="24"/>
          <w:lang w:eastAsia="pl-PL"/>
        </w:rPr>
        <w:t>jektowany 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B7F97" w:rsidRPr="00D44D33">
        <w:rPr>
          <w:rFonts w:ascii="Times New Roman" w:eastAsiaTheme="minorEastAsia" w:hAnsi="Times New Roman" w:cs="Times New Roman"/>
          <w:sz w:val="24"/>
          <w:szCs w:val="24"/>
          <w:lang w:eastAsia="pl-PL"/>
        </w:rPr>
        <w:t>251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implementację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76</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3</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nałożenia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dodatkowego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informacyjnego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związanego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przekazywaniem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temat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dochowania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zatwierdzającej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propozycję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odrębną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implementujących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podstawę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dającą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uprawnienia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żądania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informacji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np.</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konkretnych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jednakże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odnosi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składania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oświadczeń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zgodności</w:t>
      </w:r>
      <w:r w:rsidR="00970B2E" w:rsidRPr="00D44D33">
        <w:rPr>
          <w:rFonts w:ascii="Times New Roman" w:eastAsiaTheme="minorEastAsia" w:hAnsi="Times New Roman" w:cs="Times New Roman"/>
          <w:sz w:val="24"/>
          <w:szCs w:val="24"/>
          <w:lang w:eastAsia="pl-PL"/>
        </w:rPr>
        <w:t xml:space="preserve"> </w:t>
      </w:r>
      <w:r w:rsidR="002F1964"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2F1964" w:rsidRPr="00D44D33">
        <w:rPr>
          <w:rFonts w:ascii="Times New Roman" w:eastAsiaTheme="minorEastAsia" w:hAnsi="Times New Roman" w:cs="Times New Roman"/>
          <w:sz w:val="24"/>
          <w:szCs w:val="24"/>
          <w:lang w:eastAsia="pl-PL"/>
        </w:rPr>
        <w:t>formie</w:t>
      </w:r>
      <w:r w:rsidR="00970B2E" w:rsidRPr="00D44D33">
        <w:rPr>
          <w:rFonts w:ascii="Times New Roman" w:eastAsiaTheme="minorEastAsia" w:hAnsi="Times New Roman" w:cs="Times New Roman"/>
          <w:sz w:val="24"/>
          <w:szCs w:val="24"/>
          <w:lang w:eastAsia="pl-PL"/>
        </w:rPr>
        <w:t xml:space="preserve"> </w:t>
      </w:r>
      <w:r w:rsidR="002F1964" w:rsidRPr="00D44D33">
        <w:rPr>
          <w:rFonts w:ascii="Times New Roman" w:eastAsiaTheme="minorEastAsia" w:hAnsi="Times New Roman" w:cs="Times New Roman"/>
          <w:sz w:val="24"/>
          <w:szCs w:val="24"/>
          <w:lang w:eastAsia="pl-PL"/>
        </w:rPr>
        <w:t>rocznych</w:t>
      </w:r>
      <w:r w:rsidR="00970B2E" w:rsidRPr="00D44D33">
        <w:rPr>
          <w:rFonts w:ascii="Times New Roman" w:eastAsiaTheme="minorEastAsia" w:hAnsi="Times New Roman" w:cs="Times New Roman"/>
          <w:sz w:val="24"/>
          <w:szCs w:val="24"/>
          <w:lang w:eastAsia="pl-PL"/>
        </w:rPr>
        <w:t xml:space="preserve"> </w:t>
      </w:r>
      <w:r w:rsidR="002F1964" w:rsidRPr="00D44D33">
        <w:rPr>
          <w:rFonts w:ascii="Times New Roman" w:eastAsiaTheme="minorEastAsia" w:hAnsi="Times New Roman" w:cs="Times New Roman"/>
          <w:sz w:val="24"/>
          <w:szCs w:val="24"/>
          <w:lang w:eastAsia="pl-PL"/>
        </w:rPr>
        <w:t>sprawozdań</w:t>
      </w:r>
      <w:r w:rsidRPr="00D44D33">
        <w:rPr>
          <w:rFonts w:ascii="Times New Roman" w:eastAsiaTheme="minorEastAsia" w:hAnsi="Times New Roman" w:cs="Times New Roman"/>
          <w:sz w:val="24"/>
          <w:szCs w:val="24"/>
          <w:lang w:eastAsia="pl-PL"/>
        </w:rPr>
        <w:t>.</w:t>
      </w:r>
      <w:r w:rsidR="00970B2E" w:rsidRPr="00D44D33">
        <w:rPr>
          <w:rFonts w:ascii="Times New Roman" w:eastAsiaTheme="minorEastAsia" w:hAnsi="Times New Roman" w:cs="Times New Roman"/>
          <w:sz w:val="24"/>
          <w:szCs w:val="24"/>
          <w:lang w:eastAsia="pl-PL"/>
        </w:rPr>
        <w:t xml:space="preserve"> </w:t>
      </w:r>
    </w:p>
    <w:p w14:paraId="24EE35FA" w14:textId="6E17D9C3" w:rsidR="70B4FFE3" w:rsidRPr="00D44D33" w:rsidRDefault="420496F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DB7F97" w:rsidRPr="00D44D33">
        <w:rPr>
          <w:rFonts w:ascii="Times New Roman" w:eastAsiaTheme="minorEastAsia" w:hAnsi="Times New Roman" w:cs="Times New Roman"/>
          <w:b/>
          <w:bCs/>
          <w:sz w:val="24"/>
          <w:szCs w:val="24"/>
        </w:rPr>
        <w:t>252</w:t>
      </w:r>
    </w:p>
    <w:p w14:paraId="61998B10" w14:textId="544F0C4D" w:rsidR="70B4FFE3" w:rsidRPr="00D44D33" w:rsidRDefault="420496F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t>
      </w:r>
      <w:r w:rsidR="000A1AA3" w:rsidRPr="00D44D33">
        <w:rPr>
          <w:rFonts w:ascii="Times New Roman" w:eastAsiaTheme="minorEastAsia" w:hAnsi="Times New Roman" w:cs="Times New Roman"/>
          <w:sz w:val="24"/>
          <w:szCs w:val="24"/>
        </w:rPr>
        <w:t>jektowanym 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88D6E88"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762EC425"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762EC425"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762EC425"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139a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uchylanego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9B24B9" w:rsidRPr="00D44D33">
        <w:rPr>
          <w:rFonts w:ascii="Times New Roman" w:eastAsiaTheme="minorEastAsia" w:hAnsi="Times New Roman" w:cs="Times New Roman"/>
          <w:sz w:val="24"/>
          <w:szCs w:val="24"/>
        </w:rPr>
        <w:t>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AC859CB" w:rsidRPr="00D44D33">
        <w:rPr>
          <w:rFonts w:ascii="Times New Roman" w:eastAsiaTheme="minorEastAsia" w:hAnsi="Times New Roman" w:cs="Times New Roman"/>
          <w:sz w:val="24"/>
          <w:szCs w:val="24"/>
        </w:rPr>
        <w:t>j</w:t>
      </w:r>
      <w:r w:rsidRPr="00D44D33">
        <w:rPr>
          <w:rFonts w:ascii="Times New Roman" w:eastAsiaTheme="minorEastAsia" w:hAnsi="Times New Roman" w:cs="Times New Roman"/>
          <w:sz w:val="24"/>
          <w:szCs w:val="24"/>
        </w:rPr>
        <w:t>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Rzeczypospolitej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wystarczające,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zawrzeć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obniżenie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1895AAF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A32EC63"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1A32EC63"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2ED0CABE"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47FD17AD"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47FD17AD"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47FD17AD"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47FD17A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7FD17AD" w:rsidRPr="00D44D33">
        <w:rPr>
          <w:rFonts w:ascii="Times New Roman" w:eastAsiaTheme="minorEastAsia" w:hAnsi="Times New Roman" w:cs="Times New Roman"/>
          <w:sz w:val="24"/>
          <w:szCs w:val="24"/>
        </w:rPr>
        <w:t>dysponowania</w:t>
      </w:r>
      <w:r w:rsidR="00970B2E" w:rsidRPr="00D44D33">
        <w:rPr>
          <w:rFonts w:ascii="Times New Roman" w:eastAsiaTheme="minorEastAsia" w:hAnsi="Times New Roman" w:cs="Times New Roman"/>
          <w:sz w:val="24"/>
          <w:szCs w:val="24"/>
        </w:rPr>
        <w:t xml:space="preserve"> </w:t>
      </w:r>
      <w:r w:rsidR="47FD17AD" w:rsidRPr="00D44D33">
        <w:rPr>
          <w:rFonts w:ascii="Times New Roman" w:eastAsiaTheme="minorEastAsia" w:hAnsi="Times New Roman" w:cs="Times New Roman"/>
          <w:sz w:val="24"/>
          <w:szCs w:val="24"/>
        </w:rPr>
        <w:t>częstotliwością)</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zrealizuje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wystarczające.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zgłaszać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zainteresowania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najnowocześniejsze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p>
    <w:p w14:paraId="5A78DD72" w14:textId="7797DADC" w:rsidR="70B4FFE3" w:rsidRPr="00D44D33" w:rsidRDefault="420496F3"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wystarczające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inwestycja</w:t>
      </w:r>
      <w:r w:rsidR="000A1AA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9D4492F" w14:textId="17B4118D" w:rsidR="70B4FFE3" w:rsidRPr="00D44D33" w:rsidRDefault="420496F3"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0A1AA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10088A10" w14:textId="721209CA" w:rsidR="70B4FFE3" w:rsidRPr="00D44D33" w:rsidRDefault="420496F3"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harmonogramu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zasięgiem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0A1AA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2A53033" w14:textId="3B3444F5" w:rsidR="70B4FFE3" w:rsidRPr="00D44D33" w:rsidRDefault="420496F3" w:rsidP="00D44D33">
      <w:pPr>
        <w:numPr>
          <w:ilvl w:val="0"/>
          <w:numId w:val="44"/>
        </w:numPr>
        <w:spacing w:before="120" w:after="120" w:line="360" w:lineRule="auto"/>
        <w:ind w:left="567" w:hanging="283"/>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wskazania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obniżeniu,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obniżenia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obniżenie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p>
    <w:p w14:paraId="03D68429" w14:textId="3A98A9B3" w:rsidR="00696205" w:rsidRPr="00D44D33" w:rsidRDefault="420496F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nieważności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notarialnego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myśl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1F2E7F" w:rsidRPr="00D44D33">
        <w:rPr>
          <w:rFonts w:ascii="Times New Roman" w:eastAsiaTheme="minorEastAsia" w:hAnsi="Times New Roman" w:cs="Times New Roman"/>
          <w:sz w:val="24"/>
          <w:szCs w:val="24"/>
          <w:lang w:eastAsia="pl-PL"/>
        </w:rPr>
        <w:t>–</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ustępów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B7F97" w:rsidRPr="00D44D33">
        <w:rPr>
          <w:rFonts w:ascii="Times New Roman" w:eastAsiaTheme="minorEastAsia" w:hAnsi="Times New Roman" w:cs="Times New Roman"/>
          <w:sz w:val="24"/>
          <w:szCs w:val="24"/>
        </w:rPr>
        <w:t>252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inwestycyjnej,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wewnętrznym.</w:t>
      </w:r>
    </w:p>
    <w:p w14:paraId="702827CD" w14:textId="390E73BC" w:rsidR="00F508D8" w:rsidRPr="00D44D33" w:rsidRDefault="00FB5B7E"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00DB7F97" w:rsidRPr="00D44D33">
        <w:rPr>
          <w:rFonts w:ascii="Times New Roman" w:hAnsi="Times New Roman" w:cs="Times New Roman"/>
          <w:b/>
        </w:rPr>
        <w:t>6</w:t>
      </w:r>
    </w:p>
    <w:p w14:paraId="5798D609" w14:textId="4F8BCA46" w:rsidR="00FB5B7E" w:rsidRPr="00D44D33" w:rsidRDefault="00FB5B7E"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Rachunkowość</w:t>
      </w:r>
      <w:r w:rsidR="00970B2E" w:rsidRPr="00D44D33">
        <w:rPr>
          <w:rFonts w:ascii="Times New Roman" w:hAnsi="Times New Roman" w:cs="Times New Roman"/>
          <w:b/>
        </w:rPr>
        <w:t xml:space="preserve"> </w:t>
      </w:r>
      <w:r w:rsidRPr="00D44D33">
        <w:rPr>
          <w:rFonts w:ascii="Times New Roman" w:hAnsi="Times New Roman" w:cs="Times New Roman"/>
          <w:b/>
        </w:rPr>
        <w:t>regulacyjna</w:t>
      </w:r>
      <w:r w:rsidR="00970B2E" w:rsidRPr="00D44D33">
        <w:rPr>
          <w:rFonts w:ascii="Times New Roman" w:hAnsi="Times New Roman" w:cs="Times New Roman"/>
          <w:b/>
        </w:rPr>
        <w:t xml:space="preserve"> </w:t>
      </w:r>
      <w:r w:rsidRPr="00D44D33">
        <w:rPr>
          <w:rFonts w:ascii="Times New Roman" w:hAnsi="Times New Roman" w:cs="Times New Roman"/>
          <w:b/>
        </w:rPr>
        <w:t>i</w:t>
      </w:r>
      <w:r w:rsidR="00970B2E" w:rsidRPr="00D44D33">
        <w:rPr>
          <w:rFonts w:ascii="Times New Roman" w:hAnsi="Times New Roman" w:cs="Times New Roman"/>
          <w:b/>
        </w:rPr>
        <w:t xml:space="preserve"> </w:t>
      </w:r>
      <w:r w:rsidRPr="00D44D33">
        <w:rPr>
          <w:rFonts w:ascii="Times New Roman" w:hAnsi="Times New Roman" w:cs="Times New Roman"/>
          <w:b/>
        </w:rPr>
        <w:t>kalkulacja</w:t>
      </w:r>
      <w:r w:rsidR="00970B2E" w:rsidRPr="00D44D33">
        <w:rPr>
          <w:rFonts w:ascii="Times New Roman" w:hAnsi="Times New Roman" w:cs="Times New Roman"/>
          <w:b/>
        </w:rPr>
        <w:t xml:space="preserve"> </w:t>
      </w:r>
      <w:r w:rsidRPr="00D44D33">
        <w:rPr>
          <w:rFonts w:ascii="Times New Roman" w:hAnsi="Times New Roman" w:cs="Times New Roman"/>
          <w:b/>
        </w:rPr>
        <w:t>kosztów</w:t>
      </w:r>
    </w:p>
    <w:p w14:paraId="1D57F981" w14:textId="25E60492" w:rsidR="466D6491" w:rsidRPr="00D44D33" w:rsidRDefault="7C00EDB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253</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258</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są</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odpowiednikiem</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644317F8" w:rsidRPr="00D44D33">
        <w:rPr>
          <w:rFonts w:ascii="Times New Roman" w:eastAsiaTheme="minorEastAsia" w:hAnsi="Times New Roman" w:cs="Times New Roman"/>
          <w:b/>
          <w:bCs/>
          <w:sz w:val="24"/>
          <w:szCs w:val="24"/>
        </w:rPr>
        <w:t>49-54</w:t>
      </w:r>
      <w:r w:rsidR="00970B2E" w:rsidRPr="00D44D33">
        <w:rPr>
          <w:rFonts w:ascii="Times New Roman" w:eastAsiaTheme="minorEastAsia" w:hAnsi="Times New Roman" w:cs="Times New Roman"/>
          <w:b/>
          <w:bCs/>
          <w:sz w:val="24"/>
          <w:szCs w:val="24"/>
        </w:rPr>
        <w:t xml:space="preserve"> </w:t>
      </w:r>
      <w:r w:rsidR="644317F8" w:rsidRPr="00D44D33">
        <w:rPr>
          <w:rFonts w:ascii="Times New Roman" w:eastAsiaTheme="minorEastAsia" w:hAnsi="Times New Roman" w:cs="Times New Roman"/>
          <w:b/>
          <w:bCs/>
          <w:sz w:val="24"/>
          <w:szCs w:val="24"/>
        </w:rPr>
        <w:t>Pt</w:t>
      </w:r>
      <w:r w:rsidR="00970B2E" w:rsidRPr="00D44D33">
        <w:rPr>
          <w:rFonts w:ascii="Times New Roman" w:eastAsiaTheme="minorEastAsia" w:hAnsi="Times New Roman" w:cs="Times New Roman"/>
          <w:b/>
          <w:bCs/>
          <w:sz w:val="24"/>
          <w:szCs w:val="24"/>
        </w:rPr>
        <w:t xml:space="preserve"> </w:t>
      </w:r>
      <w:r w:rsidR="644317F8"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644317F8" w:rsidRPr="00D44D33">
        <w:rPr>
          <w:rFonts w:ascii="Times New Roman" w:eastAsiaTheme="minorEastAsia" w:hAnsi="Times New Roman" w:cs="Times New Roman"/>
          <w:b/>
          <w:bCs/>
          <w:sz w:val="24"/>
          <w:szCs w:val="24"/>
        </w:rPr>
        <w:t>nieznacznymi</w:t>
      </w:r>
      <w:r w:rsidR="00970B2E" w:rsidRPr="00D44D33">
        <w:rPr>
          <w:rFonts w:ascii="Times New Roman" w:eastAsiaTheme="minorEastAsia" w:hAnsi="Times New Roman" w:cs="Times New Roman"/>
          <w:b/>
          <w:bCs/>
          <w:sz w:val="24"/>
          <w:szCs w:val="24"/>
        </w:rPr>
        <w:t xml:space="preserve"> </w:t>
      </w:r>
      <w:r w:rsidR="644317F8" w:rsidRPr="00D44D33">
        <w:rPr>
          <w:rFonts w:ascii="Times New Roman" w:eastAsiaTheme="minorEastAsia" w:hAnsi="Times New Roman" w:cs="Times New Roman"/>
          <w:b/>
          <w:bCs/>
          <w:sz w:val="24"/>
          <w:szCs w:val="24"/>
        </w:rPr>
        <w:t>tylko</w:t>
      </w:r>
      <w:r w:rsidR="00970B2E" w:rsidRPr="00D44D33">
        <w:rPr>
          <w:rFonts w:ascii="Times New Roman" w:eastAsiaTheme="minorEastAsia" w:hAnsi="Times New Roman" w:cs="Times New Roman"/>
          <w:b/>
          <w:bCs/>
          <w:sz w:val="24"/>
          <w:szCs w:val="24"/>
        </w:rPr>
        <w:t xml:space="preserve"> </w:t>
      </w:r>
      <w:r w:rsidR="644317F8" w:rsidRPr="00D44D33">
        <w:rPr>
          <w:rFonts w:ascii="Times New Roman" w:eastAsiaTheme="minorEastAsia" w:hAnsi="Times New Roman" w:cs="Times New Roman"/>
          <w:b/>
          <w:bCs/>
          <w:sz w:val="24"/>
          <w:szCs w:val="24"/>
        </w:rPr>
        <w:t>zmianami.</w:t>
      </w:r>
    </w:p>
    <w:p w14:paraId="530B825C" w14:textId="044A273E" w:rsidR="00481C38" w:rsidRPr="00D44D33" w:rsidRDefault="00481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253</w:t>
      </w:r>
    </w:p>
    <w:p w14:paraId="7B94DB9C" w14:textId="1A2F346E"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p>
    <w:p w14:paraId="18B9E7DC" w14:textId="509BB1BC"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264FEF" w:rsidRPr="00D44D33">
        <w:rPr>
          <w:rFonts w:ascii="Times New Roman" w:eastAsiaTheme="minorEastAsia" w:hAnsi="Times New Roman" w:cs="Times New Roman"/>
          <w:sz w:val="24"/>
          <w:szCs w:val="24"/>
        </w:rPr>
        <w:t xml:space="preserve">48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D2489" w:rsidRPr="00D44D33">
        <w:rPr>
          <w:rFonts w:ascii="Times New Roman" w:eastAsiaTheme="minorEastAsia" w:hAnsi="Times New Roman" w:cs="Times New Roman"/>
          <w:sz w:val="24"/>
          <w:szCs w:val="24"/>
        </w:rPr>
        <w:t>255</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D2489" w:rsidRPr="00D44D33">
        <w:rPr>
          <w:rFonts w:ascii="Times New Roman" w:eastAsiaTheme="minorEastAsia" w:hAnsi="Times New Roman" w:cs="Times New Roman"/>
          <w:sz w:val="24"/>
          <w:szCs w:val="24"/>
        </w:rPr>
        <w:t>215</w:t>
      </w:r>
      <w:r w:rsidRPr="00D44D33">
        <w:rPr>
          <w:rFonts w:ascii="Times New Roman" w:eastAsiaTheme="minorEastAsia" w:hAnsi="Times New Roman" w:cs="Times New Roman"/>
          <w:sz w:val="24"/>
          <w:szCs w:val="24"/>
        </w:rPr>
        <w:t>.</w:t>
      </w:r>
    </w:p>
    <w:p w14:paraId="2F00A3E3" w14:textId="2E3A95CF"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52D6C224"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działów</w:t>
      </w:r>
      <w:r w:rsidR="00970B2E" w:rsidRPr="00D44D33">
        <w:rPr>
          <w:rFonts w:ascii="Times New Roman" w:eastAsiaTheme="minorEastAsia" w:hAnsi="Times New Roman" w:cs="Times New Roman"/>
          <w:sz w:val="24"/>
          <w:szCs w:val="24"/>
        </w:rPr>
        <w:t xml:space="preserve"> </w:t>
      </w:r>
      <w:r w:rsidR="18A6CDD5"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18A6CDD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8A6CDD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p>
    <w:p w14:paraId="469C0173" w14:textId="18474C09"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pionowo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zintegrowanych.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8352690"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tendencje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przypisywania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spowoduje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nieuzasadnione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zawyżanie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hurtowych,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obniżki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p>
    <w:p w14:paraId="69F06547" w14:textId="24675F13"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Podobny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problem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kilka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przypisywać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zniekształcając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obydwu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rynkach.</w:t>
      </w:r>
    </w:p>
    <w:p w14:paraId="466A4017" w14:textId="2CB72A94" w:rsidR="00481C38" w:rsidRPr="00D44D33" w:rsidRDefault="00481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254</w:t>
      </w:r>
    </w:p>
    <w:p w14:paraId="75299063" w14:textId="2099D180" w:rsidR="00481C38" w:rsidRPr="00D44D33" w:rsidRDefault="00B4545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ustanawia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hurtowych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detalicznych.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Rachunkowość</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regulacyjna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kalkulacja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wzajemnie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powiązane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często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nakładane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razem</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efektu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regulacyjnego.</w:t>
      </w:r>
    </w:p>
    <w:p w14:paraId="56952498" w14:textId="4806DA71" w:rsidR="00481C38" w:rsidRPr="00D44D33" w:rsidRDefault="00481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255</w:t>
      </w:r>
    </w:p>
    <w:p w14:paraId="32A9B429" w14:textId="5F94E9B6"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D2489" w:rsidRPr="00D44D33">
        <w:rPr>
          <w:rFonts w:ascii="Times New Roman" w:eastAsiaTheme="minorEastAsia" w:hAnsi="Times New Roman" w:cs="Times New Roman"/>
          <w:sz w:val="24"/>
          <w:szCs w:val="24"/>
        </w:rPr>
        <w:t>255</w:t>
      </w:r>
      <w:r w:rsidR="00970B2E" w:rsidRPr="00D44D33">
        <w:rPr>
          <w:rFonts w:ascii="Times New Roman" w:eastAsiaTheme="minorEastAsia" w:hAnsi="Times New Roman" w:cs="Times New Roman"/>
          <w:sz w:val="24"/>
          <w:szCs w:val="24"/>
        </w:rPr>
        <w:t xml:space="preserve"> </w:t>
      </w:r>
      <w:r w:rsidR="2FED7CB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upoważnieniem</w:t>
      </w:r>
      <w:r w:rsidR="00970B2E" w:rsidRPr="00D44D33">
        <w:rPr>
          <w:rFonts w:ascii="Times New Roman" w:eastAsiaTheme="minorEastAsia" w:hAnsi="Times New Roman" w:cs="Times New Roman"/>
          <w:sz w:val="24"/>
          <w:szCs w:val="24"/>
        </w:rPr>
        <w:t xml:space="preserve"> </w:t>
      </w:r>
      <w:r w:rsidR="002F1964" w:rsidRPr="00D44D33">
        <w:rPr>
          <w:rFonts w:ascii="Times New Roman" w:eastAsiaTheme="minorEastAsia" w:hAnsi="Times New Roman" w:cs="Times New Roman"/>
          <w:sz w:val="24"/>
          <w:szCs w:val="24"/>
        </w:rPr>
        <w:t>ustawowym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zagadnienia,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uregulowane.</w:t>
      </w:r>
    </w:p>
    <w:p w14:paraId="337153AD" w14:textId="7FFE669D" w:rsidR="00481C38" w:rsidRPr="00D44D33" w:rsidRDefault="00481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metodologię</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br/>
      </w:r>
      <w:r w:rsidRPr="00D44D33">
        <w:rPr>
          <w:rFonts w:ascii="Times New Roman" w:eastAsiaTheme="minorEastAsia" w:hAnsi="Times New Roman" w:cs="Times New Roman"/>
          <w:sz w:val="24"/>
          <w:szCs w:val="24"/>
        </w:rPr>
        <w:t>księgow</w:t>
      </w:r>
      <w:r w:rsidR="00C855B3" w:rsidRPr="00D44D33">
        <w:rPr>
          <w:rFonts w:ascii="Times New Roman" w:eastAsiaTheme="minorEastAsia" w:hAnsi="Times New Roman" w:cs="Times New Roman"/>
          <w:sz w:val="24"/>
          <w:szCs w:val="24"/>
        </w:rPr>
        <w:t>ą</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D2489" w:rsidRPr="00D44D33">
        <w:rPr>
          <w:rFonts w:ascii="Times New Roman" w:eastAsiaTheme="minorEastAsia" w:hAnsi="Times New Roman" w:cs="Times New Roman"/>
          <w:sz w:val="24"/>
          <w:szCs w:val="24"/>
        </w:rPr>
        <w:t>255</w:t>
      </w:r>
      <w:r w:rsidRPr="00D44D33">
        <w:rPr>
          <w:rFonts w:ascii="Times New Roman" w:eastAsiaTheme="minorEastAsia" w:hAnsi="Times New Roman" w:cs="Times New Roman"/>
          <w:sz w:val="24"/>
          <w:szCs w:val="24"/>
        </w:rPr>
        <w:t>.</w:t>
      </w:r>
    </w:p>
    <w:p w14:paraId="1DA3D1F7" w14:textId="03E33A5D" w:rsidR="00481C38" w:rsidRPr="00D44D33" w:rsidRDefault="00481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256</w:t>
      </w:r>
    </w:p>
    <w:p w14:paraId="30BABA76" w14:textId="4D853613" w:rsidR="00481C38" w:rsidRPr="00D44D33" w:rsidRDefault="00D27B0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przechowywania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prowadzeniem</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od</w:t>
      </w:r>
      <w:r w:rsidR="00D30723" w:rsidRPr="00D44D33">
        <w:rPr>
          <w:rFonts w:ascii="Times New Roman" w:eastAsiaTheme="minorEastAsia" w:hAnsi="Times New Roman" w:cs="Times New Roman"/>
          <w:sz w:val="24"/>
          <w:szCs w:val="24"/>
        </w:rPr>
        <w:t>esłanie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1994</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przechowywania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księgowo-rachunkowej.</w:t>
      </w:r>
    </w:p>
    <w:p w14:paraId="06901085" w14:textId="197BBD18" w:rsidR="214FE0E2" w:rsidRPr="00D44D33" w:rsidRDefault="214FE0E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257</w:t>
      </w:r>
    </w:p>
    <w:p w14:paraId="5FD67503" w14:textId="0A7867BF" w:rsidR="00481C38" w:rsidRPr="00D44D33" w:rsidRDefault="00C855B3" w:rsidP="00D44D33">
      <w:pPr>
        <w:widowControl w:val="0"/>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Przepis u</w:t>
      </w:r>
      <w:r w:rsidR="00481C38" w:rsidRPr="00D44D33">
        <w:rPr>
          <w:rFonts w:ascii="Times New Roman" w:eastAsiaTheme="minorEastAsia" w:hAnsi="Times New Roman" w:cs="Times New Roman"/>
          <w:sz w:val="24"/>
          <w:szCs w:val="24"/>
          <w:lang w:eastAsia="pl-PL"/>
        </w:rPr>
        <w:t>st.</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określa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przesłanki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właściwy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określenia,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wskaźnika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zwrotu</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kosztu</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zaangażowanego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kapitału.</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Wskaźnik</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ustalany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corocznie,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odrębnie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każdego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lang w:eastAsia="pl-PL"/>
        </w:rPr>
        <w:t>objętego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obowiązkiem</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musi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niego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stosowany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podczas</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prowadzenia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tej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kalkulacji.</w:t>
      </w:r>
    </w:p>
    <w:p w14:paraId="4153E4DB" w14:textId="620DEF1F" w:rsidR="00481C38" w:rsidRPr="00D44D33" w:rsidRDefault="00481C38" w:rsidP="00D44D33">
      <w:pPr>
        <w:widowControl w:val="0"/>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Wskaźnik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zwrotu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zaangażowanego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kapitału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uwzględnianych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wynikach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w:t>
      </w:r>
      <w:r w:rsidR="00BB6A86" w:rsidRPr="00D44D33">
        <w:rPr>
          <w:rFonts w:ascii="Times New Roman" w:eastAsiaTheme="minorEastAsia" w:hAnsi="Times New Roman" w:cs="Times New Roman"/>
          <w:sz w:val="24"/>
          <w:szCs w:val="24"/>
          <w:lang w:eastAsia="pl-PL"/>
        </w:rPr>
        <w:t>lkulacji</w:t>
      </w:r>
      <w:r w:rsidR="00970B2E" w:rsidRPr="00D44D33">
        <w:rPr>
          <w:rFonts w:ascii="Times New Roman" w:eastAsiaTheme="minorEastAsia" w:hAnsi="Times New Roman" w:cs="Times New Roman"/>
          <w:sz w:val="24"/>
          <w:szCs w:val="24"/>
          <w:lang w:eastAsia="pl-PL"/>
        </w:rPr>
        <w:t xml:space="preserve"> </w:t>
      </w:r>
      <w:r w:rsidR="00BB6A86"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00BB6A86" w:rsidRPr="00D44D33">
        <w:rPr>
          <w:rFonts w:ascii="Times New Roman" w:eastAsiaTheme="minorEastAsia" w:hAnsi="Times New Roman" w:cs="Times New Roman"/>
          <w:sz w:val="24"/>
          <w:szCs w:val="24"/>
          <w:lang w:eastAsia="pl-PL"/>
        </w:rPr>
        <w:t>wynika</w:t>
      </w:r>
      <w:r w:rsidR="00970B2E" w:rsidRPr="00D44D33">
        <w:rPr>
          <w:rFonts w:ascii="Times New Roman" w:eastAsiaTheme="minorEastAsia" w:hAnsi="Times New Roman" w:cs="Times New Roman"/>
          <w:sz w:val="24"/>
          <w:szCs w:val="24"/>
          <w:lang w:eastAsia="pl-PL"/>
        </w:rPr>
        <w:t xml:space="preserve"> </w:t>
      </w:r>
      <w:r w:rsidR="00BB6A86"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00BB6A86"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BB6A86" w:rsidRPr="00D44D33">
        <w:rPr>
          <w:rFonts w:ascii="Times New Roman" w:eastAsiaTheme="minorEastAsia" w:hAnsi="Times New Roman" w:cs="Times New Roman"/>
          <w:sz w:val="24"/>
          <w:szCs w:val="24"/>
          <w:lang w:eastAsia="pl-PL"/>
        </w:rPr>
        <w:t>prze</w:t>
      </w:r>
      <w:r w:rsidRPr="00D44D33">
        <w:rPr>
          <w:rFonts w:ascii="Times New Roman" w:eastAsiaTheme="minorEastAsia" w:hAnsi="Times New Roman" w:cs="Times New Roman"/>
          <w:sz w:val="24"/>
          <w:szCs w:val="24"/>
          <w:lang w:eastAsia="pl-PL"/>
        </w:rPr>
        <w:t>pisu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„jeżeli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organy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uznają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kontroli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właściwe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umożliwiają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przedsiębiorstwu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uzyskanie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zwrotu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stosownej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części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zainwestowanego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kapitału,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uwzględniając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wszelkie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ryzyko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typowe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konkretnego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nowego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przedsięwzięcia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wskaźnika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zwrotu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zaangażowanego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kapitału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wpływ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wynik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jednej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zachęcać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dokonywania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inwestycji,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drugiej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zaś</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przeciwdziałać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ustanawianiu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nadmiernych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zakłócaniu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konkurencji.</w:t>
      </w:r>
    </w:p>
    <w:p w14:paraId="4A7F8D8F" w14:textId="4830D2FE" w:rsidR="00481C38" w:rsidRPr="00D44D33" w:rsidRDefault="00481C38" w:rsidP="00D44D33">
      <w:pPr>
        <w:widowControl w:val="0"/>
        <w:autoSpaceDE w:val="0"/>
        <w:autoSpaceDN w:val="0"/>
        <w:adjustRightInd w:val="0"/>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AE277D" w:rsidRPr="00D44D33">
        <w:rPr>
          <w:rFonts w:ascii="Times New Roman" w:eastAsiaTheme="minorEastAsia" w:hAnsi="Times New Roman" w:cs="Times New Roman"/>
          <w:sz w:val="24"/>
          <w:szCs w:val="24"/>
        </w:rPr>
        <w:t>ust</w:t>
      </w:r>
      <w:r w:rsidR="00C855B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2</w:t>
      </w:r>
      <w:r w:rsidR="001F2E7F" w:rsidRPr="00D44D33">
        <w:rPr>
          <w:rFonts w:ascii="Times New Roman" w:eastAsiaTheme="minorEastAsia" w:hAnsi="Times New Roman" w:cs="Times New Roman"/>
          <w:sz w:val="24"/>
          <w:szCs w:val="24"/>
          <w:lang w:eastAsia="pl-PL"/>
        </w:rPr>
        <w:t>–</w:t>
      </w:r>
      <w:r w:rsidR="00ED5025"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E277D" w:rsidRPr="00D44D33">
        <w:rPr>
          <w:rFonts w:ascii="Times New Roman" w:eastAsiaTheme="minorEastAsia" w:hAnsi="Times New Roman" w:cs="Times New Roman"/>
          <w:sz w:val="24"/>
          <w:szCs w:val="24"/>
        </w:rPr>
        <w:t>uzgadnianiem</w:t>
      </w:r>
      <w:r w:rsidR="00970B2E" w:rsidRPr="00D44D33">
        <w:rPr>
          <w:rFonts w:ascii="Times New Roman" w:eastAsiaTheme="minorEastAsia" w:hAnsi="Times New Roman" w:cs="Times New Roman"/>
          <w:sz w:val="24"/>
          <w:szCs w:val="24"/>
        </w:rPr>
        <w:t xml:space="preserve"> </w:t>
      </w:r>
      <w:r w:rsidR="00AE277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F6468" w:rsidRPr="00D44D33">
        <w:rPr>
          <w:rFonts w:ascii="Times New Roman" w:eastAsiaTheme="minorEastAsia" w:hAnsi="Times New Roman" w:cs="Times New Roman"/>
          <w:sz w:val="24"/>
          <w:szCs w:val="24"/>
        </w:rPr>
        <w:t>zatwierdzeniem</w:t>
      </w:r>
      <w:r w:rsidR="00970B2E" w:rsidRPr="00D44D33">
        <w:rPr>
          <w:rFonts w:ascii="Times New Roman" w:eastAsiaTheme="minorEastAsia" w:hAnsi="Times New Roman" w:cs="Times New Roman"/>
          <w:sz w:val="24"/>
          <w:szCs w:val="24"/>
        </w:rPr>
        <w:t xml:space="preserve"> </w:t>
      </w:r>
      <w:r w:rsidR="0033642B"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3642B"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ED502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F6468"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obydwu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Ustawa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wskazuje</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najważniejsze</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temacie</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m.in.</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uzgodnienie</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zatwierdzenie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dokumentów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formie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up</w:t>
      </w:r>
      <w:r w:rsidR="005E2D89" w:rsidRPr="00D44D33">
        <w:rPr>
          <w:rFonts w:ascii="Times New Roman" w:eastAsiaTheme="minorEastAsia" w:hAnsi="Times New Roman" w:cs="Times New Roman"/>
          <w:sz w:val="24"/>
          <w:szCs w:val="24"/>
          <w:lang w:eastAsia="pl-PL"/>
        </w:rPr>
        <w:t>rawnienie</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005F6468"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5E2D89"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5E2D89"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przedłożonych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AF1DD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Powyższe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uprawnienie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zmian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dokonywanych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samodzielnie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dokumentach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umożliwia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zatwierdzenie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określonym</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terminie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zapobiega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powstaniu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uniemożliwiającej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wykonanie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prowadzenia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00780AD1" w:rsidRPr="00D44D33">
        <w:rPr>
          <w:rFonts w:ascii="Times New Roman" w:hAnsi="Times New Roman" w:cs="Times New Roman"/>
          <w:sz w:val="24"/>
          <w:szCs w:val="24"/>
        </w:rPr>
        <w:t>Terminy</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uzgadniania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zatwierdzania</w:t>
      </w:r>
      <w:r w:rsidR="00970B2E" w:rsidRPr="00D44D33">
        <w:rPr>
          <w:rFonts w:ascii="Times New Roman" w:hAnsi="Times New Roman" w:cs="Times New Roman"/>
          <w:sz w:val="24"/>
          <w:szCs w:val="24"/>
        </w:rPr>
        <w:t xml:space="preserve"> </w:t>
      </w:r>
      <w:r w:rsidR="00780AD1"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780AD1"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00780AD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80AD1"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00780AD1"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780AD1" w:rsidRPr="00D44D33">
        <w:rPr>
          <w:rFonts w:ascii="Times New Roman" w:eastAsiaTheme="minorEastAsia" w:hAnsi="Times New Roman" w:cs="Times New Roman"/>
          <w:sz w:val="24"/>
          <w:szCs w:val="24"/>
        </w:rPr>
        <w:t>kosztów</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tak</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wyznaczone,</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by</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cała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procedura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zakończyła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końca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obrotowego,</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który</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przedstawiane</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będą</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sprawozdania</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prowadzonej</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rachunkowości</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regulacyjnej</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wyniki</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kalkulacji</w:t>
      </w:r>
      <w:r w:rsidR="00970B2E" w:rsidRPr="00D44D33">
        <w:rPr>
          <w:rFonts w:ascii="Times New Roman" w:hAnsi="Times New Roman" w:cs="Times New Roman"/>
          <w:sz w:val="24"/>
          <w:szCs w:val="24"/>
        </w:rPr>
        <w:t xml:space="preserve"> </w:t>
      </w:r>
      <w:r w:rsidR="00780AD1" w:rsidRPr="00D44D33">
        <w:rPr>
          <w:rFonts w:ascii="Times New Roman" w:hAnsi="Times New Roman" w:cs="Times New Roman"/>
          <w:sz w:val="24"/>
          <w:szCs w:val="24"/>
        </w:rPr>
        <w:t>kosztów.</w:t>
      </w:r>
      <w:r w:rsidR="00970B2E" w:rsidRPr="00D44D33">
        <w:rPr>
          <w:rFonts w:ascii="Times New Roman" w:hAnsi="Times New Roman" w:cs="Times New Roman"/>
          <w:sz w:val="24"/>
          <w:szCs w:val="24"/>
        </w:rPr>
        <w:t xml:space="preserve"> </w:t>
      </w:r>
      <w:r w:rsidR="00ED5025" w:rsidRPr="00D44D33">
        <w:rPr>
          <w:rFonts w:ascii="Times New Roman" w:eastAsiaTheme="minorEastAsia" w:hAnsi="Times New Roman" w:cs="Times New Roman"/>
          <w:sz w:val="24"/>
          <w:szCs w:val="24"/>
          <w:lang w:eastAsia="pl-PL"/>
        </w:rPr>
        <w:t>Pozostałe</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dotyczące</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uzgadniania</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zatwierdz</w:t>
      </w:r>
      <w:r w:rsidR="005F6468" w:rsidRPr="00D44D33">
        <w:rPr>
          <w:rFonts w:ascii="Times New Roman" w:eastAsiaTheme="minorEastAsia" w:hAnsi="Times New Roman" w:cs="Times New Roman"/>
          <w:sz w:val="24"/>
          <w:szCs w:val="24"/>
        </w:rPr>
        <w:t>e</w:t>
      </w:r>
      <w:r w:rsidR="00ED5025" w:rsidRPr="00D44D33">
        <w:rPr>
          <w:rFonts w:ascii="Times New Roman" w:eastAsiaTheme="minorEastAsia" w:hAnsi="Times New Roman" w:cs="Times New Roman"/>
          <w:sz w:val="24"/>
          <w:szCs w:val="24"/>
        </w:rPr>
        <w:t>ni</w:t>
      </w:r>
      <w:r w:rsidR="005F646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D5025" w:rsidRPr="00D44D33">
        <w:rPr>
          <w:rFonts w:ascii="Times New Roman" w:eastAsiaTheme="minorEastAsia" w:hAnsi="Times New Roman" w:cs="Times New Roman"/>
          <w:sz w:val="24"/>
          <w:szCs w:val="24"/>
        </w:rPr>
        <w:t>2</w:t>
      </w:r>
      <w:r w:rsidR="009D2489" w:rsidRPr="00D44D33">
        <w:rPr>
          <w:rFonts w:ascii="Times New Roman" w:eastAsiaTheme="minorEastAsia" w:hAnsi="Times New Roman" w:cs="Times New Roman"/>
          <w:sz w:val="24"/>
          <w:szCs w:val="24"/>
        </w:rPr>
        <w:t>55.</w:t>
      </w:r>
    </w:p>
    <w:p w14:paraId="1A668549" w14:textId="141B347D" w:rsidR="00481C38" w:rsidRPr="00D44D33" w:rsidRDefault="00AE6B0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lang w:eastAsia="pl-PL"/>
        </w:rPr>
        <w:t>Projektowany u</w:t>
      </w:r>
      <w:r w:rsidR="00481C38" w:rsidRPr="00D44D33">
        <w:rPr>
          <w:rFonts w:ascii="Times New Roman" w:eastAsiaTheme="minorEastAsia" w:hAnsi="Times New Roman" w:cs="Times New Roman"/>
          <w:sz w:val="24"/>
          <w:szCs w:val="24"/>
          <w:lang w:eastAsia="pl-PL"/>
        </w:rPr>
        <w:t>st.</w:t>
      </w:r>
      <w:r w:rsidR="00970B2E" w:rsidRPr="00D44D33">
        <w:rPr>
          <w:rFonts w:ascii="Times New Roman" w:eastAsiaTheme="minorEastAsia" w:hAnsi="Times New Roman" w:cs="Times New Roman"/>
          <w:sz w:val="24"/>
          <w:szCs w:val="24"/>
          <w:lang w:eastAsia="pl-PL"/>
        </w:rPr>
        <w:t xml:space="preserve"> </w:t>
      </w:r>
      <w:r w:rsidR="00ED5025" w:rsidRPr="00D44D33">
        <w:rPr>
          <w:rFonts w:ascii="Times New Roman" w:eastAsiaTheme="minorEastAsia" w:hAnsi="Times New Roman" w:cs="Times New Roman"/>
          <w:sz w:val="24"/>
          <w:szCs w:val="24"/>
          <w:lang w:eastAsia="pl-PL"/>
        </w:rPr>
        <w:t>6</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daje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zasięgnięcia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opinii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niezależnych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biegłych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rewidentów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ekspertów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AF1DD7" w:rsidRPr="00D44D33">
        <w:rPr>
          <w:rFonts w:ascii="Times New Roman" w:eastAsiaTheme="minorEastAsia" w:hAnsi="Times New Roman" w:cs="Times New Roman"/>
          <w:sz w:val="24"/>
          <w:szCs w:val="24"/>
        </w:rPr>
        <w:t>opracowanego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AF1DD7"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F1DD7"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opisu</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rzetelności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wiarygodności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sprawozdaniach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wynikach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posiadania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szczegółowej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wiedzy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doświadczenia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rachunkowości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księgowości,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żeby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prawidłowo</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przeprowadzić</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proces</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zatwierdzania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dokumentów.</w:t>
      </w:r>
    </w:p>
    <w:p w14:paraId="6A140F4B" w14:textId="00F22C2F" w:rsidR="00481C38" w:rsidRPr="00D44D33" w:rsidRDefault="00E355FD"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Przepisy</w:t>
      </w:r>
      <w:r w:rsidR="00AE6B09" w:rsidRPr="00D44D33">
        <w:rPr>
          <w:rFonts w:ascii="Times New Roman" w:eastAsiaTheme="minorEastAsia" w:hAnsi="Times New Roman" w:cs="Times New Roman"/>
          <w:sz w:val="24"/>
          <w:szCs w:val="24"/>
          <w:lang w:eastAsia="pl-PL"/>
        </w:rPr>
        <w:t xml:space="preserve"> projektowanych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00AB5E58" w:rsidRPr="00D44D33">
        <w:rPr>
          <w:rFonts w:ascii="Times New Roman" w:eastAsiaTheme="minorEastAsia" w:hAnsi="Times New Roman" w:cs="Times New Roman"/>
          <w:sz w:val="24"/>
          <w:szCs w:val="24"/>
          <w:lang w:eastAsia="pl-PL"/>
        </w:rPr>
        <w:t>7</w:t>
      </w:r>
      <w:r w:rsidR="001F2E7F" w:rsidRPr="00D44D33">
        <w:rPr>
          <w:rFonts w:ascii="Times New Roman" w:eastAsiaTheme="minorEastAsia" w:hAnsi="Times New Roman" w:cs="Times New Roman"/>
          <w:sz w:val="24"/>
          <w:szCs w:val="24"/>
          <w:lang w:eastAsia="pl-PL"/>
        </w:rPr>
        <w:t>–</w:t>
      </w:r>
      <w:r w:rsidR="00AB5E58" w:rsidRPr="00D44D33">
        <w:rPr>
          <w:rFonts w:ascii="Times New Roman" w:eastAsiaTheme="minorEastAsia" w:hAnsi="Times New Roman" w:cs="Times New Roman"/>
          <w:sz w:val="24"/>
          <w:szCs w:val="24"/>
          <w:lang w:eastAsia="pl-PL"/>
        </w:rPr>
        <w:t>10</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regulują</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procedurę</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00550FA4" w:rsidRPr="00D44D33">
        <w:rPr>
          <w:rFonts w:ascii="Times New Roman" w:eastAsiaTheme="minorEastAsia" w:hAnsi="Times New Roman" w:cs="Times New Roman"/>
          <w:sz w:val="24"/>
          <w:szCs w:val="24"/>
          <w:lang w:eastAsia="pl-PL"/>
        </w:rPr>
        <w:t>weryfikacji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sprawozdania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prowadzonej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wyników</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przeprowadzane</w:t>
      </w:r>
      <w:r w:rsidR="00550FA4" w:rsidRPr="00D44D33">
        <w:rPr>
          <w:rFonts w:ascii="Times New Roman" w:eastAsiaTheme="minorEastAsia" w:hAnsi="Times New Roman" w:cs="Times New Roman"/>
          <w:sz w:val="24"/>
          <w:szCs w:val="24"/>
          <w:lang w:eastAsia="pl-PL"/>
        </w:rPr>
        <w:t>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koszt</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biegłego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rewidenta,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którego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powołuje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przekazywania</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dokumentów</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wraz</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hAnsi="Times New Roman" w:cs="Times New Roman"/>
          <w:sz w:val="24"/>
          <w:szCs w:val="24"/>
        </w:rPr>
        <w:t>sprawozdaniem</w:t>
      </w:r>
      <w:r w:rsidR="00970B2E" w:rsidRPr="00D44D33">
        <w:rPr>
          <w:rFonts w:ascii="Times New Roman" w:hAnsi="Times New Roman" w:cs="Times New Roman"/>
          <w:sz w:val="24"/>
          <w:szCs w:val="24"/>
        </w:rPr>
        <w:t xml:space="preserve"> </w:t>
      </w:r>
      <w:r w:rsidR="00AF1DD7" w:rsidRPr="00D44D33">
        <w:rPr>
          <w:rFonts w:ascii="Times New Roman" w:hAnsi="Times New Roman" w:cs="Times New Roman"/>
          <w:sz w:val="24"/>
          <w:szCs w:val="24"/>
        </w:rPr>
        <w:t>biegłego</w:t>
      </w:r>
      <w:r w:rsidR="00970B2E" w:rsidRPr="00D44D33">
        <w:rPr>
          <w:rFonts w:ascii="Times New Roman" w:hAnsi="Times New Roman" w:cs="Times New Roman"/>
          <w:sz w:val="24"/>
          <w:szCs w:val="24"/>
        </w:rPr>
        <w:t xml:space="preserve"> </w:t>
      </w:r>
      <w:r w:rsidR="00AF1DD7" w:rsidRPr="00D44D33">
        <w:rPr>
          <w:rFonts w:ascii="Times New Roman" w:hAnsi="Times New Roman" w:cs="Times New Roman"/>
          <w:sz w:val="24"/>
          <w:szCs w:val="24"/>
        </w:rPr>
        <w:t>rewidenta</w:t>
      </w:r>
      <w:r w:rsidR="00970B2E" w:rsidRPr="00D44D33">
        <w:rPr>
          <w:rFonts w:ascii="Times New Roman" w:hAnsi="Times New Roman" w:cs="Times New Roman"/>
          <w:sz w:val="24"/>
          <w:szCs w:val="24"/>
        </w:rPr>
        <w:t xml:space="preserve"> </w:t>
      </w:r>
      <w:r w:rsidR="00AF1DD7"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AF1DD7" w:rsidRPr="00D44D33">
        <w:rPr>
          <w:rFonts w:ascii="Times New Roman" w:hAnsi="Times New Roman" w:cs="Times New Roman"/>
          <w:sz w:val="24"/>
          <w:szCs w:val="24"/>
        </w:rPr>
        <w:t>weryfikacji</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ich</w:t>
      </w:r>
      <w:r w:rsidR="00970B2E" w:rsidRPr="00D44D33">
        <w:rPr>
          <w:rFonts w:ascii="Times New Roman" w:eastAsiaTheme="minorEastAsia" w:hAnsi="Times New Roman" w:cs="Times New Roman"/>
          <w:sz w:val="24"/>
          <w:szCs w:val="24"/>
          <w:lang w:eastAsia="pl-PL"/>
        </w:rPr>
        <w:t xml:space="preserve"> </w:t>
      </w:r>
      <w:r w:rsidR="00AF1DD7" w:rsidRPr="00D44D33">
        <w:rPr>
          <w:rFonts w:ascii="Times New Roman" w:eastAsiaTheme="minorEastAsia" w:hAnsi="Times New Roman" w:cs="Times New Roman"/>
          <w:sz w:val="24"/>
          <w:szCs w:val="24"/>
          <w:lang w:eastAsia="pl-PL"/>
        </w:rPr>
        <w:t>udostępnienia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stronie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podmiotowej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BIP</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p>
    <w:p w14:paraId="1E9B9EEB" w14:textId="7683ED5A" w:rsidR="00481C38" w:rsidRPr="00D44D33" w:rsidRDefault="00481C38"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Weryfikacja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sprawozdań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wyników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publikacja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dokumentów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opinią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weryfikacji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wymagana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71</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AE6B09" w:rsidRPr="00D44D33">
        <w:rPr>
          <w:rFonts w:ascii="Times New Roman" w:eastAsiaTheme="minorEastAsia" w:hAnsi="Times New Roman" w:cs="Times New Roman"/>
          <w:sz w:val="24"/>
          <w:szCs w:val="24"/>
          <w:lang w:eastAsia="pl-PL"/>
        </w:rPr>
        <w:t xml:space="preserve">art. </w:t>
      </w:r>
      <w:r w:rsidRPr="00D44D33">
        <w:rPr>
          <w:rFonts w:ascii="Times New Roman" w:eastAsiaTheme="minorEastAsia" w:hAnsi="Times New Roman" w:cs="Times New Roman"/>
          <w:sz w:val="24"/>
          <w:szCs w:val="24"/>
          <w:lang w:eastAsia="pl-PL"/>
        </w:rPr>
        <w:t>74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EKŁE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przejrzystości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informacji.</w:t>
      </w:r>
    </w:p>
    <w:p w14:paraId="532C5BB6" w14:textId="3D8E2B64" w:rsidR="00481C38" w:rsidRPr="00D44D33" w:rsidRDefault="00481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D2489" w:rsidRPr="00D44D33">
        <w:rPr>
          <w:rFonts w:ascii="Times New Roman" w:eastAsiaTheme="minorEastAsia" w:hAnsi="Times New Roman" w:cs="Times New Roman"/>
          <w:b/>
          <w:bCs/>
          <w:sz w:val="24"/>
          <w:szCs w:val="24"/>
        </w:rPr>
        <w:t>258</w:t>
      </w:r>
    </w:p>
    <w:p w14:paraId="67C733C0" w14:textId="3FC410D7" w:rsidR="00481C38" w:rsidRPr="00D44D33" w:rsidRDefault="00D27B0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7D737702"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53943D8E"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instrukcji</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rachunkowości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regulacyjnej</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opisu</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kalkulacji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kosztów,</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artykuły</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wdrażają</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71</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E6B09" w:rsidRPr="00D44D33">
        <w:rPr>
          <w:rFonts w:ascii="Times New Roman" w:eastAsiaTheme="minorEastAsia" w:hAnsi="Times New Roman" w:cs="Times New Roman"/>
          <w:sz w:val="24"/>
          <w:szCs w:val="24"/>
        </w:rPr>
        <w:t xml:space="preserve">art. </w:t>
      </w:r>
      <w:r w:rsidR="00481C38" w:rsidRPr="00D44D33">
        <w:rPr>
          <w:rFonts w:ascii="Times New Roman" w:eastAsiaTheme="minorEastAsia" w:hAnsi="Times New Roman" w:cs="Times New Roman"/>
          <w:sz w:val="24"/>
          <w:szCs w:val="24"/>
        </w:rPr>
        <w:t>74</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481C38"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zapewniają</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zachowanie</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obowiązku</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przejrzystości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00481C38" w:rsidRPr="00D44D33">
        <w:rPr>
          <w:rFonts w:ascii="Times New Roman" w:eastAsiaTheme="minorEastAsia" w:hAnsi="Times New Roman" w:cs="Times New Roman"/>
          <w:sz w:val="24"/>
          <w:szCs w:val="24"/>
          <w:lang w:eastAsia="pl-PL"/>
        </w:rPr>
        <w:t>informacji.</w:t>
      </w:r>
    </w:p>
    <w:p w14:paraId="0018CB64" w14:textId="2C1EE12D" w:rsidR="001F2E7F" w:rsidRPr="00D44D33" w:rsidRDefault="0040394D" w:rsidP="00D44D33">
      <w:pPr>
        <w:pStyle w:val="TYTDZPRZEDMprzedmiotregulacjitytuulubdziau"/>
        <w:spacing w:after="120"/>
        <w:rPr>
          <w:rFonts w:ascii="Times New Roman" w:eastAsiaTheme="minorEastAsia" w:hAnsi="Times New Roman"/>
          <w:szCs w:val="24"/>
        </w:rPr>
      </w:pPr>
      <w:r w:rsidRPr="00D44D33">
        <w:rPr>
          <w:rFonts w:ascii="Times New Roman" w:eastAsiaTheme="minorEastAsia" w:hAnsi="Times New Roman"/>
          <w:szCs w:val="24"/>
        </w:rPr>
        <w:t>Dział</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V</w:t>
      </w:r>
    </w:p>
    <w:p w14:paraId="60193666" w14:textId="1C2106D4" w:rsidR="0040394D" w:rsidRPr="00D44D33" w:rsidRDefault="0040394D" w:rsidP="00D44D33">
      <w:pPr>
        <w:pStyle w:val="TYTDZPRZEDMprzedmiotregulacjitytuulubdziau"/>
        <w:spacing w:after="120"/>
        <w:rPr>
          <w:rFonts w:ascii="Times New Roman" w:eastAsiaTheme="minorEastAsia" w:hAnsi="Times New Roman"/>
          <w:szCs w:val="24"/>
        </w:rPr>
      </w:pPr>
      <w:r w:rsidRPr="00D44D33">
        <w:rPr>
          <w:rFonts w:ascii="Times New Roman" w:eastAsiaTheme="minorEastAsia" w:hAnsi="Times New Roman"/>
          <w:szCs w:val="24"/>
        </w:rPr>
        <w:t>Operator</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multipleksu</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i</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dostęp</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do</w:t>
      </w:r>
      <w:r w:rsidR="00970B2E" w:rsidRPr="00D44D33">
        <w:rPr>
          <w:rFonts w:ascii="Times New Roman" w:eastAsiaTheme="minorEastAsia" w:hAnsi="Times New Roman"/>
          <w:szCs w:val="24"/>
        </w:rPr>
        <w:t xml:space="preserve"> </w:t>
      </w:r>
      <w:r w:rsidRPr="00D44D33">
        <w:rPr>
          <w:rFonts w:ascii="Times New Roman" w:eastAsiaTheme="minorEastAsia" w:hAnsi="Times New Roman"/>
          <w:szCs w:val="24"/>
        </w:rPr>
        <w:t>multipleksu</w:t>
      </w:r>
    </w:p>
    <w:p w14:paraId="4248C53D" w14:textId="5BD07954" w:rsidR="003405EC" w:rsidRPr="00D44D33" w:rsidRDefault="003405E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art.</w:t>
      </w:r>
      <w:r w:rsidR="00970B2E" w:rsidRPr="00D44D33">
        <w:rPr>
          <w:rFonts w:ascii="Times New Roman" w:eastAsiaTheme="minorEastAsia" w:hAnsi="Times New Roman" w:cs="Times New Roman"/>
          <w:sz w:val="24"/>
          <w:szCs w:val="24"/>
          <w:lang w:eastAsia="pl-PL"/>
        </w:rPr>
        <w:t xml:space="preserve"> </w:t>
      </w:r>
      <w:r w:rsidR="00D3100F" w:rsidRPr="00D44D33">
        <w:rPr>
          <w:rFonts w:ascii="Times New Roman" w:eastAsiaTheme="minorEastAsia" w:hAnsi="Times New Roman" w:cs="Times New Roman"/>
          <w:sz w:val="24"/>
          <w:szCs w:val="24"/>
          <w:lang w:eastAsia="pl-PL"/>
        </w:rPr>
        <w:t xml:space="preserve">260 </w:t>
      </w:r>
      <w:r w:rsidRPr="00D44D33">
        <w:rPr>
          <w:rFonts w:ascii="Times New Roman" w:eastAsiaTheme="minorEastAsia" w:hAnsi="Times New Roman" w:cs="Times New Roman"/>
          <w:sz w:val="24"/>
          <w:szCs w:val="24"/>
          <w:lang w:eastAsia="pl-PL"/>
        </w:rPr>
        <w:t>operator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ustawowo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umieszczania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rozpowszechniania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programów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radiofonicznych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telewizyjnych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wskazanych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koncesji,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przeznaczonych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rozpowszechniania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rozprowadzania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rPr>
        <w:t>uzyskał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koncesję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rozpowszechnianie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rozsiewczą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niedyskryminujących.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nieprzerwaną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multipleksu,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przerwa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zaprzestał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programu.</w:t>
      </w:r>
    </w:p>
    <w:p w14:paraId="7CC39B5C" w14:textId="4C26EF0B"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Warunki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uznane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dyskryminujące,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jeżeli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operator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samą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uprzednio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oferował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innemu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gdy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operatora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zachodzą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żadne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uzasadnione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powody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uwzględnia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zalecenie</w:t>
      </w:r>
      <w:r w:rsidR="00970B2E" w:rsidRPr="00D44D33">
        <w:rPr>
          <w:rFonts w:ascii="Times New Roman" w:eastAsiaTheme="minorEastAsia" w:hAnsi="Times New Roman" w:cs="Times New Roman"/>
          <w:sz w:val="24"/>
          <w:szCs w:val="24"/>
          <w:lang w:eastAsia="pl-PL"/>
        </w:rPr>
        <w:t xml:space="preserve"> </w:t>
      </w:r>
      <w:r w:rsidRPr="00D44D33">
        <w:rPr>
          <w:rStyle w:val="Pogrubienie"/>
          <w:rFonts w:ascii="Times New Roman" w:eastAsiaTheme="minorEastAsia" w:hAnsi="Times New Roman" w:cs="Times New Roman"/>
          <w:b w:val="0"/>
          <w:bCs w:val="0"/>
          <w:sz w:val="24"/>
          <w:szCs w:val="24"/>
          <w:shd w:val="clear" w:color="auto" w:fill="FFFFFF"/>
        </w:rPr>
        <w:t>CM/Rec(2018)1</w:t>
      </w:r>
      <w:r w:rsidR="00970B2E" w:rsidRPr="00D44D33">
        <w:rPr>
          <w:rStyle w:val="Pogrubienie"/>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lang w:eastAsia="pl-PL"/>
        </w:rPr>
        <w:t>Komitetu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Ministrów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państw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członkowskich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sprawie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pluralizmu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mediach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przejrzystości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własności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mediów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(przyjęte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Komitet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Ministrów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7</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marca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2018</w:t>
      </w:r>
      <w:r w:rsidR="002379BB" w:rsidRPr="00D44D33">
        <w:rPr>
          <w:rFonts w:ascii="Times New Roman" w:eastAsiaTheme="minorEastAsia" w:hAnsi="Times New Roman" w:cs="Times New Roman"/>
          <w:sz w:val="24"/>
          <w:szCs w:val="24"/>
          <w:lang w:eastAsia="pl-PL"/>
        </w:rPr>
        <w:t xml:space="preserve"> 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1309</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spotkaniu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Przedstawicieli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Ministrów),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państwa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członkowskie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dostawcy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uczciwy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elektronicznych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sieci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komunikacyjnych.</w:t>
      </w:r>
    </w:p>
    <w:p w14:paraId="772C0F54" w14:textId="67CB79F5"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Warunki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poprzedzone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operator</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wynagrodzeniem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poniesienia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wydatków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świadczenia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transmisji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sygnału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współdziałania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operatorem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szczególności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udostępnienie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swojego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programu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telewizyjnego.</w:t>
      </w:r>
    </w:p>
    <w:p w14:paraId="705513E8" w14:textId="68DB2167"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minimalny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znaleźć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Zgodnie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zaprojektowanym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zawierać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najmniej:</w:t>
      </w:r>
    </w:p>
    <w:p w14:paraId="0AE99801" w14:textId="776E4B67"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technicznych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p>
    <w:p w14:paraId="3E79276B" w14:textId="4D47DC91"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rozliczeń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tytułu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p>
    <w:p w14:paraId="48EA1188" w14:textId="59EB8354"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postępowania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treści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p>
    <w:p w14:paraId="56AF6A31" w14:textId="73B81BC6"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p>
    <w:p w14:paraId="2289C733" w14:textId="3C4E90D2"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okresu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obowiązywania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p>
    <w:p w14:paraId="1AABAA80" w14:textId="6729D2B9"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sposobu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wysokości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wynagrodzenia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operatora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p>
    <w:p w14:paraId="46B8A21A" w14:textId="38AAE5A0" w:rsidR="003405EC" w:rsidRPr="00D44D33" w:rsidRDefault="003405EC" w:rsidP="00B61396">
      <w:pPr>
        <w:numPr>
          <w:ilvl w:val="0"/>
          <w:numId w:val="114"/>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wykazu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dokumentów,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uzyskać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dostarczyć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celu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realizacji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jakich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nastąpić.</w:t>
      </w:r>
    </w:p>
    <w:p w14:paraId="342FA2BA" w14:textId="72BB3BED"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Projektowane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nakładają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zarówno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operatora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programy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rozprowadzane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Ponadto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konsumentom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atrakcyjnej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oferty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programowej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wymagać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zwłaszcza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pierwszym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etapie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cyfryzacji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przeprowadzenia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między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prywatnymi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nadawcą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publicznym.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Przyznaje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się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Prezesowi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kompetencję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zakończenia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pisemny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każdej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urzędu.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zakończenia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mógł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dłuższy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90</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licząc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wystąpienia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wnioskiem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p>
    <w:p w14:paraId="228286E6" w14:textId="480E4AD0"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Może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zaistnieć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sytuacja,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konieczne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zastosowanie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umożliwią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rozstrzyganie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również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zasad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wzajemnej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współpracy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uczestniczących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procesie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niezależny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podmiot.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Dlatego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też</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zostały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umożliwiające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skuteczne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bezstronne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rozstrzyganie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przyznają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każdej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negocjowanej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prawo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wystąpienia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wnioskiem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wydanie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sprawie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rozstrzygnięcia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współpracy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niepodjęcia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niezawarcia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90</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licząc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wystąpienia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wnioskiem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niezawarcia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określonym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jako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zakończenia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negocjacji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postanowienia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udzielenia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p>
    <w:p w14:paraId="047DEA6B" w14:textId="254BA742"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Zasadne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określenie,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powinien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zawierać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przedmiocie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rozstrzygnięcia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ustalenia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współpracy.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Wniosek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powinien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zawierać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projekt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stanowiskami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zaznaczeniem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części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co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doszły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porozumienia.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także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uprawniony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wystąpienia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żądaniem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przekazania,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terminie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14</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otrzymania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żądania,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stanowisk</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wobec</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rozbieżności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dokumentów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niezbędnych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rozpatrzenia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wniosku.</w:t>
      </w:r>
    </w:p>
    <w:p w14:paraId="6D96BB92" w14:textId="4CC30998"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Podjęcie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uwarunkowane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w:t>
      </w:r>
      <w:r w:rsidR="005B5553" w:rsidRPr="00D44D33">
        <w:rPr>
          <w:rFonts w:ascii="Times New Roman" w:eastAsiaTheme="minorEastAsia" w:hAnsi="Times New Roman" w:cs="Times New Roman"/>
          <w:sz w:val="24"/>
          <w:szCs w:val="24"/>
          <w:lang w:eastAsia="pl-PL"/>
        </w:rPr>
        <w:t>no</w:t>
      </w:r>
      <w:r w:rsidR="00970B2E" w:rsidRPr="00D44D33">
        <w:rPr>
          <w:rFonts w:ascii="Times New Roman" w:eastAsiaTheme="minorEastAsia" w:hAnsi="Times New Roman" w:cs="Times New Roman"/>
          <w:sz w:val="24"/>
          <w:szCs w:val="24"/>
          <w:lang w:eastAsia="pl-PL"/>
        </w:rPr>
        <w:t xml:space="preserve"> </w:t>
      </w:r>
      <w:r w:rsidR="005B5553" w:rsidRPr="00D44D33">
        <w:rPr>
          <w:rFonts w:ascii="Times New Roman" w:eastAsiaTheme="minorEastAsia" w:hAnsi="Times New Roman" w:cs="Times New Roman"/>
          <w:sz w:val="24"/>
          <w:szCs w:val="24"/>
          <w:lang w:eastAsia="pl-PL"/>
        </w:rPr>
        <w:t>być</w:t>
      </w:r>
      <w:r w:rsidR="00970B2E" w:rsidRPr="00D44D33">
        <w:rPr>
          <w:rFonts w:ascii="Times New Roman" w:eastAsiaTheme="minorEastAsia" w:hAnsi="Times New Roman" w:cs="Times New Roman"/>
          <w:sz w:val="24"/>
          <w:szCs w:val="24"/>
          <w:lang w:eastAsia="pl-PL"/>
        </w:rPr>
        <w:t xml:space="preserve"> </w:t>
      </w:r>
      <w:r w:rsidR="005B5553" w:rsidRPr="00D44D33">
        <w:rPr>
          <w:rFonts w:ascii="Times New Roman" w:eastAsiaTheme="minorEastAsia" w:hAnsi="Times New Roman" w:cs="Times New Roman"/>
          <w:sz w:val="24"/>
          <w:szCs w:val="24"/>
          <w:lang w:eastAsia="pl-PL"/>
        </w:rPr>
        <w:t>następującymi</w:t>
      </w:r>
      <w:r w:rsidR="00970B2E" w:rsidRPr="00D44D33">
        <w:rPr>
          <w:rFonts w:ascii="Times New Roman" w:eastAsiaTheme="minorEastAsia" w:hAnsi="Times New Roman" w:cs="Times New Roman"/>
          <w:sz w:val="24"/>
          <w:szCs w:val="24"/>
          <w:lang w:eastAsia="pl-PL"/>
        </w:rPr>
        <w:t xml:space="preserve"> </w:t>
      </w:r>
      <w:r w:rsidR="005B5553" w:rsidRPr="00D44D33">
        <w:rPr>
          <w:rFonts w:ascii="Times New Roman" w:eastAsiaTheme="minorEastAsia" w:hAnsi="Times New Roman" w:cs="Times New Roman"/>
          <w:sz w:val="24"/>
          <w:szCs w:val="24"/>
          <w:lang w:eastAsia="pl-PL"/>
        </w:rPr>
        <w:t>kryteriami</w:t>
      </w:r>
      <w:r w:rsidRPr="00D44D33">
        <w:rPr>
          <w:rFonts w:ascii="Times New Roman" w:eastAsiaTheme="minorEastAsia" w:hAnsi="Times New Roman" w:cs="Times New Roman"/>
          <w:sz w:val="24"/>
          <w:szCs w:val="24"/>
          <w:lang w:eastAsia="pl-PL"/>
        </w:rPr>
        <w:t>:</w:t>
      </w:r>
    </w:p>
    <w:p w14:paraId="4AA6D2CA" w14:textId="1279ADCB" w:rsidR="003405EC" w:rsidRPr="00D44D33" w:rsidRDefault="003405EC" w:rsidP="00B61396">
      <w:pPr>
        <w:numPr>
          <w:ilvl w:val="0"/>
          <w:numId w:val="40"/>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charakter</w:t>
      </w:r>
      <w:r w:rsidR="005B5553" w:rsidRPr="00D44D33">
        <w:rPr>
          <w:rFonts w:ascii="Times New Roman" w:eastAsiaTheme="minorEastAsia" w:hAnsi="Times New Roman" w:cs="Times New Roman"/>
          <w:sz w:val="24"/>
          <w:szCs w:val="24"/>
          <w:lang w:eastAsia="pl-PL"/>
        </w:rPr>
        <w:t>em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zaistniałych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kwestii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spornych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praktyczną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możliwość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wdrożenia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rozwiązań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technicznych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ekonomicznych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p>
    <w:p w14:paraId="7CF167DF" w14:textId="4D6148ED" w:rsidR="003405EC" w:rsidRPr="00D44D33" w:rsidRDefault="005B5553" w:rsidP="00B61396">
      <w:pPr>
        <w:numPr>
          <w:ilvl w:val="0"/>
          <w:numId w:val="40"/>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obowiązkami</w:t>
      </w:r>
      <w:r w:rsidR="00970B2E" w:rsidRPr="00D44D33">
        <w:rPr>
          <w:rFonts w:ascii="Times New Roman" w:eastAsiaTheme="minorEastAsia" w:hAnsi="Times New Roman" w:cs="Times New Roman"/>
          <w:sz w:val="24"/>
          <w:szCs w:val="24"/>
          <w:lang w:eastAsia="pl-PL"/>
        </w:rPr>
        <w:t xml:space="preserve"> </w:t>
      </w:r>
      <w:r w:rsidR="003405EC" w:rsidRPr="00D44D33">
        <w:rPr>
          <w:rFonts w:ascii="Times New Roman" w:eastAsiaTheme="minorEastAsia" w:hAnsi="Times New Roman" w:cs="Times New Roman"/>
          <w:sz w:val="24"/>
          <w:szCs w:val="24"/>
          <w:lang w:eastAsia="pl-PL"/>
        </w:rPr>
        <w:t>operatora</w:t>
      </w:r>
      <w:r w:rsidR="00970B2E" w:rsidRPr="00D44D33">
        <w:rPr>
          <w:rFonts w:ascii="Times New Roman" w:eastAsiaTheme="minorEastAsia" w:hAnsi="Times New Roman" w:cs="Times New Roman"/>
          <w:sz w:val="24"/>
          <w:szCs w:val="24"/>
          <w:lang w:eastAsia="pl-PL"/>
        </w:rPr>
        <w:t xml:space="preserve"> </w:t>
      </w:r>
      <w:r w:rsidR="003405EC" w:rsidRPr="00D44D33">
        <w:rPr>
          <w:rFonts w:ascii="Times New Roman" w:eastAsiaTheme="minorEastAsia" w:hAnsi="Times New Roman" w:cs="Times New Roman"/>
          <w:sz w:val="24"/>
          <w:szCs w:val="24"/>
          <w:lang w:eastAsia="pl-PL"/>
        </w:rPr>
        <w:t>multipleksu;</w:t>
      </w:r>
    </w:p>
    <w:p w14:paraId="542AC3B5" w14:textId="283781E4" w:rsidR="003405EC" w:rsidRPr="00D44D33" w:rsidRDefault="005B5553" w:rsidP="00B61396">
      <w:pPr>
        <w:numPr>
          <w:ilvl w:val="0"/>
          <w:numId w:val="40"/>
        </w:numPr>
        <w:spacing w:before="120" w:after="120" w:line="360" w:lineRule="auto"/>
        <w:ind w:left="426"/>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koniecznością</w:t>
      </w:r>
      <w:r w:rsidR="00970B2E" w:rsidRPr="00D44D33">
        <w:rPr>
          <w:rFonts w:ascii="Times New Roman" w:eastAsiaTheme="minorEastAsia" w:hAnsi="Times New Roman" w:cs="Times New Roman"/>
          <w:sz w:val="24"/>
          <w:szCs w:val="24"/>
          <w:lang w:eastAsia="pl-PL"/>
        </w:rPr>
        <w:t xml:space="preserve"> </w:t>
      </w:r>
      <w:r w:rsidR="003405EC" w:rsidRPr="00D44D33">
        <w:rPr>
          <w:rFonts w:ascii="Times New Roman" w:eastAsiaTheme="minorEastAsia" w:hAnsi="Times New Roman" w:cs="Times New Roman"/>
          <w:sz w:val="24"/>
          <w:szCs w:val="24"/>
          <w:lang w:eastAsia="pl-PL"/>
        </w:rPr>
        <w:t>zapewnienia:</w:t>
      </w:r>
    </w:p>
    <w:p w14:paraId="07A2CD99" w14:textId="18B3A44A" w:rsidR="003405EC" w:rsidRPr="00D44D33" w:rsidRDefault="003405EC" w:rsidP="00B61396">
      <w:pPr>
        <w:numPr>
          <w:ilvl w:val="0"/>
          <w:numId w:val="42"/>
        </w:numPr>
        <w:spacing w:before="120" w:after="120" w:line="360" w:lineRule="auto"/>
        <w:ind w:left="993" w:hanging="567"/>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niedyskryminujących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p>
    <w:p w14:paraId="0BB62E11" w14:textId="31DBA031" w:rsidR="003405EC" w:rsidRPr="00D44D33" w:rsidRDefault="003405EC" w:rsidP="00B61396">
      <w:pPr>
        <w:numPr>
          <w:ilvl w:val="0"/>
          <w:numId w:val="42"/>
        </w:numPr>
        <w:spacing w:before="120" w:after="120" w:line="360" w:lineRule="auto"/>
        <w:ind w:left="993" w:hanging="567"/>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rozwoju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konkurencyjnego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rynku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usług</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medialnych.</w:t>
      </w:r>
      <w:r w:rsidR="00970B2E" w:rsidRPr="00D44D33">
        <w:rPr>
          <w:rFonts w:ascii="Times New Roman" w:eastAsiaTheme="minorEastAsia" w:hAnsi="Times New Roman" w:cs="Times New Roman"/>
          <w:sz w:val="24"/>
          <w:szCs w:val="24"/>
          <w:lang w:eastAsia="pl-PL"/>
        </w:rPr>
        <w:t xml:space="preserve"> </w:t>
      </w:r>
    </w:p>
    <w:p w14:paraId="67120097" w14:textId="1A79EE22"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Taka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zastępuje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umowę</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objętym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Ponadto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zadań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przedsiębiorcy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programowej,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transmisji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podejmowana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porozumieniu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Radą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Radiofonii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Telewizji,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powinna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uwzględnić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pozaekonomiczne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interesy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narodowe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kultury,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języka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pluralizmu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mediów.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Pojęcie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transmisji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obowiązkowej,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którym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mowa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przepisie,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należy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rozumieć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znaczeniu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używanym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gruncie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radiofonii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telewizji.</w:t>
      </w:r>
      <w:r w:rsidR="00970B2E" w:rsidRPr="00D44D33">
        <w:rPr>
          <w:rFonts w:ascii="Times New Roman" w:eastAsiaTheme="minorEastAsia" w:hAnsi="Times New Roman" w:cs="Times New Roman"/>
          <w:sz w:val="24"/>
          <w:szCs w:val="24"/>
          <w:lang w:eastAsia="pl-PL"/>
        </w:rPr>
        <w:t xml:space="preserve"> </w:t>
      </w:r>
    </w:p>
    <w:p w14:paraId="38AD8676" w14:textId="70E4840A" w:rsidR="003405EC" w:rsidRPr="00D44D33" w:rsidRDefault="003405EC"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konsekwencji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powyższych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uregulowań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Prezes</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UKE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będzie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mógł</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drodze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zmienić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treść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lub</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zobowiązać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strony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umowy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zmiany,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przypadkach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uzasadnionych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potrzebą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zapewnienia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dostępu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multipleksu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warunkach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równych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niedyskryminujących.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Decyzja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zakresie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zawartości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programowej,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podejmowana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jest</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porozumieniu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Krajową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Radą</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Radiofonii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Telewizji.</w:t>
      </w:r>
      <w:r w:rsidR="00970B2E" w:rsidRPr="00D44D33">
        <w:rPr>
          <w:rFonts w:ascii="Times New Roman" w:eastAsiaTheme="minorEastAsia" w:hAnsi="Times New Roman" w:cs="Times New Roman"/>
          <w:sz w:val="24"/>
          <w:szCs w:val="24"/>
          <w:lang w:eastAsia="pl-PL"/>
        </w:rPr>
        <w:t xml:space="preserve"> </w:t>
      </w:r>
    </w:p>
    <w:p w14:paraId="740C1C07" w14:textId="479BD0F7" w:rsidR="00E355FD" w:rsidRPr="00D44D33" w:rsidRDefault="46CA5422"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lang w:eastAsia="pl-PL"/>
        </w:rPr>
        <w:t>Analogiczne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regulacje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funkcjonowały</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ustawie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Pt.</w:t>
      </w:r>
    </w:p>
    <w:p w14:paraId="2BC30D98" w14:textId="37B135DE" w:rsidR="001F2E7F" w:rsidRPr="00D44D33" w:rsidRDefault="0040394D" w:rsidP="00D44D33">
      <w:pPr>
        <w:pStyle w:val="ROZDZODDZPRZEDMprzedmiotregulacjirozdziauluboddziau"/>
        <w:spacing w:after="120"/>
        <w:rPr>
          <w:rFonts w:ascii="Times New Roman" w:hAnsi="Times New Roman"/>
        </w:rPr>
      </w:pPr>
      <w:r w:rsidRPr="00D44D33">
        <w:rPr>
          <w:rFonts w:ascii="Times New Roman" w:hAnsi="Times New Roman"/>
        </w:rPr>
        <w:t>Dział</w:t>
      </w:r>
      <w:r w:rsidR="00970B2E" w:rsidRPr="00D44D33">
        <w:rPr>
          <w:rFonts w:ascii="Times New Roman" w:hAnsi="Times New Roman"/>
        </w:rPr>
        <w:t xml:space="preserve"> </w:t>
      </w:r>
      <w:r w:rsidRPr="00D44D33">
        <w:rPr>
          <w:rFonts w:ascii="Times New Roman" w:hAnsi="Times New Roman"/>
        </w:rPr>
        <w:t>VI</w:t>
      </w:r>
    </w:p>
    <w:p w14:paraId="0F9C3D78" w14:textId="31E5126A" w:rsidR="0040394D" w:rsidRPr="00D44D33" w:rsidRDefault="0040394D" w:rsidP="00D44D33">
      <w:pPr>
        <w:pStyle w:val="ROZDZODDZPRZEDMprzedmiotregulacjirozdziauluboddziau"/>
        <w:spacing w:after="120"/>
        <w:rPr>
          <w:rFonts w:ascii="Times New Roman" w:hAnsi="Times New Roman"/>
        </w:rPr>
      </w:pPr>
      <w:r w:rsidRPr="00D44D33">
        <w:rPr>
          <w:rFonts w:ascii="Times New Roman" w:hAnsi="Times New Roman"/>
        </w:rPr>
        <w:t>Urządzenia</w:t>
      </w:r>
      <w:r w:rsidR="00970B2E" w:rsidRPr="00D44D33">
        <w:rPr>
          <w:rFonts w:ascii="Times New Roman" w:hAnsi="Times New Roman"/>
        </w:rPr>
        <w:t xml:space="preserve"> </w:t>
      </w:r>
      <w:r w:rsidRPr="00D44D33">
        <w:rPr>
          <w:rFonts w:ascii="Times New Roman" w:hAnsi="Times New Roman"/>
        </w:rPr>
        <w:t>radiowe</w:t>
      </w:r>
      <w:r w:rsidR="00970B2E" w:rsidRPr="00D44D33">
        <w:rPr>
          <w:rFonts w:ascii="Times New Roman" w:hAnsi="Times New Roman"/>
        </w:rPr>
        <w:t xml:space="preserve"> </w:t>
      </w:r>
      <w:r w:rsidRPr="00D44D33">
        <w:rPr>
          <w:rFonts w:ascii="Times New Roman" w:hAnsi="Times New Roman"/>
        </w:rPr>
        <w:t>–</w:t>
      </w:r>
      <w:r w:rsidR="00970B2E" w:rsidRPr="00D44D33">
        <w:rPr>
          <w:rFonts w:ascii="Times New Roman" w:hAnsi="Times New Roman"/>
        </w:rPr>
        <w:t xml:space="preserve"> </w:t>
      </w:r>
      <w:r w:rsidRPr="00D44D33">
        <w:rPr>
          <w:rFonts w:ascii="Times New Roman" w:hAnsi="Times New Roman"/>
        </w:rPr>
        <w:t>art.</w:t>
      </w:r>
      <w:r w:rsidR="00970B2E" w:rsidRPr="00D44D33">
        <w:rPr>
          <w:rFonts w:ascii="Times New Roman" w:hAnsi="Times New Roman"/>
        </w:rPr>
        <w:t xml:space="preserve"> </w:t>
      </w:r>
      <w:r w:rsidR="00093AD3" w:rsidRPr="00D44D33">
        <w:rPr>
          <w:rFonts w:ascii="Times New Roman" w:hAnsi="Times New Roman"/>
        </w:rPr>
        <w:t>267</w:t>
      </w:r>
      <w:r w:rsidR="00B61396">
        <w:rPr>
          <w:rFonts w:ascii="Times New Roman" w:hAnsi="Times New Roman"/>
        </w:rPr>
        <w:t>–</w:t>
      </w:r>
      <w:r w:rsidR="00093AD3" w:rsidRPr="00D44D33">
        <w:rPr>
          <w:rFonts w:ascii="Times New Roman" w:hAnsi="Times New Roman"/>
        </w:rPr>
        <w:t>27</w:t>
      </w:r>
      <w:r w:rsidR="00323898" w:rsidRPr="00D44D33">
        <w:rPr>
          <w:rFonts w:ascii="Times New Roman" w:hAnsi="Times New Roman"/>
        </w:rPr>
        <w:t>5</w:t>
      </w:r>
    </w:p>
    <w:p w14:paraId="77EEE10F" w14:textId="1D507624" w:rsidR="00EB1A63" w:rsidRPr="00D44D33" w:rsidRDefault="00DA0D58"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VI.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przeważającej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mierze</w:t>
      </w:r>
      <w:r w:rsidR="00970B2E" w:rsidRPr="00D44D33">
        <w:rPr>
          <w:rFonts w:ascii="Times New Roman" w:eastAsiaTheme="minorEastAsia" w:hAnsi="Times New Roman" w:cs="Times New Roman"/>
          <w:sz w:val="24"/>
          <w:szCs w:val="24"/>
        </w:rPr>
        <w:t xml:space="preserve"> </w:t>
      </w:r>
      <w:r w:rsidR="005B5553" w:rsidRPr="00D44D33">
        <w:rPr>
          <w:rFonts w:ascii="Times New Roman" w:eastAsiaTheme="minorEastAsia" w:hAnsi="Times New Roman" w:cs="Times New Roman"/>
          <w:sz w:val="24"/>
          <w:szCs w:val="24"/>
        </w:rPr>
        <w:t>powtórzenie</w:t>
      </w:r>
      <w:r w:rsidR="00970B2E" w:rsidRPr="00D44D33">
        <w:rPr>
          <w:rFonts w:ascii="Times New Roman" w:eastAsiaTheme="minorEastAsia" w:hAnsi="Times New Roman" w:cs="Times New Roman"/>
          <w:sz w:val="24"/>
          <w:szCs w:val="24"/>
        </w:rPr>
        <w:t xml:space="preserve"> </w:t>
      </w:r>
      <w:r w:rsidR="005B5553"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5B555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B5553" w:rsidRPr="00D44D33">
        <w:rPr>
          <w:rFonts w:ascii="Times New Roman" w:eastAsiaTheme="minorEastAsia" w:hAnsi="Times New Roman" w:cs="Times New Roman"/>
          <w:sz w:val="24"/>
          <w:szCs w:val="24"/>
        </w:rPr>
        <w:t>152-</w:t>
      </w:r>
      <w:r w:rsidR="0040394D" w:rsidRPr="00D44D33">
        <w:rPr>
          <w:rFonts w:ascii="Times New Roman" w:eastAsiaTheme="minorEastAsia" w:hAnsi="Times New Roman" w:cs="Times New Roman"/>
          <w:sz w:val="24"/>
          <w:szCs w:val="24"/>
        </w:rPr>
        <w:t>158c</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0394D"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A11F34" w:rsidRPr="00D44D33">
        <w:rPr>
          <w:rFonts w:ascii="Times New Roman" w:eastAsiaTheme="minorEastAsia" w:hAnsi="Times New Roman" w:cs="Times New Roman"/>
          <w:sz w:val="24"/>
          <w:szCs w:val="24"/>
          <w:shd w:val="clear" w:color="auto" w:fill="FFFFFF"/>
        </w:rPr>
        <w:t>Parlamentu</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Europejskiego</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Rady</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2014/53/UE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16</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kwietnia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2014</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r.</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sprawie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harmonizacji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ustawodawstw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państw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członkowskich</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dotyczących</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udostępniania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na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rynku</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urządzeń</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radiowych</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uchylającej</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dyrektywę</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1999/5/WE.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Dyrektywa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ta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określa</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m.in.</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wymagania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jakie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muszą</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spełniać</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urządzenia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radiowe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wprowadzane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do</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obrotu</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lub</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oddawane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do</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użytku</w:t>
      </w:r>
      <w:r w:rsidR="00E52448" w:rsidRPr="00D44D33">
        <w:rPr>
          <w:rFonts w:ascii="Times New Roman" w:eastAsiaTheme="minorEastAsia" w:hAnsi="Times New Roman" w:cs="Times New Roman"/>
          <w:sz w:val="24"/>
          <w:szCs w:val="24"/>
          <w:shd w:val="clear" w:color="auto" w:fill="FFFFFF"/>
        </w:rPr>
        <w:t>;</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ob</w:t>
      </w:r>
      <w:r w:rsidR="00E52448" w:rsidRPr="00D44D33">
        <w:rPr>
          <w:rFonts w:ascii="Times New Roman" w:eastAsiaTheme="minorEastAsia" w:hAnsi="Times New Roman" w:cs="Times New Roman"/>
          <w:sz w:val="24"/>
          <w:szCs w:val="24"/>
          <w:shd w:val="clear" w:color="auto" w:fill="FFFFFF"/>
        </w:rPr>
        <w:t>owiązki</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producentów,</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importerów;</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zasady</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ekspozycji</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urządzeń</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radiowych</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na</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targach</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005A3BDF" w:rsidRPr="00D44D33">
        <w:rPr>
          <w:rFonts w:ascii="Times New Roman" w:eastAsiaTheme="minorEastAsia" w:hAnsi="Times New Roman" w:cs="Times New Roman"/>
          <w:sz w:val="24"/>
          <w:szCs w:val="24"/>
          <w:shd w:val="clear" w:color="auto" w:fill="FFFFFF"/>
        </w:rPr>
        <w:t>wystawach</w:t>
      </w:r>
      <w:r w:rsidR="00E52448" w:rsidRPr="00D44D33">
        <w:rPr>
          <w:rFonts w:ascii="Times New Roman" w:eastAsiaTheme="minorEastAsia" w:hAnsi="Times New Roman" w:cs="Times New Roman"/>
          <w:sz w:val="24"/>
          <w:szCs w:val="24"/>
          <w:shd w:val="clear" w:color="auto" w:fill="FFFFFF"/>
        </w:rPr>
        <w:t>;</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zasady</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sporządzania</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dokumentacji,</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deklaracji</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zgodności,</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oznakowania</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urządzeń.</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Regulacje</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te</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znalazły</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odzwierciedlenie</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projektowanych</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przepisach,</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shd w:val="clear" w:color="auto" w:fill="FFFFFF"/>
        </w:rPr>
        <w:t>które</w:t>
      </w:r>
      <w:r w:rsidR="00970B2E" w:rsidRPr="00D44D33">
        <w:rPr>
          <w:rFonts w:ascii="Times New Roman" w:eastAsiaTheme="minorEastAsia" w:hAnsi="Times New Roman" w:cs="Times New Roman"/>
          <w:sz w:val="24"/>
          <w:szCs w:val="24"/>
          <w:shd w:val="clear" w:color="auto" w:fill="FFFFFF"/>
        </w:rPr>
        <w:t xml:space="preserve"> </w:t>
      </w:r>
      <w:r w:rsidR="00E52448"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i/>
          <w:iCs/>
          <w:sz w:val="24"/>
          <w:szCs w:val="24"/>
        </w:rPr>
        <w:t>lex</w:t>
      </w:r>
      <w:r w:rsidR="00970B2E" w:rsidRPr="00D44D33">
        <w:rPr>
          <w:rFonts w:ascii="Times New Roman" w:eastAsiaTheme="minorEastAsia" w:hAnsi="Times New Roman" w:cs="Times New Roman"/>
          <w:i/>
          <w:iCs/>
          <w:sz w:val="24"/>
          <w:szCs w:val="24"/>
        </w:rPr>
        <w:t xml:space="preserve"> </w:t>
      </w:r>
      <w:r w:rsidR="00E52448" w:rsidRPr="00D44D33">
        <w:rPr>
          <w:rFonts w:ascii="Times New Roman" w:eastAsiaTheme="minorEastAsia" w:hAnsi="Times New Roman" w:cs="Times New Roman"/>
          <w:i/>
          <w:iCs/>
          <w:sz w:val="24"/>
          <w:szCs w:val="24"/>
        </w:rPr>
        <w:t>specialis</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2016</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systemach</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nadzoru</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1F2E7F" w:rsidRPr="00D44D33">
        <w:rPr>
          <w:rFonts w:ascii="Times New Roman" w:eastAsiaTheme="minorEastAsia" w:hAnsi="Times New Roman" w:cs="Times New Roman"/>
          <w:sz w:val="24"/>
          <w:szCs w:val="24"/>
        </w:rPr>
        <w:t>(Dz. U. z 2022 r.</w:t>
      </w:r>
      <w:r w:rsidR="00DF1BB6" w:rsidRPr="00D44D33">
        <w:rPr>
          <w:rFonts w:ascii="Times New Roman" w:eastAsiaTheme="minorEastAsia" w:hAnsi="Times New Roman" w:cs="Times New Roman"/>
          <w:sz w:val="24"/>
          <w:szCs w:val="24"/>
        </w:rPr>
        <w:t xml:space="preserve"> </w:t>
      </w:r>
      <w:r w:rsidR="001F2E7F" w:rsidRPr="00D44D33">
        <w:rPr>
          <w:rFonts w:ascii="Times New Roman" w:eastAsiaTheme="minorEastAsia" w:hAnsi="Times New Roman" w:cs="Times New Roman"/>
          <w:sz w:val="24"/>
          <w:szCs w:val="24"/>
        </w:rPr>
        <w:t xml:space="preserve">poz. </w:t>
      </w:r>
      <w:r w:rsidR="00DE557A" w:rsidRPr="00D44D33">
        <w:rPr>
          <w:rFonts w:ascii="Times New Roman" w:eastAsiaTheme="minorEastAsia" w:hAnsi="Times New Roman" w:cs="Times New Roman"/>
          <w:sz w:val="24"/>
          <w:szCs w:val="24"/>
        </w:rPr>
        <w:t>18</w:t>
      </w:r>
      <w:r w:rsidR="001F2E7F" w:rsidRPr="00D44D33">
        <w:rPr>
          <w:rFonts w:ascii="Times New Roman" w:eastAsiaTheme="minorEastAsia" w:hAnsi="Times New Roman" w:cs="Times New Roman"/>
          <w:sz w:val="24"/>
          <w:szCs w:val="24"/>
        </w:rPr>
        <w:t>5</w:t>
      </w:r>
      <w:r w:rsidR="00DE557A" w:rsidRPr="00D44D33">
        <w:rPr>
          <w:rFonts w:ascii="Times New Roman" w:eastAsiaTheme="minorEastAsia" w:hAnsi="Times New Roman" w:cs="Times New Roman"/>
          <w:sz w:val="24"/>
          <w:szCs w:val="24"/>
        </w:rPr>
        <w:t>4</w:t>
      </w:r>
      <w:r w:rsidR="001F2E7F" w:rsidRPr="00D44D33">
        <w:rPr>
          <w:rFonts w:ascii="Times New Roman" w:eastAsiaTheme="minorEastAsia" w:hAnsi="Times New Roman" w:cs="Times New Roman"/>
          <w:sz w:val="24"/>
          <w:szCs w:val="24"/>
        </w:rPr>
        <w:t>)</w:t>
      </w:r>
      <w:r w:rsidR="00AD7157" w:rsidRPr="00D44D33">
        <w:rPr>
          <w:rFonts w:ascii="Times New Roman" w:eastAsiaTheme="minorEastAsia" w:hAnsi="Times New Roman" w:cs="Times New Roman"/>
          <w:sz w:val="24"/>
          <w:szCs w:val="24"/>
        </w:rPr>
        <w:t>,</w:t>
      </w:r>
      <w:r w:rsidR="001F2E7F" w:rsidRPr="00D44D33">
        <w:rPr>
          <w:rFonts w:ascii="Times New Roman" w:eastAsiaTheme="minorEastAsia" w:hAnsi="Times New Roman" w:cs="Times New Roman"/>
          <w:sz w:val="24"/>
          <w:szCs w:val="24"/>
        </w:rPr>
        <w:t xml:space="preserve"> zwana dalej „</w:t>
      </w:r>
      <w:r w:rsidR="00E52448" w:rsidRPr="00D44D33">
        <w:rPr>
          <w:rFonts w:ascii="Times New Roman" w:eastAsiaTheme="minorEastAsia" w:hAnsi="Times New Roman" w:cs="Times New Roman"/>
          <w:sz w:val="24"/>
          <w:szCs w:val="24"/>
        </w:rPr>
        <w:t>SOZiNR</w:t>
      </w:r>
      <w:r w:rsidR="001F2E7F" w:rsidRPr="00D44D33">
        <w:rPr>
          <w:rFonts w:ascii="Times New Roman" w:eastAsiaTheme="minorEastAsia" w:hAnsi="Times New Roman" w:cs="Times New Roman"/>
          <w:sz w:val="24"/>
          <w:szCs w:val="24"/>
        </w:rPr>
        <w:t>”</w:t>
      </w:r>
      <w:r w:rsidR="00E5244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nieuregulowanym</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E52448" w:rsidRPr="00D44D33">
        <w:rPr>
          <w:rFonts w:ascii="Times New Roman" w:eastAsiaTheme="minorEastAsia" w:hAnsi="Times New Roman" w:cs="Times New Roman"/>
          <w:sz w:val="24"/>
          <w:szCs w:val="24"/>
        </w:rPr>
        <w:t>SOZiNR.</w:t>
      </w:r>
    </w:p>
    <w:p w14:paraId="223CECB2" w14:textId="32D10577" w:rsidR="75FFED03" w:rsidRPr="00D44D33" w:rsidRDefault="75FFED03"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t>
      </w:r>
      <w:r w:rsidRPr="00D44D33">
        <w:rPr>
          <w:rFonts w:ascii="Times New Roman" w:eastAsia="Times New Roman" w:hAnsi="Times New Roman" w:cs="Times New Roman"/>
          <w:sz w:val="24"/>
          <w:szCs w:val="24"/>
        </w:rPr>
        <w:t>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tryb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radiowych,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listopada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2006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w:t>
      </w:r>
      <w:r w:rsidR="001F2E7F" w:rsidRPr="00D44D33">
        <w:rPr>
          <w:rFonts w:ascii="Times New Roman" w:eastAsia="Times New Roman" w:hAnsi="Times New Roman" w:cs="Times New Roman"/>
          <w:sz w:val="24"/>
          <w:szCs w:val="24"/>
        </w:rPr>
        <w:t xml:space="preserve">22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t>
      </w:r>
      <w:r w:rsidR="00970B2E" w:rsidRPr="00D44D33">
        <w:rPr>
          <w:rFonts w:ascii="Times New Roman" w:eastAsia="Times New Roman" w:hAnsi="Times New Roman" w:cs="Times New Roman"/>
          <w:sz w:val="24"/>
          <w:szCs w:val="24"/>
        </w:rPr>
        <w:t xml:space="preserve"> </w:t>
      </w:r>
      <w:r w:rsidR="001F2E7F" w:rsidRPr="00D44D33">
        <w:rPr>
          <w:rFonts w:ascii="Times New Roman" w:eastAsia="Times New Roman" w:hAnsi="Times New Roman" w:cs="Times New Roman"/>
          <w:sz w:val="24"/>
          <w:szCs w:val="24"/>
        </w:rPr>
        <w:t>747</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określają</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akty</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wykonawcze</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wydane</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tej</w:t>
      </w:r>
      <w:r w:rsidR="00970B2E" w:rsidRPr="00D44D33">
        <w:rPr>
          <w:rFonts w:ascii="Times New Roman" w:eastAsia="Times New Roman" w:hAnsi="Times New Roman" w:cs="Times New Roman"/>
          <w:sz w:val="24"/>
          <w:szCs w:val="24"/>
        </w:rPr>
        <w:t xml:space="preserve"> </w:t>
      </w:r>
      <w:r w:rsidR="5BB8F600" w:rsidRPr="00D44D33">
        <w:rPr>
          <w:rFonts w:ascii="Times New Roman" w:eastAsia="Times New Roman" w:hAnsi="Times New Roman" w:cs="Times New Roman"/>
          <w:sz w:val="24"/>
          <w:szCs w:val="24"/>
        </w:rPr>
        <w:t>ustawy</w:t>
      </w:r>
      <w:r w:rsidR="57E0446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7E04462"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57E04462" w:rsidRPr="00D44D33">
        <w:rPr>
          <w:rFonts w:ascii="Times New Roman" w:eastAsia="Times New Roman" w:hAnsi="Times New Roman" w:cs="Times New Roman"/>
          <w:sz w:val="24"/>
          <w:szCs w:val="24"/>
        </w:rPr>
        <w:t>bowiem</w:t>
      </w:r>
      <w:r w:rsidR="00970B2E" w:rsidRPr="00D44D33">
        <w:rPr>
          <w:rFonts w:ascii="Times New Roman" w:eastAsia="Times New Roman" w:hAnsi="Times New Roman" w:cs="Times New Roman"/>
          <w:sz w:val="24"/>
          <w:szCs w:val="24"/>
        </w:rPr>
        <w:t xml:space="preserve"> </w:t>
      </w:r>
      <w:r w:rsidR="57E04462" w:rsidRPr="00D44D33">
        <w:rPr>
          <w:rFonts w:ascii="Times New Roman" w:eastAsia="Times New Roman" w:hAnsi="Times New Roman" w:cs="Times New Roman"/>
          <w:sz w:val="24"/>
          <w:szCs w:val="24"/>
        </w:rPr>
        <w:t>wskazać,</w:t>
      </w:r>
      <w:r w:rsidR="00970B2E" w:rsidRPr="00D44D33">
        <w:rPr>
          <w:rFonts w:ascii="Times New Roman" w:eastAsia="Times New Roman" w:hAnsi="Times New Roman" w:cs="Times New Roman"/>
          <w:sz w:val="24"/>
          <w:szCs w:val="24"/>
        </w:rPr>
        <w:t xml:space="preserve"> </w:t>
      </w:r>
      <w:r w:rsidR="57E04462"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57E04462"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0E55376E" w:rsidRPr="00D44D33">
        <w:rPr>
          <w:rFonts w:ascii="Times New Roman" w:eastAsia="Times New Roman" w:hAnsi="Times New Roman" w:cs="Times New Roman"/>
          <w:sz w:val="24"/>
          <w:szCs w:val="24"/>
        </w:rPr>
        <w:t>u</w:t>
      </w:r>
      <w:r w:rsidRPr="00D44D33">
        <w:rPr>
          <w:rFonts w:ascii="Times New Roman" w:eastAsia="Times New Roman" w:hAnsi="Times New Roman" w:cs="Times New Roman"/>
          <w:sz w:val="24"/>
          <w:szCs w:val="24"/>
        </w:rPr>
        <w:t>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podlegające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tryb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ujęte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rozporządzeniach</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10</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ww</w:t>
      </w:r>
      <w:r w:rsidR="00AD715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6DA7AA06" w:rsidRPr="00D44D33">
        <w:rPr>
          <w:rFonts w:ascii="Times New Roman" w:eastAsia="Times New Roman" w:hAnsi="Times New Roman" w:cs="Times New Roman"/>
          <w:sz w:val="24"/>
          <w:szCs w:val="24"/>
        </w:rPr>
        <w:t>tj.</w:t>
      </w:r>
      <w:r w:rsidRPr="00D44D33">
        <w:rPr>
          <w:rFonts w:ascii="Times New Roman" w:eastAsia="Times New Roman" w:hAnsi="Times New Roman" w:cs="Times New Roman"/>
          <w:sz w:val="24"/>
          <w:szCs w:val="24"/>
        </w:rPr>
        <w:t>:</w:t>
      </w:r>
    </w:p>
    <w:p w14:paraId="1651200A" w14:textId="45BC44BE" w:rsidR="75FFED03" w:rsidRPr="00D44D33" w:rsidRDefault="75FFED03" w:rsidP="00D44D33">
      <w:pPr>
        <w:pStyle w:val="Akapitzlist"/>
        <w:numPr>
          <w:ilvl w:val="0"/>
          <w:numId w:val="13"/>
        </w:numPr>
        <w:spacing w:before="120" w:after="120" w:line="360" w:lineRule="auto"/>
        <w:jc w:val="both"/>
        <w:rPr>
          <w:rFonts w:ascii="Times New Roman" w:eastAsiaTheme="minorEastAsia" w:hAnsi="Times New Roman" w:cs="Times New Roman"/>
          <w:i/>
          <w:iCs/>
          <w:sz w:val="24"/>
          <w:szCs w:val="24"/>
        </w:rPr>
      </w:pPr>
      <w:r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Narodowej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stycznia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szczegółowego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podlegających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sposobu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trybu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obronności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w:t>
      </w:r>
      <w:r w:rsidR="00676D44" w:rsidRPr="00D44D33">
        <w:rPr>
          <w:rFonts w:ascii="Times New Roman" w:eastAsia="Times New Roman" w:hAnsi="Times New Roman" w:cs="Times New Roman"/>
          <w:sz w:val="24"/>
          <w:szCs w:val="24"/>
        </w:rPr>
        <w:t>2</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t>
      </w:r>
      <w:r w:rsidR="00970B2E" w:rsidRPr="00D44D33">
        <w:rPr>
          <w:rFonts w:ascii="Times New Roman" w:eastAsia="Times New Roman" w:hAnsi="Times New Roman" w:cs="Times New Roman"/>
          <w:sz w:val="24"/>
          <w:szCs w:val="24"/>
        </w:rPr>
        <w:t xml:space="preserve"> </w:t>
      </w:r>
      <w:r w:rsidR="00676D44" w:rsidRPr="00D44D33">
        <w:rPr>
          <w:rFonts w:ascii="Times New Roman" w:eastAsiaTheme="minorEastAsia" w:hAnsi="Times New Roman" w:cs="Times New Roman"/>
          <w:sz w:val="24"/>
          <w:szCs w:val="24"/>
        </w:rPr>
        <w:t>1628</w:t>
      </w:r>
      <w:r w:rsidR="00862484" w:rsidRPr="00D44D33">
        <w:rPr>
          <w:rFonts w:ascii="Times New Roman" w:eastAsiaTheme="minorEastAsia" w:hAnsi="Times New Roman" w:cs="Times New Roman"/>
          <w:sz w:val="24"/>
          <w:szCs w:val="24"/>
        </w:rPr>
        <w:t>)</w:t>
      </w:r>
      <w:r w:rsidR="00676D44" w:rsidRPr="00D44D33">
        <w:rPr>
          <w:rFonts w:ascii="Times New Roman" w:eastAsia="Times New Roman" w:hAnsi="Times New Roman" w:cs="Times New Roman"/>
          <w:sz w:val="24"/>
          <w:szCs w:val="24"/>
        </w:rPr>
        <w:t>,</w:t>
      </w:r>
    </w:p>
    <w:p w14:paraId="4146DC06" w14:textId="62A5F4F4" w:rsidR="75FFED03" w:rsidRPr="00D44D33" w:rsidRDefault="75FFED03" w:rsidP="00D44D33">
      <w:pPr>
        <w:pStyle w:val="Akapitzlist"/>
        <w:numPr>
          <w:ilvl w:val="0"/>
          <w:numId w:val="13"/>
        </w:numPr>
        <w:spacing w:before="120" w:after="120" w:line="360" w:lineRule="auto"/>
        <w:jc w:val="both"/>
        <w:rPr>
          <w:rFonts w:ascii="Times New Roman" w:eastAsiaTheme="minorEastAsia" w:hAnsi="Times New Roman" w:cs="Times New Roman"/>
          <w:i/>
          <w:iCs/>
          <w:sz w:val="24"/>
          <w:szCs w:val="24"/>
        </w:rPr>
      </w:pPr>
      <w:r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Wewnętrznych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marca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przeprowadzania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oceny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przeznaczonych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potrzeby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bezpieczeństwa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wykazu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wyrobów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266</w:t>
      </w:r>
      <w:r w:rsidR="00862484"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862484" w:rsidRPr="00D44D33">
        <w:rPr>
          <w:rFonts w:ascii="Times New Roman" w:eastAsiaTheme="minorEastAsia" w:hAnsi="Times New Roman" w:cs="Times New Roman"/>
          <w:sz w:val="24"/>
          <w:szCs w:val="24"/>
        </w:rPr>
        <w:t>z późn. zm.)</w:t>
      </w:r>
      <w:r w:rsidR="00676D44" w:rsidRPr="00D44D33">
        <w:rPr>
          <w:rFonts w:ascii="Times New Roman" w:eastAsiaTheme="minorEastAsia" w:hAnsi="Times New Roman" w:cs="Times New Roman"/>
          <w:sz w:val="24"/>
          <w:szCs w:val="24"/>
        </w:rPr>
        <w:t>.</w:t>
      </w:r>
    </w:p>
    <w:p w14:paraId="5673BB74" w14:textId="702D7775" w:rsidR="007B3AE3" w:rsidRPr="00D44D33" w:rsidRDefault="00E5244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shd w:val="clear" w:color="auto" w:fill="FFFFFF"/>
        </w:rPr>
        <w:t>Do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wymagań</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dla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urządzeń</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radiowych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dyrektywa,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jak</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projektowane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przepisy</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zaliczają</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wymagania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dotyczące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ochrony</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zdrowia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bezpieczeństwa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osób</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zwierząt</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domowych</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oraz</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ochrony</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mienia,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wymagania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zakresie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efektywnego</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wykorzystania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częstotliwości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zasobów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orbitalnych</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oraz</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wymagania</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zakresie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kompatybilności</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elektromagnetycznej</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(które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zostały</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określone</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A11F34" w:rsidRPr="00D44D33">
        <w:rPr>
          <w:rFonts w:ascii="Times New Roman" w:eastAsiaTheme="minorEastAsia" w:hAnsi="Times New Roman" w:cs="Times New Roman"/>
          <w:sz w:val="24"/>
          <w:szCs w:val="24"/>
          <w:shd w:val="clear" w:color="auto" w:fill="FFFFFF"/>
        </w:rPr>
        <w:t>ustawie</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z</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dnia</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13</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kwietnia</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2007</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r.</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o</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kompatybilności</w:t>
      </w:r>
      <w:r w:rsidR="00970B2E" w:rsidRPr="00D44D33">
        <w:rPr>
          <w:rFonts w:ascii="Times New Roman" w:eastAsiaTheme="minorEastAsia" w:hAnsi="Times New Roman" w:cs="Times New Roman"/>
          <w:sz w:val="24"/>
          <w:szCs w:val="24"/>
          <w:shd w:val="clear" w:color="auto" w:fill="FFFFFF"/>
        </w:rPr>
        <w:t xml:space="preserve"> </w:t>
      </w:r>
      <w:r w:rsidR="00203380" w:rsidRPr="00D44D33">
        <w:rPr>
          <w:rFonts w:ascii="Times New Roman" w:eastAsiaTheme="minorEastAsia" w:hAnsi="Times New Roman" w:cs="Times New Roman"/>
          <w:sz w:val="24"/>
          <w:szCs w:val="24"/>
          <w:shd w:val="clear" w:color="auto" w:fill="FFFFFF"/>
        </w:rPr>
        <w:t>elektromagnetycznej</w:t>
      </w:r>
      <w:r w:rsidR="00676D44" w:rsidRPr="00D44D33">
        <w:rPr>
          <w:rFonts w:ascii="Times New Roman" w:eastAsiaTheme="minorEastAsia" w:hAnsi="Times New Roman" w:cs="Times New Roman"/>
          <w:sz w:val="24"/>
          <w:szCs w:val="24"/>
          <w:shd w:val="clear" w:color="auto" w:fill="FFFFFF"/>
        </w:rPr>
        <w:t xml:space="preserve"> (Dz. U. z 2022 r. poz. 2233)</w:t>
      </w:r>
      <w:r w:rsidR="00203380" w:rsidRPr="00D44D33">
        <w:rPr>
          <w:rFonts w:ascii="Times New Roman" w:eastAsiaTheme="minorEastAsia" w:hAnsi="Times New Roman" w:cs="Times New Roman"/>
          <w:sz w:val="24"/>
          <w:szCs w:val="24"/>
          <w:shd w:val="clear" w:color="auto" w:fill="FFFFFF"/>
        </w:rPr>
        <w:t>)</w:t>
      </w:r>
      <w:r w:rsidR="00A11F34" w:rsidRPr="00D44D33">
        <w:rPr>
          <w:rFonts w:ascii="Times New Roman" w:eastAsiaTheme="minorEastAsia" w:hAnsi="Times New Roman" w:cs="Times New Roman"/>
          <w:sz w:val="24"/>
          <w:szCs w:val="24"/>
          <w:shd w:val="clear" w:color="auto" w:fill="FFFFFF"/>
        </w:rPr>
        <w:t>.</w:t>
      </w:r>
      <w:r w:rsidR="00D73B12"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Komisja</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Europejska</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aktach</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delegowanych</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może</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również</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określić</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dodatkowe</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wymagania.</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Przykładem</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shd w:val="clear" w:color="auto" w:fill="FFFFFF"/>
        </w:rPr>
        <w:t>jest</w:t>
      </w:r>
      <w:r w:rsidR="00970B2E" w:rsidRPr="00D44D33">
        <w:rPr>
          <w:rFonts w:ascii="Times New Roman" w:eastAsiaTheme="minorEastAsia" w:hAnsi="Times New Roman" w:cs="Times New Roman"/>
          <w:sz w:val="24"/>
          <w:szCs w:val="24"/>
          <w:shd w:val="clear" w:color="auto" w:fill="FFFFFF"/>
        </w:rPr>
        <w:t xml:space="preserve"> </w:t>
      </w:r>
      <w:r w:rsidR="00A80135"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delegowane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2019/320</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uzupełniające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2014/53/UE</w:t>
      </w:r>
      <w:r w:rsidR="00676D44" w:rsidRPr="00D44D33">
        <w:rPr>
          <w:rFonts w:ascii="Times New Roman" w:eastAsiaTheme="minorEastAsia" w:hAnsi="Times New Roman" w:cs="Times New Roman"/>
          <w:sz w:val="24"/>
          <w:szCs w:val="24"/>
        </w:rPr>
        <w:t xml:space="preserve"> w odniesieniu do stosowania zasadniczych wymagań, o których mowa w art. 3 ust. 3 lit. g) tej dyrektywy, w celu zapewnienia możliwości ustalenia lokalizacji osób dokonujących zgłoszeń alarmowych za pomocą urządzeń przenośnych</w:t>
      </w:r>
      <w:r w:rsidR="00BA1C0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zasadnicze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wymaganie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przenośnych</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smartfonów)</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zgłoszeń</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alarmowych</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(tel.</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112)</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uzyskanych</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WiFi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GNSS</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(globalny</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nawigacji</w:t>
      </w:r>
      <w:r w:rsidR="00970B2E" w:rsidRPr="00D44D33">
        <w:rPr>
          <w:rFonts w:ascii="Times New Roman" w:eastAsiaTheme="minorEastAsia" w:hAnsi="Times New Roman" w:cs="Times New Roman"/>
          <w:sz w:val="24"/>
          <w:szCs w:val="24"/>
        </w:rPr>
        <w:t xml:space="preserve"> </w:t>
      </w:r>
      <w:r w:rsidR="00A80135" w:rsidRPr="00D44D33">
        <w:rPr>
          <w:rFonts w:ascii="Times New Roman" w:eastAsiaTheme="minorEastAsia" w:hAnsi="Times New Roman" w:cs="Times New Roman"/>
          <w:sz w:val="24"/>
          <w:szCs w:val="24"/>
        </w:rPr>
        <w:t>satelitarnej).</w:t>
      </w:r>
      <w:r w:rsidR="00371EEA">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obowiązkowej</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ocenie</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zgodności</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wymaganiami</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wskazanymi</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A1C01" w:rsidRPr="00D44D33">
        <w:rPr>
          <w:rFonts w:ascii="Times New Roman" w:eastAsiaTheme="minorEastAsia" w:hAnsi="Times New Roman" w:cs="Times New Roman"/>
          <w:sz w:val="24"/>
          <w:szCs w:val="24"/>
        </w:rPr>
        <w:t>projekto</w:t>
      </w:r>
      <w:r w:rsidR="00EB1A63" w:rsidRPr="00D44D33">
        <w:rPr>
          <w:rFonts w:ascii="Times New Roman" w:eastAsiaTheme="minorEastAsia" w:hAnsi="Times New Roman" w:cs="Times New Roman"/>
          <w:sz w:val="24"/>
          <w:szCs w:val="24"/>
        </w:rPr>
        <w:t>wanych</w:t>
      </w:r>
      <w:r w:rsidR="00970B2E" w:rsidRPr="00D44D33">
        <w:rPr>
          <w:rFonts w:ascii="Times New Roman" w:eastAsiaTheme="minorEastAsia" w:hAnsi="Times New Roman" w:cs="Times New Roman"/>
          <w:sz w:val="24"/>
          <w:szCs w:val="24"/>
        </w:rPr>
        <w:t xml:space="preserve"> </w:t>
      </w:r>
      <w:r w:rsidR="00EB1A63"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EB1A63"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EB1A63"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5A3BDF"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5A3BDF" w:rsidRPr="00D44D33">
        <w:rPr>
          <w:rFonts w:ascii="Times New Roman" w:eastAsiaTheme="minorEastAsia" w:hAnsi="Times New Roman" w:cs="Times New Roman"/>
          <w:sz w:val="24"/>
          <w:szCs w:val="24"/>
        </w:rPr>
        <w:t>U</w:t>
      </w:r>
      <w:r w:rsidR="00676D44" w:rsidRPr="00D44D33">
        <w:rPr>
          <w:rFonts w:ascii="Times New Roman" w:eastAsiaTheme="minorEastAsia" w:hAnsi="Times New Roman" w:cs="Times New Roman"/>
          <w:sz w:val="24"/>
          <w:szCs w:val="24"/>
        </w:rPr>
        <w:t>E</w:t>
      </w:r>
      <w:r w:rsidR="005A3BD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A0A8347" w14:textId="1950E0E9" w:rsidR="00696205" w:rsidRPr="00D44D33" w:rsidRDefault="00E52448"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zaktualizowano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2014/53/UE).</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tymi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służbie</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radiokomunikacyjnej</w:t>
      </w:r>
      <w:r w:rsidR="00970B2E" w:rsidRPr="00D44D33">
        <w:rPr>
          <w:rFonts w:ascii="Times New Roman" w:eastAsiaTheme="minorEastAsia" w:hAnsi="Times New Roman" w:cs="Times New Roman"/>
          <w:sz w:val="24"/>
          <w:szCs w:val="24"/>
        </w:rPr>
        <w:t xml:space="preserve"> </w:t>
      </w:r>
      <w:r w:rsidR="001C6FF2" w:rsidRPr="00D44D33">
        <w:rPr>
          <w:rFonts w:ascii="Times New Roman" w:eastAsiaTheme="minorEastAsia" w:hAnsi="Times New Roman" w:cs="Times New Roman"/>
          <w:sz w:val="24"/>
          <w:szCs w:val="24"/>
        </w:rPr>
        <w:t>amatorskiej,</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wyposażenia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radiokomunikacyjnego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objętego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wyposażeniu</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morskim.</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będące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wyposażeniem</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lotniczym</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statki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powietrzne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bezzałogowe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statki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powietrzne,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silniki,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śmigła,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wyposażenie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nieinstalowane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bezzałogowe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statki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powietrzne,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silniki,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śmigła,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wyposażenie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nieinstalowane,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certyfikowany</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56</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przeznaczone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częstotliwościach</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przydzielonych</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regulacjach</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Międzynarodowego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chronionego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lotniczego.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i/>
          <w:iCs/>
          <w:sz w:val="24"/>
          <w:szCs w:val="24"/>
        </w:rPr>
        <w:t>wynika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z</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art.</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138</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Rozporządzenia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Parlamentu</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Europejskiego</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Rady</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(UE)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2018/1139</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z</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dnia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4</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lipca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2018</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sprawie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wspólnych</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zasad</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dziedzinie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lotnictwa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cywilnego</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utworzenia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Agencji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Unii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Europejskiej</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ds.</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Bezpieczeństwa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Lotniczego</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oraz</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zmieniające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rozporządzenia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Parlamentu</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Europejskiego</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Rady</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2111/2005,</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1008/2008,</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(UE)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996/2010,</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(UE)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376/2014</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dyrektywy</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Parlamentu</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Europejskiego</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Rady</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2014/30/UE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2014/53/UE,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także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uchylające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rozporządzenia</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Parlamentu</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Europejskiego</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Rady</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552/2004</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(WE)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216/2008</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i</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rozporządzenie</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Rady</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(EWG)</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nr</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i/>
          <w:iCs/>
          <w:sz w:val="24"/>
          <w:szCs w:val="24"/>
        </w:rPr>
        <w:t>3922/912018/1139.</w:t>
      </w:r>
      <w:r w:rsidR="00970B2E" w:rsidRPr="00D44D33">
        <w:rPr>
          <w:rFonts w:ascii="Times New Roman" w:eastAsiaTheme="minorEastAsia" w:hAnsi="Times New Roman" w:cs="Times New Roman"/>
          <w:i/>
          <w:iCs/>
          <w:sz w:val="24"/>
          <w:szCs w:val="24"/>
        </w:rPr>
        <w:t xml:space="preserve"> </w:t>
      </w:r>
      <w:r w:rsidR="00221330"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zmienia</w:t>
      </w:r>
      <w:r w:rsidR="00970B2E" w:rsidRPr="00D44D33">
        <w:rPr>
          <w:rFonts w:ascii="Times New Roman" w:eastAsiaTheme="minorEastAsia" w:hAnsi="Times New Roman" w:cs="Times New Roman"/>
          <w:sz w:val="24"/>
          <w:szCs w:val="24"/>
        </w:rPr>
        <w:t xml:space="preserve"> </w:t>
      </w:r>
      <w:r w:rsidR="00676D44" w:rsidRPr="00D44D33">
        <w:rPr>
          <w:rFonts w:ascii="Times New Roman" w:eastAsiaTheme="minorEastAsia" w:hAnsi="Times New Roman" w:cs="Times New Roman"/>
          <w:sz w:val="24"/>
          <w:szCs w:val="24"/>
        </w:rPr>
        <w:t>z</w:t>
      </w:r>
      <w:r w:rsidR="00221330" w:rsidRPr="00D44D33">
        <w:rPr>
          <w:rFonts w:ascii="Times New Roman" w:eastAsiaTheme="minorEastAsia" w:hAnsi="Times New Roman" w:cs="Times New Roman"/>
          <w:sz w:val="24"/>
          <w:szCs w:val="24"/>
        </w:rPr>
        <w:t>ałącznik</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221330" w:rsidRPr="00D44D33">
        <w:rPr>
          <w:rFonts w:ascii="Times New Roman" w:eastAsiaTheme="minorEastAsia" w:hAnsi="Times New Roman" w:cs="Times New Roman"/>
          <w:sz w:val="24"/>
          <w:szCs w:val="24"/>
        </w:rPr>
        <w:t>2014/53/UE.</w:t>
      </w:r>
      <w:r w:rsidR="00970B2E" w:rsidRPr="00D44D33">
        <w:rPr>
          <w:rFonts w:ascii="Times New Roman" w:eastAsiaTheme="minorEastAsia" w:hAnsi="Times New Roman" w:cs="Times New Roman"/>
          <w:sz w:val="24"/>
          <w:szCs w:val="24"/>
        </w:rPr>
        <w:t xml:space="preserve"> </w:t>
      </w:r>
      <w:r w:rsidR="007A3053" w:rsidRPr="00D44D33">
        <w:rPr>
          <w:rFonts w:ascii="Times New Roman" w:hAnsi="Times New Roman" w:cs="Times New Roman"/>
          <w:sz w:val="24"/>
          <w:szCs w:val="24"/>
        </w:rPr>
        <w:t>Wyłączenie</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dotyczyło</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również,</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tak</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obecnie,</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wyposażenia</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radiokomunikacyjnego</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objętego</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przepisami</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lipca</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2002</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Prawo</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lotnicze</w:t>
      </w:r>
      <w:r w:rsidR="00D73B12" w:rsidRPr="00D44D33">
        <w:rPr>
          <w:rFonts w:ascii="Times New Roman" w:hAnsi="Times New Roman" w:cs="Times New Roman"/>
          <w:sz w:val="24"/>
          <w:szCs w:val="24"/>
        </w:rPr>
        <w:t xml:space="preserve"> (Dz.U. z 202</w:t>
      </w:r>
      <w:r w:rsidR="00676D44" w:rsidRPr="00D44D33">
        <w:rPr>
          <w:rFonts w:ascii="Times New Roman" w:hAnsi="Times New Roman" w:cs="Times New Roman"/>
          <w:sz w:val="24"/>
          <w:szCs w:val="24"/>
        </w:rPr>
        <w:t>2</w:t>
      </w:r>
      <w:r w:rsidR="00D73B12" w:rsidRPr="00D44D33">
        <w:rPr>
          <w:rFonts w:ascii="Times New Roman" w:hAnsi="Times New Roman" w:cs="Times New Roman"/>
          <w:sz w:val="24"/>
          <w:szCs w:val="24"/>
        </w:rPr>
        <w:t xml:space="preserve"> r. poz.</w:t>
      </w:r>
      <w:r w:rsidR="00676D44" w:rsidRPr="00D44D33">
        <w:rPr>
          <w:rFonts w:ascii="Times New Roman" w:hAnsi="Times New Roman" w:cs="Times New Roman"/>
          <w:sz w:val="24"/>
          <w:szCs w:val="24"/>
        </w:rPr>
        <w:t xml:space="preserve"> 1235, z późn. zm.</w:t>
      </w:r>
      <w:r w:rsidR="00D73B12"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4E5538D3" w:rsidRPr="00D44D33">
        <w:rPr>
          <w:rFonts w:ascii="Times New Roman" w:eastAsia="Times New Roman" w:hAnsi="Times New Roman" w:cs="Times New Roman"/>
          <w:sz w:val="24"/>
          <w:szCs w:val="24"/>
        </w:rPr>
        <w:t>przeznaczonego</w:t>
      </w:r>
      <w:r w:rsidR="00970B2E" w:rsidRPr="00D44D33">
        <w:rPr>
          <w:rFonts w:ascii="Times New Roman" w:eastAsia="Times New Roman" w:hAnsi="Times New Roman" w:cs="Times New Roman"/>
          <w:sz w:val="24"/>
          <w:szCs w:val="24"/>
        </w:rPr>
        <w:t xml:space="preserve"> </w:t>
      </w:r>
      <w:r w:rsidR="4E5538D3" w:rsidRPr="00D44D33">
        <w:rPr>
          <w:rFonts w:ascii="Times New Roman" w:eastAsia="Times New Roman" w:hAnsi="Times New Roman" w:cs="Times New Roman"/>
          <w:sz w:val="24"/>
          <w:szCs w:val="24"/>
        </w:rPr>
        <w:t>jedynie</w:t>
      </w:r>
      <w:r w:rsidR="00970B2E" w:rsidRPr="00D44D33">
        <w:rPr>
          <w:rFonts w:ascii="Times New Roman" w:eastAsia="Times New Roman" w:hAnsi="Times New Roman" w:cs="Times New Roman"/>
          <w:sz w:val="24"/>
          <w:szCs w:val="24"/>
        </w:rPr>
        <w:t xml:space="preserve"> </w:t>
      </w:r>
      <w:r w:rsidR="4E5538D3"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E5538D3" w:rsidRPr="00D44D33">
        <w:rPr>
          <w:rFonts w:ascii="Times New Roman" w:eastAsia="Times New Roman" w:hAnsi="Times New Roman" w:cs="Times New Roman"/>
          <w:sz w:val="24"/>
          <w:szCs w:val="24"/>
        </w:rPr>
        <w:t>użytkowania</w:t>
      </w:r>
      <w:r w:rsidR="00970B2E" w:rsidRPr="00D44D33">
        <w:rPr>
          <w:rFonts w:ascii="Times New Roman" w:eastAsia="Times New Roman" w:hAnsi="Times New Roman" w:cs="Times New Roman"/>
          <w:sz w:val="24"/>
          <w:szCs w:val="24"/>
        </w:rPr>
        <w:t xml:space="preserve"> </w:t>
      </w:r>
      <w:r w:rsidR="4E5538D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E5538D3" w:rsidRPr="00D44D33">
        <w:rPr>
          <w:rFonts w:ascii="Times New Roman" w:eastAsia="Times New Roman" w:hAnsi="Times New Roman" w:cs="Times New Roman"/>
          <w:sz w:val="24"/>
          <w:szCs w:val="24"/>
        </w:rPr>
        <w:t>powietrzu</w:t>
      </w:r>
      <w:r w:rsidR="007A305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Dotyczy</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urządzeń,</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są</w:t>
      </w:r>
      <w:r w:rsidR="00970B2E" w:rsidRPr="00D44D33">
        <w:rPr>
          <w:rFonts w:ascii="Times New Roman" w:hAnsi="Times New Roman" w:cs="Times New Roman"/>
          <w:sz w:val="24"/>
          <w:szCs w:val="24"/>
        </w:rPr>
        <w:t xml:space="preserve"> </w:t>
      </w:r>
      <w:r w:rsidR="007A3053" w:rsidRPr="00D44D33">
        <w:rPr>
          <w:rFonts w:ascii="Times New Roman" w:hAnsi="Times New Roman" w:cs="Times New Roman"/>
          <w:sz w:val="24"/>
          <w:szCs w:val="24"/>
        </w:rPr>
        <w:t>regulow</w:t>
      </w:r>
      <w:r w:rsidR="00DC2102" w:rsidRPr="00D44D33">
        <w:rPr>
          <w:rFonts w:ascii="Times New Roman" w:hAnsi="Times New Roman" w:cs="Times New Roman"/>
          <w:sz w:val="24"/>
          <w:szCs w:val="24"/>
        </w:rPr>
        <w:t>ane</w:t>
      </w:r>
      <w:r w:rsidR="00970B2E" w:rsidRPr="00D44D33">
        <w:rPr>
          <w:rFonts w:ascii="Times New Roman" w:hAnsi="Times New Roman" w:cs="Times New Roman"/>
          <w:sz w:val="24"/>
          <w:szCs w:val="24"/>
        </w:rPr>
        <w:t xml:space="preserve"> </w:t>
      </w:r>
      <w:r w:rsidR="00DC2102" w:rsidRPr="00D44D33">
        <w:rPr>
          <w:rFonts w:ascii="Times New Roman" w:hAnsi="Times New Roman" w:cs="Times New Roman"/>
          <w:sz w:val="24"/>
          <w:szCs w:val="24"/>
        </w:rPr>
        <w:t>prawem</w:t>
      </w:r>
      <w:r w:rsidR="00970B2E" w:rsidRPr="00D44D33">
        <w:rPr>
          <w:rFonts w:ascii="Times New Roman" w:hAnsi="Times New Roman" w:cs="Times New Roman"/>
          <w:sz w:val="24"/>
          <w:szCs w:val="24"/>
        </w:rPr>
        <w:t xml:space="preserve"> </w:t>
      </w:r>
      <w:r w:rsidR="00DC2102" w:rsidRPr="00D44D33">
        <w:rPr>
          <w:rFonts w:ascii="Times New Roman" w:hAnsi="Times New Roman" w:cs="Times New Roman"/>
          <w:sz w:val="24"/>
          <w:szCs w:val="24"/>
        </w:rPr>
        <w:t>unijnym.</w:t>
      </w:r>
      <w:r w:rsidR="00970B2E" w:rsidRPr="00D44D33">
        <w:rPr>
          <w:rFonts w:ascii="Times New Roman" w:hAnsi="Times New Roman" w:cs="Times New Roman"/>
          <w:sz w:val="24"/>
          <w:szCs w:val="24"/>
        </w:rPr>
        <w:t xml:space="preserve"> </w:t>
      </w:r>
    </w:p>
    <w:p w14:paraId="3268ABE2" w14:textId="485EA4ED" w:rsidR="00D73B12" w:rsidRPr="00D44D33" w:rsidRDefault="566EAAC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DZIAŁ</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VII</w:t>
      </w:r>
      <w:r w:rsidR="00970B2E" w:rsidRPr="00D44D33">
        <w:rPr>
          <w:rFonts w:ascii="Times New Roman" w:eastAsiaTheme="minorEastAsia" w:hAnsi="Times New Roman" w:cs="Times New Roman"/>
          <w:b/>
          <w:bCs/>
          <w:sz w:val="24"/>
          <w:szCs w:val="24"/>
        </w:rPr>
        <w:t xml:space="preserve"> </w:t>
      </w:r>
    </w:p>
    <w:p w14:paraId="105B0979" w14:textId="7496BF7C" w:rsidR="00221330" w:rsidRPr="00D44D33" w:rsidRDefault="566EAAC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Publicznie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dostępne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elektronicznej</w:t>
      </w:r>
    </w:p>
    <w:p w14:paraId="0F870FCC" w14:textId="0F254FE2" w:rsidR="00221330" w:rsidRPr="00D44D33" w:rsidRDefault="566EAAC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Świadczenie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użytkownikom</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końcowym</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zakres</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podmiotowy</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przedmiotowy</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przepisów</w:t>
      </w:r>
    </w:p>
    <w:p w14:paraId="4B75B85C" w14:textId="2B685150"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wyraźnie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4578C91C"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aspektów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nieuregulowanych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artykule,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rygorystycznych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257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p>
    <w:p w14:paraId="7E2E848C" w14:textId="45F3576E"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zróżnicowany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zwięzłego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podsumowania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3100F" w:rsidRPr="00D44D33">
        <w:rPr>
          <w:rFonts w:ascii="Times New Roman" w:eastAsiaTheme="minorEastAsia" w:hAnsi="Times New Roman" w:cs="Times New Roman"/>
          <w:sz w:val="24"/>
          <w:szCs w:val="24"/>
        </w:rPr>
        <w:t xml:space="preserve">287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mikroprzedsiębiorców,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D73B12"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323695" w:rsidRPr="00D44D33">
        <w:rPr>
          <w:rFonts w:ascii="Times New Roman" w:eastAsiaTheme="minorEastAsia" w:hAnsi="Times New Roman" w:cs="Times New Roman"/>
          <w:sz w:val="24"/>
          <w:szCs w:val="24"/>
        </w:rPr>
        <w:t xml:space="preserve">(Dz. U. z 2021 r. poz. 162, z późn. zm.)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pozarządowych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wolontariacie</w:t>
      </w:r>
      <w:r w:rsidR="00323695" w:rsidRPr="00D44D33">
        <w:rPr>
          <w:rFonts w:ascii="Times New Roman" w:eastAsiaTheme="minorEastAsia" w:hAnsi="Times New Roman" w:cs="Times New Roman"/>
          <w:sz w:val="24"/>
          <w:szCs w:val="24"/>
        </w:rPr>
        <w:t xml:space="preserve"> (Dz. U. z 2022 r. poz. 1327, z późn. zm.)</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zbliżoną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negocjacyjną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wyraźnie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negocjować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zindywidualizowane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599FFAF9" w14:textId="78DEAF39"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zróżnicowane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przedmiotowo</w:t>
      </w:r>
      <w:r w:rsidR="00970B2E" w:rsidRPr="00D44D33">
        <w:rPr>
          <w:rFonts w:ascii="Times New Roman" w:eastAsiaTheme="minorEastAsia" w:hAnsi="Times New Roman" w:cs="Times New Roman"/>
          <w:sz w:val="24"/>
          <w:szCs w:val="24"/>
        </w:rPr>
        <w:t xml:space="preserve"> </w:t>
      </w:r>
      <w:r w:rsidR="00D73B12"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maszyna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maszyna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339C3DA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M2M),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p>
    <w:p w14:paraId="696C1612" w14:textId="71EA0591" w:rsidR="00F01158" w:rsidRPr="00D44D33" w:rsidRDefault="003E1FF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w:t>
      </w:r>
      <w:r w:rsidR="00F01158" w:rsidRPr="00D44D33">
        <w:rPr>
          <w:rFonts w:ascii="Times New Roman" w:eastAsiaTheme="minorEastAsia" w:hAnsi="Times New Roman" w:cs="Times New Roman"/>
          <w:b/>
          <w:sz w:val="24"/>
          <w:szCs w:val="24"/>
        </w:rPr>
        <w:t>rt.</w:t>
      </w:r>
      <w:r w:rsidR="00970B2E" w:rsidRPr="00D44D33">
        <w:rPr>
          <w:rFonts w:ascii="Times New Roman" w:eastAsiaTheme="minorEastAsia" w:hAnsi="Times New Roman" w:cs="Times New Roman"/>
          <w:b/>
          <w:sz w:val="24"/>
          <w:szCs w:val="24"/>
        </w:rPr>
        <w:t xml:space="preserve"> </w:t>
      </w:r>
      <w:r w:rsidR="00E25298" w:rsidRPr="00D44D33">
        <w:rPr>
          <w:rFonts w:ascii="Times New Roman" w:eastAsiaTheme="minorEastAsia" w:hAnsi="Times New Roman" w:cs="Times New Roman"/>
          <w:b/>
          <w:sz w:val="24"/>
          <w:szCs w:val="24"/>
        </w:rPr>
        <w:t>27</w:t>
      </w:r>
      <w:r w:rsidR="00EF4266" w:rsidRPr="00D44D33">
        <w:rPr>
          <w:rFonts w:ascii="Times New Roman" w:eastAsiaTheme="minorEastAsia" w:hAnsi="Times New Roman" w:cs="Times New Roman"/>
          <w:b/>
          <w:sz w:val="24"/>
          <w:szCs w:val="24"/>
        </w:rPr>
        <w:t>6</w:t>
      </w:r>
    </w:p>
    <w:p w14:paraId="3F1E331D" w14:textId="77777777" w:rsidR="00EF4266" w:rsidRPr="00D44D33" w:rsidRDefault="00F0115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333A9D" w:rsidRPr="00D44D33">
        <w:rPr>
          <w:rFonts w:ascii="Times New Roman" w:eastAsiaTheme="minorEastAsia" w:hAnsi="Times New Roman" w:cs="Times New Roman"/>
          <w:sz w:val="24"/>
          <w:szCs w:val="24"/>
        </w:rPr>
        <w:t>prowadzono</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normę</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porządkującą</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całego</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VII,</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ilekroć</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wchodzącej</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333A9D" w:rsidRPr="00D44D33">
        <w:rPr>
          <w:rFonts w:ascii="Times New Roman" w:eastAsiaTheme="minorEastAsia" w:hAnsi="Times New Roman" w:cs="Times New Roman"/>
          <w:sz w:val="24"/>
          <w:szCs w:val="24"/>
        </w:rPr>
        <w:t>dostępną.</w:t>
      </w:r>
    </w:p>
    <w:p w14:paraId="729794CA" w14:textId="5DEA9F50" w:rsidR="003E1FF8" w:rsidRPr="00D44D33" w:rsidRDefault="00EF426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 277</w:t>
      </w:r>
    </w:p>
    <w:p w14:paraId="3C340AEF" w14:textId="236DEA82" w:rsidR="00333A9D" w:rsidRPr="00D44D33" w:rsidRDefault="003E1FF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23695" w:rsidRPr="00D44D33">
        <w:rPr>
          <w:rFonts w:ascii="Times New Roman" w:eastAsiaTheme="minorEastAsia" w:hAnsi="Times New Roman" w:cs="Times New Roman"/>
          <w:sz w:val="24"/>
          <w:szCs w:val="24"/>
        </w:rPr>
        <w:t xml:space="preserve">przepisie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F4266"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D97819" w:rsidRPr="00D44D33">
        <w:rPr>
          <w:rFonts w:ascii="Times New Roman" w:eastAsiaTheme="minorEastAsia" w:hAnsi="Times New Roman" w:cs="Times New Roman"/>
          <w:sz w:val="24"/>
          <w:szCs w:val="24"/>
        </w:rPr>
        <w:t>zawart</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Przywołany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niedyskryminacji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niewykorzystujące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mikroprzedsiębiorcami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D73B12"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mikroprzedsiębiorców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niewykorzystujące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relatywnie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samodzielnymi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przemawia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23695" w:rsidRPr="00D44D33">
        <w:rPr>
          <w:rFonts w:ascii="Times New Roman" w:eastAsiaTheme="minorEastAsia" w:hAnsi="Times New Roman" w:cs="Times New Roman"/>
          <w:sz w:val="24"/>
          <w:szCs w:val="24"/>
        </w:rPr>
        <w:t xml:space="preserve">przepisie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F426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mikroprzedsiębiorca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facto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relacjach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karz</w:t>
      </w:r>
      <w:r w:rsidR="00F01158"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nakładanej</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UKE.</w:t>
      </w:r>
    </w:p>
    <w:p w14:paraId="33944EEA" w14:textId="4C048DC8" w:rsidR="00221330" w:rsidRPr="00D44D33" w:rsidRDefault="5C1DFD1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25298" w:rsidRPr="00D44D33">
        <w:rPr>
          <w:rFonts w:ascii="Times New Roman" w:eastAsiaTheme="minorEastAsia" w:hAnsi="Times New Roman" w:cs="Times New Roman"/>
          <w:b/>
          <w:bCs/>
          <w:sz w:val="24"/>
          <w:szCs w:val="24"/>
        </w:rPr>
        <w:t>278</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5EA69C75" w:rsidRPr="00D44D33">
        <w:rPr>
          <w:rFonts w:ascii="Times New Roman" w:eastAsiaTheme="minorEastAsia" w:hAnsi="Times New Roman" w:cs="Times New Roman"/>
          <w:b/>
          <w:bCs/>
          <w:sz w:val="24"/>
          <w:szCs w:val="24"/>
        </w:rPr>
        <w:t>u</w:t>
      </w:r>
      <w:r w:rsidR="566EAACD" w:rsidRPr="00D44D33">
        <w:rPr>
          <w:rFonts w:ascii="Times New Roman" w:eastAsiaTheme="minorEastAsia" w:hAnsi="Times New Roman" w:cs="Times New Roman"/>
          <w:b/>
          <w:bCs/>
          <w:sz w:val="24"/>
          <w:szCs w:val="24"/>
        </w:rPr>
        <w:t>mowa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świadczenie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komunikacji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elektronicznej</w:t>
      </w:r>
    </w:p>
    <w:p w14:paraId="5BA4238C" w14:textId="4CC63804" w:rsidR="007F3DCC" w:rsidRPr="00D44D33" w:rsidRDefault="0032369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1C586B8F" w:rsidRPr="00D44D33">
        <w:rPr>
          <w:rFonts w:ascii="Times New Roman" w:eastAsiaTheme="minorEastAsia" w:hAnsi="Times New Roman" w:cs="Times New Roman"/>
          <w:sz w:val="24"/>
          <w:szCs w:val="24"/>
        </w:rPr>
        <w:t>rt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25298" w:rsidRPr="00D44D33">
        <w:rPr>
          <w:rFonts w:ascii="Times New Roman" w:eastAsiaTheme="minorEastAsia" w:hAnsi="Times New Roman" w:cs="Times New Roman"/>
          <w:sz w:val="24"/>
          <w:szCs w:val="24"/>
        </w:rPr>
        <w:t>278</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C586B8F"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rozwiania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wszelkich</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niewykorzystującej</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telekomunikacyjnych</w:t>
      </w:r>
      <w:r w:rsidR="1FCB6E2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mieszczą</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FCB6E2E" w:rsidRPr="00D44D33">
        <w:rPr>
          <w:rFonts w:ascii="Times New Roman" w:eastAsiaTheme="minorEastAsia" w:hAnsi="Times New Roman" w:cs="Times New Roman"/>
          <w:sz w:val="24"/>
          <w:szCs w:val="24"/>
        </w:rPr>
        <w:t>elektronicznej</w:t>
      </w:r>
      <w:r w:rsidR="007F3DCC" w:rsidRPr="00D44D33">
        <w:rPr>
          <w:rFonts w:ascii="Times New Roman" w:eastAsiaTheme="minorEastAsia" w:hAnsi="Times New Roman" w:cs="Times New Roman"/>
          <w:sz w:val="24"/>
          <w:szCs w:val="24"/>
        </w:rPr>
        <w:t>.</w:t>
      </w:r>
    </w:p>
    <w:p w14:paraId="42F4A912" w14:textId="69B7F331" w:rsidR="00221330" w:rsidRPr="00D44D33" w:rsidRDefault="1C586B8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7383A4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00332150" w:rsidRPr="00D44D33">
        <w:rPr>
          <w:rFonts w:ascii="Times New Roman" w:eastAsiaTheme="minorEastAsia" w:hAnsi="Times New Roman" w:cs="Times New Roman"/>
          <w:sz w:val="24"/>
          <w:szCs w:val="24"/>
        </w:rPr>
        <w:t>(pre</w:t>
      </w:r>
      <w:r w:rsidR="5A25FAA2" w:rsidRPr="00D44D33">
        <w:rPr>
          <w:rFonts w:ascii="Times New Roman" w:eastAsiaTheme="minorEastAsia" w:hAnsi="Times New Roman" w:cs="Times New Roman"/>
          <w:sz w:val="24"/>
          <w:szCs w:val="24"/>
        </w:rPr>
        <w:t>paid)</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aparatu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Zaproponowane</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odpowiadają</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rozwiązaniom</w:t>
      </w:r>
      <w:r w:rsidR="00970B2E" w:rsidRPr="00D44D33">
        <w:rPr>
          <w:rFonts w:ascii="Times New Roman" w:eastAsiaTheme="minorEastAsia" w:hAnsi="Times New Roman" w:cs="Times New Roman"/>
          <w:sz w:val="24"/>
          <w:szCs w:val="24"/>
        </w:rPr>
        <w:t xml:space="preserve"> </w:t>
      </w:r>
      <w:r w:rsidR="78FACE40" w:rsidRPr="00D44D33">
        <w:rPr>
          <w:rFonts w:ascii="Times New Roman" w:eastAsiaTheme="minorEastAsia" w:hAnsi="Times New Roman" w:cs="Times New Roman"/>
          <w:sz w:val="24"/>
          <w:szCs w:val="24"/>
        </w:rPr>
        <w:t>wyn</w:t>
      </w:r>
      <w:r w:rsidR="708F2F51" w:rsidRPr="00D44D33">
        <w:rPr>
          <w:rFonts w:ascii="Times New Roman" w:eastAsiaTheme="minorEastAsia" w:hAnsi="Times New Roman" w:cs="Times New Roman"/>
          <w:sz w:val="24"/>
          <w:szCs w:val="24"/>
        </w:rPr>
        <w:t>ikającym</w:t>
      </w:r>
      <w:r w:rsidR="00970B2E" w:rsidRPr="00D44D33">
        <w:rPr>
          <w:rFonts w:ascii="Times New Roman" w:eastAsiaTheme="minorEastAsia" w:hAnsi="Times New Roman" w:cs="Times New Roman"/>
          <w:sz w:val="24"/>
          <w:szCs w:val="24"/>
        </w:rPr>
        <w:t xml:space="preserve"> </w:t>
      </w:r>
      <w:r w:rsidR="708F2F5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1364BDB"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708F2F51" w:rsidRPr="00D44D33">
        <w:rPr>
          <w:rFonts w:ascii="Times New Roman" w:eastAsiaTheme="minorEastAsia" w:hAnsi="Times New Roman" w:cs="Times New Roman"/>
          <w:sz w:val="24"/>
          <w:szCs w:val="24"/>
        </w:rPr>
        <w:t>Pt.</w:t>
      </w:r>
    </w:p>
    <w:p w14:paraId="134B559A" w14:textId="6B5FC692" w:rsidR="005B7370" w:rsidRPr="00D44D33" w:rsidRDefault="005B7370" w:rsidP="00D44D33">
      <w:pPr>
        <w:spacing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23695" w:rsidRPr="00D44D33">
        <w:rPr>
          <w:rFonts w:ascii="Times New Roman" w:eastAsiaTheme="minorEastAsia" w:hAnsi="Times New Roman" w:cs="Times New Roman"/>
          <w:sz w:val="24"/>
          <w:szCs w:val="24"/>
        </w:rPr>
        <w:t xml:space="preserve">projektowanym </w:t>
      </w:r>
      <w:r w:rsidRPr="00D44D33">
        <w:rPr>
          <w:rFonts w:ascii="Times New Roman" w:eastAsiaTheme="minorEastAsia" w:hAnsi="Times New Roman" w:cs="Times New Roman"/>
          <w:sz w:val="24"/>
          <w:szCs w:val="24"/>
        </w:rPr>
        <w:t>ust</w:t>
      </w:r>
      <w:r w:rsidR="0032369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przeciwdziałanie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w:t>
      </w:r>
      <w:r w:rsidR="00385D45" w:rsidRPr="00D44D33">
        <w:rPr>
          <w:rFonts w:ascii="Times New Roman" w:eastAsiaTheme="minorEastAsia" w:hAnsi="Times New Roman" w:cs="Times New Roman"/>
          <w:sz w:val="24"/>
          <w:szCs w:val="24"/>
        </w:rPr>
        <w:t>euczciwym</w:t>
      </w:r>
      <w:r w:rsidR="00970B2E" w:rsidRPr="00D44D33">
        <w:rPr>
          <w:rFonts w:ascii="Times New Roman" w:eastAsiaTheme="minorEastAsia" w:hAnsi="Times New Roman" w:cs="Times New Roman"/>
          <w:sz w:val="24"/>
          <w:szCs w:val="24"/>
        </w:rPr>
        <w:t xml:space="preserve"> </w:t>
      </w:r>
      <w:r w:rsidR="00385D45" w:rsidRPr="00D44D33">
        <w:rPr>
          <w:rFonts w:ascii="Times New Roman" w:eastAsiaTheme="minorEastAsia" w:hAnsi="Times New Roman" w:cs="Times New Roman"/>
          <w:sz w:val="24"/>
          <w:szCs w:val="24"/>
        </w:rPr>
        <w:t>praktykom</w:t>
      </w:r>
      <w:r w:rsidR="00970B2E" w:rsidRPr="00D44D33">
        <w:rPr>
          <w:rFonts w:ascii="Times New Roman" w:eastAsiaTheme="minorEastAsia" w:hAnsi="Times New Roman" w:cs="Times New Roman"/>
          <w:sz w:val="24"/>
          <w:szCs w:val="24"/>
        </w:rPr>
        <w:t xml:space="preserve"> </w:t>
      </w:r>
      <w:r w:rsidR="00385D45"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00385D45"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00385D45" w:rsidRPr="00D44D33">
        <w:rPr>
          <w:rFonts w:ascii="Times New Roman" w:eastAsiaTheme="minorEastAsia" w:hAnsi="Times New Roman" w:cs="Times New Roman"/>
          <w:sz w:val="24"/>
          <w:szCs w:val="24"/>
        </w:rPr>
        <w:t>usług</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Fonts w:ascii="Times New Roman" w:hAnsi="Times New Roman" w:cs="Times New Roman"/>
          <w:sz w:val="24"/>
          <w:szCs w:val="24"/>
        </w:rPr>
        <w:t>podczas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sprzedaży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bezpośredniej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tzw.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formule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door-to-door)</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Problem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zawierania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umów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poza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lokalem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przedsiębiorstwa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sygnalizowany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był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UOKiK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wielokrotnie.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licznymi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przypadkami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oszustw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wprowadzania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błąd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wprowadzono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przepisy,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pozwolą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wyeliminowanie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znaczące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zmniejszenie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tego</w:t>
      </w:r>
      <w:r w:rsidR="00970B2E" w:rsidRPr="00D44D33">
        <w:rPr>
          <w:rFonts w:ascii="Times New Roman" w:hAnsi="Times New Roman" w:cs="Times New Roman"/>
          <w:sz w:val="24"/>
          <w:szCs w:val="24"/>
        </w:rPr>
        <w:t xml:space="preserve"> </w:t>
      </w:r>
      <w:r w:rsidR="004C7A6D" w:rsidRPr="00D44D33">
        <w:rPr>
          <w:rFonts w:ascii="Times New Roman" w:hAnsi="Times New Roman" w:cs="Times New Roman"/>
          <w:sz w:val="24"/>
          <w:szCs w:val="24"/>
        </w:rPr>
        <w:t>rodzaju</w:t>
      </w:r>
      <w:r w:rsidR="00970B2E" w:rsidRPr="00D44D33">
        <w:rPr>
          <w:rFonts w:ascii="Times New Roman" w:hAnsi="Times New Roman" w:cs="Times New Roman"/>
          <w:sz w:val="24"/>
          <w:szCs w:val="24"/>
        </w:rPr>
        <w:t xml:space="preserve"> </w:t>
      </w:r>
      <w:r w:rsidR="004C7A6D" w:rsidRPr="00D44D33">
        <w:rPr>
          <w:rFonts w:ascii="Times New Roman" w:hAnsi="Times New Roman" w:cs="Times New Roman"/>
          <w:sz w:val="24"/>
          <w:szCs w:val="24"/>
        </w:rPr>
        <w:t>niepożądanych</w:t>
      </w:r>
      <w:r w:rsidR="00970B2E" w:rsidRPr="00D44D33">
        <w:rPr>
          <w:rFonts w:ascii="Times New Roman" w:hAnsi="Times New Roman" w:cs="Times New Roman"/>
          <w:sz w:val="24"/>
          <w:szCs w:val="24"/>
        </w:rPr>
        <w:t xml:space="preserve"> </w:t>
      </w:r>
      <w:r w:rsidR="004C7A6D" w:rsidRPr="00D44D33">
        <w:rPr>
          <w:rFonts w:ascii="Times New Roman" w:hAnsi="Times New Roman" w:cs="Times New Roman"/>
          <w:sz w:val="24"/>
          <w:szCs w:val="24"/>
        </w:rPr>
        <w:t>zachowań.</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Zawieranie</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umów</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poza</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lokalem</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przedsiębiorstwa</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wiąże</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niejednokrotnie</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działaniem</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pośpiechu</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presją</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czasu</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ryzykiem</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zaskoczenia</w:t>
      </w:r>
      <w:r w:rsidR="00970B2E" w:rsidRPr="00D44D33">
        <w:rPr>
          <w:rFonts w:ascii="Times New Roman" w:hAnsi="Times New Roman" w:cs="Times New Roman"/>
          <w:sz w:val="24"/>
          <w:szCs w:val="24"/>
        </w:rPr>
        <w:t xml:space="preserve"> </w:t>
      </w:r>
      <w:r w:rsidR="004C7A6D" w:rsidRPr="00D44D33">
        <w:rPr>
          <w:rFonts w:ascii="Times New Roman" w:hAnsi="Times New Roman" w:cs="Times New Roman"/>
          <w:sz w:val="24"/>
          <w:szCs w:val="24"/>
        </w:rPr>
        <w:t>abonen</w:t>
      </w:r>
      <w:r w:rsidR="00385D45" w:rsidRPr="00D44D33">
        <w:rPr>
          <w:rFonts w:ascii="Times New Roman" w:hAnsi="Times New Roman" w:cs="Times New Roman"/>
          <w:sz w:val="24"/>
          <w:szCs w:val="24"/>
        </w:rPr>
        <w:t>ta,</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jego</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nieprzygotowaniem</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brakiem</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wiedzy</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odnośnie</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prezentowanej</w:t>
      </w:r>
      <w:r w:rsidR="00970B2E" w:rsidRPr="00D44D33">
        <w:rPr>
          <w:rFonts w:ascii="Times New Roman" w:hAnsi="Times New Roman" w:cs="Times New Roman"/>
          <w:sz w:val="24"/>
          <w:szCs w:val="24"/>
        </w:rPr>
        <w:t xml:space="preserve"> </w:t>
      </w:r>
      <w:r w:rsidR="00385D45" w:rsidRPr="00D44D33">
        <w:rPr>
          <w:rFonts w:ascii="Times New Roman" w:hAnsi="Times New Roman" w:cs="Times New Roman"/>
          <w:sz w:val="24"/>
          <w:szCs w:val="24"/>
        </w:rPr>
        <w:t>oferty.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Niedozwolone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praktyki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polegają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m.in.</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p>
    <w:p w14:paraId="4C1FAEB7" w14:textId="03DCA4A8" w:rsidR="005B7370" w:rsidRPr="00D44D33" w:rsidRDefault="005B7370" w:rsidP="00D44D33">
      <w:pPr>
        <w:pStyle w:val="Akapitzlist"/>
        <w:numPr>
          <w:ilvl w:val="2"/>
          <w:numId w:val="96"/>
        </w:numPr>
        <w:spacing w:after="0" w:line="360" w:lineRule="auto"/>
        <w:ind w:left="426"/>
        <w:jc w:val="both"/>
        <w:rPr>
          <w:rFonts w:ascii="Times New Roman" w:hAnsi="Times New Roman" w:cs="Times New Roman"/>
          <w:sz w:val="24"/>
          <w:szCs w:val="24"/>
        </w:rPr>
      </w:pPr>
      <w:r w:rsidRPr="00D44D33">
        <w:rPr>
          <w:rFonts w:ascii="Times New Roman" w:hAnsi="Times New Roman" w:cs="Times New Roman"/>
          <w:sz w:val="24"/>
          <w:szCs w:val="24"/>
        </w:rPr>
        <w:t>niepodawanie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nazwy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dostawcy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wprowadzanie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błąd,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nazwy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dostawcy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usług</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(podawanie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pracowników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podmiotów),</w:t>
      </w:r>
    </w:p>
    <w:p w14:paraId="767E7E0A" w14:textId="59DB2B94" w:rsidR="005B7370" w:rsidRPr="00D44D33" w:rsidRDefault="005B7370" w:rsidP="00D44D33">
      <w:pPr>
        <w:pStyle w:val="Akapitzlist"/>
        <w:numPr>
          <w:ilvl w:val="2"/>
          <w:numId w:val="96"/>
        </w:numPr>
        <w:spacing w:after="0" w:line="360" w:lineRule="auto"/>
        <w:ind w:left="426"/>
        <w:jc w:val="both"/>
        <w:rPr>
          <w:rFonts w:ascii="Times New Roman" w:hAnsi="Times New Roman" w:cs="Times New Roman"/>
          <w:sz w:val="24"/>
          <w:szCs w:val="24"/>
        </w:rPr>
      </w:pPr>
      <w:r w:rsidRPr="00D44D33">
        <w:rPr>
          <w:rFonts w:ascii="Times New Roman" w:hAnsi="Times New Roman" w:cs="Times New Roman"/>
          <w:sz w:val="24"/>
          <w:szCs w:val="24"/>
        </w:rPr>
        <w:t>wprowadzanie</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abonentów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błąd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informowanie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podpisywania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nowych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umów,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aneksów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umów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dokumentów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związanych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świadczeniem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usług</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telekomunikacyjnych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podawanie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nieprawdziwych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przyczyn</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np.</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zmiana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danych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dotychczasowego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dostawcy,</w:t>
      </w:r>
    </w:p>
    <w:p w14:paraId="6DB6447C" w14:textId="39F28573" w:rsidR="005B7370" w:rsidRPr="00D44D33" w:rsidRDefault="005B7370" w:rsidP="00D44D33">
      <w:pPr>
        <w:pStyle w:val="Akapitzlist"/>
        <w:numPr>
          <w:ilvl w:val="2"/>
          <w:numId w:val="96"/>
        </w:numPr>
        <w:spacing w:after="0" w:line="360" w:lineRule="auto"/>
        <w:ind w:left="426"/>
        <w:jc w:val="both"/>
        <w:rPr>
          <w:rFonts w:ascii="Times New Roman" w:hAnsi="Times New Roman" w:cs="Times New Roman"/>
          <w:sz w:val="24"/>
          <w:szCs w:val="24"/>
        </w:rPr>
      </w:pPr>
      <w:r w:rsidRPr="00D44D33">
        <w:rPr>
          <w:rFonts w:ascii="Times New Roman" w:hAnsi="Times New Roman" w:cs="Times New Roman"/>
          <w:sz w:val="24"/>
          <w:szCs w:val="24"/>
        </w:rPr>
        <w:t>nieinformowanie</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abonentów</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dokonanej</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zmianie</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dostawcy</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usług</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wynikających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procedury,</w:t>
      </w:r>
    </w:p>
    <w:p w14:paraId="3CCA8A19" w14:textId="1AE10875" w:rsidR="005B7370" w:rsidRPr="00D44D33" w:rsidRDefault="005B7370" w:rsidP="00D44D33">
      <w:pPr>
        <w:pStyle w:val="Akapitzlist"/>
        <w:numPr>
          <w:ilvl w:val="2"/>
          <w:numId w:val="96"/>
        </w:numPr>
        <w:spacing w:after="0" w:line="360" w:lineRule="auto"/>
        <w:ind w:left="426"/>
        <w:jc w:val="both"/>
        <w:rPr>
          <w:rFonts w:ascii="Times New Roman" w:hAnsi="Times New Roman" w:cs="Times New Roman"/>
          <w:sz w:val="24"/>
          <w:szCs w:val="24"/>
        </w:rPr>
      </w:pPr>
      <w:r w:rsidRPr="00D44D33">
        <w:rPr>
          <w:rFonts w:ascii="Times New Roman" w:hAnsi="Times New Roman" w:cs="Times New Roman"/>
          <w:sz w:val="24"/>
          <w:szCs w:val="24"/>
        </w:rPr>
        <w:t>fałszowanie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podpisów</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dostawców</w:t>
      </w:r>
      <w:r w:rsidR="00970B2E" w:rsidRPr="00D44D33">
        <w:rPr>
          <w:rFonts w:ascii="Times New Roman" w:hAnsi="Times New Roman" w:cs="Times New Roman"/>
          <w:sz w:val="24"/>
          <w:szCs w:val="24"/>
        </w:rPr>
        <w:t xml:space="preserve"> </w:t>
      </w:r>
      <w:r w:rsidR="00B660D8" w:rsidRPr="00D44D33">
        <w:rPr>
          <w:rFonts w:ascii="Times New Roman" w:hAnsi="Times New Roman" w:cs="Times New Roman"/>
          <w:sz w:val="24"/>
          <w:szCs w:val="24"/>
        </w:rPr>
        <w:t>usług.</w:t>
      </w:r>
    </w:p>
    <w:p w14:paraId="02922480" w14:textId="02431FBF" w:rsidR="00B660D8" w:rsidRPr="00D44D33" w:rsidRDefault="00B660D8" w:rsidP="00D44D33">
      <w:pPr>
        <w:spacing w:after="0" w:line="360" w:lineRule="auto"/>
        <w:ind w:left="66"/>
        <w:jc w:val="both"/>
        <w:rPr>
          <w:rFonts w:ascii="Times New Roman" w:hAnsi="Times New Roman" w:cs="Times New Roman"/>
          <w:sz w:val="24"/>
          <w:szCs w:val="24"/>
        </w:rPr>
      </w:pPr>
      <w:r w:rsidRPr="00D44D33">
        <w:rPr>
          <w:rFonts w:ascii="Times New Roman" w:hAnsi="Times New Roman" w:cs="Times New Roman"/>
          <w:sz w:val="24"/>
          <w:szCs w:val="24"/>
        </w:rPr>
        <w:t>Ograniczenie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sprzedaży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„door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door”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stosowane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energetyczne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stosunku</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„nieumówionej</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wizyty</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miejscu</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zamieszkania”</w:t>
      </w:r>
      <w:r w:rsidR="00970B2E" w:rsidRPr="00D44D33">
        <w:rPr>
          <w:rFonts w:ascii="Times New Roman" w:hAnsi="Times New Roman" w:cs="Times New Roman"/>
          <w:sz w:val="24"/>
          <w:szCs w:val="24"/>
        </w:rPr>
        <w:t xml:space="preserve"> </w:t>
      </w:r>
      <w:r w:rsidR="006256E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projekcie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zmianie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prawach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konsumenta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niektórych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(projekt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dostępny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stronach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internetowych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Rządowego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Centrum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Legislacji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numerem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UC86)</w:t>
      </w:r>
      <w:r w:rsidR="006256E6" w:rsidRPr="00D44D33">
        <w:rPr>
          <w:rFonts w:ascii="Times New Roman" w:hAnsi="Times New Roman" w:cs="Times New Roman"/>
          <w:sz w:val="24"/>
          <w:szCs w:val="24"/>
        </w:rPr>
        <w:t>.</w:t>
      </w:r>
    </w:p>
    <w:p w14:paraId="2A0C71D2" w14:textId="46C51FDB" w:rsidR="008A1BE2" w:rsidRPr="00D44D33" w:rsidRDefault="008A1BE2" w:rsidP="00D44D33">
      <w:pPr>
        <w:pStyle w:val="ARTartustawynprozporzdzenia"/>
        <w:ind w:firstLine="0"/>
        <w:rPr>
          <w:rFonts w:ascii="Times New Roman" w:hAnsi="Times New Roman" w:cs="Times New Roman"/>
          <w:szCs w:val="24"/>
        </w:rPr>
      </w:pPr>
      <w:r w:rsidRPr="00D44D33">
        <w:rPr>
          <w:rFonts w:ascii="Times New Roman" w:hAnsi="Times New Roman" w:cs="Times New Roman"/>
          <w:szCs w:val="24"/>
        </w:rPr>
        <w:t>Ze</w:t>
      </w:r>
      <w:r w:rsidR="00970B2E" w:rsidRPr="00D44D33">
        <w:rPr>
          <w:rFonts w:ascii="Times New Roman" w:hAnsi="Times New Roman" w:cs="Times New Roman"/>
          <w:szCs w:val="24"/>
        </w:rPr>
        <w:t xml:space="preserve"> </w:t>
      </w:r>
      <w:r w:rsidRPr="00D44D33">
        <w:rPr>
          <w:rFonts w:ascii="Times New Roman" w:hAnsi="Times New Roman" w:cs="Times New Roman"/>
          <w:szCs w:val="24"/>
        </w:rPr>
        <w:t>względu</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występujące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często</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rynku</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nieprawidłowości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związane</w:t>
      </w:r>
      <w:r w:rsidR="00970B2E" w:rsidRPr="00D44D33">
        <w:rPr>
          <w:rFonts w:ascii="Times New Roman" w:hAnsi="Times New Roman" w:cs="Times New Roman"/>
          <w:szCs w:val="24"/>
        </w:rPr>
        <w:t xml:space="preserve"> </w:t>
      </w:r>
      <w:r w:rsidRPr="00D44D33">
        <w:rPr>
          <w:rFonts w:ascii="Times New Roman" w:hAnsi="Times New Roman" w:cs="Times New Roman"/>
          <w:szCs w:val="24"/>
        </w:rPr>
        <w:t>notorycznym</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wprowadzaniem</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błąd</w:t>
      </w:r>
      <w:r w:rsidR="00970B2E" w:rsidRPr="00D44D33">
        <w:rPr>
          <w:rFonts w:ascii="Times New Roman" w:hAnsi="Times New Roman" w:cs="Times New Roman"/>
          <w:szCs w:val="24"/>
        </w:rPr>
        <w:t xml:space="preserve"> </w:t>
      </w:r>
      <w:r w:rsidRPr="00D44D33">
        <w:rPr>
          <w:rFonts w:ascii="Times New Roman" w:hAnsi="Times New Roman" w:cs="Times New Roman"/>
          <w:szCs w:val="24"/>
        </w:rPr>
        <w:t>abonentów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etapie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zawierania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umowy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dostawcę</w:t>
      </w:r>
      <w:r w:rsidR="00970B2E" w:rsidRPr="00D44D33">
        <w:rPr>
          <w:rFonts w:ascii="Times New Roman" w:hAnsi="Times New Roman" w:cs="Times New Roman"/>
          <w:szCs w:val="24"/>
        </w:rPr>
        <w:t xml:space="preserve"> </w:t>
      </w:r>
      <w:r w:rsidRPr="00D44D33">
        <w:rPr>
          <w:rFonts w:ascii="Times New Roman" w:hAnsi="Times New Roman" w:cs="Times New Roman"/>
          <w:szCs w:val="24"/>
        </w:rPr>
        <w:t>usług</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podmiot</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działający</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jego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imieniu,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278</w:t>
      </w:r>
      <w:r w:rsidR="00970B2E" w:rsidRPr="00D44D33">
        <w:rPr>
          <w:rFonts w:ascii="Times New Roman" w:hAnsi="Times New Roman" w:cs="Times New Roman"/>
          <w:szCs w:val="24"/>
        </w:rPr>
        <w:t xml:space="preserve"> </w:t>
      </w:r>
      <w:r w:rsidRPr="00D44D33">
        <w:rPr>
          <w:rFonts w:ascii="Times New Roman" w:hAnsi="Times New Roman" w:cs="Times New Roman"/>
          <w:szCs w:val="24"/>
        </w:rPr>
        <w:t>wprowadzono</w:t>
      </w:r>
      <w:r w:rsidR="00970B2E" w:rsidRPr="00D44D33">
        <w:rPr>
          <w:rFonts w:ascii="Times New Roman" w:hAnsi="Times New Roman" w:cs="Times New Roman"/>
          <w:szCs w:val="24"/>
        </w:rPr>
        <w:t xml:space="preserve"> </w:t>
      </w:r>
      <w:r w:rsidR="005B7370"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005B7370" w:rsidRPr="00D44D33">
        <w:rPr>
          <w:rFonts w:ascii="Times New Roman" w:hAnsi="Times New Roman" w:cs="Times New Roman"/>
          <w:szCs w:val="24"/>
        </w:rPr>
        <w:t>przepis</w:t>
      </w:r>
      <w:r w:rsidR="00F907BB"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Pr="00D44D33">
        <w:rPr>
          <w:rFonts w:ascii="Times New Roman" w:hAnsi="Times New Roman" w:cs="Times New Roman"/>
          <w:szCs w:val="24"/>
        </w:rPr>
        <w:t>umożliwia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Prezesowi</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wydanie</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publicznego</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ostrzeżenia</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wskazującego</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osobę</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odpowiedzialną</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naruszenie</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prawa</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charakter</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tego</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naruszenia</w:t>
      </w:r>
      <w:r w:rsidR="00970B2E" w:rsidRPr="00D44D33">
        <w:rPr>
          <w:rFonts w:ascii="Times New Roman" w:hAnsi="Times New Roman" w:cs="Times New Roman"/>
          <w:szCs w:val="24"/>
        </w:rPr>
        <w:t xml:space="preserve"> </w:t>
      </w:r>
      <w:r w:rsidR="00BC1A7C"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zakazanie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temu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dostawcy</w:t>
      </w:r>
      <w:r w:rsidR="00970B2E" w:rsidRPr="00D44D33">
        <w:rPr>
          <w:rFonts w:ascii="Times New Roman" w:hAnsi="Times New Roman" w:cs="Times New Roman"/>
          <w:szCs w:val="24"/>
        </w:rPr>
        <w:t xml:space="preserve"> </w:t>
      </w:r>
      <w:r w:rsidRPr="00D44D33">
        <w:rPr>
          <w:rFonts w:ascii="Times New Roman" w:hAnsi="Times New Roman" w:cs="Times New Roman"/>
          <w:szCs w:val="24"/>
        </w:rPr>
        <w:t>usług</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kierującemu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przedsiębiorstwem</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telekomunikacyjnym</w:t>
      </w:r>
      <w:r w:rsidR="00970B2E" w:rsidRPr="00D44D33">
        <w:rPr>
          <w:rFonts w:ascii="Times New Roman" w:hAnsi="Times New Roman" w:cs="Times New Roman"/>
          <w:szCs w:val="24"/>
        </w:rPr>
        <w:t xml:space="preserve"> </w:t>
      </w:r>
      <w:r w:rsidRPr="00D44D33">
        <w:rPr>
          <w:rFonts w:ascii="Times New Roman" w:hAnsi="Times New Roman" w:cs="Times New Roman"/>
          <w:szCs w:val="24"/>
        </w:rPr>
        <w:t>wykonywanie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okres</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5</w:t>
      </w:r>
      <w:r w:rsidR="00970B2E" w:rsidRPr="00D44D33">
        <w:rPr>
          <w:rFonts w:ascii="Times New Roman" w:hAnsi="Times New Roman" w:cs="Times New Roman"/>
          <w:szCs w:val="24"/>
        </w:rPr>
        <w:t xml:space="preserve"> </w:t>
      </w:r>
      <w:r w:rsidRPr="00D44D33">
        <w:rPr>
          <w:rFonts w:ascii="Times New Roman" w:hAnsi="Times New Roman" w:cs="Times New Roman"/>
          <w:szCs w:val="24"/>
        </w:rPr>
        <w:t>lat.</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Pr="00D44D33">
        <w:rPr>
          <w:rFonts w:ascii="Times New Roman" w:hAnsi="Times New Roman" w:cs="Times New Roman"/>
          <w:szCs w:val="24"/>
        </w:rPr>
        <w:t>wskaże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okres</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obowiązywania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zakazu</w:t>
      </w:r>
      <w:r w:rsidR="00970B2E" w:rsidRPr="00D44D33">
        <w:rPr>
          <w:rFonts w:ascii="Times New Roman" w:hAnsi="Times New Roman" w:cs="Times New Roman"/>
          <w:szCs w:val="24"/>
        </w:rPr>
        <w:t xml:space="preserve"> </w:t>
      </w:r>
      <w:r w:rsidRPr="00D44D33">
        <w:rPr>
          <w:rFonts w:ascii="Times New Roman" w:hAnsi="Times New Roman" w:cs="Times New Roman"/>
          <w:szCs w:val="24"/>
        </w:rPr>
        <w:t>biorąc</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w:t>
      </w:r>
      <w:r w:rsidR="00970B2E" w:rsidRPr="00D44D33">
        <w:rPr>
          <w:rFonts w:ascii="Times New Roman" w:hAnsi="Times New Roman" w:cs="Times New Roman"/>
          <w:szCs w:val="24"/>
        </w:rPr>
        <w:t xml:space="preserve"> </w:t>
      </w:r>
      <w:r w:rsidRPr="00D44D33">
        <w:rPr>
          <w:rFonts w:ascii="Times New Roman" w:hAnsi="Times New Roman" w:cs="Times New Roman"/>
          <w:szCs w:val="24"/>
        </w:rPr>
        <w:t>uwagę</w:t>
      </w:r>
      <w:r w:rsidR="00970B2E" w:rsidRPr="00D44D33">
        <w:rPr>
          <w:rFonts w:ascii="Times New Roman" w:hAnsi="Times New Roman" w:cs="Times New Roman"/>
          <w:szCs w:val="24"/>
        </w:rPr>
        <w:t xml:space="preserve"> </w:t>
      </w:r>
      <w:r w:rsidRPr="00D44D33">
        <w:rPr>
          <w:rFonts w:ascii="Times New Roman" w:hAnsi="Times New Roman" w:cs="Times New Roman"/>
          <w:szCs w:val="24"/>
        </w:rPr>
        <w:t>czas</w:t>
      </w:r>
      <w:r w:rsidR="00970B2E" w:rsidRPr="00D44D33">
        <w:rPr>
          <w:rFonts w:ascii="Times New Roman" w:hAnsi="Times New Roman" w:cs="Times New Roman"/>
          <w:szCs w:val="24"/>
        </w:rPr>
        <w:t xml:space="preserve"> </w:t>
      </w:r>
      <w:r w:rsidRPr="00D44D33">
        <w:rPr>
          <w:rFonts w:ascii="Times New Roman" w:hAnsi="Times New Roman" w:cs="Times New Roman"/>
          <w:szCs w:val="24"/>
        </w:rPr>
        <w:t>trwania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stwierdzonych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naruszeń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nieprawidłowości.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Pr="00D44D33">
        <w:rPr>
          <w:rFonts w:ascii="Times New Roman" w:hAnsi="Times New Roman" w:cs="Times New Roman"/>
          <w:szCs w:val="24"/>
        </w:rPr>
        <w:t>nadaje</w:t>
      </w:r>
      <w:r w:rsidR="00970B2E" w:rsidRPr="00D44D33">
        <w:rPr>
          <w:rFonts w:ascii="Times New Roman" w:hAnsi="Times New Roman" w:cs="Times New Roman"/>
          <w:szCs w:val="24"/>
        </w:rPr>
        <w:t xml:space="preserve"> </w:t>
      </w:r>
      <w:r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Pr="00D44D33">
        <w:rPr>
          <w:rFonts w:ascii="Times New Roman" w:hAnsi="Times New Roman" w:cs="Times New Roman"/>
          <w:szCs w:val="24"/>
        </w:rPr>
        <w:t>rygor</w:t>
      </w:r>
      <w:r w:rsidR="00970B2E" w:rsidRPr="00D44D33">
        <w:rPr>
          <w:rFonts w:ascii="Times New Roman" w:hAnsi="Times New Roman" w:cs="Times New Roman"/>
          <w:szCs w:val="24"/>
        </w:rPr>
        <w:t xml:space="preserve"> </w:t>
      </w:r>
      <w:r w:rsidRPr="00D44D33">
        <w:rPr>
          <w:rFonts w:ascii="Times New Roman" w:hAnsi="Times New Roman" w:cs="Times New Roman"/>
          <w:szCs w:val="24"/>
        </w:rPr>
        <w:t>natychmiastowej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wykonalności.</w:t>
      </w:r>
      <w:r w:rsidR="00970B2E" w:rsidRPr="00D44D33">
        <w:rPr>
          <w:rFonts w:ascii="Times New Roman" w:hAnsi="Times New Roman" w:cs="Times New Roman"/>
          <w:szCs w:val="24"/>
        </w:rPr>
        <w:t xml:space="preserve"> </w:t>
      </w:r>
    </w:p>
    <w:p w14:paraId="79846A54" w14:textId="08EAEF2A" w:rsidR="00F907BB" w:rsidRPr="00D44D33" w:rsidRDefault="00D222A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25298" w:rsidRPr="00D44D33">
        <w:rPr>
          <w:rFonts w:ascii="Times New Roman" w:eastAsiaTheme="minorEastAsia" w:hAnsi="Times New Roman" w:cs="Times New Roman"/>
          <w:b/>
          <w:bCs/>
          <w:sz w:val="24"/>
          <w:szCs w:val="24"/>
        </w:rPr>
        <w:t>279</w:t>
      </w:r>
      <w:r w:rsidR="00970B2E" w:rsidRPr="00D44D33">
        <w:rPr>
          <w:rFonts w:ascii="Times New Roman" w:eastAsiaTheme="minorEastAsia" w:hAnsi="Times New Roman" w:cs="Times New Roman"/>
          <w:b/>
          <w:bCs/>
          <w:sz w:val="24"/>
          <w:szCs w:val="24"/>
        </w:rPr>
        <w:t xml:space="preserve"> </w:t>
      </w:r>
    </w:p>
    <w:p w14:paraId="3F06F101" w14:textId="67F0229B" w:rsidR="00D222AC" w:rsidRPr="00D44D33" w:rsidRDefault="00F907B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I</w:t>
      </w:r>
      <w:r w:rsidR="00D222AC" w:rsidRPr="00D44D33">
        <w:rPr>
          <w:rFonts w:ascii="Times New Roman" w:eastAsiaTheme="minorEastAsia" w:hAnsi="Times New Roman" w:cs="Times New Roman"/>
          <w:b/>
          <w:bCs/>
          <w:sz w:val="24"/>
          <w:szCs w:val="24"/>
        </w:rPr>
        <w:t>nformacje</w:t>
      </w:r>
      <w:r w:rsidR="00970B2E" w:rsidRPr="00D44D33">
        <w:rPr>
          <w:rFonts w:ascii="Times New Roman" w:eastAsiaTheme="minorEastAsia" w:hAnsi="Times New Roman" w:cs="Times New Roman"/>
          <w:b/>
          <w:bCs/>
          <w:sz w:val="24"/>
          <w:szCs w:val="24"/>
        </w:rPr>
        <w:t xml:space="preserve"> </w:t>
      </w:r>
      <w:r w:rsidR="00D222AC" w:rsidRPr="00D44D33">
        <w:rPr>
          <w:rFonts w:ascii="Times New Roman" w:eastAsiaTheme="minorEastAsia" w:hAnsi="Times New Roman" w:cs="Times New Roman"/>
          <w:b/>
          <w:bCs/>
          <w:sz w:val="24"/>
          <w:szCs w:val="24"/>
        </w:rPr>
        <w:t>przedumowne</w:t>
      </w:r>
      <w:r w:rsidR="00970B2E" w:rsidRPr="00D44D33">
        <w:rPr>
          <w:rFonts w:ascii="Times New Roman" w:eastAsiaTheme="minorEastAsia" w:hAnsi="Times New Roman" w:cs="Times New Roman"/>
          <w:b/>
          <w:bCs/>
          <w:sz w:val="24"/>
          <w:szCs w:val="24"/>
        </w:rPr>
        <w:t xml:space="preserve"> </w:t>
      </w:r>
      <w:r w:rsidR="00322EA1"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00322EA1" w:rsidRPr="00D44D33">
        <w:rPr>
          <w:rFonts w:ascii="Times New Roman" w:eastAsiaTheme="minorEastAsia" w:hAnsi="Times New Roman" w:cs="Times New Roman"/>
          <w:b/>
          <w:bCs/>
          <w:sz w:val="24"/>
          <w:szCs w:val="24"/>
        </w:rPr>
        <w:t>zakres,</w:t>
      </w:r>
      <w:r w:rsidR="00970B2E" w:rsidRPr="00D44D33">
        <w:rPr>
          <w:rFonts w:ascii="Times New Roman" w:eastAsiaTheme="minorEastAsia" w:hAnsi="Times New Roman" w:cs="Times New Roman"/>
          <w:b/>
          <w:bCs/>
          <w:sz w:val="24"/>
          <w:szCs w:val="24"/>
        </w:rPr>
        <w:t xml:space="preserve"> </w:t>
      </w:r>
      <w:r w:rsidR="00322EA1" w:rsidRPr="00D44D33">
        <w:rPr>
          <w:rFonts w:ascii="Times New Roman" w:eastAsiaTheme="minorEastAsia" w:hAnsi="Times New Roman" w:cs="Times New Roman"/>
          <w:b/>
          <w:bCs/>
          <w:sz w:val="24"/>
          <w:szCs w:val="24"/>
        </w:rPr>
        <w:t>sposób</w:t>
      </w:r>
      <w:r w:rsidR="00970B2E" w:rsidRPr="00D44D33">
        <w:rPr>
          <w:rFonts w:ascii="Times New Roman" w:eastAsiaTheme="minorEastAsia" w:hAnsi="Times New Roman" w:cs="Times New Roman"/>
          <w:b/>
          <w:bCs/>
          <w:sz w:val="24"/>
          <w:szCs w:val="24"/>
        </w:rPr>
        <w:t xml:space="preserve"> </w:t>
      </w:r>
      <w:r w:rsidR="00322EA1" w:rsidRPr="00D44D33">
        <w:rPr>
          <w:rFonts w:ascii="Times New Roman" w:eastAsiaTheme="minorEastAsia" w:hAnsi="Times New Roman" w:cs="Times New Roman"/>
          <w:b/>
          <w:bCs/>
          <w:sz w:val="24"/>
          <w:szCs w:val="24"/>
        </w:rPr>
        <w:t>doręczania</w:t>
      </w:r>
    </w:p>
    <w:p w14:paraId="0858888F" w14:textId="37E5DD93" w:rsidR="00D222AC" w:rsidRPr="00D44D33" w:rsidRDefault="00F907B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E25298" w:rsidRPr="00D44D33">
        <w:rPr>
          <w:rFonts w:ascii="Times New Roman" w:eastAsiaTheme="minorEastAsia" w:hAnsi="Times New Roman" w:cs="Times New Roman"/>
          <w:sz w:val="24"/>
          <w:szCs w:val="24"/>
        </w:rPr>
        <w:t>279</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udzielania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102</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załącznika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VIII.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niewynikający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Przedmiotowe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mikroprzedsiębiorcami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małymi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organizacjami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pozarządowymi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wolontariacie</w:t>
      </w:r>
      <w:r w:rsidR="00D73B12"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M2M.</w:t>
      </w:r>
      <w:r w:rsidR="00970B2E" w:rsidRPr="00D44D33">
        <w:rPr>
          <w:rFonts w:ascii="Times New Roman" w:eastAsiaTheme="minorEastAsia" w:hAnsi="Times New Roman" w:cs="Times New Roman"/>
          <w:sz w:val="24"/>
          <w:szCs w:val="24"/>
        </w:rPr>
        <w:t xml:space="preserve"> </w:t>
      </w:r>
    </w:p>
    <w:p w14:paraId="477B9D95" w14:textId="5C2C6362" w:rsidR="00D222AC" w:rsidRPr="00D44D33" w:rsidRDefault="00D222A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świadomej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najkorzystniejszej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D9781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D9781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Powołanie</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przejściowych</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trudności</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zaistniały</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obiektywny</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niezależny</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łatwych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źródła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pouczeniem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utrwalenia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odtworzenia</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niezmienionej</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odformalizowany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nabywania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niewielki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rozmiar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zestawów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opakowaniu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dołączonych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zapoznać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ust</w:t>
      </w:r>
      <w:r w:rsidR="00F907B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2-6</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5481D" w:rsidRPr="00D44D33">
        <w:rPr>
          <w:rFonts w:ascii="Times New Roman" w:eastAsiaTheme="minorEastAsia" w:hAnsi="Times New Roman" w:cs="Times New Roman"/>
          <w:sz w:val="24"/>
          <w:szCs w:val="24"/>
        </w:rPr>
        <w:t>Upk)</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2</w:t>
      </w:r>
      <w:r w:rsidR="00425EC3" w:rsidRPr="00D44D33">
        <w:rPr>
          <w:rFonts w:ascii="Times New Roman" w:eastAsiaTheme="minorEastAsia" w:hAnsi="Times New Roman" w:cs="Times New Roman"/>
          <w:bCs/>
          <w:sz w:val="24"/>
          <w:szCs w:val="24"/>
        </w:rPr>
        <w:t>–</w:t>
      </w:r>
      <w:r w:rsidR="00185D2F"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konkretnej</w:t>
      </w:r>
      <w:r w:rsidR="00970B2E" w:rsidRPr="00D44D33">
        <w:rPr>
          <w:rFonts w:ascii="Times New Roman" w:eastAsiaTheme="minorEastAsia" w:hAnsi="Times New Roman" w:cs="Times New Roman"/>
          <w:sz w:val="24"/>
          <w:szCs w:val="24"/>
        </w:rPr>
        <w:t xml:space="preserve"> </w:t>
      </w:r>
      <w:r w:rsidR="00185D2F" w:rsidRPr="00D44D33">
        <w:rPr>
          <w:rFonts w:ascii="Times New Roman" w:eastAsiaTheme="minorEastAsia" w:hAnsi="Times New Roman" w:cs="Times New Roman"/>
          <w:sz w:val="24"/>
          <w:szCs w:val="24"/>
        </w:rPr>
        <w:t>nabywanej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w:t>
      </w:r>
      <w:r w:rsidR="00185D2F" w:rsidRPr="00D44D33">
        <w:rPr>
          <w:rFonts w:ascii="Times New Roman" w:eastAsiaTheme="minorEastAsia" w:hAnsi="Times New Roman" w:cs="Times New Roman"/>
          <w:sz w:val="24"/>
          <w:szCs w:val="24"/>
        </w:rPr>
        <w:t>pk</w:t>
      </w:r>
      <w:r w:rsidR="00970B2E" w:rsidRPr="00D44D33">
        <w:rPr>
          <w:rFonts w:ascii="Times New Roman" w:eastAsiaTheme="minorEastAsia" w:hAnsi="Times New Roman" w:cs="Times New Roman"/>
          <w:sz w:val="24"/>
          <w:szCs w:val="24"/>
        </w:rPr>
        <w:t xml:space="preserve"> </w:t>
      </w:r>
      <w:r w:rsidR="00425EC3"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odległość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w:t>
      </w:r>
      <w:r w:rsidR="00185D2F" w:rsidRPr="00D44D33">
        <w:rPr>
          <w:rFonts w:ascii="Times New Roman" w:eastAsiaTheme="minorEastAsia" w:hAnsi="Times New Roman" w:cs="Times New Roman"/>
          <w:sz w:val="24"/>
          <w:szCs w:val="24"/>
        </w:rPr>
        <w:t>pk</w:t>
      </w:r>
      <w:r w:rsidR="00970B2E" w:rsidRPr="00D44D33">
        <w:rPr>
          <w:rFonts w:ascii="Times New Roman" w:eastAsiaTheme="minorEastAsia" w:hAnsi="Times New Roman" w:cs="Times New Roman"/>
          <w:sz w:val="24"/>
          <w:szCs w:val="24"/>
        </w:rPr>
        <w:t xml:space="preserve"> </w:t>
      </w:r>
      <w:r w:rsidR="00425EC3"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odległość).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D92CBB4" w:rsidRPr="00D44D33">
        <w:rPr>
          <w:rFonts w:ascii="Times New Roman" w:eastAsiaTheme="minorEastAsia" w:hAnsi="Times New Roman" w:cs="Times New Roman"/>
          <w:sz w:val="24"/>
          <w:szCs w:val="24"/>
        </w:rPr>
        <w:t>U</w:t>
      </w:r>
      <w:r w:rsidR="00434CDC" w:rsidRPr="00D44D33">
        <w:rPr>
          <w:rFonts w:ascii="Times New Roman" w:eastAsiaTheme="minorEastAsia" w:hAnsi="Times New Roman" w:cs="Times New Roman"/>
          <w:sz w:val="24"/>
          <w:szCs w:val="24"/>
        </w:rPr>
        <w:t>pk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nieuregulowanym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Upk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odległość,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dublowania</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wymaganych</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7F3DC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Dyrektywie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2011/83/UE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25</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października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2011</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zmieniającej</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93/13/EWG</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1999/44/WE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uchylająca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85/577/EWG</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97/7/WE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Upk</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doprecyzowuje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poszczególne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przykładu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Upk</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głównych</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cechach</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przedmiotu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7AAC81F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36F0D" w:rsidRPr="00D44D33">
        <w:rPr>
          <w:rFonts w:ascii="Times New Roman" w:eastAsiaTheme="minorEastAsia" w:hAnsi="Times New Roman" w:cs="Times New Roman"/>
          <w:sz w:val="24"/>
          <w:szCs w:val="24"/>
        </w:rPr>
        <w:t xml:space="preserve">279 </w:t>
      </w:r>
      <w:r w:rsidR="0089785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wymaga</w:t>
      </w:r>
      <w:r w:rsidR="2F68E76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główne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cechy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każdej</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minimalne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poziomy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konkretne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gwarantowane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parametry</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minimalnych</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poziomów</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usług.</w:t>
      </w:r>
    </w:p>
    <w:p w14:paraId="6C59297A" w14:textId="68F847EA" w:rsidR="000B794E" w:rsidRPr="00D44D33" w:rsidRDefault="000B794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Upk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istotnych</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ciężaru</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dowodu</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informacyjnych</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U</w:t>
      </w:r>
      <w:r w:rsidR="00594001" w:rsidRPr="00D44D33">
        <w:rPr>
          <w:rFonts w:ascii="Times New Roman" w:eastAsiaTheme="minorEastAsia" w:hAnsi="Times New Roman" w:cs="Times New Roman"/>
          <w:sz w:val="24"/>
          <w:szCs w:val="24"/>
        </w:rPr>
        <w:t>pk)</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wyeliminowanie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patogennych</w:t>
      </w:r>
      <w:r w:rsidR="00434C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niewydawane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wreszcie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konsekwencji</w:t>
      </w:r>
      <w:r w:rsidR="00970B2E" w:rsidRPr="00D44D33">
        <w:rPr>
          <w:rFonts w:ascii="Times New Roman" w:eastAsiaTheme="minorEastAsia" w:hAnsi="Times New Roman" w:cs="Times New Roman"/>
          <w:sz w:val="24"/>
          <w:szCs w:val="24"/>
        </w:rPr>
        <w:t xml:space="preserve"> </w:t>
      </w:r>
      <w:r w:rsidR="48616A25" w:rsidRPr="00D44D33">
        <w:rPr>
          <w:rFonts w:ascii="Times New Roman" w:eastAsiaTheme="minorEastAsia" w:hAnsi="Times New Roman" w:cs="Times New Roman"/>
          <w:sz w:val="24"/>
          <w:szCs w:val="24"/>
        </w:rPr>
        <w:t>nie</w:t>
      </w:r>
      <w:r w:rsidR="00594001"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pobierania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0059400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3399310C" w14:textId="234036E5" w:rsidR="006A1F1D" w:rsidRPr="00D44D33" w:rsidRDefault="006A1F1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Calibri" w:hAnsi="Times New Roman" w:cs="Times New Roman"/>
          <w:sz w:val="24"/>
          <w:szCs w:val="24"/>
          <w:lang w:eastAsia="ar-SA"/>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stosowane</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Pke.</w:t>
      </w:r>
    </w:p>
    <w:p w14:paraId="16FB596D" w14:textId="0D1A2D12" w:rsidR="00A6376A" w:rsidRPr="00D44D33" w:rsidRDefault="0089785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przekonały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434CDC" w:rsidRPr="00D44D33">
        <w:rPr>
          <w:rFonts w:ascii="Times New Roman" w:eastAsiaTheme="minorEastAsia" w:hAnsi="Times New Roman" w:cs="Times New Roman"/>
          <w:sz w:val="24"/>
          <w:szCs w:val="24"/>
        </w:rPr>
        <w:t>zaakceptowane</w:t>
      </w:r>
      <w:r w:rsidR="00970B2E" w:rsidRPr="00D44D33">
        <w:rPr>
          <w:rFonts w:ascii="Times New Roman" w:eastAsiaTheme="minorEastAsia" w:hAnsi="Times New Roman" w:cs="Times New Roman"/>
          <w:sz w:val="24"/>
          <w:szCs w:val="24"/>
        </w:rPr>
        <w:t xml:space="preserve"> </w:t>
      </w:r>
      <w:r w:rsidR="00374F29"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374F29" w:rsidRPr="00D44D33">
        <w:rPr>
          <w:rFonts w:ascii="Times New Roman" w:eastAsiaTheme="minorEastAsia" w:hAnsi="Times New Roman" w:cs="Times New Roman"/>
          <w:sz w:val="24"/>
          <w:szCs w:val="24"/>
        </w:rPr>
        <w:t>podpisaniu</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integralną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581545" w:rsidRPr="00D44D33">
        <w:rPr>
          <w:rFonts w:ascii="Times New Roman" w:eastAsiaTheme="minorEastAsia" w:hAnsi="Times New Roman" w:cs="Times New Roman"/>
          <w:sz w:val="24"/>
          <w:szCs w:val="24"/>
        </w:rPr>
        <w:t>zęścią</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00322EA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22EA1" w:rsidRPr="00D44D33">
        <w:rPr>
          <w:rFonts w:ascii="Times New Roman" w:eastAsiaTheme="minorEastAsia" w:hAnsi="Times New Roman" w:cs="Times New Roman"/>
          <w:sz w:val="24"/>
          <w:szCs w:val="24"/>
        </w:rPr>
        <w:t>8)</w:t>
      </w:r>
      <w:r w:rsidR="0058154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wyraźnym</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porozumieniem</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stron</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wzorem</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102</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szczególny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skutkuje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zmienione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staną</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elementem</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3F2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dotyczyły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zawarciu</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dochodzi</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00322EA1" w:rsidRPr="00D44D33">
        <w:rPr>
          <w:rFonts w:ascii="Times New Roman" w:eastAsiaTheme="minorEastAsia" w:hAnsi="Times New Roman" w:cs="Times New Roman"/>
          <w:sz w:val="24"/>
          <w:szCs w:val="24"/>
        </w:rPr>
        <w:t>umownego</w:t>
      </w:r>
      <w:r w:rsidR="0058154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959B40B" w14:textId="47149366" w:rsidR="00E6105D" w:rsidRPr="00D44D33" w:rsidRDefault="00322EA1"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E25298" w:rsidRPr="00D44D33">
        <w:rPr>
          <w:rFonts w:ascii="Times New Roman" w:eastAsiaTheme="minorEastAsia" w:hAnsi="Times New Roman" w:cs="Times New Roman"/>
          <w:b/>
          <w:sz w:val="24"/>
          <w:szCs w:val="24"/>
        </w:rPr>
        <w:t>280</w:t>
      </w:r>
    </w:p>
    <w:p w14:paraId="43A269B0" w14:textId="315D0255" w:rsidR="00322EA1" w:rsidRPr="00D44D33" w:rsidRDefault="00E6105D"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I</w:t>
      </w:r>
      <w:r w:rsidR="00322EA1" w:rsidRPr="00D44D33">
        <w:rPr>
          <w:rFonts w:ascii="Times New Roman" w:eastAsiaTheme="minorEastAsia" w:hAnsi="Times New Roman" w:cs="Times New Roman"/>
          <w:b/>
          <w:sz w:val="24"/>
          <w:szCs w:val="24"/>
        </w:rPr>
        <w:t>nformacje</w:t>
      </w:r>
      <w:r w:rsidR="00970B2E" w:rsidRPr="00D44D33">
        <w:rPr>
          <w:rFonts w:ascii="Times New Roman" w:eastAsiaTheme="minorEastAsia" w:hAnsi="Times New Roman" w:cs="Times New Roman"/>
          <w:b/>
          <w:sz w:val="24"/>
          <w:szCs w:val="24"/>
        </w:rPr>
        <w:t xml:space="preserve"> </w:t>
      </w:r>
      <w:r w:rsidR="00322EA1" w:rsidRPr="00D44D33">
        <w:rPr>
          <w:rFonts w:ascii="Times New Roman" w:eastAsiaTheme="minorEastAsia" w:hAnsi="Times New Roman" w:cs="Times New Roman"/>
          <w:b/>
          <w:sz w:val="24"/>
          <w:szCs w:val="24"/>
        </w:rPr>
        <w:t>przedumowne</w:t>
      </w:r>
      <w:r w:rsidR="00970B2E" w:rsidRPr="00D44D33">
        <w:rPr>
          <w:rFonts w:ascii="Times New Roman" w:eastAsiaTheme="minorEastAsia" w:hAnsi="Times New Roman" w:cs="Times New Roman"/>
          <w:b/>
          <w:sz w:val="24"/>
          <w:szCs w:val="24"/>
        </w:rPr>
        <w:t xml:space="preserve"> </w:t>
      </w:r>
      <w:r w:rsidR="00322EA1"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b/>
          <w:sz w:val="24"/>
          <w:szCs w:val="24"/>
        </w:rPr>
        <w:t xml:space="preserve"> </w:t>
      </w:r>
      <w:r w:rsidR="00322EA1" w:rsidRPr="00D44D33">
        <w:rPr>
          <w:rFonts w:ascii="Times New Roman" w:eastAsiaTheme="minorEastAsia" w:hAnsi="Times New Roman" w:cs="Times New Roman"/>
          <w:b/>
          <w:sz w:val="24"/>
          <w:szCs w:val="24"/>
        </w:rPr>
        <w:t>sposób</w:t>
      </w:r>
      <w:r w:rsidR="00970B2E" w:rsidRPr="00D44D33">
        <w:rPr>
          <w:rFonts w:ascii="Times New Roman" w:eastAsiaTheme="minorEastAsia" w:hAnsi="Times New Roman" w:cs="Times New Roman"/>
          <w:b/>
          <w:sz w:val="24"/>
          <w:szCs w:val="24"/>
        </w:rPr>
        <w:t xml:space="preserve"> </w:t>
      </w:r>
      <w:r w:rsidR="00322EA1" w:rsidRPr="00D44D33">
        <w:rPr>
          <w:rFonts w:ascii="Times New Roman" w:eastAsiaTheme="minorEastAsia" w:hAnsi="Times New Roman" w:cs="Times New Roman"/>
          <w:b/>
          <w:sz w:val="24"/>
          <w:szCs w:val="24"/>
        </w:rPr>
        <w:t>przedstawiania</w:t>
      </w:r>
    </w:p>
    <w:p w14:paraId="48BD5C87" w14:textId="54555229" w:rsidR="00322EA1" w:rsidRPr="00D44D33" w:rsidRDefault="00322EA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jasny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zrozumiały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wzorcach</w:t>
      </w:r>
      <w:r w:rsidR="00970B2E" w:rsidRPr="00D44D33">
        <w:rPr>
          <w:rFonts w:ascii="Times New Roman" w:eastAsiaTheme="minorEastAsia" w:hAnsi="Times New Roman" w:cs="Times New Roman"/>
          <w:sz w:val="24"/>
          <w:szCs w:val="24"/>
        </w:rPr>
        <w:t xml:space="preserve"> </w:t>
      </w:r>
      <w:r w:rsidR="09065FA6" w:rsidRPr="00D44D33">
        <w:rPr>
          <w:rFonts w:ascii="Times New Roman" w:eastAsiaTheme="minorEastAsia" w:hAnsi="Times New Roman" w:cs="Times New Roman"/>
          <w:sz w:val="24"/>
          <w:szCs w:val="24"/>
        </w:rPr>
        <w:t>umowny</w:t>
      </w:r>
      <w:r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przenoszone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przeudmownych,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wszelkich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zamknięty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podziałem.</w:t>
      </w:r>
    </w:p>
    <w:p w14:paraId="23938DD9" w14:textId="6E7DFBF8" w:rsidR="00A079CB" w:rsidRPr="00D44D33" w:rsidRDefault="00A079CB"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Konsument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ramach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przedumownych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powinien</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uzyskać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zasadach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oraz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cenach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wszelkich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opłatach,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które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może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ponieść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związku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korzystaniem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Dzięki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uzyskaniu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pełnej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temat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korzystania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konsument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będzie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zaskakiwany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dodatkowymi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warunkami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opłatami,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które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mogłyby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zostać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nałożone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trakcie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trwania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Jednocześnie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informacje</w:t>
      </w:r>
      <w:r w:rsidR="00474247"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które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konsument</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otrzyma,</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jako</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stające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integralną</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częścią</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powinny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dotyczyć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wybranej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zaś</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stanowić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przedstawienie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wszelkich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dostępnych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ofertach.</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Informacje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przedumowne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powinny</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wskazywać</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najważniejsze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cechy</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konkretnej,</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nabywanej</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taki</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sposób,</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aby</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konsument</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miał</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wątpliwości</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jaki</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zakres</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zobowiązań</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uprawnień</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każdej</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ze</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stron</w:t>
      </w:r>
      <w:r w:rsidR="00970B2E" w:rsidRPr="00D44D33">
        <w:rPr>
          <w:rFonts w:ascii="Times New Roman" w:eastAsiaTheme="minorEastAsia" w:hAnsi="Times New Roman" w:cs="Times New Roman"/>
          <w:bCs/>
          <w:sz w:val="24"/>
          <w:szCs w:val="24"/>
        </w:rPr>
        <w:t xml:space="preserve"> </w:t>
      </w:r>
      <w:r w:rsidR="00474247" w:rsidRPr="00D44D33">
        <w:rPr>
          <w:rFonts w:ascii="Times New Roman" w:eastAsiaTheme="minorEastAsia" w:hAnsi="Times New Roman" w:cs="Times New Roman"/>
          <w:bCs/>
          <w:sz w:val="24"/>
          <w:szCs w:val="24"/>
        </w:rPr>
        <w:t>umowy.</w:t>
      </w:r>
    </w:p>
    <w:p w14:paraId="6EB57966" w14:textId="0A547CC5" w:rsidR="00322EA1" w:rsidRPr="00D44D33" w:rsidRDefault="00322EA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każde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wyrażone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A374DB"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A374D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nieodpłatnie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doręczyć</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papierze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wybranym</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konsumenta</w:t>
      </w:r>
      <w:r w:rsidRPr="00D44D33">
        <w:rPr>
          <w:rFonts w:ascii="Times New Roman" w:eastAsiaTheme="minorEastAsia" w:hAnsi="Times New Roman" w:cs="Times New Roman"/>
          <w:sz w:val="24"/>
          <w:szCs w:val="24"/>
        </w:rPr>
        <w:t>.</w:t>
      </w:r>
    </w:p>
    <w:p w14:paraId="42FF2767" w14:textId="7B677AE8" w:rsidR="00322EA1" w:rsidRPr="00D44D33" w:rsidRDefault="00207EB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przedkładania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każde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C6B4B" w:rsidRPr="00D44D33">
        <w:rPr>
          <w:rFonts w:ascii="Times New Roman" w:eastAsiaTheme="minorEastAsia" w:hAnsi="Times New Roman" w:cs="Times New Roman"/>
          <w:sz w:val="24"/>
          <w:szCs w:val="24"/>
        </w:rPr>
        <w:t>t</w:t>
      </w:r>
      <w:r w:rsidR="00F01158" w:rsidRPr="00D44D33">
        <w:rPr>
          <w:rFonts w:ascii="Times New Roman" w:eastAsiaTheme="minorEastAsia" w:hAnsi="Times New Roman" w:cs="Times New Roman"/>
          <w:sz w:val="24"/>
          <w:szCs w:val="24"/>
        </w:rPr>
        <w:t>erminie</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F01158" w:rsidRPr="00D44D33">
        <w:rPr>
          <w:rFonts w:ascii="Times New Roman" w:eastAsiaTheme="minorEastAsia" w:hAnsi="Times New Roman" w:cs="Times New Roman"/>
          <w:sz w:val="24"/>
          <w:szCs w:val="24"/>
        </w:rPr>
        <w:t>określonym.</w:t>
      </w:r>
    </w:p>
    <w:p w14:paraId="4C4BD197" w14:textId="7313EC42" w:rsidR="002E2894" w:rsidRPr="00D44D33" w:rsidRDefault="00D222A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25298" w:rsidRPr="00D44D33">
        <w:rPr>
          <w:rFonts w:ascii="Times New Roman" w:eastAsiaTheme="minorEastAsia" w:hAnsi="Times New Roman" w:cs="Times New Roman"/>
          <w:b/>
          <w:bCs/>
          <w:sz w:val="24"/>
          <w:szCs w:val="24"/>
        </w:rPr>
        <w:t>281</w:t>
      </w:r>
      <w:r w:rsidR="00970B2E" w:rsidRPr="00D44D33">
        <w:rPr>
          <w:rFonts w:ascii="Times New Roman" w:eastAsiaTheme="minorEastAsia" w:hAnsi="Times New Roman" w:cs="Times New Roman"/>
          <w:b/>
          <w:bCs/>
          <w:sz w:val="24"/>
          <w:szCs w:val="24"/>
        </w:rPr>
        <w:t xml:space="preserve"> </w:t>
      </w:r>
    </w:p>
    <w:p w14:paraId="5197833E" w14:textId="13B46932" w:rsidR="00D222AC" w:rsidRPr="00D44D33" w:rsidRDefault="002E289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Z</w:t>
      </w:r>
      <w:r w:rsidR="00D222AC" w:rsidRPr="00D44D33">
        <w:rPr>
          <w:rFonts w:ascii="Times New Roman" w:eastAsiaTheme="minorEastAsia" w:hAnsi="Times New Roman" w:cs="Times New Roman"/>
          <w:b/>
          <w:bCs/>
          <w:sz w:val="24"/>
          <w:szCs w:val="24"/>
        </w:rPr>
        <w:t>więzłe</w:t>
      </w:r>
      <w:r w:rsidR="00970B2E" w:rsidRPr="00D44D33">
        <w:rPr>
          <w:rFonts w:ascii="Times New Roman" w:eastAsiaTheme="minorEastAsia" w:hAnsi="Times New Roman" w:cs="Times New Roman"/>
          <w:b/>
          <w:bCs/>
          <w:sz w:val="24"/>
          <w:szCs w:val="24"/>
        </w:rPr>
        <w:t xml:space="preserve"> </w:t>
      </w:r>
      <w:r w:rsidR="00D222AC" w:rsidRPr="00D44D33">
        <w:rPr>
          <w:rFonts w:ascii="Times New Roman" w:eastAsiaTheme="minorEastAsia" w:hAnsi="Times New Roman" w:cs="Times New Roman"/>
          <w:b/>
          <w:bCs/>
          <w:sz w:val="24"/>
          <w:szCs w:val="24"/>
        </w:rPr>
        <w:t>podsumowanie</w:t>
      </w:r>
      <w:r w:rsidR="00970B2E" w:rsidRPr="00D44D33">
        <w:rPr>
          <w:rFonts w:ascii="Times New Roman" w:eastAsiaTheme="minorEastAsia" w:hAnsi="Times New Roman" w:cs="Times New Roman"/>
          <w:b/>
          <w:bCs/>
          <w:sz w:val="24"/>
          <w:szCs w:val="24"/>
        </w:rPr>
        <w:t xml:space="preserve"> </w:t>
      </w:r>
      <w:r w:rsidR="00D222AC" w:rsidRPr="00D44D33">
        <w:rPr>
          <w:rFonts w:ascii="Times New Roman" w:eastAsiaTheme="minorEastAsia" w:hAnsi="Times New Roman" w:cs="Times New Roman"/>
          <w:b/>
          <w:bCs/>
          <w:sz w:val="24"/>
          <w:szCs w:val="24"/>
        </w:rPr>
        <w:t>warunków</w:t>
      </w:r>
      <w:r w:rsidR="00970B2E" w:rsidRPr="00D44D33">
        <w:rPr>
          <w:rFonts w:ascii="Times New Roman" w:eastAsiaTheme="minorEastAsia" w:hAnsi="Times New Roman" w:cs="Times New Roman"/>
          <w:b/>
          <w:bCs/>
          <w:sz w:val="24"/>
          <w:szCs w:val="24"/>
        </w:rPr>
        <w:t xml:space="preserve"> </w:t>
      </w:r>
      <w:r w:rsidR="00D222AC" w:rsidRPr="00D44D33">
        <w:rPr>
          <w:rFonts w:ascii="Times New Roman" w:eastAsiaTheme="minorEastAsia" w:hAnsi="Times New Roman" w:cs="Times New Roman"/>
          <w:b/>
          <w:bCs/>
          <w:sz w:val="24"/>
          <w:szCs w:val="24"/>
        </w:rPr>
        <w:t>umowy</w:t>
      </w:r>
    </w:p>
    <w:p w14:paraId="3C92BFC9" w14:textId="68C6820D" w:rsidR="00D222AC" w:rsidRPr="00D44D33" w:rsidRDefault="002E289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371EEA">
        <w:rPr>
          <w:rFonts w:ascii="Times New Roman" w:eastAsiaTheme="minorEastAsia" w:hAnsi="Times New Roman" w:cs="Times New Roman"/>
          <w:sz w:val="24"/>
          <w:szCs w:val="24"/>
        </w:rPr>
        <w:t xml:space="preserve"> </w:t>
      </w:r>
      <w:r w:rsidR="00E25298" w:rsidRPr="00D44D33">
        <w:rPr>
          <w:rFonts w:ascii="Times New Roman" w:eastAsiaTheme="minorEastAsia" w:hAnsi="Times New Roman" w:cs="Times New Roman"/>
          <w:sz w:val="24"/>
          <w:szCs w:val="24"/>
        </w:rPr>
        <w:t>281</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102</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niewynikający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łatwego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zapoznania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najważniejszymi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porównywania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doręczać</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bezpłatnie</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00897857"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zwięzłe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podsumowanie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Podsumowanie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doręczone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obiektywne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przeszkody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problem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wydrukowaniem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salonie,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problem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serwerem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wysyłaniu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maila)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przedstawienie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podsumowania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przedstawia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niezwłocznie,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stanie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zawarciu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skuteczne,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potwierdzone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otrzymaniu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podsumowania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rezultacie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staje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skuteczna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otrzymaniu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chęci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przedstawionych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uchronić</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związaniem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i</w:t>
      </w:r>
      <w:r w:rsidR="00D222AC"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przedstawione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p>
    <w:p w14:paraId="64D448D3" w14:textId="2F1B5967" w:rsidR="00D222AC" w:rsidRPr="00D44D33" w:rsidRDefault="0089785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Zwięzłe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podsumowanie,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przekonało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374F2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74F29"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374F29" w:rsidRPr="00D44D33">
        <w:rPr>
          <w:rFonts w:ascii="Times New Roman" w:eastAsiaTheme="minorEastAsia" w:hAnsi="Times New Roman" w:cs="Times New Roman"/>
          <w:sz w:val="24"/>
          <w:szCs w:val="24"/>
        </w:rPr>
        <w:t>podpisaniu</w:t>
      </w:r>
      <w:r w:rsidR="00970B2E" w:rsidRPr="00D44D33">
        <w:rPr>
          <w:rFonts w:ascii="Times New Roman" w:eastAsiaTheme="minorEastAsia" w:hAnsi="Times New Roman" w:cs="Times New Roman"/>
          <w:sz w:val="24"/>
          <w:szCs w:val="24"/>
        </w:rPr>
        <w:t xml:space="preserve"> </w:t>
      </w:r>
      <w:r w:rsidR="00581545" w:rsidRPr="00D44D33">
        <w:rPr>
          <w:rFonts w:ascii="Times New Roman" w:eastAsiaTheme="minorEastAsia" w:hAnsi="Times New Roman" w:cs="Times New Roman"/>
          <w:sz w:val="24"/>
          <w:szCs w:val="24"/>
        </w:rPr>
        <w:t>umowy</w:t>
      </w:r>
      <w:r w:rsidR="00374F2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integralną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umawiające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wyraźnie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inaczej.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podsumowania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Wykonawczym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2019/2243</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17</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2019</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ustanawiającym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formularz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zawierający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podsumowanie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używany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2018/1972</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(Dz.U.UE.L.2019.336.274).</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implementacji</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zrezygnowano</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określania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wzoru</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podsumowania.</w:t>
      </w:r>
    </w:p>
    <w:p w14:paraId="7F460C58" w14:textId="674FFF46" w:rsidR="0044009E" w:rsidRPr="00D44D33" w:rsidRDefault="1F5BD20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25298" w:rsidRPr="00D44D33">
        <w:rPr>
          <w:rFonts w:ascii="Times New Roman" w:eastAsiaTheme="minorEastAsia" w:hAnsi="Times New Roman" w:cs="Times New Roman"/>
          <w:b/>
          <w:bCs/>
          <w:sz w:val="24"/>
          <w:szCs w:val="24"/>
        </w:rPr>
        <w:t>282</w:t>
      </w:r>
      <w:r w:rsidR="00970B2E" w:rsidRPr="00D44D33">
        <w:rPr>
          <w:rFonts w:ascii="Times New Roman" w:eastAsiaTheme="minorEastAsia" w:hAnsi="Times New Roman" w:cs="Times New Roman"/>
          <w:b/>
          <w:bCs/>
          <w:sz w:val="24"/>
          <w:szCs w:val="24"/>
        </w:rPr>
        <w:t xml:space="preserve"> </w:t>
      </w:r>
    </w:p>
    <w:p w14:paraId="3EFAB971" w14:textId="3D54795D" w:rsidR="1F5BD202" w:rsidRPr="00D44D33" w:rsidRDefault="0044009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U</w:t>
      </w:r>
      <w:r w:rsidR="00264765" w:rsidRPr="00D44D33">
        <w:rPr>
          <w:rFonts w:ascii="Times New Roman" w:eastAsiaTheme="minorEastAsia" w:hAnsi="Times New Roman" w:cs="Times New Roman"/>
          <w:b/>
          <w:bCs/>
          <w:sz w:val="24"/>
          <w:szCs w:val="24"/>
        </w:rPr>
        <w:t>mowa</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konsumentem</w:t>
      </w:r>
    </w:p>
    <w:p w14:paraId="33A90861" w14:textId="1066FCFB" w:rsidR="0040057B" w:rsidRPr="00D44D33" w:rsidRDefault="0044009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E25298" w:rsidRPr="00D44D33">
        <w:rPr>
          <w:rFonts w:ascii="Times New Roman" w:eastAsiaTheme="minorEastAsia" w:hAnsi="Times New Roman" w:cs="Times New Roman"/>
          <w:sz w:val="24"/>
          <w:szCs w:val="24"/>
        </w:rPr>
        <w:t>282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5D3582"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obligatoryjnych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Upk</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zdaniem</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projektodawcy</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abonenta</w:t>
      </w:r>
      <w:r w:rsidR="23C34FB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uwzględniają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polskie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telekomunikacyjnych</w:t>
      </w:r>
      <w:r w:rsidR="000167A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istotną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informacj</w:t>
      </w:r>
      <w:r w:rsidR="5FA4ECDE"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umowie:</w:t>
      </w:r>
    </w:p>
    <w:p w14:paraId="76B35364" w14:textId="5015CE51" w:rsidR="0040057B" w:rsidRPr="00D44D33" w:rsidRDefault="0040057B"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zwięzłym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podsumowaniu</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58932195" w14:textId="55860285" w:rsidR="0040057B" w:rsidRPr="00D44D33" w:rsidRDefault="0040057B"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adres</w:t>
      </w:r>
      <w:r w:rsidR="280A0F1C"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374F29"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00374F29"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43A06CC1"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telefonu</w:t>
      </w:r>
      <w:r w:rsidR="00970B2E" w:rsidRPr="00D44D33">
        <w:rPr>
          <w:rFonts w:ascii="Times New Roman" w:eastAsiaTheme="minorEastAsia" w:hAnsi="Times New Roman" w:cs="Times New Roman"/>
          <w:sz w:val="24"/>
          <w:szCs w:val="24"/>
        </w:rPr>
        <w:t xml:space="preserve"> </w:t>
      </w:r>
      <w:r w:rsidR="00374F29"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00374F29" w:rsidRPr="00D44D33">
        <w:rPr>
          <w:rFonts w:ascii="Times New Roman" w:hAnsi="Times New Roman" w:cs="Times New Roman"/>
          <w:sz w:val="24"/>
          <w:szCs w:val="24"/>
        </w:rPr>
        <w:t>adres</w:t>
      </w:r>
      <w:r w:rsidR="00970B2E" w:rsidRPr="00D44D33">
        <w:rPr>
          <w:rFonts w:ascii="Times New Roman" w:hAnsi="Times New Roman" w:cs="Times New Roman"/>
          <w:sz w:val="24"/>
          <w:szCs w:val="24"/>
        </w:rPr>
        <w:t xml:space="preserve"> </w:t>
      </w:r>
      <w:r w:rsidR="00374F29" w:rsidRPr="00D44D33">
        <w:rPr>
          <w:rFonts w:ascii="Times New Roman" w:hAnsi="Times New Roman" w:cs="Times New Roman"/>
          <w:sz w:val="24"/>
          <w:szCs w:val="24"/>
        </w:rPr>
        <w:t>elektroniczny</w:t>
      </w:r>
      <w:r w:rsidR="00970B2E" w:rsidRPr="00D44D33">
        <w:rPr>
          <w:rFonts w:ascii="Times New Roman" w:hAnsi="Times New Roman" w:cs="Times New Roman"/>
          <w:sz w:val="24"/>
          <w:szCs w:val="24"/>
        </w:rPr>
        <w:t xml:space="preserve"> </w:t>
      </w:r>
      <w:r w:rsidR="00374F29" w:rsidRPr="00D44D33">
        <w:rPr>
          <w:rFonts w:ascii="Times New Roman" w:hAnsi="Times New Roman" w:cs="Times New Roman"/>
          <w:sz w:val="24"/>
          <w:szCs w:val="24"/>
        </w:rPr>
        <w:t>innego</w:t>
      </w:r>
      <w:r w:rsidR="00970B2E" w:rsidRPr="00D44D33">
        <w:rPr>
          <w:rFonts w:ascii="Times New Roman" w:hAnsi="Times New Roman" w:cs="Times New Roman"/>
          <w:sz w:val="24"/>
          <w:szCs w:val="24"/>
        </w:rPr>
        <w:t xml:space="preserve"> </w:t>
      </w:r>
      <w:r w:rsidR="00374F29" w:rsidRPr="00D44D33">
        <w:rPr>
          <w:rFonts w:ascii="Times New Roman" w:hAnsi="Times New Roman" w:cs="Times New Roman"/>
          <w:sz w:val="24"/>
          <w:szCs w:val="24"/>
        </w:rPr>
        <w:t>środka</w:t>
      </w:r>
      <w:r w:rsidR="00970B2E" w:rsidRPr="00D44D33">
        <w:rPr>
          <w:rFonts w:ascii="Times New Roman" w:hAnsi="Times New Roman" w:cs="Times New Roman"/>
          <w:sz w:val="24"/>
          <w:szCs w:val="24"/>
        </w:rPr>
        <w:t xml:space="preserve"> </w:t>
      </w:r>
      <w:r w:rsidR="00374F29"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00374F29" w:rsidRPr="00D44D33">
        <w:rPr>
          <w:rFonts w:ascii="Times New Roman"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prawach</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konsument</w:t>
      </w:r>
      <w:r w:rsidR="00EA7BA8"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podania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odległość</w:t>
      </w:r>
      <w:r w:rsidRPr="00D44D33">
        <w:rPr>
          <w:rFonts w:ascii="Times New Roman" w:eastAsiaTheme="minorEastAsia" w:hAnsi="Times New Roman" w:cs="Times New Roman"/>
          <w:sz w:val="24"/>
          <w:szCs w:val="24"/>
        </w:rPr>
        <w:t>;</w:t>
      </w:r>
    </w:p>
    <w:p w14:paraId="1F7C2D85" w14:textId="6911F68B" w:rsidR="0040057B" w:rsidRPr="00D44D33" w:rsidRDefault="0040057B"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numer</w:t>
      </w:r>
      <w:r w:rsidR="00093BAA"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w:t>
      </w:r>
      <w:r w:rsidR="00093BAA"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abonentowi</w:t>
      </w:r>
      <w:r w:rsidR="00093BA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zindywidualizowaną,</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znajdującą</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informacjach</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przedumownych</w:t>
      </w:r>
      <w:r w:rsidRPr="00D44D33">
        <w:rPr>
          <w:rFonts w:ascii="Times New Roman" w:eastAsiaTheme="minorEastAsia" w:hAnsi="Times New Roman" w:cs="Times New Roman"/>
          <w:sz w:val="24"/>
          <w:szCs w:val="24"/>
        </w:rPr>
        <w:t>;</w:t>
      </w:r>
    </w:p>
    <w:p w14:paraId="79EAF95E" w14:textId="45ADA534" w:rsidR="0040057B" w:rsidRPr="00D44D33" w:rsidRDefault="00093BAA"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40057B" w:rsidRPr="00D44D33">
        <w:rPr>
          <w:rFonts w:ascii="Times New Roman" w:eastAsiaTheme="minorEastAsia" w:hAnsi="Times New Roman" w:cs="Times New Roman"/>
          <w:sz w:val="24"/>
          <w:szCs w:val="24"/>
        </w:rPr>
        <w:t>;</w:t>
      </w:r>
    </w:p>
    <w:p w14:paraId="466D71E0" w14:textId="03508DD2" w:rsidR="00093BAA" w:rsidRPr="00D44D33" w:rsidRDefault="00093BAA"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nazwy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promocji</w:t>
      </w:r>
      <w:r w:rsidR="5531E75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warianty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6FB67969" w14:textId="4BAADF00" w:rsidR="000167A2" w:rsidRPr="00D44D33" w:rsidRDefault="00374F29"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j</w:t>
      </w:r>
      <w:r w:rsidR="00093BAA" w:rsidRPr="00D44D33">
        <w:rPr>
          <w:rFonts w:ascii="Times New Roman" w:eastAsiaTheme="minorEastAsia" w:hAnsi="Times New Roman" w:cs="Times New Roman"/>
          <w:sz w:val="24"/>
          <w:szCs w:val="24"/>
        </w:rPr>
        <w:t>ak</w:t>
      </w:r>
      <w:r w:rsidR="000167A2"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częś</w:t>
      </w:r>
      <w:r w:rsidR="000167A2"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00093BAA" w:rsidRPr="00D44D33">
        <w:rPr>
          <w:rFonts w:ascii="Times New Roman" w:eastAsiaTheme="minorEastAsia" w:hAnsi="Times New Roman" w:cs="Times New Roman"/>
          <w:sz w:val="24"/>
          <w:szCs w:val="24"/>
        </w:rPr>
        <w:t>abonamentu</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cenę</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za</w:t>
      </w:r>
      <w:r w:rsidRPr="00D44D33">
        <w:rPr>
          <w:rFonts w:ascii="Times New Roman" w:eastAsiaTheme="minorEastAsia" w:hAnsi="Times New Roman" w:cs="Times New Roman"/>
          <w:sz w:val="24"/>
          <w:szCs w:val="24"/>
        </w:rPr>
        <w:t>:</w:t>
      </w:r>
    </w:p>
    <w:p w14:paraId="465CA595" w14:textId="498082C4" w:rsidR="0096321B" w:rsidRPr="00D44D33" w:rsidRDefault="0096321B" w:rsidP="00B61396">
      <w:pPr>
        <w:pStyle w:val="Akapitzlist"/>
        <w:numPr>
          <w:ilvl w:val="0"/>
          <w:numId w:val="117"/>
        </w:numPr>
        <w:spacing w:before="120" w:after="120" w:line="360" w:lineRule="auto"/>
        <w:ind w:left="127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p>
    <w:p w14:paraId="6B492975" w14:textId="52E0717A" w:rsidR="0096321B" w:rsidRPr="00D44D33" w:rsidRDefault="0096321B" w:rsidP="00B61396">
      <w:pPr>
        <w:pStyle w:val="Akapitzlist"/>
        <w:numPr>
          <w:ilvl w:val="0"/>
          <w:numId w:val="117"/>
        </w:numPr>
        <w:spacing w:before="120" w:after="120" w:line="360" w:lineRule="auto"/>
        <w:ind w:left="127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instalacj</w:t>
      </w:r>
      <w:r w:rsidR="000167A2"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70C84FA8" w14:textId="65267750" w:rsidR="0040057B" w:rsidRPr="00D44D33" w:rsidRDefault="00093BAA" w:rsidP="00B61396">
      <w:pPr>
        <w:pStyle w:val="Akapitzlist"/>
        <w:numPr>
          <w:ilvl w:val="0"/>
          <w:numId w:val="117"/>
        </w:numPr>
        <w:spacing w:before="120" w:after="120" w:line="360" w:lineRule="auto"/>
        <w:ind w:left="1276"/>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zakupione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końcowe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telefony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w:t>
      </w:r>
      <w:r w:rsidR="0040057B" w:rsidRPr="00D44D33">
        <w:rPr>
          <w:rFonts w:ascii="Times New Roman" w:eastAsiaTheme="minorEastAsia" w:hAnsi="Times New Roman" w:cs="Times New Roman"/>
          <w:sz w:val="24"/>
          <w:szCs w:val="24"/>
        </w:rPr>
        <w:t>;</w:t>
      </w:r>
    </w:p>
    <w:p w14:paraId="4FA4DE6F" w14:textId="2641E877" w:rsidR="0040057B" w:rsidRPr="00D44D33" w:rsidRDefault="00093BAA"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tabeli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przedterminowego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podziałem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miesiące;</w:t>
      </w:r>
    </w:p>
    <w:p w14:paraId="02F632A7" w14:textId="743061F9" w:rsidR="0040057B" w:rsidRPr="00D44D33" w:rsidRDefault="00B12435"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zamówień</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pakiety</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taryfowe</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167A2" w:rsidRPr="00D44D33">
        <w:rPr>
          <w:rFonts w:ascii="Times New Roman" w:eastAsiaTheme="minorEastAsia" w:hAnsi="Times New Roman" w:cs="Times New Roman"/>
          <w:sz w:val="24"/>
          <w:szCs w:val="24"/>
        </w:rPr>
        <w:t>opcje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usług</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cechy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4BCA6E4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tv</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00E24DE8" w:rsidRPr="00D44D33">
        <w:rPr>
          <w:rFonts w:ascii="Times New Roman" w:eastAsiaTheme="minorEastAsia" w:hAnsi="Times New Roman" w:cs="Times New Roman"/>
          <w:sz w:val="24"/>
          <w:szCs w:val="24"/>
        </w:rPr>
        <w:t>VOD</w:t>
      </w:r>
      <w:r w:rsidR="0040057B" w:rsidRPr="00D44D33">
        <w:rPr>
          <w:rFonts w:ascii="Times New Roman" w:eastAsiaTheme="minorEastAsia" w:hAnsi="Times New Roman" w:cs="Times New Roman"/>
          <w:sz w:val="24"/>
          <w:szCs w:val="24"/>
        </w:rPr>
        <w:t>;</w:t>
      </w:r>
    </w:p>
    <w:p w14:paraId="3A01DA7B" w14:textId="4B55F42B" w:rsidR="0040057B" w:rsidRPr="00D44D33" w:rsidRDefault="0040057B"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okres</w:t>
      </w:r>
      <w:r w:rsidR="00B12435"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B12435" w:rsidRPr="00D44D33">
        <w:rPr>
          <w:rFonts w:ascii="Times New Roman" w:eastAsiaTheme="minorEastAsia" w:hAnsi="Times New Roman" w:cs="Times New Roman"/>
          <w:sz w:val="24"/>
          <w:szCs w:val="24"/>
        </w:rPr>
        <w:t>rozliczeniowego</w:t>
      </w:r>
      <w:r w:rsidR="00970B2E" w:rsidRPr="00D44D33">
        <w:rPr>
          <w:rFonts w:ascii="Times New Roman" w:eastAsiaTheme="minorEastAsia" w:hAnsi="Times New Roman" w:cs="Times New Roman"/>
          <w:sz w:val="24"/>
          <w:szCs w:val="24"/>
        </w:rPr>
        <w:t xml:space="preserve"> </w:t>
      </w:r>
      <w:r w:rsidR="00B1243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12435"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płatności;</w:t>
      </w:r>
    </w:p>
    <w:p w14:paraId="742761CC" w14:textId="0D442D54" w:rsidR="0040057B" w:rsidRPr="00D44D33" w:rsidRDefault="00B12435"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okoliczności</w:t>
      </w:r>
      <w:r w:rsidR="370F671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dojść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jednostronnej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40057B" w:rsidRPr="00D44D33">
        <w:rPr>
          <w:rFonts w:ascii="Times New Roman" w:eastAsiaTheme="minorEastAsia" w:hAnsi="Times New Roman" w:cs="Times New Roman"/>
          <w:sz w:val="24"/>
          <w:szCs w:val="24"/>
        </w:rPr>
        <w:t>;</w:t>
      </w:r>
    </w:p>
    <w:p w14:paraId="25DFBA09" w14:textId="1F02A13F" w:rsidR="0040057B" w:rsidRPr="00D44D33" w:rsidRDefault="00B12435"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korzystaniu</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aplikacji</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urządzeniu</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sprzedanym</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udostępnionym</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0640D" w:rsidRPr="00D44D33">
        <w:rPr>
          <w:rFonts w:ascii="Times New Roman" w:eastAsiaTheme="minorEastAsia" w:hAnsi="Times New Roman" w:cs="Times New Roman"/>
          <w:sz w:val="24"/>
          <w:szCs w:val="24"/>
        </w:rPr>
        <w:t>umową</w:t>
      </w:r>
      <w:r w:rsidR="0040057B" w:rsidRPr="00D44D33">
        <w:rPr>
          <w:rFonts w:ascii="Times New Roman" w:eastAsiaTheme="minorEastAsia" w:hAnsi="Times New Roman" w:cs="Times New Roman"/>
          <w:sz w:val="24"/>
          <w:szCs w:val="24"/>
        </w:rPr>
        <w:t>;</w:t>
      </w:r>
    </w:p>
    <w:p w14:paraId="12F0A68A" w14:textId="4B27B388" w:rsidR="0040057B" w:rsidRPr="00D44D33" w:rsidRDefault="00A72CC9"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blokad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założonych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zlecenie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SIMLock</w:t>
      </w:r>
      <w:r w:rsidR="0096321B" w:rsidRPr="00D44D33">
        <w:rPr>
          <w:rFonts w:ascii="Times New Roman" w:eastAsiaTheme="minorEastAsia" w:hAnsi="Times New Roman" w:cs="Times New Roman"/>
          <w:sz w:val="24"/>
          <w:szCs w:val="24"/>
        </w:rPr>
        <w:t>;</w:t>
      </w:r>
    </w:p>
    <w:p w14:paraId="3531C99C" w14:textId="6165EEDE" w:rsidR="0096321B" w:rsidRPr="00D44D33" w:rsidRDefault="0096321B" w:rsidP="00B61396">
      <w:pPr>
        <w:pStyle w:val="PKTpunkt"/>
        <w:numPr>
          <w:ilvl w:val="0"/>
          <w:numId w:val="115"/>
        </w:numPr>
        <w:spacing w:before="120" w:after="120"/>
        <w:ind w:left="851" w:hanging="491"/>
        <w:rPr>
          <w:rFonts w:ascii="Times New Roman" w:hAnsi="Times New Roman" w:cs="Times New Roman"/>
          <w:szCs w:val="24"/>
        </w:rPr>
      </w:pPr>
      <w:r w:rsidRPr="00D44D33">
        <w:rPr>
          <w:rFonts w:ascii="Times New Roman" w:hAnsi="Times New Roman" w:cs="Times New Roman"/>
          <w:szCs w:val="24"/>
        </w:rPr>
        <w:t>zasad,</w:t>
      </w:r>
      <w:r w:rsidR="00970B2E" w:rsidRPr="00D44D33">
        <w:rPr>
          <w:rFonts w:ascii="Times New Roman" w:hAnsi="Times New Roman" w:cs="Times New Roman"/>
          <w:szCs w:val="24"/>
        </w:rPr>
        <w:t xml:space="preserve"> </w:t>
      </w:r>
      <w:r w:rsidRPr="00D44D33">
        <w:rPr>
          <w:rFonts w:ascii="Times New Roman" w:hAnsi="Times New Roman" w:cs="Times New Roman"/>
          <w:szCs w:val="24"/>
        </w:rPr>
        <w:t>tryb</w:t>
      </w:r>
      <w:r w:rsidR="0044009E" w:rsidRPr="00D44D33">
        <w:rPr>
          <w:rFonts w:ascii="Times New Roman" w:hAnsi="Times New Roman" w:cs="Times New Roman"/>
          <w:szCs w:val="24"/>
        </w:rPr>
        <w:t>u</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termin</w:t>
      </w:r>
      <w:r w:rsidR="0044009E" w:rsidRPr="00D44D33">
        <w:rPr>
          <w:rFonts w:ascii="Times New Roman" w:hAnsi="Times New Roman" w:cs="Times New Roman"/>
          <w:szCs w:val="24"/>
        </w:rPr>
        <w:t>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składania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rozpatrywania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reklamacji;</w:t>
      </w:r>
    </w:p>
    <w:p w14:paraId="52103878" w14:textId="7E6A4104" w:rsidR="0096321B" w:rsidRPr="00D44D33" w:rsidRDefault="00A72CC9"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zagrożeniach</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świadczoną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usługą,</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sposoby</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0096321B"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0096321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6321B"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96321B" w:rsidRPr="00D44D33">
        <w:rPr>
          <w:rFonts w:ascii="Times New Roman" w:eastAsiaTheme="minorEastAsia" w:hAnsi="Times New Roman" w:cs="Times New Roman"/>
          <w:sz w:val="24"/>
          <w:szCs w:val="24"/>
        </w:rPr>
        <w:t>osobowych</w:t>
      </w:r>
      <w:r w:rsidR="3BD84339" w:rsidRPr="00D44D33">
        <w:rPr>
          <w:rFonts w:ascii="Times New Roman" w:eastAsiaTheme="minorEastAsia" w:hAnsi="Times New Roman" w:cs="Times New Roman"/>
          <w:sz w:val="24"/>
          <w:szCs w:val="24"/>
        </w:rPr>
        <w:t>;</w:t>
      </w:r>
    </w:p>
    <w:p w14:paraId="5353226B" w14:textId="7B6C2ADE" w:rsidR="0040057B" w:rsidRPr="00D44D33" w:rsidRDefault="00A72CC9" w:rsidP="00B61396">
      <w:pPr>
        <w:pStyle w:val="Akapitzlist"/>
        <w:numPr>
          <w:ilvl w:val="0"/>
          <w:numId w:val="115"/>
        </w:numPr>
        <w:spacing w:before="120" w:after="120" w:line="360" w:lineRule="auto"/>
        <w:ind w:left="851" w:hanging="491"/>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48900689"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dekodera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wydzierżawionego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t>
      </w:r>
      <w:r w:rsidR="40B8C8B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40057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czyj</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koszt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40057B" w:rsidRPr="00D44D33">
        <w:rPr>
          <w:rFonts w:ascii="Times New Roman" w:eastAsiaTheme="minorEastAsia" w:hAnsi="Times New Roman" w:cs="Times New Roman"/>
          <w:sz w:val="24"/>
          <w:szCs w:val="24"/>
        </w:rPr>
        <w:t>nastąpić</w:t>
      </w:r>
      <w:r w:rsidR="7D86B796" w:rsidRPr="00D44D33">
        <w:rPr>
          <w:rFonts w:ascii="Times New Roman" w:eastAsiaTheme="minorEastAsia" w:hAnsi="Times New Roman" w:cs="Times New Roman"/>
          <w:sz w:val="24"/>
          <w:szCs w:val="24"/>
        </w:rPr>
        <w:t>.</w:t>
      </w:r>
    </w:p>
    <w:p w14:paraId="375C4002" w14:textId="749491F8" w:rsidR="00221330" w:rsidRPr="00D44D33" w:rsidRDefault="3202673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44009E" w:rsidRPr="00D44D33">
        <w:rPr>
          <w:rFonts w:ascii="Times New Roman" w:eastAsiaTheme="minorEastAsia" w:hAnsi="Times New Roman" w:cs="Times New Roman"/>
          <w:sz w:val="24"/>
          <w:szCs w:val="24"/>
        </w:rPr>
        <w:t xml:space="preserve">określony </w:t>
      </w:r>
      <w:r w:rsidRPr="00D44D33">
        <w:rPr>
          <w:rFonts w:ascii="Times New Roman" w:eastAsiaTheme="minorEastAsia" w:hAnsi="Times New Roman" w:cs="Times New Roman"/>
          <w:sz w:val="24"/>
          <w:szCs w:val="24"/>
        </w:rPr>
        <w:t>ważny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4F2032E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F2032E4"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4F2032E4" w:rsidRPr="00D44D33">
        <w:rPr>
          <w:rFonts w:ascii="Times New Roman" w:eastAsiaTheme="minorEastAsia" w:hAnsi="Times New Roman" w:cs="Times New Roman"/>
          <w:sz w:val="24"/>
          <w:szCs w:val="24"/>
        </w:rPr>
        <w:t>dokumencie</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zaka</w:t>
      </w:r>
      <w:r w:rsidR="009D332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przenoszenia</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wzorców</w:t>
      </w:r>
      <w:r w:rsidR="00970B2E" w:rsidRPr="00D44D33">
        <w:rPr>
          <w:rFonts w:ascii="Times New Roman" w:eastAsiaTheme="minorEastAsia" w:hAnsi="Times New Roman" w:cs="Times New Roman"/>
          <w:sz w:val="24"/>
          <w:szCs w:val="24"/>
        </w:rPr>
        <w:t xml:space="preserve"> </w:t>
      </w:r>
      <w:r w:rsidR="00A72CC9" w:rsidRPr="00D44D33">
        <w:rPr>
          <w:rFonts w:ascii="Times New Roman" w:eastAsiaTheme="minorEastAsia" w:hAnsi="Times New Roman" w:cs="Times New Roman"/>
          <w:sz w:val="24"/>
          <w:szCs w:val="24"/>
        </w:rPr>
        <w:t>umownych</w:t>
      </w:r>
      <w:r w:rsidR="4F2032E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F2032E4"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4F2032E4"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korzystne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najważniejsze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167189C" w:rsidRPr="00D44D33">
        <w:rPr>
          <w:rFonts w:ascii="Times New Roman" w:eastAsiaTheme="minorEastAsia" w:hAnsi="Times New Roman" w:cs="Times New Roman"/>
          <w:sz w:val="24"/>
          <w:szCs w:val="24"/>
        </w:rPr>
        <w:t>jednym</w:t>
      </w:r>
      <w:r w:rsidR="00970B2E" w:rsidRPr="00D44D33">
        <w:rPr>
          <w:rFonts w:ascii="Times New Roman" w:eastAsiaTheme="minorEastAsia" w:hAnsi="Times New Roman" w:cs="Times New Roman"/>
          <w:sz w:val="24"/>
          <w:szCs w:val="24"/>
        </w:rPr>
        <w:t xml:space="preserve"> </w:t>
      </w:r>
      <w:r w:rsidR="31169F08" w:rsidRPr="00D44D33">
        <w:rPr>
          <w:rFonts w:ascii="Times New Roman" w:eastAsiaTheme="minorEastAsia" w:hAnsi="Times New Roman" w:cs="Times New Roman"/>
          <w:sz w:val="24"/>
          <w:szCs w:val="24"/>
        </w:rPr>
        <w:t>dokumencie,</w:t>
      </w:r>
      <w:r w:rsidR="00970B2E" w:rsidRPr="00D44D33">
        <w:rPr>
          <w:rFonts w:ascii="Times New Roman" w:eastAsiaTheme="minorEastAsia" w:hAnsi="Times New Roman" w:cs="Times New Roman"/>
          <w:sz w:val="24"/>
          <w:szCs w:val="24"/>
        </w:rPr>
        <w:t xml:space="preserve"> </w:t>
      </w:r>
      <w:r w:rsidR="31169F08"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DB9885E"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DB9885E" w:rsidRPr="00D44D33">
        <w:rPr>
          <w:rFonts w:ascii="Times New Roman" w:eastAsiaTheme="minorEastAsia" w:hAnsi="Times New Roman" w:cs="Times New Roman"/>
          <w:sz w:val="24"/>
          <w:szCs w:val="24"/>
        </w:rPr>
        <w:t>sięgania</w:t>
      </w:r>
      <w:r w:rsidR="00970B2E" w:rsidRPr="00D44D33">
        <w:rPr>
          <w:rFonts w:ascii="Times New Roman" w:eastAsiaTheme="minorEastAsia" w:hAnsi="Times New Roman" w:cs="Times New Roman"/>
          <w:sz w:val="24"/>
          <w:szCs w:val="24"/>
        </w:rPr>
        <w:t xml:space="preserve"> </w:t>
      </w:r>
      <w:r w:rsidR="0DB9885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DB9885E"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DB9885E" w:rsidRPr="00D44D33">
        <w:rPr>
          <w:rFonts w:ascii="Times New Roman" w:eastAsiaTheme="minorEastAsia" w:hAnsi="Times New Roman" w:cs="Times New Roman"/>
          <w:sz w:val="24"/>
          <w:szCs w:val="24"/>
        </w:rPr>
        <w:t>dokumentów</w:t>
      </w:r>
      <w:r w:rsidR="00E24DE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3D62217"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kilku</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różnych</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miejscach</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na</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stronie</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internetowej</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dostawcy</w:t>
      </w:r>
      <w:r w:rsidR="00970B2E" w:rsidRPr="00D44D33">
        <w:rPr>
          <w:rFonts w:ascii="Times New Roman" w:eastAsia="Times" w:hAnsi="Times New Roman" w:cs="Times New Roman"/>
          <w:sz w:val="24"/>
          <w:szCs w:val="24"/>
        </w:rPr>
        <w:t xml:space="preserve"> </w:t>
      </w:r>
      <w:r w:rsidR="73D62217" w:rsidRPr="00D44D33">
        <w:rPr>
          <w:rFonts w:ascii="Times New Roman" w:eastAsia="Times" w:hAnsi="Times New Roman" w:cs="Times New Roman"/>
          <w:sz w:val="24"/>
          <w:szCs w:val="24"/>
        </w:rPr>
        <w:t>usług.</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Ponadto</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informacje</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składające</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się</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na</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umowę</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powinny</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być</w:t>
      </w:r>
      <w:r w:rsidR="00970B2E" w:rsidRPr="00D44D33">
        <w:rPr>
          <w:rFonts w:ascii="Times New Roman" w:eastAsia="Times" w:hAnsi="Times New Roman" w:cs="Times New Roman"/>
          <w:sz w:val="24"/>
          <w:szCs w:val="24"/>
        </w:rPr>
        <w:t xml:space="preserve"> </w:t>
      </w:r>
      <w:r w:rsidR="3CC8F20E" w:rsidRPr="00D44D33">
        <w:rPr>
          <w:rFonts w:ascii="Times New Roman" w:eastAsia="Times" w:hAnsi="Times New Roman" w:cs="Times New Roman"/>
          <w:sz w:val="24"/>
          <w:szCs w:val="24"/>
        </w:rPr>
        <w:t>przekazane</w:t>
      </w:r>
      <w:r w:rsidR="00970B2E" w:rsidRPr="00D44D33">
        <w:rPr>
          <w:rFonts w:ascii="Times New Roman" w:eastAsia="Times New Roman" w:hAnsi="Times New Roman" w:cs="Times New Roman"/>
          <w:sz w:val="24"/>
          <w:szCs w:val="24"/>
        </w:rPr>
        <w:t xml:space="preserve"> </w:t>
      </w:r>
      <w:r w:rsidR="2BD8078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BD80782" w:rsidRPr="00D44D33">
        <w:rPr>
          <w:rFonts w:ascii="Times New Roman" w:eastAsia="Times New Roman" w:hAnsi="Times New Roman" w:cs="Times New Roman"/>
          <w:sz w:val="24"/>
          <w:szCs w:val="24"/>
        </w:rPr>
        <w:t>jasny</w:t>
      </w:r>
      <w:r w:rsidR="00970B2E" w:rsidRPr="00D44D33">
        <w:rPr>
          <w:rFonts w:ascii="Times New Roman" w:eastAsia="Times New Roman" w:hAnsi="Times New Roman" w:cs="Times New Roman"/>
          <w:sz w:val="24"/>
          <w:szCs w:val="24"/>
        </w:rPr>
        <w:t xml:space="preserve"> </w:t>
      </w:r>
      <w:r w:rsidR="2BD8078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2BD80782" w:rsidRPr="00D44D33">
        <w:rPr>
          <w:rFonts w:ascii="Times New Roman" w:eastAsia="Times New Roman" w:hAnsi="Times New Roman" w:cs="Times New Roman"/>
          <w:sz w:val="24"/>
          <w:szCs w:val="24"/>
        </w:rPr>
        <w:t>zrozumiały</w:t>
      </w:r>
      <w:r w:rsidR="00970B2E" w:rsidRPr="00D44D33">
        <w:rPr>
          <w:rFonts w:ascii="Times New Roman" w:eastAsia="Times New Roman" w:hAnsi="Times New Roman" w:cs="Times New Roman"/>
          <w:sz w:val="24"/>
          <w:szCs w:val="24"/>
        </w:rPr>
        <w:t xml:space="preserve"> </w:t>
      </w:r>
      <w:r w:rsidR="2BD80782" w:rsidRPr="00D44D33">
        <w:rPr>
          <w:rFonts w:ascii="Times New Roman" w:eastAsia="Times New Roman" w:hAnsi="Times New Roman" w:cs="Times New Roman"/>
          <w:sz w:val="24"/>
          <w:szCs w:val="24"/>
        </w:rPr>
        <w:t>sposób.</w:t>
      </w:r>
    </w:p>
    <w:p w14:paraId="69105E19" w14:textId="5D77A783" w:rsidR="00F01158" w:rsidRPr="00D44D33" w:rsidRDefault="005D77B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t>
      </w:r>
      <w:r w:rsidR="00C10DF9" w:rsidRPr="00D44D33">
        <w:rPr>
          <w:rFonts w:ascii="Times New Roman" w:eastAsiaTheme="minorEastAsia" w:hAnsi="Times New Roman" w:cs="Times New Roman"/>
          <w:sz w:val="24"/>
          <w:szCs w:val="24"/>
        </w:rPr>
        <w:t>onsument</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preferowanej</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spośród</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zawarciem</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poinformowany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60915D4" w14:textId="15AAA761" w:rsidR="0044009E" w:rsidRPr="00D44D33" w:rsidRDefault="0096321B"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E25298" w:rsidRPr="00D44D33">
        <w:rPr>
          <w:rFonts w:ascii="Times New Roman" w:eastAsiaTheme="minorEastAsia" w:hAnsi="Times New Roman" w:cs="Times New Roman"/>
          <w:b/>
          <w:sz w:val="24"/>
          <w:szCs w:val="24"/>
        </w:rPr>
        <w:t>283</w:t>
      </w:r>
    </w:p>
    <w:p w14:paraId="33F6C8F6" w14:textId="259713F3" w:rsidR="0096321B" w:rsidRPr="00D44D33" w:rsidRDefault="0044009E"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K</w:t>
      </w:r>
      <w:r w:rsidR="00264765" w:rsidRPr="00D44D33">
        <w:rPr>
          <w:rFonts w:ascii="Times New Roman" w:eastAsiaTheme="minorEastAsia" w:hAnsi="Times New Roman" w:cs="Times New Roman"/>
          <w:b/>
          <w:sz w:val="24"/>
          <w:szCs w:val="24"/>
        </w:rPr>
        <w:t>orzystanie</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dodatkowych</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pakietów</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taryfowych</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lub</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opcji</w:t>
      </w:r>
      <w:r w:rsidR="00970B2E" w:rsidRPr="00D44D33">
        <w:rPr>
          <w:rFonts w:ascii="Times New Roman" w:eastAsiaTheme="minorEastAsia" w:hAnsi="Times New Roman" w:cs="Times New Roman"/>
          <w:b/>
          <w:sz w:val="24"/>
          <w:szCs w:val="24"/>
        </w:rPr>
        <w:t xml:space="preserve"> </w:t>
      </w:r>
      <w:r w:rsidR="00264765" w:rsidRPr="00D44D33">
        <w:rPr>
          <w:rFonts w:ascii="Times New Roman" w:eastAsiaTheme="minorEastAsia" w:hAnsi="Times New Roman" w:cs="Times New Roman"/>
          <w:b/>
          <w:sz w:val="24"/>
          <w:szCs w:val="24"/>
        </w:rPr>
        <w:t>usługi</w:t>
      </w:r>
    </w:p>
    <w:p w14:paraId="1D886414" w14:textId="30695852" w:rsidR="009F1DF0" w:rsidRPr="00D44D33" w:rsidRDefault="0096321B" w:rsidP="00D44D33">
      <w:pPr>
        <w:spacing w:before="120" w:after="120" w:line="360" w:lineRule="auto"/>
        <w:jc w:val="both"/>
        <w:rPr>
          <w:rFonts w:ascii="Times New Roman" w:eastAsia="Times New Roman" w:hAnsi="Times New Roman" w:cs="Times New Roman"/>
          <w:bCs/>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oferowania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okresowych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promocji,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mógł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przewidzieć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momencie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zawierania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pakiet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VOD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usłudze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telewizji,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minuty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usłudze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głosowej,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przedstawić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sposobie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złożenia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zamówienia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regulaminie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promocji.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Wobec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dodatkowy</w:t>
      </w:r>
      <w:r w:rsidR="009F1DF0" w:rsidRPr="00D44D33">
        <w:rPr>
          <w:rFonts w:ascii="Times New Roman" w:eastAsia="Times New Roman" w:hAnsi="Times New Roman" w:cs="Times New Roman"/>
          <w:sz w:val="24"/>
          <w:szCs w:val="24"/>
        </w:rPr>
        <w:t>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zastosowanie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009F1DF0" w:rsidRPr="00D44D33">
        <w:rPr>
          <w:rFonts w:ascii="Times New Roman" w:eastAsia="Times New Roman" w:hAnsi="Times New Roman" w:cs="Times New Roman"/>
          <w:sz w:val="24"/>
          <w:szCs w:val="24"/>
        </w:rPr>
        <w:t>Upk</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Warunkiem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powyższego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wyjątku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brak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wpływu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dodatkowych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cechy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objętej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cenę.</w:t>
      </w:r>
      <w:r w:rsidR="00970B2E" w:rsidRPr="00D44D33">
        <w:rPr>
          <w:rFonts w:ascii="Times New Roman" w:eastAsia="Times New Roman" w:hAnsi="Times New Roman" w:cs="Times New Roman"/>
          <w:sz w:val="24"/>
          <w:szCs w:val="24"/>
        </w:rPr>
        <w:t xml:space="preserve"> </w:t>
      </w:r>
      <w:r w:rsidR="009F1DF0" w:rsidRPr="00D44D33">
        <w:rPr>
          <w:rFonts w:ascii="Times New Roman" w:eastAsia="Times New Roman" w:hAnsi="Times New Roman" w:cs="Times New Roman"/>
          <w:bCs/>
          <w:sz w:val="24"/>
          <w:szCs w:val="24"/>
        </w:rPr>
        <w:t>W</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ust.</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2</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zastrzeżono,</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że</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skorzystanie</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z</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dodatkowych</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pakietów</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taryfowych</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lub</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dodatkowych</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opcji</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usług,</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nie</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stanowi</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zmiany</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warunków</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umowy</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oraz</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nie</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wpływa</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na</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wysokość</w:t>
      </w:r>
      <w:r w:rsidR="00970B2E" w:rsidRPr="00D44D33">
        <w:rPr>
          <w:rFonts w:ascii="Times New Roman" w:eastAsia="Times New Roman" w:hAnsi="Times New Roman" w:cs="Times New Roman"/>
          <w:bCs/>
          <w:sz w:val="24"/>
          <w:szCs w:val="24"/>
        </w:rPr>
        <w:t xml:space="preserve"> </w:t>
      </w:r>
      <w:r w:rsidR="009F1DF0" w:rsidRPr="00D44D33">
        <w:rPr>
          <w:rFonts w:ascii="Times New Roman" w:eastAsia="Times New Roman" w:hAnsi="Times New Roman" w:cs="Times New Roman"/>
          <w:bCs/>
          <w:sz w:val="24"/>
          <w:szCs w:val="24"/>
        </w:rPr>
        <w:t>odszkodow</w:t>
      </w:r>
      <w:r w:rsidR="00F01158" w:rsidRPr="00D44D33">
        <w:rPr>
          <w:rFonts w:ascii="Times New Roman" w:eastAsia="Times New Roman" w:hAnsi="Times New Roman" w:cs="Times New Roman"/>
          <w:bCs/>
          <w:sz w:val="24"/>
          <w:szCs w:val="24"/>
        </w:rPr>
        <w:t>ania,</w:t>
      </w:r>
      <w:r w:rsidR="00970B2E" w:rsidRPr="00D44D33">
        <w:rPr>
          <w:rFonts w:ascii="Times New Roman" w:eastAsia="Times New Roman" w:hAnsi="Times New Roman" w:cs="Times New Roman"/>
          <w:bCs/>
          <w:sz w:val="24"/>
          <w:szCs w:val="24"/>
        </w:rPr>
        <w:t xml:space="preserve"> </w:t>
      </w:r>
      <w:r w:rsidR="00F01158" w:rsidRPr="00D44D33">
        <w:rPr>
          <w:rFonts w:ascii="Times New Roman" w:eastAsia="Times New Roman" w:hAnsi="Times New Roman" w:cs="Times New Roman"/>
          <w:bCs/>
          <w:sz w:val="24"/>
          <w:szCs w:val="24"/>
        </w:rPr>
        <w:t>o</w:t>
      </w:r>
      <w:r w:rsidR="00970B2E" w:rsidRPr="00D44D33">
        <w:rPr>
          <w:rFonts w:ascii="Times New Roman" w:eastAsia="Times New Roman" w:hAnsi="Times New Roman" w:cs="Times New Roman"/>
          <w:bCs/>
          <w:sz w:val="24"/>
          <w:szCs w:val="24"/>
        </w:rPr>
        <w:t xml:space="preserve"> </w:t>
      </w:r>
      <w:r w:rsidR="00F01158" w:rsidRPr="00D44D33">
        <w:rPr>
          <w:rFonts w:ascii="Times New Roman" w:eastAsia="Times New Roman" w:hAnsi="Times New Roman" w:cs="Times New Roman"/>
          <w:bCs/>
          <w:sz w:val="24"/>
          <w:szCs w:val="24"/>
        </w:rPr>
        <w:t>którym</w:t>
      </w:r>
      <w:r w:rsidR="00970B2E" w:rsidRPr="00D44D33">
        <w:rPr>
          <w:rFonts w:ascii="Times New Roman" w:eastAsia="Times New Roman" w:hAnsi="Times New Roman" w:cs="Times New Roman"/>
          <w:bCs/>
          <w:sz w:val="24"/>
          <w:szCs w:val="24"/>
        </w:rPr>
        <w:t xml:space="preserve"> </w:t>
      </w:r>
      <w:r w:rsidR="00F01158" w:rsidRPr="00D44D33">
        <w:rPr>
          <w:rFonts w:ascii="Times New Roman" w:eastAsia="Times New Roman" w:hAnsi="Times New Roman" w:cs="Times New Roman"/>
          <w:bCs/>
          <w:sz w:val="24"/>
          <w:szCs w:val="24"/>
        </w:rPr>
        <w:t>mowa</w:t>
      </w:r>
      <w:r w:rsidR="00970B2E" w:rsidRPr="00D44D33">
        <w:rPr>
          <w:rFonts w:ascii="Times New Roman" w:eastAsia="Times New Roman" w:hAnsi="Times New Roman" w:cs="Times New Roman"/>
          <w:bCs/>
          <w:sz w:val="24"/>
          <w:szCs w:val="24"/>
        </w:rPr>
        <w:t xml:space="preserve"> </w:t>
      </w:r>
      <w:r w:rsidR="00F01158" w:rsidRPr="00D44D33">
        <w:rPr>
          <w:rFonts w:ascii="Times New Roman" w:eastAsia="Times New Roman" w:hAnsi="Times New Roman" w:cs="Times New Roman"/>
          <w:bCs/>
          <w:sz w:val="24"/>
          <w:szCs w:val="24"/>
        </w:rPr>
        <w:t>w</w:t>
      </w:r>
      <w:r w:rsidR="00970B2E" w:rsidRPr="00D44D33">
        <w:rPr>
          <w:rFonts w:ascii="Times New Roman" w:eastAsia="Times New Roman" w:hAnsi="Times New Roman" w:cs="Times New Roman"/>
          <w:bCs/>
          <w:sz w:val="24"/>
          <w:szCs w:val="24"/>
        </w:rPr>
        <w:t xml:space="preserve"> </w:t>
      </w:r>
      <w:r w:rsidR="00F01158" w:rsidRPr="00D44D33">
        <w:rPr>
          <w:rFonts w:ascii="Times New Roman" w:eastAsia="Times New Roman" w:hAnsi="Times New Roman" w:cs="Times New Roman"/>
          <w:bCs/>
          <w:sz w:val="24"/>
          <w:szCs w:val="24"/>
        </w:rPr>
        <w:t>art.</w:t>
      </w:r>
      <w:r w:rsidR="00970B2E" w:rsidRPr="00D44D33">
        <w:rPr>
          <w:rFonts w:ascii="Times New Roman" w:eastAsia="Times New Roman" w:hAnsi="Times New Roman" w:cs="Times New Roman"/>
          <w:bCs/>
          <w:sz w:val="24"/>
          <w:szCs w:val="24"/>
        </w:rPr>
        <w:t xml:space="preserve"> </w:t>
      </w:r>
      <w:r w:rsidR="00E25298" w:rsidRPr="00D44D33">
        <w:rPr>
          <w:rFonts w:ascii="Times New Roman" w:eastAsia="Times New Roman" w:hAnsi="Times New Roman" w:cs="Times New Roman"/>
          <w:bCs/>
          <w:sz w:val="24"/>
          <w:szCs w:val="24"/>
        </w:rPr>
        <w:t>298</w:t>
      </w:r>
      <w:r w:rsidR="00207EBE" w:rsidRPr="00D44D33">
        <w:rPr>
          <w:rFonts w:ascii="Times New Roman" w:eastAsia="Times New Roman" w:hAnsi="Times New Roman" w:cs="Times New Roman"/>
          <w:bCs/>
          <w:sz w:val="24"/>
          <w:szCs w:val="24"/>
        </w:rPr>
        <w:t xml:space="preserve"> ust. 1</w:t>
      </w:r>
      <w:r w:rsidR="00F01158" w:rsidRPr="00D44D33">
        <w:rPr>
          <w:rFonts w:ascii="Times New Roman" w:eastAsia="Times New Roman" w:hAnsi="Times New Roman" w:cs="Times New Roman"/>
          <w:bCs/>
          <w:sz w:val="24"/>
          <w:szCs w:val="24"/>
        </w:rPr>
        <w:t>.</w:t>
      </w:r>
    </w:p>
    <w:p w14:paraId="01F0FAE6" w14:textId="606E2041" w:rsidR="0044009E" w:rsidRPr="00D44D33" w:rsidRDefault="00D222A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284</w:t>
      </w:r>
    </w:p>
    <w:p w14:paraId="14741D86" w14:textId="14D5FC0F" w:rsidR="1A30A10C" w:rsidRPr="00D44D33" w:rsidRDefault="0044009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U</w:t>
      </w:r>
      <w:r w:rsidR="00264765" w:rsidRPr="00D44D33">
        <w:rPr>
          <w:rFonts w:ascii="Times New Roman" w:eastAsiaTheme="minorEastAsia" w:hAnsi="Times New Roman" w:cs="Times New Roman"/>
          <w:b/>
          <w:bCs/>
          <w:sz w:val="24"/>
          <w:szCs w:val="24"/>
        </w:rPr>
        <w:t>mowa</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prepaid</w:t>
      </w:r>
    </w:p>
    <w:p w14:paraId="459D5161" w14:textId="35E1B49E" w:rsidR="00221330" w:rsidRPr="00D44D33" w:rsidRDefault="0044009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262036" w:rsidRPr="00D44D33">
        <w:rPr>
          <w:rFonts w:ascii="Times New Roman" w:eastAsiaTheme="minorEastAsia" w:hAnsi="Times New Roman" w:cs="Times New Roman"/>
          <w:sz w:val="24"/>
          <w:szCs w:val="24"/>
        </w:rPr>
        <w:t>284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w:t>
      </w:r>
      <w:r w:rsidR="00C10DF9" w:rsidRPr="00D44D33">
        <w:rPr>
          <w:rFonts w:ascii="Times New Roman" w:eastAsiaTheme="minorEastAsia" w:hAnsi="Times New Roman" w:cs="Times New Roman"/>
          <w:sz w:val="24"/>
          <w:szCs w:val="24"/>
        </w:rPr>
        <w:t>o</w:t>
      </w:r>
      <w:r w:rsidR="566EAACD" w:rsidRPr="00D44D33">
        <w:rPr>
          <w:rFonts w:ascii="Times New Roman" w:eastAsiaTheme="minorEastAsia" w:hAnsi="Times New Roman" w:cs="Times New Roman"/>
          <w:sz w:val="24"/>
          <w:szCs w:val="24"/>
        </w:rPr>
        <w:t>b</w:t>
      </w:r>
      <w:r w:rsidR="00C10DF9" w:rsidRPr="00D44D33">
        <w:rPr>
          <w:rFonts w:ascii="Times New Roman" w:eastAsiaTheme="minorEastAsia" w:hAnsi="Times New Roman" w:cs="Times New Roman"/>
          <w:sz w:val="24"/>
          <w:szCs w:val="24"/>
        </w:rPr>
        <w:t>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składających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rozróżnieniem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udostępnione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źródła,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pobrać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zawierające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składające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łatwych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pobrania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źródła,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pouczeniem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pobrania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utrwalenia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późniejszego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odtworzenia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niezmienionej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dowodowych,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źródło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kierować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29B5EFBA" w:rsidRPr="00D44D33">
        <w:rPr>
          <w:rFonts w:ascii="Times New Roman" w:eastAsiaTheme="minorEastAsia" w:hAnsi="Times New Roman" w:cs="Times New Roman"/>
          <w:sz w:val="24"/>
          <w:szCs w:val="24"/>
        </w:rPr>
        <w:t>l</w:t>
      </w:r>
      <w:r w:rsidR="566EAACD" w:rsidRPr="00D44D33">
        <w:rPr>
          <w:rFonts w:ascii="Times New Roman" w:eastAsiaTheme="minorEastAsia" w:hAnsi="Times New Roman" w:cs="Times New Roman"/>
          <w:sz w:val="24"/>
          <w:szCs w:val="24"/>
        </w:rPr>
        <w:t>ink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kierujący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Wyjątek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sposobie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przydzielonym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zindywidualizowany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17A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17A0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617A07"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zamieszczona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stąd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wprowadzają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617A07"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opakowaniu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zestawu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startowego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dołączonym</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10DF9"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dokumencie.</w:t>
      </w:r>
      <w:r w:rsidR="00970B2E" w:rsidRPr="00D44D33">
        <w:rPr>
          <w:rFonts w:ascii="Times New Roman" w:eastAsiaTheme="minorEastAsia" w:hAnsi="Times New Roman" w:cs="Times New Roman"/>
          <w:sz w:val="24"/>
          <w:szCs w:val="24"/>
        </w:rPr>
        <w:t xml:space="preserve"> </w:t>
      </w:r>
    </w:p>
    <w:p w14:paraId="3F47DCD1" w14:textId="395C660C" w:rsidR="00C10DF9" w:rsidRPr="00D44D33" w:rsidDel="00C04579" w:rsidRDefault="00C10DF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korespondencyjny,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p>
    <w:p w14:paraId="42EF0AF4" w14:textId="351B539B" w:rsidR="00264765" w:rsidRPr="00D44D33" w:rsidRDefault="323F722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oczywiście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45D9D0EC"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45D9D0E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p>
    <w:p w14:paraId="4E0F5D91" w14:textId="252CB435" w:rsidR="000F19F1" w:rsidRPr="00D44D33" w:rsidRDefault="000F19F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DA06C2" w:rsidRPr="00D44D33">
        <w:rPr>
          <w:rFonts w:ascii="Times New Roman" w:eastAsiaTheme="minorEastAsia" w:hAnsi="Times New Roman" w:cs="Times New Roman"/>
          <w:bCs/>
          <w:sz w:val="24"/>
          <w:szCs w:val="24"/>
        </w:rPr>
        <w:t>wskazano</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obowiązek</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informowania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konsumenta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uprawnieniu</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otrzymania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zwrotu</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środków</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zgromadzonych</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koncie</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prepaid</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przypadku</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wygaśnięcia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ważności</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konta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zmiany</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Obowiązek</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ten</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ma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być</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realizowany</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niezwłocznie</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po</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rozpoczęciu</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Informacja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wskazująca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uprawnienie</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konsumenta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oraz</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sposób</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skorzystania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niego</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przekazywana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będzie</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wiadomości</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SMS</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wysyłanej</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numer</w:t>
      </w:r>
      <w:r w:rsidR="00970B2E" w:rsidRPr="00D44D33">
        <w:rPr>
          <w:rFonts w:ascii="Times New Roman" w:eastAsiaTheme="minorEastAsia" w:hAnsi="Times New Roman" w:cs="Times New Roman"/>
          <w:bCs/>
          <w:sz w:val="24"/>
          <w:szCs w:val="24"/>
        </w:rPr>
        <w:t xml:space="preserve"> </w:t>
      </w:r>
      <w:r w:rsidR="005D2861" w:rsidRPr="00D44D33">
        <w:rPr>
          <w:rFonts w:ascii="Times New Roman" w:eastAsiaTheme="minorEastAsia" w:hAnsi="Times New Roman" w:cs="Times New Roman"/>
          <w:bCs/>
          <w:sz w:val="24"/>
          <w:szCs w:val="24"/>
        </w:rPr>
        <w:t>abonencki</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oparciu,</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który</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świadczona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usługa</w:t>
      </w:r>
      <w:r w:rsidR="00970B2E" w:rsidRPr="00D44D33">
        <w:rPr>
          <w:rFonts w:ascii="Times New Roman" w:eastAsiaTheme="minorEastAsia" w:hAnsi="Times New Roman" w:cs="Times New Roman"/>
          <w:bCs/>
          <w:sz w:val="24"/>
          <w:szCs w:val="24"/>
        </w:rPr>
        <w:t xml:space="preserve"> </w:t>
      </w:r>
      <w:r w:rsidR="00DA06C2" w:rsidRPr="00D44D33">
        <w:rPr>
          <w:rFonts w:ascii="Times New Roman" w:eastAsiaTheme="minorEastAsia" w:hAnsi="Times New Roman" w:cs="Times New Roman"/>
          <w:bCs/>
          <w:sz w:val="24"/>
          <w:szCs w:val="24"/>
        </w:rPr>
        <w:t>przedpłacona.</w:t>
      </w:r>
    </w:p>
    <w:p w14:paraId="43D36D96" w14:textId="35DA174B" w:rsidR="0044009E" w:rsidRPr="00D44D33" w:rsidRDefault="00D222A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285</w:t>
      </w:r>
    </w:p>
    <w:p w14:paraId="678401FD" w14:textId="211FED55" w:rsidR="456052C0" w:rsidRPr="00D44D33" w:rsidRDefault="0044009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K</w:t>
      </w:r>
      <w:r w:rsidR="00264765" w:rsidRPr="00D44D33">
        <w:rPr>
          <w:rFonts w:ascii="Times New Roman" w:eastAsiaTheme="minorEastAsia" w:hAnsi="Times New Roman" w:cs="Times New Roman"/>
          <w:b/>
          <w:bCs/>
          <w:sz w:val="24"/>
          <w:szCs w:val="24"/>
        </w:rPr>
        <w:t>orzystanie</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aparatów</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publicznych</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00264765" w:rsidRPr="00D44D33">
        <w:rPr>
          <w:rFonts w:ascii="Times New Roman" w:eastAsiaTheme="minorEastAsia" w:hAnsi="Times New Roman" w:cs="Times New Roman"/>
          <w:b/>
          <w:bCs/>
          <w:sz w:val="24"/>
          <w:szCs w:val="24"/>
        </w:rPr>
        <w:t>NDS</w:t>
      </w:r>
    </w:p>
    <w:p w14:paraId="4E4D2E76" w14:textId="53BC41BD" w:rsidR="00F01158"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44009E" w:rsidRPr="00D44D33">
        <w:rPr>
          <w:rFonts w:ascii="Times New Roman" w:eastAsiaTheme="minorEastAsia" w:hAnsi="Times New Roman" w:cs="Times New Roman"/>
          <w:sz w:val="24"/>
          <w:szCs w:val="24"/>
        </w:rPr>
        <w:t xml:space="preserve"> 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62036" w:rsidRPr="00D44D33">
        <w:rPr>
          <w:rFonts w:ascii="Times New Roman" w:eastAsiaTheme="minorEastAsia" w:hAnsi="Times New Roman" w:cs="Times New Roman"/>
          <w:sz w:val="24"/>
          <w:szCs w:val="24"/>
        </w:rPr>
        <w:t>285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aparatów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051A99"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167808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internetowej.</w:t>
      </w:r>
      <w:r w:rsidR="00371EEA">
        <w:rPr>
          <w:rFonts w:ascii="Times New Roman" w:eastAsiaTheme="minorEastAsia" w:hAnsi="Times New Roman" w:cs="Times New Roman"/>
          <w:sz w:val="24"/>
          <w:szCs w:val="24"/>
        </w:rPr>
        <w:t xml:space="preserve"> </w:t>
      </w:r>
    </w:p>
    <w:p w14:paraId="01FC3FC2" w14:textId="523A9BB7" w:rsidR="00221330" w:rsidRPr="00D44D33" w:rsidRDefault="2284D85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2D04B9C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D04B9C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D04B9CE"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2D04B9C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4F6296" w:rsidRPr="00D44D33">
        <w:rPr>
          <w:rFonts w:ascii="Times New Roman" w:eastAsiaTheme="minorEastAsia" w:hAnsi="Times New Roman" w:cs="Times New Roman"/>
          <w:sz w:val="24"/>
          <w:szCs w:val="24"/>
        </w:rPr>
        <w:t>wyżej,</w:t>
      </w:r>
      <w:r w:rsidR="00970B2E" w:rsidRPr="00D44D33">
        <w:rPr>
          <w:rFonts w:ascii="Times New Roman" w:eastAsiaTheme="minorEastAsia" w:hAnsi="Times New Roman" w:cs="Times New Roman"/>
          <w:sz w:val="24"/>
          <w:szCs w:val="24"/>
        </w:rPr>
        <w:t xml:space="preserve"> </w:t>
      </w:r>
      <w:r w:rsidR="004F629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korespondencyjny,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371EEA">
        <w:rPr>
          <w:rFonts w:ascii="Times New Roman" w:eastAsiaTheme="minorEastAsia" w:hAnsi="Times New Roman" w:cs="Times New Roman"/>
          <w:sz w:val="24"/>
          <w:szCs w:val="24"/>
        </w:rPr>
        <w:t xml:space="preserve"> </w:t>
      </w:r>
    </w:p>
    <w:p w14:paraId="61EF458B" w14:textId="261A7A0D" w:rsidR="0044009E" w:rsidRPr="00D44D33" w:rsidRDefault="00281DB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262036" w:rsidRPr="00D44D33">
        <w:rPr>
          <w:rFonts w:ascii="Times New Roman" w:eastAsiaTheme="minorEastAsia" w:hAnsi="Times New Roman" w:cs="Times New Roman"/>
          <w:b/>
          <w:sz w:val="24"/>
          <w:szCs w:val="24"/>
        </w:rPr>
        <w:t>286</w:t>
      </w:r>
    </w:p>
    <w:p w14:paraId="4526B59D" w14:textId="334BE061" w:rsidR="00281DB6" w:rsidRPr="00D44D33" w:rsidRDefault="0044009E"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D</w:t>
      </w:r>
      <w:r w:rsidR="00051A99" w:rsidRPr="00D44D33">
        <w:rPr>
          <w:rFonts w:ascii="Times New Roman" w:eastAsiaTheme="minorEastAsia" w:hAnsi="Times New Roman" w:cs="Times New Roman"/>
          <w:b/>
          <w:sz w:val="24"/>
          <w:szCs w:val="24"/>
        </w:rPr>
        <w:t>ostępność</w:t>
      </w:r>
      <w:r w:rsidR="00970B2E" w:rsidRPr="00D44D33">
        <w:rPr>
          <w:rFonts w:ascii="Times New Roman" w:eastAsiaTheme="minorEastAsia" w:hAnsi="Times New Roman" w:cs="Times New Roman"/>
          <w:b/>
          <w:sz w:val="24"/>
          <w:szCs w:val="24"/>
        </w:rPr>
        <w:t xml:space="preserve"> </w:t>
      </w:r>
      <w:r w:rsidR="00051A99" w:rsidRPr="00D44D33">
        <w:rPr>
          <w:rFonts w:ascii="Times New Roman" w:eastAsiaTheme="minorEastAsia" w:hAnsi="Times New Roman" w:cs="Times New Roman"/>
          <w:b/>
          <w:sz w:val="24"/>
          <w:szCs w:val="24"/>
        </w:rPr>
        <w:t>dokumentów</w:t>
      </w:r>
      <w:r w:rsidR="00970B2E" w:rsidRPr="00D44D33">
        <w:rPr>
          <w:rFonts w:ascii="Times New Roman" w:eastAsiaTheme="minorEastAsia" w:hAnsi="Times New Roman" w:cs="Times New Roman"/>
          <w:b/>
          <w:sz w:val="24"/>
          <w:szCs w:val="24"/>
        </w:rPr>
        <w:t xml:space="preserve"> </w:t>
      </w:r>
      <w:r w:rsidR="00051A99" w:rsidRPr="00D44D33">
        <w:rPr>
          <w:rFonts w:ascii="Times New Roman" w:eastAsiaTheme="minorEastAsia" w:hAnsi="Times New Roman" w:cs="Times New Roman"/>
          <w:b/>
          <w:sz w:val="24"/>
          <w:szCs w:val="24"/>
        </w:rPr>
        <w:t>umownych</w:t>
      </w:r>
      <w:r w:rsidR="00970B2E" w:rsidRPr="00D44D33">
        <w:rPr>
          <w:rFonts w:ascii="Times New Roman" w:eastAsiaTheme="minorEastAsia" w:hAnsi="Times New Roman" w:cs="Times New Roman"/>
          <w:b/>
          <w:sz w:val="24"/>
          <w:szCs w:val="24"/>
        </w:rPr>
        <w:t xml:space="preserve"> </w:t>
      </w:r>
      <w:r w:rsidR="00051A99" w:rsidRPr="00D44D33">
        <w:rPr>
          <w:rFonts w:ascii="Times New Roman" w:eastAsiaTheme="minorEastAsia" w:hAnsi="Times New Roman" w:cs="Times New Roman"/>
          <w:b/>
          <w:sz w:val="24"/>
          <w:szCs w:val="24"/>
        </w:rPr>
        <w:t>dla</w:t>
      </w:r>
      <w:r w:rsidR="00970B2E" w:rsidRPr="00D44D33">
        <w:rPr>
          <w:rFonts w:ascii="Times New Roman" w:eastAsiaTheme="minorEastAsia" w:hAnsi="Times New Roman" w:cs="Times New Roman"/>
          <w:b/>
          <w:sz w:val="24"/>
          <w:szCs w:val="24"/>
        </w:rPr>
        <w:t xml:space="preserve"> </w:t>
      </w:r>
      <w:r w:rsidR="00051A99" w:rsidRPr="00D44D33">
        <w:rPr>
          <w:rFonts w:ascii="Times New Roman" w:eastAsiaTheme="minorEastAsia" w:hAnsi="Times New Roman" w:cs="Times New Roman"/>
          <w:b/>
          <w:sz w:val="24"/>
          <w:szCs w:val="24"/>
        </w:rPr>
        <w:t>osób</w:t>
      </w:r>
      <w:r w:rsidR="00970B2E" w:rsidRPr="00D44D33">
        <w:rPr>
          <w:rFonts w:ascii="Times New Roman" w:eastAsiaTheme="minorEastAsia" w:hAnsi="Times New Roman" w:cs="Times New Roman"/>
          <w:b/>
          <w:sz w:val="24"/>
          <w:szCs w:val="24"/>
        </w:rPr>
        <w:t xml:space="preserve"> </w:t>
      </w:r>
      <w:r w:rsidR="00051A99"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051A99" w:rsidRPr="00D44D33">
        <w:rPr>
          <w:rFonts w:ascii="Times New Roman" w:eastAsiaTheme="minorEastAsia" w:hAnsi="Times New Roman" w:cs="Times New Roman"/>
          <w:b/>
          <w:sz w:val="24"/>
          <w:szCs w:val="24"/>
        </w:rPr>
        <w:t>niepełnosprawnościami</w:t>
      </w:r>
    </w:p>
    <w:p w14:paraId="79123475" w14:textId="7868675F" w:rsidR="00281DB6" w:rsidRPr="00D44D33" w:rsidRDefault="00281DB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przedumownych,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zwięzłego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podsumowania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Szczegóły</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doprecyzowane</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62036" w:rsidRPr="00D44D33">
        <w:rPr>
          <w:rFonts w:ascii="Times New Roman" w:eastAsiaTheme="minorEastAsia" w:hAnsi="Times New Roman" w:cs="Times New Roman"/>
          <w:sz w:val="24"/>
          <w:szCs w:val="24"/>
        </w:rPr>
        <w:t>334</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4D33621C" w:rsidRPr="00D44D33">
        <w:rPr>
          <w:rFonts w:ascii="Times New Roman" w:eastAsiaTheme="minorEastAsia" w:hAnsi="Times New Roman" w:cs="Times New Roman"/>
          <w:sz w:val="24"/>
          <w:szCs w:val="24"/>
        </w:rPr>
        <w:t>3.</w:t>
      </w:r>
    </w:p>
    <w:p w14:paraId="74C098AE" w14:textId="67E526FE" w:rsidR="0044009E" w:rsidRPr="00D44D33" w:rsidRDefault="00D222A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287</w:t>
      </w:r>
    </w:p>
    <w:p w14:paraId="4A7356FA" w14:textId="1BAE45DF" w:rsidR="7DFC87A3" w:rsidRPr="00D44D33" w:rsidRDefault="0044009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R</w:t>
      </w:r>
      <w:r w:rsidR="00051A99" w:rsidRPr="00D44D33">
        <w:rPr>
          <w:rFonts w:ascii="Times New Roman" w:eastAsiaTheme="minorEastAsia" w:hAnsi="Times New Roman" w:cs="Times New Roman"/>
          <w:b/>
          <w:bCs/>
          <w:sz w:val="24"/>
          <w:szCs w:val="24"/>
        </w:rPr>
        <w:t>ozszerzenie</w:t>
      </w:r>
      <w:r w:rsidR="00970B2E" w:rsidRPr="00D44D33">
        <w:rPr>
          <w:rFonts w:ascii="Times New Roman" w:eastAsiaTheme="minorEastAsia" w:hAnsi="Times New Roman" w:cs="Times New Roman"/>
          <w:b/>
          <w:bCs/>
          <w:sz w:val="24"/>
          <w:szCs w:val="24"/>
        </w:rPr>
        <w:t xml:space="preserve"> </w:t>
      </w:r>
      <w:r w:rsidR="00051A99" w:rsidRPr="00D44D33">
        <w:rPr>
          <w:rFonts w:ascii="Times New Roman" w:eastAsiaTheme="minorEastAsia" w:hAnsi="Times New Roman" w:cs="Times New Roman"/>
          <w:b/>
          <w:bCs/>
          <w:sz w:val="24"/>
          <w:szCs w:val="24"/>
        </w:rPr>
        <w:t>uprawnień</w:t>
      </w:r>
      <w:r w:rsidR="00970B2E" w:rsidRPr="00D44D33">
        <w:rPr>
          <w:rFonts w:ascii="Times New Roman" w:eastAsiaTheme="minorEastAsia" w:hAnsi="Times New Roman" w:cs="Times New Roman"/>
          <w:b/>
          <w:bCs/>
          <w:sz w:val="24"/>
          <w:szCs w:val="24"/>
        </w:rPr>
        <w:t xml:space="preserve"> </w:t>
      </w:r>
      <w:r w:rsidR="00051A99" w:rsidRPr="00D44D33">
        <w:rPr>
          <w:rFonts w:ascii="Times New Roman" w:eastAsiaTheme="minorEastAsia" w:hAnsi="Times New Roman" w:cs="Times New Roman"/>
          <w:b/>
          <w:bCs/>
          <w:sz w:val="24"/>
          <w:szCs w:val="24"/>
        </w:rPr>
        <w:t>konsumenckich</w:t>
      </w:r>
    </w:p>
    <w:p w14:paraId="45DC9301" w14:textId="53882D3D" w:rsidR="4F7E5CAD" w:rsidRPr="00D44D33" w:rsidRDefault="75D2F8A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artykule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konsumenckie</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mikroprzedsiębiorcami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małymi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organizacjami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pozarządowymi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wolontariacie</w:t>
      </w:r>
      <w:r w:rsidR="2D7F31B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wyrazili</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oni,</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chwili</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miały</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ni</w:t>
      </w:r>
      <w:r w:rsidR="6F4923F3"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2D7F31B6" w:rsidRPr="00D44D33">
        <w:rPr>
          <w:rFonts w:ascii="Times New Roman" w:eastAsiaTheme="minorEastAsia" w:hAnsi="Times New Roman" w:cs="Times New Roman"/>
          <w:sz w:val="24"/>
          <w:szCs w:val="24"/>
        </w:rPr>
        <w:t>zastosowania</w:t>
      </w:r>
      <w:r w:rsidR="06B6116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9303AE4" w:rsidRPr="00D44D33">
        <w:rPr>
          <w:rFonts w:ascii="Times New Roman" w:eastAsiaTheme="minorEastAsia" w:hAnsi="Times New Roman" w:cs="Times New Roman"/>
          <w:sz w:val="24"/>
          <w:szCs w:val="24"/>
        </w:rPr>
        <w:t>M2M.</w:t>
      </w:r>
    </w:p>
    <w:p w14:paraId="3A007391" w14:textId="49A46C35" w:rsidR="00982FB1" w:rsidRPr="00D44D33" w:rsidRDefault="00982FB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p>
    <w:p w14:paraId="57973D13" w14:textId="0526D072" w:rsidR="0044009E" w:rsidRPr="00D44D33" w:rsidRDefault="774D1EF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288</w:t>
      </w:r>
    </w:p>
    <w:p w14:paraId="3E5E5239" w14:textId="600ED6F2" w:rsidR="00221330" w:rsidRPr="00D44D33" w:rsidRDefault="0044009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U</w:t>
      </w:r>
      <w:r w:rsidR="008B2895" w:rsidRPr="00D44D33">
        <w:rPr>
          <w:rFonts w:ascii="Times New Roman" w:eastAsiaTheme="minorEastAsia" w:hAnsi="Times New Roman" w:cs="Times New Roman"/>
          <w:b/>
          <w:bCs/>
          <w:sz w:val="24"/>
          <w:szCs w:val="24"/>
        </w:rPr>
        <w:t>mowy</w:t>
      </w:r>
      <w:r w:rsidR="00970B2E" w:rsidRPr="00D44D33">
        <w:rPr>
          <w:rFonts w:ascii="Times New Roman" w:eastAsiaTheme="minorEastAsia" w:hAnsi="Times New Roman" w:cs="Times New Roman"/>
          <w:b/>
          <w:bCs/>
          <w:sz w:val="24"/>
          <w:szCs w:val="24"/>
        </w:rPr>
        <w:t xml:space="preserve"> </w:t>
      </w:r>
      <w:r w:rsidR="008B2895" w:rsidRPr="00D44D33">
        <w:rPr>
          <w:rFonts w:ascii="Times New Roman" w:eastAsiaTheme="minorEastAsia" w:hAnsi="Times New Roman" w:cs="Times New Roman"/>
          <w:b/>
          <w:bCs/>
          <w:sz w:val="24"/>
          <w:szCs w:val="24"/>
        </w:rPr>
        <w:t>B2B</w:t>
      </w:r>
    </w:p>
    <w:p w14:paraId="438538A9" w14:textId="67CECC4F" w:rsidR="00221330" w:rsidRPr="00D44D33" w:rsidRDefault="002A71A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podstawowych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maja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przekazane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74394C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mikroprzedsiębiorc</w:t>
      </w:r>
      <w:r w:rsidR="6974CF7E" w:rsidRPr="00D44D33">
        <w:rPr>
          <w:rFonts w:ascii="Times New Roman" w:eastAsiaTheme="minorEastAsia" w:hAnsi="Times New Roman" w:cs="Times New Roman"/>
          <w:sz w:val="24"/>
          <w:szCs w:val="24"/>
        </w:rPr>
        <w:t>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w:t>
      </w:r>
      <w:r w:rsidR="20075675" w:rsidRPr="00D44D33">
        <w:rPr>
          <w:rFonts w:ascii="Times New Roman" w:eastAsiaTheme="minorEastAsia" w:hAnsi="Times New Roman" w:cs="Times New Roman"/>
          <w:sz w:val="24"/>
          <w:szCs w:val="24"/>
        </w:rPr>
        <w:t>łymi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w:t>
      </w:r>
      <w:r w:rsidR="6A56A094" w:rsidRPr="00D44D33">
        <w:rPr>
          <w:rFonts w:ascii="Times New Roman" w:eastAsiaTheme="minorEastAsia" w:hAnsi="Times New Roman" w:cs="Times New Roman"/>
          <w:sz w:val="24"/>
          <w:szCs w:val="24"/>
        </w:rPr>
        <w:t>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organizacj</w:t>
      </w:r>
      <w:r w:rsidR="17A44030" w:rsidRPr="00D44D33">
        <w:rPr>
          <w:rFonts w:ascii="Times New Roman" w:eastAsiaTheme="minorEastAsia" w:hAnsi="Times New Roman" w:cs="Times New Roman"/>
          <w:sz w:val="24"/>
          <w:szCs w:val="24"/>
        </w:rPr>
        <w:t>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pozarządow</w:t>
      </w:r>
      <w:r w:rsidR="0F0C45B0" w:rsidRPr="00D44D33">
        <w:rPr>
          <w:rFonts w:ascii="Times New Roman" w:eastAsiaTheme="minorEastAsia" w:hAnsi="Times New Roman" w:cs="Times New Roman"/>
          <w:sz w:val="24"/>
          <w:szCs w:val="24"/>
        </w:rPr>
        <w:t>ymi</w:t>
      </w:r>
      <w:r w:rsidR="00970B2E" w:rsidRPr="00D44D33">
        <w:rPr>
          <w:rFonts w:ascii="Times New Roman" w:eastAsiaTheme="minorEastAsia" w:hAnsi="Times New Roman" w:cs="Times New Roman"/>
          <w:sz w:val="24"/>
          <w:szCs w:val="24"/>
        </w:rPr>
        <w:t xml:space="preserve"> </w:t>
      </w:r>
      <w:r w:rsidR="6D78C846" w:rsidRPr="00D44D33" w:rsidDel="3ECA0378">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D78C846" w:rsidRPr="00D44D33" w:rsidDel="3ECA0378">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B2895"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3ECA0378" w:rsidRPr="00D44D33">
        <w:rPr>
          <w:rFonts w:ascii="Times New Roman" w:eastAsiaTheme="minorEastAsia" w:hAnsi="Times New Roman" w:cs="Times New Roman"/>
          <w:sz w:val="24"/>
          <w:szCs w:val="24"/>
        </w:rPr>
        <w:t>z</w:t>
      </w:r>
      <w:r w:rsidR="566EAACD" w:rsidRPr="00D44D33">
        <w:rPr>
          <w:rFonts w:ascii="Times New Roman" w:eastAsiaTheme="minorEastAsia" w:hAnsi="Times New Roman" w:cs="Times New Roman"/>
          <w:sz w:val="24"/>
          <w:szCs w:val="24"/>
        </w:rPr>
        <w:t>rzekli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7E585B6D" w:rsidRPr="00D44D33">
        <w:rPr>
          <w:rFonts w:ascii="Times New Roman" w:eastAsiaTheme="minorEastAsia" w:hAnsi="Times New Roman" w:cs="Times New Roman"/>
          <w:sz w:val="24"/>
          <w:szCs w:val="24"/>
        </w:rPr>
        <w:t>oni</w:t>
      </w:r>
      <w:r w:rsidR="00970B2E" w:rsidRPr="00D44D33">
        <w:rPr>
          <w:rFonts w:ascii="Times New Roman" w:eastAsiaTheme="minorEastAsia" w:hAnsi="Times New Roman" w:cs="Times New Roman"/>
          <w:sz w:val="24"/>
          <w:szCs w:val="24"/>
        </w:rPr>
        <w:t xml:space="preserve"> </w:t>
      </w:r>
      <w:r w:rsidR="7E585B6D"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7E585B6D"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7E585B6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2487C43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2487C43C" w:rsidRPr="00D44D33">
        <w:rPr>
          <w:rFonts w:ascii="Times New Roman" w:eastAsiaTheme="minorEastAsia" w:hAnsi="Times New Roman" w:cs="Times New Roman"/>
          <w:sz w:val="24"/>
          <w:szCs w:val="24"/>
        </w:rPr>
        <w:t>zawierane</w:t>
      </w:r>
      <w:r w:rsidR="00970B2E" w:rsidRPr="00D44D33">
        <w:rPr>
          <w:rFonts w:ascii="Times New Roman" w:eastAsiaTheme="minorEastAsia" w:hAnsi="Times New Roman" w:cs="Times New Roman"/>
          <w:sz w:val="24"/>
          <w:szCs w:val="24"/>
        </w:rPr>
        <w:t xml:space="preserve"> </w:t>
      </w:r>
      <w:r w:rsidR="2487C43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487C43C"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56</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6B6FADCF" w:rsidRPr="00D44D33">
        <w:rPr>
          <w:rFonts w:ascii="Times New Roman" w:eastAsiaTheme="minorEastAsia" w:hAnsi="Times New Roman" w:cs="Times New Roman"/>
          <w:sz w:val="24"/>
          <w:szCs w:val="24"/>
        </w:rPr>
        <w:t>Pt.</w:t>
      </w:r>
    </w:p>
    <w:p w14:paraId="68DB9112" w14:textId="4654D67F" w:rsidR="00026532" w:rsidRPr="00D44D33" w:rsidRDefault="3A23172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30C36A6" w:rsidRPr="00D44D33">
        <w:rPr>
          <w:rFonts w:ascii="Times New Roman" w:eastAsiaTheme="minorEastAsia" w:hAnsi="Times New Roman" w:cs="Times New Roman"/>
          <w:sz w:val="24"/>
          <w:szCs w:val="24"/>
        </w:rPr>
        <w:t>u</w:t>
      </w:r>
      <w:r w:rsidR="00026532" w:rsidRPr="00D44D33">
        <w:rPr>
          <w:rFonts w:ascii="Times New Roman" w:eastAsiaTheme="minorEastAsia" w:hAnsi="Times New Roman" w:cs="Times New Roman"/>
          <w:sz w:val="24"/>
          <w:szCs w:val="24"/>
        </w:rPr>
        <w:t>st</w:t>
      </w:r>
      <w:r w:rsidR="004718D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A71A2"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aktualnych</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indywidualnie</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wynegocjowanych</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niebędących</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konsumentami</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określania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przedterminowe</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wypowiedzenie</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abonenta.</w:t>
      </w:r>
    </w:p>
    <w:p w14:paraId="5BBE89F2" w14:textId="556ACA72" w:rsidR="004718DF" w:rsidRPr="00D44D33" w:rsidRDefault="00D222A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289</w:t>
      </w:r>
      <w:r w:rsidR="00970B2E" w:rsidRPr="00D44D33">
        <w:rPr>
          <w:rFonts w:ascii="Times New Roman" w:eastAsiaTheme="minorEastAsia" w:hAnsi="Times New Roman" w:cs="Times New Roman"/>
          <w:b/>
          <w:bCs/>
          <w:sz w:val="24"/>
          <w:szCs w:val="24"/>
        </w:rPr>
        <w:t xml:space="preserve"> </w:t>
      </w:r>
    </w:p>
    <w:p w14:paraId="4A594C09" w14:textId="37BEEFA4" w:rsidR="00D222AC" w:rsidRPr="00D44D33" w:rsidRDefault="004718D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002D6B91" w:rsidRPr="00D44D33">
        <w:rPr>
          <w:rFonts w:ascii="Times New Roman" w:eastAsiaTheme="minorEastAsia" w:hAnsi="Times New Roman" w:cs="Times New Roman"/>
          <w:b/>
          <w:bCs/>
          <w:sz w:val="24"/>
          <w:szCs w:val="24"/>
        </w:rPr>
        <w:t>świadczenia</w:t>
      </w:r>
      <w:r w:rsidR="00970B2E" w:rsidRPr="00D44D33">
        <w:rPr>
          <w:rFonts w:ascii="Times New Roman" w:eastAsiaTheme="minorEastAsia" w:hAnsi="Times New Roman" w:cs="Times New Roman"/>
          <w:b/>
          <w:bCs/>
          <w:sz w:val="24"/>
          <w:szCs w:val="24"/>
        </w:rPr>
        <w:t xml:space="preserve"> </w:t>
      </w:r>
      <w:r w:rsidR="002D6B91"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2D6B91" w:rsidRPr="00D44D33">
        <w:rPr>
          <w:rFonts w:ascii="Times New Roman" w:eastAsiaTheme="minorEastAsia" w:hAnsi="Times New Roman" w:cs="Times New Roman"/>
          <w:b/>
          <w:bCs/>
          <w:sz w:val="24"/>
          <w:szCs w:val="24"/>
        </w:rPr>
        <w:t>formie</w:t>
      </w:r>
      <w:r w:rsidR="00970B2E" w:rsidRPr="00D44D33">
        <w:rPr>
          <w:rFonts w:ascii="Times New Roman" w:eastAsiaTheme="minorEastAsia" w:hAnsi="Times New Roman" w:cs="Times New Roman"/>
          <w:b/>
          <w:bCs/>
          <w:sz w:val="24"/>
          <w:szCs w:val="24"/>
        </w:rPr>
        <w:t xml:space="preserve"> </w:t>
      </w:r>
      <w:r w:rsidR="002D6B91" w:rsidRPr="00D44D33">
        <w:rPr>
          <w:rFonts w:ascii="Times New Roman" w:eastAsiaTheme="minorEastAsia" w:hAnsi="Times New Roman" w:cs="Times New Roman"/>
          <w:b/>
          <w:bCs/>
          <w:sz w:val="24"/>
          <w:szCs w:val="24"/>
        </w:rPr>
        <w:t>dokumentowej</w:t>
      </w:r>
    </w:p>
    <w:p w14:paraId="5EC6CFB5" w14:textId="7CE55260" w:rsidR="00D222AC" w:rsidRPr="00D44D33" w:rsidRDefault="004718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262036" w:rsidRPr="00D44D33">
        <w:rPr>
          <w:rFonts w:ascii="Times New Roman" w:eastAsiaTheme="minorEastAsia" w:hAnsi="Times New Roman" w:cs="Times New Roman"/>
          <w:sz w:val="24"/>
          <w:szCs w:val="24"/>
        </w:rPr>
        <w:t>289</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woli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składane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utrwala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doręcza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zaproponowanych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uzgodnionych</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związaniu</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00D222AC"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p>
    <w:p w14:paraId="427A9377" w14:textId="24312CC9" w:rsidR="004718DF" w:rsidRPr="00D44D33" w:rsidRDefault="748537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290</w:t>
      </w:r>
      <w:r w:rsidR="00970B2E" w:rsidRPr="00D44D33">
        <w:rPr>
          <w:rFonts w:ascii="Times New Roman" w:eastAsiaTheme="minorEastAsia" w:hAnsi="Times New Roman" w:cs="Times New Roman"/>
          <w:b/>
          <w:bCs/>
          <w:sz w:val="24"/>
          <w:szCs w:val="24"/>
        </w:rPr>
        <w:t xml:space="preserve"> </w:t>
      </w:r>
    </w:p>
    <w:p w14:paraId="0C1B35D0" w14:textId="737819F7" w:rsidR="00221330" w:rsidRPr="00D44D33" w:rsidRDefault="004718D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R</w:t>
      </w:r>
      <w:r w:rsidR="0087287A" w:rsidRPr="00D44D33">
        <w:rPr>
          <w:rFonts w:ascii="Times New Roman" w:eastAsiaTheme="minorEastAsia" w:hAnsi="Times New Roman" w:cs="Times New Roman"/>
          <w:b/>
          <w:bCs/>
          <w:sz w:val="24"/>
          <w:szCs w:val="24"/>
        </w:rPr>
        <w:t>ozwiązanie</w:t>
      </w:r>
      <w:r w:rsidR="00970B2E" w:rsidRPr="00D44D33">
        <w:rPr>
          <w:rFonts w:ascii="Times New Roman" w:eastAsiaTheme="minorEastAsia" w:hAnsi="Times New Roman" w:cs="Times New Roman"/>
          <w:b/>
          <w:bCs/>
          <w:sz w:val="24"/>
          <w:szCs w:val="24"/>
        </w:rPr>
        <w:t xml:space="preserve"> </w:t>
      </w:r>
      <w:r w:rsidR="0087287A" w:rsidRPr="00D44D33">
        <w:rPr>
          <w:rFonts w:ascii="Times New Roman" w:eastAsiaTheme="minorEastAsia" w:hAnsi="Times New Roman" w:cs="Times New Roman"/>
          <w:b/>
          <w:bCs/>
          <w:sz w:val="24"/>
          <w:szCs w:val="24"/>
        </w:rPr>
        <w:t>umowy</w:t>
      </w:r>
      <w:r w:rsidR="00970B2E" w:rsidRPr="00D44D33">
        <w:rPr>
          <w:rFonts w:ascii="Times New Roman" w:eastAsiaTheme="minorEastAsia" w:hAnsi="Times New Roman" w:cs="Times New Roman"/>
          <w:b/>
          <w:bCs/>
          <w:sz w:val="24"/>
          <w:szCs w:val="24"/>
        </w:rPr>
        <w:t xml:space="preserve"> </w:t>
      </w:r>
      <w:r w:rsidR="0087287A"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87287A" w:rsidRPr="00D44D33">
        <w:rPr>
          <w:rFonts w:ascii="Times New Roman" w:eastAsiaTheme="minorEastAsia" w:hAnsi="Times New Roman" w:cs="Times New Roman"/>
          <w:b/>
          <w:bCs/>
          <w:sz w:val="24"/>
          <w:szCs w:val="24"/>
        </w:rPr>
        <w:t>formie</w:t>
      </w:r>
      <w:r w:rsidR="00970B2E" w:rsidRPr="00D44D33">
        <w:rPr>
          <w:rFonts w:ascii="Times New Roman" w:eastAsiaTheme="minorEastAsia" w:hAnsi="Times New Roman" w:cs="Times New Roman"/>
          <w:b/>
          <w:bCs/>
          <w:sz w:val="24"/>
          <w:szCs w:val="24"/>
        </w:rPr>
        <w:t xml:space="preserve"> </w:t>
      </w:r>
      <w:r w:rsidR="0087287A" w:rsidRPr="00D44D33">
        <w:rPr>
          <w:rFonts w:ascii="Times New Roman" w:eastAsiaTheme="minorEastAsia" w:hAnsi="Times New Roman" w:cs="Times New Roman"/>
          <w:b/>
          <w:bCs/>
          <w:sz w:val="24"/>
          <w:szCs w:val="24"/>
        </w:rPr>
        <w:t>dokumentowej</w:t>
      </w:r>
    </w:p>
    <w:p w14:paraId="0AEC24FD" w14:textId="0D8FD431" w:rsidR="00221330" w:rsidRPr="00D44D33" w:rsidRDefault="004718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262036" w:rsidRPr="00D44D33">
        <w:rPr>
          <w:rFonts w:ascii="Times New Roman" w:eastAsiaTheme="minorEastAsia" w:hAnsi="Times New Roman" w:cs="Times New Roman"/>
          <w:sz w:val="24"/>
          <w:szCs w:val="24"/>
        </w:rPr>
        <w:t>290</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dopuszczają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2A71A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2A71A2"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B17A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B17A0"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DB17A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B17A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DB17A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przyjęcia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1790A57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odstąpieniu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w:t>
      </w:r>
      <w:r w:rsidR="714DC2F7" w:rsidRPr="00D44D33">
        <w:rPr>
          <w:rFonts w:ascii="Times New Roman" w:eastAsiaTheme="minorEastAsia" w:hAnsi="Times New Roman" w:cs="Times New Roman"/>
          <w:sz w:val="24"/>
          <w:szCs w:val="24"/>
        </w:rPr>
        <w:t>mowy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rozwiązaniu</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zgodą</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stron</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niezależne</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zawarł</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4BFACAD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zawieranie</w:t>
      </w:r>
      <w:r w:rsidR="00970B2E" w:rsidRPr="00D44D33">
        <w:rPr>
          <w:rFonts w:ascii="Times New Roman" w:eastAsiaTheme="minorEastAsia" w:hAnsi="Times New Roman" w:cs="Times New Roman"/>
          <w:sz w:val="24"/>
          <w:szCs w:val="24"/>
        </w:rPr>
        <w:t xml:space="preserve"> </w:t>
      </w:r>
      <w:r w:rsidR="0038001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8001F"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2FF8ACD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75F4BCD0"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choćby</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76047A86" w:rsidRPr="00D44D33">
        <w:rPr>
          <w:rFonts w:ascii="Times New Roman" w:eastAsiaTheme="minorEastAsia" w:hAnsi="Times New Roman" w:cs="Times New Roman"/>
          <w:sz w:val="24"/>
          <w:szCs w:val="24"/>
        </w:rPr>
        <w:t>pisemnej.</w:t>
      </w:r>
    </w:p>
    <w:p w14:paraId="2053A8C5" w14:textId="6CB8521F" w:rsidR="00026532" w:rsidRPr="00D44D33" w:rsidRDefault="006F76A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40E35EBA"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40E35EBA"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1B3A2D4"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11B3A2D4"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11B3A2D4" w:rsidRPr="00D44D33">
        <w:rPr>
          <w:rFonts w:ascii="Times New Roman" w:eastAsiaTheme="minorEastAsia" w:hAnsi="Times New Roman" w:cs="Times New Roman"/>
          <w:sz w:val="24"/>
          <w:szCs w:val="24"/>
        </w:rPr>
        <w:t>wykorzystaniu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zdecyduje</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6AB4E880" w:rsidRPr="00D44D33">
        <w:rPr>
          <w:rFonts w:ascii="Times New Roman" w:eastAsiaTheme="minorEastAsia" w:hAnsi="Times New Roman" w:cs="Times New Roman"/>
          <w:sz w:val="24"/>
          <w:szCs w:val="24"/>
        </w:rPr>
        <w:t>środka</w:t>
      </w:r>
      <w:r w:rsidRPr="00D44D33" w:rsidDel="00C72B88">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47E6382" w14:textId="17552DF9" w:rsidR="00731570" w:rsidRPr="00D44D33" w:rsidRDefault="566EAACD"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78B015C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40E5D173" w:rsidRPr="00D44D33">
        <w:rPr>
          <w:rFonts w:ascii="Times New Roman" w:eastAsiaTheme="minorEastAsia" w:hAnsi="Times New Roman" w:cs="Times New Roman"/>
          <w:sz w:val="24"/>
          <w:szCs w:val="24"/>
        </w:rPr>
        <w:t>roboczego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640C7A1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otrzymaniu</w:t>
      </w:r>
      <w:r w:rsidR="509D7D3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46F5F" w:rsidRPr="00D44D33">
        <w:rPr>
          <w:rFonts w:ascii="Times New Roman" w:eastAsiaTheme="minorEastAsia" w:hAnsi="Times New Roman" w:cs="Times New Roman"/>
          <w:sz w:val="24"/>
          <w:szCs w:val="24"/>
        </w:rPr>
        <w:t>Zawiadomienie następuje przez</w:t>
      </w:r>
      <w:r w:rsidR="005625D8" w:rsidRPr="00D44D33">
        <w:rPr>
          <w:rFonts w:ascii="Times New Roman" w:eastAsiaTheme="minorEastAsia" w:hAnsi="Times New Roman" w:cs="Times New Roman"/>
          <w:sz w:val="24"/>
          <w:szCs w:val="24"/>
        </w:rPr>
        <w:t>:</w:t>
      </w:r>
      <w:r w:rsidR="00246F5F" w:rsidRPr="00D44D33">
        <w:rPr>
          <w:rFonts w:ascii="Times New Roman" w:eastAsiaTheme="minorEastAsia" w:hAnsi="Times New Roman" w:cs="Times New Roman"/>
          <w:sz w:val="24"/>
          <w:szCs w:val="24"/>
        </w:rPr>
        <w:t xml:space="preserve"> wysłanie SMS</w:t>
      </w:r>
      <w:r w:rsidR="005625D8" w:rsidRPr="00D44D33">
        <w:rPr>
          <w:rFonts w:ascii="Times New Roman" w:eastAsiaTheme="minorEastAsia" w:hAnsi="Times New Roman" w:cs="Times New Roman"/>
          <w:sz w:val="24"/>
          <w:szCs w:val="24"/>
        </w:rPr>
        <w:t xml:space="preserve"> (jeśli abonent wskazał w umowie do kontaktu </w:t>
      </w:r>
      <w:r w:rsidR="00246F5F" w:rsidRPr="00D44D33">
        <w:rPr>
          <w:rFonts w:ascii="Times New Roman" w:eastAsiaTheme="minorEastAsia" w:hAnsi="Times New Roman" w:cs="Times New Roman"/>
          <w:sz w:val="24"/>
          <w:szCs w:val="24"/>
        </w:rPr>
        <w:t xml:space="preserve">numer </w:t>
      </w:r>
      <w:r w:rsidR="005625D8" w:rsidRPr="00D44D33">
        <w:rPr>
          <w:rFonts w:ascii="Times New Roman" w:eastAsiaTheme="minorEastAsia" w:hAnsi="Times New Roman" w:cs="Times New Roman"/>
          <w:sz w:val="24"/>
          <w:szCs w:val="24"/>
        </w:rPr>
        <w:t>niegeograficzny</w:t>
      </w:r>
      <w:r w:rsidR="00246F5F" w:rsidRPr="00D44D33">
        <w:rPr>
          <w:rFonts w:ascii="Times New Roman" w:eastAsiaTheme="minorEastAsia" w:hAnsi="Times New Roman" w:cs="Times New Roman"/>
          <w:sz w:val="24"/>
          <w:szCs w:val="24"/>
        </w:rPr>
        <w:t xml:space="preserve"> w umowie do kontaktu) lub wykonanie połączenia głosowego (</w:t>
      </w:r>
      <w:r w:rsidR="005625D8" w:rsidRPr="00D44D33">
        <w:rPr>
          <w:rFonts w:ascii="Times New Roman" w:eastAsiaTheme="minorEastAsia" w:hAnsi="Times New Roman" w:cs="Times New Roman"/>
          <w:sz w:val="24"/>
          <w:szCs w:val="24"/>
        </w:rPr>
        <w:t xml:space="preserve">jeżeli abonent wskazał w umowie do kontaktu </w:t>
      </w:r>
      <w:r w:rsidR="00246F5F" w:rsidRPr="00D44D33">
        <w:rPr>
          <w:rFonts w:ascii="Times New Roman" w:eastAsiaTheme="minorEastAsia" w:hAnsi="Times New Roman" w:cs="Times New Roman"/>
          <w:sz w:val="24"/>
          <w:szCs w:val="24"/>
        </w:rPr>
        <w:t>numer geograficz</w:t>
      </w:r>
      <w:r w:rsidR="005625D8" w:rsidRPr="00D44D33">
        <w:rPr>
          <w:rFonts w:ascii="Times New Roman" w:eastAsiaTheme="minorEastAsia" w:hAnsi="Times New Roman" w:cs="Times New Roman"/>
          <w:sz w:val="24"/>
          <w:szCs w:val="24"/>
        </w:rPr>
        <w:t>ny</w:t>
      </w:r>
      <w:r w:rsidR="00246F5F" w:rsidRPr="00D44D33">
        <w:rPr>
          <w:rFonts w:ascii="Times New Roman" w:eastAsiaTheme="minorEastAsia" w:hAnsi="Times New Roman" w:cs="Times New Roman"/>
          <w:sz w:val="24"/>
          <w:szCs w:val="24"/>
        </w:rPr>
        <w:t xml:space="preserve">) lub wysłanie wiadomości email (o ile w umowie abonent wskazał adres email do kontaktu).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zastosowano</w:t>
      </w:r>
      <w:r w:rsidR="00970B2E" w:rsidRPr="00D44D33">
        <w:rPr>
          <w:rFonts w:ascii="Times New Roman" w:eastAsiaTheme="minorEastAsia" w:hAnsi="Times New Roman" w:cs="Times New Roman"/>
          <w:sz w:val="24"/>
          <w:szCs w:val="24"/>
        </w:rPr>
        <w:t xml:space="preserve"> </w:t>
      </w:r>
      <w:r w:rsidR="5F574F10"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znan</w:t>
      </w:r>
      <w:r w:rsidR="50B3093C"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premium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przydzielonego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53FF92F"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53FF92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53FF92F" w:rsidRPr="00D44D33">
        <w:rPr>
          <w:rFonts w:ascii="Times New Roman" w:eastAsiaTheme="minorEastAsia" w:hAnsi="Times New Roman" w:cs="Times New Roman"/>
          <w:sz w:val="24"/>
          <w:szCs w:val="24"/>
        </w:rPr>
        <w:t>zaproponowanym</w:t>
      </w:r>
      <w:r w:rsidR="00970B2E" w:rsidRPr="00D44D33">
        <w:rPr>
          <w:rFonts w:ascii="Times New Roman" w:eastAsiaTheme="minorEastAsia" w:hAnsi="Times New Roman" w:cs="Times New Roman"/>
          <w:sz w:val="24"/>
          <w:szCs w:val="24"/>
        </w:rPr>
        <w:t xml:space="preserve"> </w:t>
      </w:r>
      <w:r w:rsidR="553FF92F"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553FF92F" w:rsidRPr="00D44D33">
        <w:rPr>
          <w:rFonts w:ascii="Times New Roman" w:eastAsiaTheme="minorEastAsia" w:hAnsi="Times New Roman" w:cs="Times New Roman"/>
          <w:sz w:val="24"/>
          <w:szCs w:val="24"/>
        </w:rPr>
        <w:t>o</w:t>
      </w:r>
      <w:r w:rsidRPr="00D44D33">
        <w:rPr>
          <w:rFonts w:ascii="Times New Roman" w:eastAsiaTheme="minorEastAsia" w:hAnsi="Times New Roman" w:cs="Times New Roman"/>
          <w:sz w:val="24"/>
          <w:szCs w:val="24"/>
        </w:rPr>
        <w:t>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wysłał</w:t>
      </w:r>
      <w:r w:rsidR="00970B2E" w:rsidRPr="00D44D33">
        <w:rPr>
          <w:rFonts w:ascii="Times New Roman" w:eastAsiaTheme="minorEastAsia" w:hAnsi="Times New Roman" w:cs="Times New Roman"/>
          <w:sz w:val="24"/>
          <w:szCs w:val="24"/>
        </w:rPr>
        <w:t xml:space="preserve"> </w:t>
      </w:r>
      <w:r w:rsidR="0C5570B4" w:rsidRPr="00D44D33">
        <w:rPr>
          <w:rFonts w:ascii="Times New Roman" w:eastAsiaTheme="minorEastAsia" w:hAnsi="Times New Roman" w:cs="Times New Roman"/>
          <w:sz w:val="24"/>
          <w:szCs w:val="24"/>
        </w:rPr>
        <w:t>SMS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niegeograficzny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geograficzny.</w:t>
      </w:r>
      <w:r w:rsidR="00970B2E" w:rsidRPr="00D44D33">
        <w:rPr>
          <w:rFonts w:ascii="Times New Roman" w:eastAsiaTheme="minorEastAsia" w:hAnsi="Times New Roman" w:cs="Times New Roman"/>
          <w:sz w:val="24"/>
          <w:szCs w:val="24"/>
        </w:rPr>
        <w:t xml:space="preserve"> </w:t>
      </w:r>
      <w:r w:rsidR="00DA5172"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DA5172" w:rsidRPr="00D44D33">
        <w:rPr>
          <w:rFonts w:ascii="Times New Roman" w:eastAsiaTheme="minorEastAsia" w:hAnsi="Times New Roman" w:cs="Times New Roman"/>
          <w:sz w:val="24"/>
          <w:szCs w:val="24"/>
        </w:rPr>
        <w:t>u</w:t>
      </w:r>
      <w:r w:rsidR="00026532" w:rsidRPr="00D44D33">
        <w:rPr>
          <w:rFonts w:ascii="Times New Roman" w:eastAsiaTheme="minorEastAsia" w:hAnsi="Times New Roman" w:cs="Times New Roman"/>
          <w:sz w:val="24"/>
          <w:szCs w:val="24"/>
        </w:rPr>
        <w:t>możliwiono</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026532"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590DD4F" w:rsidRPr="00D44D33">
        <w:rPr>
          <w:rFonts w:ascii="Times New Roman" w:eastAsiaTheme="minorEastAsia" w:hAnsi="Times New Roman" w:cs="Times New Roman"/>
          <w:sz w:val="24"/>
          <w:szCs w:val="24"/>
        </w:rPr>
        <w:t>poinformowanie</w:t>
      </w:r>
      <w:r w:rsidR="00970B2E" w:rsidRPr="00D44D33">
        <w:rPr>
          <w:rFonts w:ascii="Times New Roman" w:eastAsiaTheme="minorEastAsia" w:hAnsi="Times New Roman" w:cs="Times New Roman"/>
          <w:sz w:val="24"/>
          <w:szCs w:val="24"/>
        </w:rPr>
        <w:t xml:space="preserve"> </w:t>
      </w:r>
      <w:r w:rsidR="1590DD4F"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1590DD4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026532" w:rsidRPr="00D44D33">
        <w:rPr>
          <w:rFonts w:ascii="Times New Roman" w:hAnsi="Times New Roman" w:cs="Times New Roman"/>
          <w:sz w:val="24"/>
          <w:szCs w:val="24"/>
        </w:rPr>
        <w:t>wysłanie</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wiadomości</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wskazany</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DA5172" w:rsidRPr="00D44D33">
        <w:rPr>
          <w:rFonts w:ascii="Times New Roman" w:hAnsi="Times New Roman" w:cs="Times New Roman"/>
          <w:sz w:val="24"/>
          <w:szCs w:val="24"/>
        </w:rPr>
        <w:t>abonenta</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umowie</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adres</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poczty</w:t>
      </w:r>
      <w:r w:rsidR="00970B2E" w:rsidRPr="00D44D33">
        <w:rPr>
          <w:rFonts w:ascii="Times New Roman" w:hAnsi="Times New Roman" w:cs="Times New Roman"/>
          <w:sz w:val="24"/>
          <w:szCs w:val="24"/>
        </w:rPr>
        <w:t xml:space="preserve"> </w:t>
      </w:r>
      <w:r w:rsidR="00026532" w:rsidRPr="00D44D33">
        <w:rPr>
          <w:rFonts w:ascii="Times New Roman" w:hAnsi="Times New Roman" w:cs="Times New Roman"/>
          <w:sz w:val="24"/>
          <w:szCs w:val="24"/>
        </w:rPr>
        <w:t>elektronicznej.</w:t>
      </w:r>
      <w:r w:rsidR="00970B2E" w:rsidRPr="00D44D33">
        <w:rPr>
          <w:rFonts w:ascii="Times New Roman" w:hAnsi="Times New Roman" w:cs="Times New Roman"/>
          <w:sz w:val="24"/>
          <w:szCs w:val="24"/>
        </w:rPr>
        <w:t xml:space="preserve"> </w:t>
      </w:r>
    </w:p>
    <w:p w14:paraId="3FBC592E" w14:textId="0BEED833" w:rsidR="00731570" w:rsidRPr="00D44D33" w:rsidRDefault="37505D2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woli</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wypowiedzeniu</w:t>
      </w:r>
      <w:r w:rsidR="00970B2E" w:rsidRPr="00D44D33">
        <w:rPr>
          <w:rFonts w:ascii="Times New Roman" w:eastAsiaTheme="minorEastAsia" w:hAnsi="Times New Roman" w:cs="Times New Roman"/>
          <w:sz w:val="24"/>
          <w:szCs w:val="24"/>
        </w:rPr>
        <w:t xml:space="preserve"> </w:t>
      </w:r>
      <w:r w:rsidR="2DA549A7"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potwierdzeni</w:t>
      </w:r>
      <w:r w:rsidR="26AD79A9"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266BFC75"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wypowiedzenie</w:t>
      </w:r>
      <w:r w:rsidR="00970B2E" w:rsidRPr="00D44D33">
        <w:rPr>
          <w:rFonts w:ascii="Times New Roman" w:eastAsiaTheme="minorEastAsia" w:hAnsi="Times New Roman" w:cs="Times New Roman"/>
          <w:sz w:val="24"/>
          <w:szCs w:val="24"/>
        </w:rPr>
        <w:t xml:space="preserve"> </w:t>
      </w:r>
      <w:r w:rsidR="74014AB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74014AB7" w:rsidRPr="00D44D33">
        <w:rPr>
          <w:rFonts w:ascii="Times New Roman" w:eastAsiaTheme="minorEastAsia" w:hAnsi="Times New Roman" w:cs="Times New Roman"/>
          <w:sz w:val="24"/>
          <w:szCs w:val="24"/>
        </w:rPr>
        <w:t>dacie</w:t>
      </w:r>
      <w:r w:rsidR="00970B2E" w:rsidRPr="00D44D33">
        <w:rPr>
          <w:rFonts w:ascii="Times New Roman" w:eastAsiaTheme="minorEastAsia" w:hAnsi="Times New Roman" w:cs="Times New Roman"/>
          <w:sz w:val="24"/>
          <w:szCs w:val="24"/>
        </w:rPr>
        <w:t xml:space="preserve"> </w:t>
      </w:r>
      <w:r w:rsidR="6BD58BB9"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6BD58BB9"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6BD58BB9" w:rsidRPr="00D44D33">
        <w:rPr>
          <w:rFonts w:ascii="Times New Roman" w:eastAsiaTheme="minorEastAsia" w:hAnsi="Times New Roman" w:cs="Times New Roman"/>
          <w:sz w:val="24"/>
          <w:szCs w:val="24"/>
        </w:rPr>
        <w:t>usługi</w:t>
      </w:r>
      <w:r w:rsidR="74014AB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33679765" w14:textId="61CC25FA" w:rsidR="005C4500" w:rsidRPr="00D44D33" w:rsidRDefault="1670B52A" w:rsidP="00D44D33">
      <w:pPr>
        <w:spacing w:before="120" w:after="120" w:line="360" w:lineRule="auto"/>
        <w:jc w:val="both"/>
        <w:rPr>
          <w:rFonts w:ascii="Times New Roman" w:eastAsiaTheme="minorEastAsia" w:hAnsi="Times New Roman" w:cs="Times New Roman"/>
          <w:iCs/>
          <w:sz w:val="24"/>
          <w:szCs w:val="24"/>
        </w:rPr>
      </w:pPr>
      <w:r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dotąd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regulowana</w:t>
      </w:r>
      <w:r w:rsidR="7F27F65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7F27F65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3B6D7C17" w:rsidRPr="00D44D33">
        <w:rPr>
          <w:rFonts w:ascii="Times New Roman" w:eastAsiaTheme="minorEastAsia" w:hAnsi="Times New Roman" w:cs="Times New Roman"/>
          <w:sz w:val="24"/>
          <w:szCs w:val="24"/>
        </w:rPr>
        <w:t>wypowiedzieć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zwykle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nieproporcjonalne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188BF503"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188BF503"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w:t>
      </w:r>
      <w:r w:rsidR="4F14DEF6"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wychodzenia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3E2EC6A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e-mail.</w:t>
      </w:r>
      <w:r w:rsidR="00970B2E" w:rsidRPr="00D44D33">
        <w:rPr>
          <w:rFonts w:ascii="Times New Roman" w:eastAsiaTheme="minorEastAsia" w:hAnsi="Times New Roman" w:cs="Times New Roman"/>
          <w:sz w:val="24"/>
          <w:szCs w:val="24"/>
        </w:rPr>
        <w:t xml:space="preserve"> </w:t>
      </w:r>
      <w:r w:rsidR="3A8C3728"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3A8C372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oszustwami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błąd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wbrew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196ADF85" w:rsidRPr="00D44D33">
        <w:rPr>
          <w:rFonts w:ascii="Times New Roman" w:eastAsiaTheme="minorEastAsia" w:hAnsi="Times New Roman" w:cs="Times New Roman"/>
          <w:sz w:val="24"/>
          <w:szCs w:val="24"/>
        </w:rPr>
        <w:t>niezwłocznego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F284D6D" w:rsidRPr="00D44D33">
        <w:rPr>
          <w:rFonts w:ascii="Times New Roman" w:eastAsiaTheme="minorEastAsia" w:hAnsi="Times New Roman" w:cs="Times New Roman"/>
          <w:sz w:val="24"/>
          <w:szCs w:val="24"/>
        </w:rPr>
        <w:t>późniejszego</w:t>
      </w:r>
      <w:r w:rsidR="00970B2E" w:rsidRPr="00D44D33">
        <w:rPr>
          <w:rFonts w:ascii="Times New Roman" w:eastAsiaTheme="minorEastAsia" w:hAnsi="Times New Roman" w:cs="Times New Roman"/>
          <w:sz w:val="24"/>
          <w:szCs w:val="24"/>
        </w:rPr>
        <w:t xml:space="preserve"> </w:t>
      </w:r>
      <w:r w:rsidR="4F284D6D" w:rsidRPr="00D44D33">
        <w:rPr>
          <w:rFonts w:ascii="Times New Roman" w:eastAsiaTheme="minorEastAsia" w:hAnsi="Times New Roman" w:cs="Times New Roman"/>
          <w:sz w:val="24"/>
          <w:szCs w:val="24"/>
        </w:rPr>
        <w:t>potwierdzenia</w:t>
      </w:r>
      <w:r w:rsidR="00970B2E" w:rsidRPr="00D44D33">
        <w:rPr>
          <w:rFonts w:ascii="Times New Roman" w:eastAsiaTheme="minorEastAsia" w:hAnsi="Times New Roman" w:cs="Times New Roman"/>
          <w:sz w:val="24"/>
          <w:szCs w:val="24"/>
        </w:rPr>
        <w:t xml:space="preserve"> </w:t>
      </w:r>
      <w:r w:rsidR="3A82C21C"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4F284D6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4F284D6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F284D6D"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4F284D6D" w:rsidRPr="00D44D33">
        <w:rPr>
          <w:rFonts w:ascii="Times New Roman" w:eastAsiaTheme="minorEastAsia" w:hAnsi="Times New Roman" w:cs="Times New Roman"/>
          <w:sz w:val="24"/>
          <w:szCs w:val="24"/>
        </w:rPr>
        <w:t>nośniku</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iCs/>
          <w:sz w:val="24"/>
          <w:szCs w:val="24"/>
        </w:rPr>
        <w:t xml:space="preserve"> </w:t>
      </w:r>
    </w:p>
    <w:p w14:paraId="1CF05FAC" w14:textId="2A3C6ED4" w:rsidR="003329EA" w:rsidRPr="00D44D33" w:rsidRDefault="003329EA" w:rsidP="00D44D33">
      <w:pPr>
        <w:spacing w:before="120" w:after="120" w:line="360" w:lineRule="auto"/>
        <w:jc w:val="both"/>
        <w:rPr>
          <w:rFonts w:ascii="Times New Roman" w:eastAsiaTheme="minorEastAsia" w:hAnsi="Times New Roman" w:cs="Times New Roman"/>
          <w:iCs/>
          <w:sz w:val="24"/>
          <w:szCs w:val="24"/>
        </w:rPr>
      </w:pP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ustępie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5</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wprowadzona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została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sankcja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nieprawidłowe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realizowanie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przez</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dostawcę</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usług</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obowiązków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dotyczących</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wypowiedzenia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lub</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utrudniania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lub</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uniemożliwiania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skorzystania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uprawnienia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wypowiedzenia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Przepis</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dotyczący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możliwości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wypowiadania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obowiązuje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od</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2020</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r.</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gruncie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ustawy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Prawo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telekomunikacyjne.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krótkim</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okresie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jego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obowiązywania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zaobserwowano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nieprawidłowości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związane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utrudnianiem</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abonentom</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rozwiązywania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Jednym</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z</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takich</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działań</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jest</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wprowadzenie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nadmiarowych</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wymagań,</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które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abonent</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musi</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spełnić,</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aby</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wypowiedzieć</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umowę</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Wymagania</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te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są</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na</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tyle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sformalizowane,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że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są</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porównywalne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do</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wymogów</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towarzyszących</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pisemnej</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wypowiedzenia.</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Przykładem</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może</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być</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wymóg</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przesłania</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drogą</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elektroniczną</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zeskanowanego</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wypowiedzenia</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zawierającego</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odręczny</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podpis</w:t>
      </w:r>
      <w:r w:rsidR="00970B2E" w:rsidRPr="00D44D33">
        <w:rPr>
          <w:rFonts w:ascii="Times New Roman" w:eastAsiaTheme="minorEastAsia" w:hAnsi="Times New Roman" w:cs="Times New Roman"/>
          <w:iCs/>
          <w:sz w:val="24"/>
          <w:szCs w:val="24"/>
        </w:rPr>
        <w:t xml:space="preserve"> </w:t>
      </w:r>
      <w:r w:rsidR="005C4500" w:rsidRPr="00D44D33">
        <w:rPr>
          <w:rFonts w:ascii="Times New Roman" w:eastAsiaTheme="minorEastAsia" w:hAnsi="Times New Roman" w:cs="Times New Roman"/>
          <w:iCs/>
          <w:sz w:val="24"/>
          <w:szCs w:val="24"/>
        </w:rPr>
        <w:t>abonenta.</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Taki</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nieprawidłowy</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sposób</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realizacji</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uprawnienia</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abonenta</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niweczy</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cel</w:t>
      </w:r>
      <w:r w:rsidR="00970B2E" w:rsidRPr="00D44D33">
        <w:rPr>
          <w:rFonts w:ascii="Times New Roman" w:eastAsiaTheme="minorEastAsia" w:hAnsi="Times New Roman" w:cs="Times New Roman"/>
          <w:iCs/>
          <w:sz w:val="24"/>
          <w:szCs w:val="24"/>
        </w:rPr>
        <w:t xml:space="preserve"> </w:t>
      </w:r>
      <w:r w:rsidR="00F55A36" w:rsidRPr="00D44D33">
        <w:rPr>
          <w:rFonts w:ascii="Times New Roman" w:eastAsiaTheme="minorEastAsia" w:hAnsi="Times New Roman" w:cs="Times New Roman"/>
          <w:iCs/>
          <w:sz w:val="24"/>
          <w:szCs w:val="24"/>
        </w:rPr>
        <w:t>regulacji.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Możliwość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wypowiedzenia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została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wprowadzona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celu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wyrównania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pozycji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obu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stron</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tak</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aby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zarówno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zawarcie,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jak</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rozwiązanie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mogło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odbywać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się</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która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jest</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dla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wielu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abonentów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dużo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wygodniejsza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niż</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tradycyjna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pisemna.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Możliwość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zakazania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drodze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decyzji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Prezesa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UKE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zawierania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która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jest</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formą</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preferowaną</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przez</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wielu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dostawców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usług,</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będzie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motywowała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ich</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przestrzegania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obowiązujących</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przepisów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dochowywania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należytej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staranności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wypełnianiu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ustawowych</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obowiązków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związanych</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dokumentową</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formą</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wypowiedzenia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umowy.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Decyzja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Prezesa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UKE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powyższym</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zakresie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określa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szczególności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okres</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przez</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jaki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dostawca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usług</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może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oferować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możliwości</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zawarcia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formie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dokumentowej.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Przepisy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wskazują,</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że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przy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wyznaczaniu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tego</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okresu</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Prezes</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UKE</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powinien</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kierować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się</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długością</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trwania</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naruszeń,</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tak</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aby</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zachować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proporcjonalność</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nakładanej</w:t>
      </w:r>
      <w:r w:rsidR="00970B2E" w:rsidRPr="00D44D33">
        <w:rPr>
          <w:rFonts w:ascii="Times New Roman" w:eastAsiaTheme="minorEastAsia" w:hAnsi="Times New Roman" w:cs="Times New Roman"/>
          <w:iCs/>
          <w:sz w:val="24"/>
          <w:szCs w:val="24"/>
        </w:rPr>
        <w:t xml:space="preserve"> </w:t>
      </w:r>
      <w:r w:rsidRPr="00D44D33">
        <w:rPr>
          <w:rFonts w:ascii="Times New Roman" w:eastAsiaTheme="minorEastAsia" w:hAnsi="Times New Roman" w:cs="Times New Roman"/>
          <w:iCs/>
          <w:sz w:val="24"/>
          <w:szCs w:val="24"/>
        </w:rPr>
        <w:t>sankcji.</w:t>
      </w:r>
      <w:r w:rsidR="00970B2E" w:rsidRPr="00D44D33">
        <w:rPr>
          <w:rFonts w:ascii="Times New Roman" w:eastAsiaTheme="minorEastAsia" w:hAnsi="Times New Roman" w:cs="Times New Roman"/>
          <w:iCs/>
          <w:sz w:val="24"/>
          <w:szCs w:val="24"/>
        </w:rPr>
        <w:t xml:space="preserve"> </w:t>
      </w:r>
    </w:p>
    <w:p w14:paraId="2FD94D79" w14:textId="1ED14179" w:rsidR="00243F2A" w:rsidRPr="00D44D33" w:rsidRDefault="7D3FEF1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291</w:t>
      </w:r>
    </w:p>
    <w:p w14:paraId="6F75D36A" w14:textId="3E7DDA1F" w:rsidR="61AAE057" w:rsidRPr="00D44D33" w:rsidRDefault="00243F2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R</w:t>
      </w:r>
      <w:r w:rsidR="566EAACD" w:rsidRPr="00D44D33">
        <w:rPr>
          <w:rFonts w:ascii="Times New Roman" w:eastAsiaTheme="minorEastAsia" w:hAnsi="Times New Roman" w:cs="Times New Roman"/>
          <w:b/>
          <w:bCs/>
          <w:sz w:val="24"/>
          <w:szCs w:val="24"/>
        </w:rPr>
        <w:t>ejestracja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163C7927" w14:textId="0EFED6B7" w:rsidR="7B8D9FF7" w:rsidRPr="00D44D33" w:rsidRDefault="00243F2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 art.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291</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dotyczy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rejestracji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wprowadzonego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pierwotnie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10</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czerwca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2016</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działaniach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antyterrorystycznych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20</w:t>
      </w:r>
      <w:r w:rsidRPr="00D44D33">
        <w:rPr>
          <w:rFonts w:ascii="Times New Roman" w:eastAsia="Times New Roman" w:hAnsi="Times New Roman" w:cs="Times New Roman"/>
          <w:sz w:val="24"/>
          <w:szCs w:val="24"/>
        </w:rPr>
        <w:t>21</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2234, z późn. zm.</w:t>
      </w:r>
      <w:r w:rsidR="7B8D9FF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podania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rejestracji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obejmuje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wyjątkiem</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korzystających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niewykorzystujących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numerów,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świadczonych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aparatu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publicznego,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korzystających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wybranie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przedpłaconych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polegających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rozpowszechnianiu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rozprowadzaniu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programów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drogą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naziemną,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kablową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satelitarną.</w:t>
      </w:r>
    </w:p>
    <w:p w14:paraId="29009986" w14:textId="0289A523" w:rsidR="7B8D9FF7" w:rsidRPr="00D44D33" w:rsidRDefault="7B8D9FF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powinny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fizycznych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imię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nazwisko,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PESEL</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nazwę,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serię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potwierdzającego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tożsamość,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cudzoziemca,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obywatelem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członkowskiego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Konfederacji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Szwajcarskiej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paszportu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karty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pobytu.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00243F2A" w:rsidRPr="00D44D33">
        <w:rPr>
          <w:rFonts w:ascii="Times New Roman" w:eastAsia="Times New Roman" w:hAnsi="Times New Roman" w:cs="Times New Roman"/>
          <w:sz w:val="24"/>
          <w:szCs w:val="24"/>
        </w:rPr>
        <w:t xml:space="preserve">zostały </w:t>
      </w:r>
      <w:r w:rsidRPr="00D44D33">
        <w:rPr>
          <w:rFonts w:ascii="Times New Roman" w:eastAsia="Times New Roman" w:hAnsi="Times New Roman" w:cs="Times New Roman"/>
          <w:sz w:val="24"/>
          <w:szCs w:val="24"/>
        </w:rPr>
        <w:t>wskazane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wymagane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względem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niebędących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fizycznymi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nazwa,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identyfikacyjny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REGON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Sądowym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ewidencji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gospodarczej,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rejestrze.</w:t>
      </w:r>
    </w:p>
    <w:p w14:paraId="170E60AE" w14:textId="7E037319" w:rsidR="7B8D9FF7" w:rsidRPr="00D44D33" w:rsidRDefault="7B8D9FF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wyraźnie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podkreślić,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samoistnej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kopiowania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sposoby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weryfikowania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wynikającym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rejestracji.</w:t>
      </w:r>
    </w:p>
    <w:p w14:paraId="1D9FB321" w14:textId="7590D2A1" w:rsidR="7B8D9FF7" w:rsidRPr="00D44D33" w:rsidRDefault="00243F2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 ust.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wskazuje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moment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podania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wymaganych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będącego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stroną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zawieranej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formie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pisemnej,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dokumentowej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postpaid)</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powinny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podane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bezpośrednio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zawieraniu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prepaid</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podane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drogą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elektroniczną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inny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określony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p>
    <w:p w14:paraId="12A7AA25" w14:textId="4FED5D0E" w:rsidR="7B8D9FF7" w:rsidRPr="00D44D33" w:rsidRDefault="7B8D9FF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Warunkiem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rozpoczęcia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dokonanie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autoryzacji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rozpoczęcie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nastąpić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wcześniej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potwierdzającym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tożsamość,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zaprezentowanym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aplikacji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mobilnej</w:t>
      </w:r>
      <w:r w:rsidR="00243F2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243F2A" w:rsidRPr="00D44D33">
        <w:rPr>
          <w:rFonts w:ascii="Times New Roman" w:eastAsia="Times New Roman" w:hAnsi="Times New Roman" w:cs="Times New Roman"/>
          <w:sz w:val="24"/>
          <w:szCs w:val="24"/>
        </w:rPr>
        <w:t>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19e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rejestrze</w:t>
      </w:r>
      <w:r w:rsidR="00243F2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podaniu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wymaganych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drogą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wykorzystaniu:</w:t>
      </w:r>
    </w:p>
    <w:p w14:paraId="453706E9" w14:textId="6FE7651A" w:rsidR="7B8D9FF7" w:rsidRPr="00D44D33" w:rsidRDefault="7B8D9FF7" w:rsidP="00B61396">
      <w:pPr>
        <w:pStyle w:val="Akapitzlist"/>
        <w:numPr>
          <w:ilvl w:val="0"/>
          <w:numId w:val="120"/>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uwierzytelniania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teleinformatycznym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banku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krajowego,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spółdzielczej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oszczędnościowo-kredytowej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instytucji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płatniczej,</w:t>
      </w:r>
    </w:p>
    <w:p w14:paraId="6B10FEB2" w14:textId="7E66BCFB" w:rsidR="7B8D9FF7" w:rsidRPr="00D44D33" w:rsidRDefault="7B8D9FF7" w:rsidP="00B61396">
      <w:pPr>
        <w:pStyle w:val="Akapitzlist"/>
        <w:numPr>
          <w:ilvl w:val="0"/>
          <w:numId w:val="120"/>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weryfikowanych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kwalifikowanego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certyfikatu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osobistego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rozumieniu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sierpnia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2010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dowodach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osobistych,</w:t>
      </w:r>
    </w:p>
    <w:p w14:paraId="0607DBA4" w14:textId="5AC0F29B" w:rsidR="7B8D9FF7" w:rsidRPr="00D44D33" w:rsidRDefault="7B8D9FF7" w:rsidP="00B61396">
      <w:pPr>
        <w:pStyle w:val="Akapitzlist"/>
        <w:numPr>
          <w:ilvl w:val="0"/>
          <w:numId w:val="120"/>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służących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uwierzytelniania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systemie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teleinformatycznym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jeżeli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zostały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już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zweryfikowane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umową,</w:t>
      </w:r>
    </w:p>
    <w:p w14:paraId="7681E87C" w14:textId="155EDD32" w:rsidR="7B8D9FF7" w:rsidRPr="00D44D33" w:rsidRDefault="7B8D9FF7" w:rsidP="00B61396">
      <w:pPr>
        <w:pStyle w:val="Akapitzlist"/>
        <w:numPr>
          <w:ilvl w:val="0"/>
          <w:numId w:val="120"/>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wykorzystując</w:t>
      </w:r>
      <w:r w:rsidR="00970B2E" w:rsidRPr="00D44D33">
        <w:rPr>
          <w:rFonts w:ascii="Times New Roman" w:eastAsia="Times New Roman" w:hAnsi="Times New Roman" w:cs="Times New Roman"/>
          <w:sz w:val="24"/>
          <w:szCs w:val="24"/>
        </w:rPr>
        <w:t xml:space="preserve"> </w:t>
      </w:r>
      <w:r w:rsidR="66CF60B7" w:rsidRPr="00D44D33">
        <w:rPr>
          <w:rFonts w:ascii="Times New Roman" w:eastAsia="Times New Roman" w:hAnsi="Times New Roman" w:cs="Times New Roman"/>
          <w:sz w:val="24"/>
          <w:szCs w:val="24"/>
        </w:rPr>
        <w:t>zdalną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identyfikację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p>
    <w:p w14:paraId="70C0C8F1" w14:textId="2326A59B" w:rsidR="7B8D9FF7" w:rsidRPr="00D44D33" w:rsidRDefault="7B8D9FF7" w:rsidP="00B61396">
      <w:pPr>
        <w:pStyle w:val="Akapitzlist"/>
        <w:numPr>
          <w:ilvl w:val="0"/>
          <w:numId w:val="120"/>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weryfikowanych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podpisu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zaufanego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składanego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profilu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zaufanego,</w:t>
      </w:r>
    </w:p>
    <w:p w14:paraId="2EE9B4F8" w14:textId="0DCFDA2C" w:rsidR="7B8D9FF7" w:rsidRPr="00D44D33" w:rsidRDefault="7B8D9FF7" w:rsidP="00B61396">
      <w:pPr>
        <w:pStyle w:val="Akapitzlist"/>
        <w:numPr>
          <w:ilvl w:val="0"/>
          <w:numId w:val="120"/>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certyfikatu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aplikacji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mobilnej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19e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jeżeli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wyraził</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p>
    <w:p w14:paraId="56D06BD4" w14:textId="6EE30591" w:rsidR="7B8D9FF7" w:rsidRPr="00D44D33" w:rsidRDefault="1536472B"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Wychodząc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naprzeciw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postulatom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płynącym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rozszerzenia</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katalogu</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zdalnych</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metod</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procedowanej</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ustawie</w:t>
      </w:r>
      <w:r w:rsidR="00970B2E" w:rsidRPr="00D44D33">
        <w:rPr>
          <w:rFonts w:ascii="Times New Roman" w:eastAsia="Times New Roman" w:hAnsi="Times New Roman" w:cs="Times New Roman"/>
          <w:sz w:val="24"/>
          <w:szCs w:val="24"/>
        </w:rPr>
        <w:t xml:space="preserve"> </w:t>
      </w:r>
      <w:r w:rsidR="749E233B" w:rsidRPr="00D44D33">
        <w:rPr>
          <w:rFonts w:ascii="Times New Roman" w:eastAsia="Times New Roman" w:hAnsi="Times New Roman" w:cs="Times New Roman"/>
          <w:sz w:val="24"/>
          <w:szCs w:val="24"/>
        </w:rPr>
        <w:t>przewidziano</w:t>
      </w:r>
      <w:r w:rsidR="00970B2E" w:rsidRPr="00D44D33">
        <w:rPr>
          <w:rFonts w:ascii="Times New Roman" w:eastAsia="Times New Roman" w:hAnsi="Times New Roman" w:cs="Times New Roman"/>
          <w:sz w:val="24"/>
          <w:szCs w:val="24"/>
        </w:rPr>
        <w:t xml:space="preserve"> </w:t>
      </w:r>
      <w:r w:rsidR="732E26AB" w:rsidRPr="00D44D33">
        <w:rPr>
          <w:rFonts w:ascii="Times New Roman" w:eastAsia="Times New Roman" w:hAnsi="Times New Roman" w:cs="Times New Roman"/>
          <w:sz w:val="24"/>
          <w:szCs w:val="24"/>
        </w:rPr>
        <w:t>m</w:t>
      </w:r>
      <w:r w:rsidR="7B8D9FF7" w:rsidRPr="00D44D33">
        <w:rPr>
          <w:rFonts w:ascii="Times New Roman" w:eastAsia="Times New Roman" w:hAnsi="Times New Roman" w:cs="Times New Roman"/>
          <w:sz w:val="24"/>
          <w:szCs w:val="24"/>
        </w:rPr>
        <w:t>ożliwość</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weryfikacji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służących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uwierzytelniania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systemie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teleinformatycznym</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spółdzielczej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kasy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oszczędnościowo-kredytowej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instytucji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płatniczej,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podpisu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osobistego,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5D71CBDA"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5D71CBDA" w:rsidRPr="00D44D33">
        <w:rPr>
          <w:rFonts w:ascii="Times New Roman" w:eastAsia="Times New Roman" w:hAnsi="Times New Roman" w:cs="Times New Roman"/>
          <w:sz w:val="24"/>
          <w:szCs w:val="24"/>
        </w:rPr>
        <w:t>identyfikacji</w:t>
      </w:r>
      <w:r w:rsidR="7B8D9FF7"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podpisu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zaufanego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aplikacji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mobilnej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nowe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formy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potwierdzania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przedpłaconych.</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Wprowadzane</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mają</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zadanie</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uproszczenie</w:t>
      </w:r>
      <w:r w:rsidR="00970B2E" w:rsidRPr="00D44D33">
        <w:rPr>
          <w:rFonts w:ascii="Times New Roman" w:eastAsia="Times New Roman" w:hAnsi="Times New Roman" w:cs="Times New Roman"/>
          <w:sz w:val="24"/>
          <w:szCs w:val="24"/>
        </w:rPr>
        <w:t xml:space="preserve"> </w:t>
      </w:r>
      <w:r w:rsidR="40553A5C" w:rsidRPr="00D44D33">
        <w:rPr>
          <w:rFonts w:ascii="Times New Roman" w:eastAsia="Times New Roman" w:hAnsi="Times New Roman" w:cs="Times New Roman"/>
          <w:sz w:val="24"/>
          <w:szCs w:val="24"/>
        </w:rPr>
        <w:t>abonentom</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rozpoczęcia</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korzystania</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1877DF48" w:rsidRPr="00D44D33">
        <w:rPr>
          <w:rFonts w:ascii="Times New Roman" w:eastAsia="Times New Roman" w:hAnsi="Times New Roman" w:cs="Times New Roman"/>
          <w:sz w:val="24"/>
          <w:szCs w:val="24"/>
        </w:rPr>
        <w:t>elektronicznej</w:t>
      </w:r>
      <w:r w:rsidR="000BB015"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Rejestracja</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szerszym</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dotychczas</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konieczności</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wychodzenia</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domu</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pozytywne</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znaczenie</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szczególności</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0BB015" w:rsidRPr="00D44D33">
        <w:rPr>
          <w:rFonts w:ascii="Times New Roman" w:eastAsia="Times New Roman" w:hAnsi="Times New Roman" w:cs="Times New Roman"/>
          <w:sz w:val="24"/>
          <w:szCs w:val="24"/>
        </w:rPr>
        <w:t>okresie</w:t>
      </w:r>
      <w:r w:rsidR="00970B2E" w:rsidRPr="00D44D33">
        <w:rPr>
          <w:rFonts w:ascii="Times New Roman" w:eastAsia="Times New Roman" w:hAnsi="Times New Roman" w:cs="Times New Roman"/>
          <w:sz w:val="24"/>
          <w:szCs w:val="24"/>
        </w:rPr>
        <w:t xml:space="preserve"> </w:t>
      </w:r>
      <w:r w:rsidR="7EFA1F8D" w:rsidRPr="00D44D33">
        <w:rPr>
          <w:rFonts w:ascii="Times New Roman" w:eastAsia="Times New Roman" w:hAnsi="Times New Roman" w:cs="Times New Roman"/>
          <w:sz w:val="24"/>
          <w:szCs w:val="24"/>
        </w:rPr>
        <w:t>pandemii</w:t>
      </w:r>
      <w:r w:rsidR="00970B2E" w:rsidRPr="00D44D33">
        <w:rPr>
          <w:rFonts w:ascii="Times New Roman" w:eastAsia="Times New Roman" w:hAnsi="Times New Roman" w:cs="Times New Roman"/>
          <w:sz w:val="24"/>
          <w:szCs w:val="24"/>
        </w:rPr>
        <w:t xml:space="preserve"> </w:t>
      </w:r>
      <w:r w:rsidR="7EFA1F8D" w:rsidRPr="00D44D33">
        <w:rPr>
          <w:rFonts w:ascii="Times New Roman" w:eastAsia="Times New Roman" w:hAnsi="Times New Roman" w:cs="Times New Roman"/>
          <w:sz w:val="24"/>
          <w:szCs w:val="24"/>
        </w:rPr>
        <w:t>chorób</w:t>
      </w:r>
      <w:r w:rsidR="00970B2E" w:rsidRPr="00D44D33">
        <w:rPr>
          <w:rFonts w:ascii="Times New Roman" w:eastAsia="Times New Roman" w:hAnsi="Times New Roman" w:cs="Times New Roman"/>
          <w:sz w:val="24"/>
          <w:szCs w:val="24"/>
        </w:rPr>
        <w:t xml:space="preserve"> </w:t>
      </w:r>
      <w:r w:rsidR="7EFA1F8D" w:rsidRPr="00D44D33">
        <w:rPr>
          <w:rFonts w:ascii="Times New Roman" w:eastAsia="Times New Roman" w:hAnsi="Times New Roman" w:cs="Times New Roman"/>
          <w:sz w:val="24"/>
          <w:szCs w:val="24"/>
        </w:rPr>
        <w:t>zakaźnych.</w:t>
      </w:r>
    </w:p>
    <w:p w14:paraId="14C586C6" w14:textId="0B4352CF" w:rsidR="7B8D9FF7" w:rsidRPr="00D44D33" w:rsidRDefault="60C8C9B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Zdalna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identyfikacja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polega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porównaniu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wizerunku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4F73CF7D" w:rsidRPr="00D44D33">
        <w:rPr>
          <w:rFonts w:ascii="Times New Roman" w:eastAsia="Times New Roman" w:hAnsi="Times New Roman" w:cs="Times New Roman"/>
          <w:sz w:val="24"/>
          <w:szCs w:val="24"/>
        </w:rPr>
        <w:t>udostępnionego</w:t>
      </w:r>
      <w:r w:rsidR="00970B2E" w:rsidRPr="00D44D33">
        <w:rPr>
          <w:rFonts w:ascii="Times New Roman" w:eastAsia="Times New Roman" w:hAnsi="Times New Roman" w:cs="Times New Roman"/>
          <w:sz w:val="24"/>
          <w:szCs w:val="24"/>
        </w:rPr>
        <w:t xml:space="preserve"> </w:t>
      </w:r>
      <w:r w:rsidR="4F73CF7D"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F73CF7D" w:rsidRPr="00D44D33">
        <w:rPr>
          <w:rFonts w:ascii="Times New Roman" w:eastAsia="Times New Roman" w:hAnsi="Times New Roman" w:cs="Times New Roman"/>
          <w:sz w:val="24"/>
          <w:szCs w:val="24"/>
        </w:rPr>
        <w:t>trakcie</w:t>
      </w:r>
      <w:r w:rsidR="00970B2E" w:rsidRPr="00D44D33">
        <w:rPr>
          <w:rFonts w:ascii="Times New Roman" w:eastAsia="Times New Roman" w:hAnsi="Times New Roman" w:cs="Times New Roman"/>
          <w:sz w:val="24"/>
          <w:szCs w:val="24"/>
        </w:rPr>
        <w:t xml:space="preserve"> </w:t>
      </w:r>
      <w:r w:rsidR="4F73CF7D" w:rsidRPr="00D44D33">
        <w:rPr>
          <w:rFonts w:ascii="Times New Roman" w:eastAsia="Times New Roman" w:hAnsi="Times New Roman" w:cs="Times New Roman"/>
          <w:sz w:val="24"/>
          <w:szCs w:val="24"/>
        </w:rPr>
        <w:t>procesu</w:t>
      </w:r>
      <w:r w:rsidR="00970B2E" w:rsidRPr="00D44D33">
        <w:rPr>
          <w:rFonts w:ascii="Times New Roman" w:eastAsia="Times New Roman" w:hAnsi="Times New Roman" w:cs="Times New Roman"/>
          <w:sz w:val="24"/>
          <w:szCs w:val="24"/>
        </w:rPr>
        <w:t xml:space="preserve"> </w:t>
      </w:r>
      <w:r w:rsidR="4F73CF7D"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zdjęciem</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dokumencie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przedstawienia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zawartych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dokumencie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określone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Identyfikacja</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odbywać</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pośrednictwem</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transmisji</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audiowizualnej</w:t>
      </w:r>
      <w:r w:rsidR="00970B2E" w:rsidRPr="00D44D33">
        <w:rPr>
          <w:rFonts w:ascii="Times New Roman" w:eastAsia="Times New Roman" w:hAnsi="Times New Roman" w:cs="Times New Roman"/>
          <w:sz w:val="24"/>
          <w:szCs w:val="24"/>
        </w:rPr>
        <w:t xml:space="preserve"> </w:t>
      </w:r>
      <w:r w:rsidR="23DD1F60"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prowadzona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wykorzystaniem</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automatycznej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analizy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porównanie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przepisie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osobę</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fizyczną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działającą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imieniu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nową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metodą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weryfikacji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przewidują</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nadanie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uprawnień</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Prezesowi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nadzoru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nad</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procesem</w:t>
      </w:r>
      <w:r w:rsidR="00970B2E" w:rsidRPr="00D44D33">
        <w:rPr>
          <w:rFonts w:ascii="Times New Roman" w:eastAsia="Times New Roman" w:hAnsi="Times New Roman" w:cs="Times New Roman"/>
          <w:sz w:val="24"/>
          <w:szCs w:val="24"/>
        </w:rPr>
        <w:t xml:space="preserve"> </w:t>
      </w:r>
      <w:r w:rsidR="0E765195"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prowadzonym</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zawiesić</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rodzaj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potwierdzania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stwierdzi,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dokonuje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go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przepisami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zachowaniem</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należytej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staranności.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Zawieszenie</w:t>
      </w:r>
      <w:r w:rsidR="00970B2E" w:rsidRPr="00D44D33">
        <w:rPr>
          <w:rFonts w:ascii="Times New Roman" w:eastAsia="Times New Roman" w:hAnsi="Times New Roman" w:cs="Times New Roman"/>
          <w:sz w:val="24"/>
          <w:szCs w:val="24"/>
        </w:rPr>
        <w:t xml:space="preserve"> </w:t>
      </w:r>
      <w:r w:rsidR="5ED7CD1D"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następuje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wskazuje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wznowienia</w:t>
      </w:r>
      <w:r w:rsidR="00970B2E" w:rsidRPr="00D44D33">
        <w:rPr>
          <w:rFonts w:ascii="Times New Roman" w:eastAsia="Times New Roman" w:hAnsi="Times New Roman" w:cs="Times New Roman"/>
          <w:sz w:val="24"/>
          <w:szCs w:val="24"/>
        </w:rPr>
        <w:t xml:space="preserve"> </w:t>
      </w:r>
      <w:r w:rsidR="45CF698C"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nadaje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rygor</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natychmiastowej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wykonalności.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Przed</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wznowieniem</w:t>
      </w:r>
      <w:r w:rsidR="00970B2E" w:rsidRPr="00D44D33">
        <w:rPr>
          <w:rFonts w:ascii="Times New Roman" w:eastAsia="Times New Roman" w:hAnsi="Times New Roman" w:cs="Times New Roman"/>
          <w:sz w:val="24"/>
          <w:szCs w:val="24"/>
        </w:rPr>
        <w:t xml:space="preserve"> </w:t>
      </w:r>
      <w:r w:rsidR="228756C3" w:rsidRPr="00D44D33">
        <w:rPr>
          <w:rFonts w:ascii="Times New Roman" w:eastAsia="Times New Roman" w:hAnsi="Times New Roman" w:cs="Times New Roman"/>
          <w:sz w:val="24"/>
          <w:szCs w:val="24"/>
        </w:rPr>
        <w:t>zdalnej</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identyfikacji</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poinformować</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środkach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wdrożonych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spełnienia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warunków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wznowienia</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wskazanych</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B8D9FF7" w:rsidRPr="00D44D33">
        <w:rPr>
          <w:rFonts w:ascii="Times New Roman" w:eastAsia="Times New Roman" w:hAnsi="Times New Roman" w:cs="Times New Roman"/>
          <w:sz w:val="24"/>
          <w:szCs w:val="24"/>
        </w:rPr>
        <w:t>decyzji.</w:t>
      </w:r>
    </w:p>
    <w:p w14:paraId="62EF45CF" w14:textId="334E25ED" w:rsidR="385F2BE9" w:rsidRPr="00D44D33" w:rsidRDefault="7B8D9FF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Weryfikacja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zawartych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złożonym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podpisie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zaufanym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tożsamości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drogą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aplikacji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mobilnej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certyfikatu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potwierdzenie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integralności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użytkownika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zgromadzonymi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rejestrach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państwowych.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wynika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wybranym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ministra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właściwego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w:t>
      </w:r>
      <w:r w:rsidR="00970B2E" w:rsidRPr="00D44D33">
        <w:rPr>
          <w:rFonts w:ascii="Times New Roman" w:eastAsia="Times New Roman" w:hAnsi="Times New Roman" w:cs="Times New Roman"/>
          <w:sz w:val="24"/>
          <w:szCs w:val="24"/>
        </w:rPr>
        <w:t xml:space="preserve"> </w:t>
      </w:r>
      <w:r w:rsidR="00F57F1E"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postaci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interfejsu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programistycznego</w:t>
      </w:r>
      <w:r w:rsidR="00970B2E" w:rsidRPr="00D44D33">
        <w:rPr>
          <w:rFonts w:ascii="Times New Roman" w:eastAsia="Times New Roman" w:hAnsi="Times New Roman" w:cs="Times New Roman"/>
          <w:sz w:val="24"/>
          <w:szCs w:val="24"/>
        </w:rPr>
        <w:t xml:space="preserve"> </w:t>
      </w:r>
      <w:r w:rsidR="00DC2102" w:rsidRPr="00D44D33">
        <w:rPr>
          <w:rFonts w:ascii="Times New Roman" w:eastAsia="Times New Roman" w:hAnsi="Times New Roman" w:cs="Times New Roman"/>
          <w:sz w:val="24"/>
          <w:szCs w:val="24"/>
        </w:rPr>
        <w:t>aplikacji</w:t>
      </w:r>
      <w:r w:rsidR="00970B2E" w:rsidRPr="00D44D33">
        <w:rPr>
          <w:rFonts w:ascii="Times New Roman" w:eastAsia="Times New Roman" w:hAnsi="Times New Roman" w:cs="Times New Roman"/>
          <w:sz w:val="24"/>
          <w:szCs w:val="24"/>
        </w:rPr>
        <w:t xml:space="preserve"> </w:t>
      </w:r>
      <w:r w:rsidR="00DC2102"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DC2102" w:rsidRPr="00D44D33">
        <w:rPr>
          <w:rFonts w:ascii="Times New Roman" w:eastAsia="Times New Roman" w:hAnsi="Times New Roman" w:cs="Times New Roman"/>
          <w:sz w:val="24"/>
          <w:szCs w:val="24"/>
        </w:rPr>
        <w:t>kodu</w:t>
      </w:r>
      <w:r w:rsidR="00970B2E" w:rsidRPr="00D44D33">
        <w:rPr>
          <w:rFonts w:ascii="Times New Roman" w:eastAsia="Times New Roman" w:hAnsi="Times New Roman" w:cs="Times New Roman"/>
          <w:sz w:val="24"/>
          <w:szCs w:val="24"/>
        </w:rPr>
        <w:t xml:space="preserve"> </w:t>
      </w:r>
      <w:r w:rsidR="00DC2102" w:rsidRPr="00D44D33">
        <w:rPr>
          <w:rFonts w:ascii="Times New Roman" w:eastAsia="Times New Roman" w:hAnsi="Times New Roman" w:cs="Times New Roman"/>
          <w:sz w:val="24"/>
          <w:szCs w:val="24"/>
        </w:rPr>
        <w:t>źródłowego.</w:t>
      </w:r>
    </w:p>
    <w:p w14:paraId="2D2EBEA4" w14:textId="033D9097" w:rsidR="0053061E" w:rsidRPr="00D44D33" w:rsidRDefault="302C307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292</w:t>
      </w:r>
      <w:r w:rsidR="00970B2E" w:rsidRPr="00D44D33">
        <w:rPr>
          <w:rFonts w:ascii="Times New Roman" w:eastAsiaTheme="minorEastAsia" w:hAnsi="Times New Roman" w:cs="Times New Roman"/>
          <w:b/>
          <w:bCs/>
          <w:sz w:val="24"/>
          <w:szCs w:val="24"/>
        </w:rPr>
        <w:t xml:space="preserve"> </w:t>
      </w:r>
    </w:p>
    <w:p w14:paraId="10561103" w14:textId="75546255" w:rsidR="00221330"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W</w:t>
      </w:r>
      <w:r w:rsidR="566EAACD" w:rsidRPr="00D44D33">
        <w:rPr>
          <w:rFonts w:ascii="Times New Roman" w:eastAsiaTheme="minorEastAsia" w:hAnsi="Times New Roman" w:cs="Times New Roman"/>
          <w:b/>
          <w:bCs/>
          <w:sz w:val="24"/>
          <w:szCs w:val="24"/>
        </w:rPr>
        <w:t>arunki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umów</w:t>
      </w:r>
    </w:p>
    <w:p w14:paraId="50D74867" w14:textId="25FE6C2E" w:rsidR="00221330"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art. </w:t>
      </w:r>
      <w:r w:rsidR="00262036" w:rsidRPr="00D44D33">
        <w:rPr>
          <w:rFonts w:ascii="Times New Roman" w:eastAsiaTheme="minorEastAsia" w:hAnsi="Times New Roman" w:cs="Times New Roman"/>
          <w:sz w:val="24"/>
          <w:szCs w:val="24"/>
        </w:rPr>
        <w:t>292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99</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zbliżona</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6FEC7E7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Przedmiotowy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dyskryminacji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obywatelstwo,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zamieszkania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siedziby.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ewentualne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odstępstwa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obiektywnie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uzasadnione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uzależniania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niezawierania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zakaz</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znaczenia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prawidłowego</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elektronicznej</w:t>
      </w:r>
      <w:r w:rsidR="00B0752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przedmiotowego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ochrona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ochrona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równowagi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konkurencyjnej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ustanawiania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zniechęcają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uniemożliwiają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skorzystanie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p>
    <w:p w14:paraId="6E01669D" w14:textId="7AED4DB0" w:rsidR="00256A2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enumeratywny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uzależniać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B07528"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pozytywną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wiarygodności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płatniczej,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określić</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zamkniętego</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zupełnej</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dowolności</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Pamiętać</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obowiązuje</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minimalizacji</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przetwarzanych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każdorazowo</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stosowana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wdrożonych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procedurach)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zbierania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nadmiarowych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narażają</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oni</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zarzut</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256A20"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p>
    <w:p w14:paraId="46CA9503" w14:textId="6B5ACA6D" w:rsidR="00221330" w:rsidRPr="00D44D33" w:rsidRDefault="25F18C9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negatywnej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wiarygodności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płatniczej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zawrzeć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prepaid</w:t>
      </w:r>
      <w:r w:rsidR="7276399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automatów</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NDS.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specyfikę</w:t>
      </w:r>
      <w:r w:rsidR="00970B2E" w:rsidRPr="00D44D33">
        <w:rPr>
          <w:rFonts w:ascii="Times New Roman" w:eastAsiaTheme="minorEastAsia" w:hAnsi="Times New Roman" w:cs="Times New Roman"/>
          <w:sz w:val="24"/>
          <w:szCs w:val="24"/>
        </w:rPr>
        <w:t xml:space="preserve"> </w:t>
      </w:r>
      <w:r w:rsidR="7276399E" w:rsidRPr="00D44D33">
        <w:rPr>
          <w:rFonts w:ascii="Times New Roman" w:eastAsiaTheme="minorEastAsia" w:hAnsi="Times New Roman" w:cs="Times New Roman"/>
          <w:sz w:val="24"/>
          <w:szCs w:val="24"/>
        </w:rPr>
        <w:t>ww.</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ryzyka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niezapłaceniem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39C18519" w14:textId="559B6534" w:rsidR="007502A9" w:rsidRPr="00D44D33" w:rsidRDefault="09764CA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zebranie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w:t>
      </w:r>
      <w:r w:rsidR="58D69434"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8D69434"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potencjalny</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klient</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profilowany</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1D5DDDA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p>
    <w:p w14:paraId="04DE73A3" w14:textId="5D67E8C2" w:rsidR="0053061E" w:rsidRPr="00D44D33" w:rsidRDefault="5FBB4D29"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293</w:t>
      </w:r>
    </w:p>
    <w:p w14:paraId="501BDD2F" w14:textId="6506DEEC" w:rsidR="00221330"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U</w:t>
      </w:r>
      <w:r w:rsidR="566EAACD" w:rsidRPr="00D44D33">
        <w:rPr>
          <w:rFonts w:ascii="Times New Roman" w:eastAsiaTheme="minorEastAsia" w:hAnsi="Times New Roman" w:cs="Times New Roman"/>
          <w:b/>
          <w:bCs/>
          <w:sz w:val="24"/>
          <w:szCs w:val="24"/>
        </w:rPr>
        <w:t>mowa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realizację</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przyłącza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telekomunikacyjnego</w:t>
      </w:r>
    </w:p>
    <w:p w14:paraId="58012A64" w14:textId="54806060" w:rsidR="3C7EE111"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371EEA">
        <w:rPr>
          <w:rFonts w:ascii="Times New Roman" w:eastAsiaTheme="minorEastAsia" w:hAnsi="Times New Roman" w:cs="Times New Roman"/>
          <w:sz w:val="24"/>
          <w:szCs w:val="24"/>
        </w:rPr>
        <w:t xml:space="preserve"> </w:t>
      </w:r>
      <w:r w:rsidR="00262036" w:rsidRPr="00D44D33">
        <w:rPr>
          <w:rFonts w:ascii="Times New Roman" w:eastAsiaTheme="minorEastAsia" w:hAnsi="Times New Roman" w:cs="Times New Roman"/>
          <w:sz w:val="24"/>
          <w:szCs w:val="24"/>
        </w:rPr>
        <w:t>293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telekomunikacyjnej</w:t>
      </w:r>
      <w:r w:rsidR="00D1585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odróżnieniu</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przyłączenia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budowy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fizycznych</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składających</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przyłącze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pozostawania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stanie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przyłączenia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sieci</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rozkłada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opłatę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telekomunikacyjnego</w:t>
      </w:r>
      <w:r w:rsidR="00D1585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uzgodniony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60</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miesięcznych</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rat</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odstąpienia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związanej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A44CBF" w:rsidRPr="00D44D33">
        <w:rPr>
          <w:rFonts w:ascii="Times New Roman" w:eastAsiaTheme="minorEastAsia" w:hAnsi="Times New Roman" w:cs="Times New Roman"/>
          <w:sz w:val="24"/>
          <w:szCs w:val="24"/>
        </w:rPr>
        <w:t>elektronicznej</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3F2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7F81531"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E355FD" w:rsidRPr="00D44D33">
        <w:rPr>
          <w:rFonts w:ascii="Times New Roman" w:eastAsiaTheme="minorEastAsia" w:hAnsi="Times New Roman" w:cs="Times New Roman"/>
          <w:sz w:val="24"/>
          <w:szCs w:val="24"/>
        </w:rPr>
        <w:t>odrębnego</w:t>
      </w:r>
      <w:r w:rsidR="00970B2E" w:rsidRPr="00D44D33">
        <w:rPr>
          <w:rFonts w:ascii="Times New Roman" w:eastAsiaTheme="minorEastAsia" w:hAnsi="Times New Roman" w:cs="Times New Roman"/>
          <w:sz w:val="24"/>
          <w:szCs w:val="24"/>
        </w:rPr>
        <w:t xml:space="preserve"> </w:t>
      </w:r>
      <w:r w:rsidR="37F81531" w:rsidRPr="00D44D33">
        <w:rPr>
          <w:rFonts w:ascii="Times New Roman" w:eastAsiaTheme="minorEastAsia" w:hAnsi="Times New Roman" w:cs="Times New Roman"/>
          <w:sz w:val="24"/>
          <w:szCs w:val="24"/>
        </w:rPr>
        <w:t>uregulowania</w:t>
      </w:r>
      <w:r w:rsidR="00970B2E" w:rsidRPr="00D44D33">
        <w:rPr>
          <w:rFonts w:ascii="Times New Roman" w:eastAsiaTheme="minorEastAsia" w:hAnsi="Times New Roman" w:cs="Times New Roman"/>
          <w:sz w:val="24"/>
          <w:szCs w:val="24"/>
        </w:rPr>
        <w:t xml:space="preserve"> </w:t>
      </w:r>
      <w:r w:rsidR="37F8153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7F81531"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37F8153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7F81531"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powyżej,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przyłączeniowa,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uiszczona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cześć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przyłączeniowej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zwrotowi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końcowemu</w:t>
      </w:r>
      <w:r w:rsidR="0986351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przyłącze</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doprowadzone</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bezpośrednie</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sąsiedztwo</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równowagę</w:t>
      </w:r>
      <w:r w:rsidR="00970B2E" w:rsidRPr="00D44D33">
        <w:rPr>
          <w:rFonts w:ascii="Times New Roman" w:eastAsiaTheme="minorEastAsia" w:hAnsi="Times New Roman" w:cs="Times New Roman"/>
          <w:sz w:val="24"/>
          <w:szCs w:val="24"/>
        </w:rPr>
        <w:t xml:space="preserve"> </w:t>
      </w:r>
      <w:r w:rsidR="76C98833" w:rsidRPr="00D44D33">
        <w:rPr>
          <w:rFonts w:ascii="Times New Roman" w:eastAsiaTheme="minorEastAsia" w:hAnsi="Times New Roman" w:cs="Times New Roman"/>
          <w:sz w:val="24"/>
          <w:szCs w:val="24"/>
        </w:rPr>
        <w:t>zaspokojenia</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ekonomicznych</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986351C" w:rsidRPr="00D44D33">
        <w:rPr>
          <w:rFonts w:ascii="Times New Roman" w:eastAsiaTheme="minorEastAsia" w:hAnsi="Times New Roman" w:cs="Times New Roman"/>
          <w:sz w:val="24"/>
          <w:szCs w:val="24"/>
        </w:rPr>
        <w:t>użytkownika)</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rozróżnić</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własności</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wykonywanego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odrębnie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odcinka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doprecyzować,</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odrębnego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uregulowania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profesjonalny</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odpowiadać</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zebranie</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wszelkich</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zgód</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zezwoleń</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zrealizowania</w:t>
      </w:r>
      <w:r w:rsidR="00970B2E" w:rsidRPr="00D44D33">
        <w:rPr>
          <w:rFonts w:ascii="Times New Roman" w:eastAsiaTheme="minorEastAsia" w:hAnsi="Times New Roman" w:cs="Times New Roman"/>
          <w:sz w:val="24"/>
          <w:szCs w:val="24"/>
        </w:rPr>
        <w:t xml:space="preserve"> </w:t>
      </w:r>
      <w:r w:rsidR="00D15855"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przyłącza</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646EA3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691C0245" w14:textId="33B022B2" w:rsidR="0053061E" w:rsidRPr="00D44D33" w:rsidRDefault="7657E40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294</w:t>
      </w:r>
    </w:p>
    <w:p w14:paraId="3FC421C2" w14:textId="72900760" w:rsidR="00221330"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566EAACD" w:rsidRPr="00D44D33">
        <w:rPr>
          <w:rFonts w:ascii="Times New Roman" w:eastAsiaTheme="minorEastAsia" w:hAnsi="Times New Roman" w:cs="Times New Roman"/>
          <w:b/>
          <w:bCs/>
          <w:sz w:val="24"/>
          <w:szCs w:val="24"/>
        </w:rPr>
        <w:t>ublikacja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informacji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warunkach</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624FEABD" w14:textId="4EE7B306" w:rsidR="007502A9"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art. </w:t>
      </w:r>
      <w:r w:rsidR="00262036" w:rsidRPr="00D44D33">
        <w:rPr>
          <w:rFonts w:ascii="Times New Roman" w:eastAsiaTheme="minorEastAsia" w:hAnsi="Times New Roman" w:cs="Times New Roman"/>
          <w:sz w:val="24"/>
          <w:szCs w:val="24"/>
        </w:rPr>
        <w:t>294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aktualnych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F57F4E" w:rsidRPr="00D44D33">
        <w:rPr>
          <w:rFonts w:ascii="Times New Roman" w:eastAsiaTheme="minorEastAsia" w:hAnsi="Times New Roman" w:cs="Times New Roman"/>
          <w:sz w:val="24"/>
          <w:szCs w:val="24"/>
        </w:rPr>
        <w:t>siebie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103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obejmować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przedmiotowym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jasny,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zrozumiały,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nadający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odczytu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maszynowego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ofertach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kluczowe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łatwego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porównywania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wyłączają</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informacyjnych</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203FB" w:rsidRPr="00D44D33">
        <w:rPr>
          <w:rFonts w:ascii="Times New Roman" w:eastAsiaTheme="minorEastAsia" w:hAnsi="Times New Roman" w:cs="Times New Roman"/>
          <w:sz w:val="24"/>
          <w:szCs w:val="24"/>
        </w:rPr>
        <w:t>RODO.</w:t>
      </w:r>
    </w:p>
    <w:p w14:paraId="4713F942" w14:textId="423D1814" w:rsidR="0053061E" w:rsidRPr="00D44D33" w:rsidRDefault="1BD900A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62036" w:rsidRPr="00D44D33">
        <w:rPr>
          <w:rFonts w:ascii="Times New Roman" w:eastAsiaTheme="minorEastAsia" w:hAnsi="Times New Roman" w:cs="Times New Roman"/>
          <w:b/>
          <w:bCs/>
          <w:sz w:val="24"/>
          <w:szCs w:val="24"/>
        </w:rPr>
        <w:t>295</w:t>
      </w:r>
      <w:r w:rsidR="00970B2E" w:rsidRPr="00D44D33">
        <w:rPr>
          <w:rFonts w:ascii="Times New Roman" w:eastAsiaTheme="minorEastAsia" w:hAnsi="Times New Roman" w:cs="Times New Roman"/>
          <w:b/>
          <w:bCs/>
          <w:sz w:val="24"/>
          <w:szCs w:val="24"/>
        </w:rPr>
        <w:t xml:space="preserve"> </w:t>
      </w:r>
    </w:p>
    <w:p w14:paraId="2EED37A4" w14:textId="644E3AD5" w:rsidR="00221330"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566EAACD" w:rsidRPr="00D44D33">
        <w:rPr>
          <w:rFonts w:ascii="Times New Roman" w:eastAsiaTheme="minorEastAsia" w:hAnsi="Times New Roman" w:cs="Times New Roman"/>
          <w:b/>
          <w:bCs/>
          <w:sz w:val="24"/>
          <w:szCs w:val="24"/>
        </w:rPr>
        <w:t>kres</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obowiązywania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umowy</w:t>
      </w:r>
    </w:p>
    <w:p w14:paraId="5D7C6665" w14:textId="510B8FB6" w:rsidR="00221330"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art. </w:t>
      </w:r>
      <w:r w:rsidR="00262036" w:rsidRPr="00D44D33">
        <w:rPr>
          <w:rFonts w:ascii="Times New Roman" w:eastAsiaTheme="minorEastAsia" w:hAnsi="Times New Roman" w:cs="Times New Roman"/>
          <w:sz w:val="24"/>
          <w:szCs w:val="24"/>
        </w:rPr>
        <w:t>295</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maksymalny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zawieranej</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nieokreślony</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okresem</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promocji.</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znaczenia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pierwsza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kolejna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785FCE3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85FCE3E"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469B821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FC7490B" w:rsidRPr="00D44D33">
        <w:rPr>
          <w:rFonts w:ascii="Times New Roman" w:eastAsiaTheme="minorEastAsia" w:hAnsi="Times New Roman" w:cs="Times New Roman"/>
          <w:sz w:val="24"/>
          <w:szCs w:val="24"/>
        </w:rPr>
        <w:t>M2M</w:t>
      </w:r>
      <w:r w:rsidR="25F18C9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maksymalnego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mikroprzedsiębiorców,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małych</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425EC3" w:rsidRPr="00D44D33">
        <w:rPr>
          <w:rFonts w:ascii="Times New Roman" w:eastAsiaTheme="minorEastAsia" w:hAnsi="Times New Roman" w:cs="Times New Roman"/>
          <w:bCs/>
          <w:sz w:val="24"/>
          <w:szCs w:val="24"/>
        </w:rPr>
        <w:t xml:space="preserve">– </w:t>
      </w:r>
      <w:r w:rsidR="25F18C97"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organizacje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pozarządowe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wolontariacie,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wyraźnie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zgodziły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miały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nich.</w:t>
      </w:r>
    </w:p>
    <w:p w14:paraId="0871060A" w14:textId="37D65E71"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p>
    <w:p w14:paraId="370A646C" w14:textId="2DBBC820" w:rsidR="0053061E" w:rsidRPr="00D44D33" w:rsidRDefault="1E3B532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296</w:t>
      </w:r>
      <w:r w:rsidR="00970B2E" w:rsidRPr="00D44D33">
        <w:rPr>
          <w:rFonts w:ascii="Times New Roman" w:eastAsiaTheme="minorEastAsia" w:hAnsi="Times New Roman" w:cs="Times New Roman"/>
          <w:b/>
          <w:bCs/>
          <w:sz w:val="24"/>
          <w:szCs w:val="24"/>
        </w:rPr>
        <w:t xml:space="preserve"> </w:t>
      </w:r>
    </w:p>
    <w:p w14:paraId="73015CD6" w14:textId="24BB5954" w:rsidR="00221330" w:rsidRPr="00D44D33" w:rsidRDefault="0053061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A</w:t>
      </w:r>
      <w:r w:rsidR="566EAACD" w:rsidRPr="00D44D33">
        <w:rPr>
          <w:rFonts w:ascii="Times New Roman" w:eastAsiaTheme="minorEastAsia" w:hAnsi="Times New Roman" w:cs="Times New Roman"/>
          <w:b/>
          <w:bCs/>
          <w:sz w:val="24"/>
          <w:szCs w:val="24"/>
        </w:rPr>
        <w:t>utomatyczne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przedłużanie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umowy</w:t>
      </w:r>
    </w:p>
    <w:p w14:paraId="16536838" w14:textId="6AC69E8E" w:rsidR="00221330"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art. </w:t>
      </w:r>
      <w:r w:rsidR="00AD1DA0" w:rsidRPr="00D44D33">
        <w:rPr>
          <w:rFonts w:ascii="Times New Roman" w:eastAsiaTheme="minorEastAsia" w:hAnsi="Times New Roman" w:cs="Times New Roman"/>
          <w:sz w:val="24"/>
          <w:szCs w:val="24"/>
        </w:rPr>
        <w:t>296</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automatycznego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przedłużania</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296</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3095236"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2718A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718AC"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25F18C9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1CEAC76C" w:rsidRPr="00D44D33">
        <w:rPr>
          <w:rFonts w:ascii="Times New Roman" w:eastAsiaTheme="minorEastAsia" w:hAnsi="Times New Roman" w:cs="Times New Roman"/>
          <w:sz w:val="24"/>
          <w:szCs w:val="24"/>
        </w:rPr>
        <w:t>M2M</w:t>
      </w:r>
      <w:r w:rsidR="25F18C9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podlegających</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automatycznemu</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przedłużeniu</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stosowany</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nieoznaczony</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zawierane</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oznaczony</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(promocje</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oznaczonym</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okresem</w:t>
      </w:r>
      <w:r w:rsidR="00970B2E" w:rsidRPr="00D44D33">
        <w:rPr>
          <w:rFonts w:ascii="Times New Roman" w:eastAsiaTheme="minorEastAsia" w:hAnsi="Times New Roman" w:cs="Times New Roman"/>
          <w:sz w:val="24"/>
          <w:szCs w:val="24"/>
        </w:rPr>
        <w:t xml:space="preserve"> </w:t>
      </w:r>
      <w:r w:rsidR="00BB06EE" w:rsidRPr="00D44D33">
        <w:rPr>
          <w:rFonts w:ascii="Times New Roman" w:eastAsiaTheme="minorEastAsia" w:hAnsi="Times New Roman" w:cs="Times New Roman"/>
          <w:sz w:val="24"/>
          <w:szCs w:val="24"/>
        </w:rPr>
        <w:t>zobowiązania).</w:t>
      </w:r>
    </w:p>
    <w:p w14:paraId="18D1E42B" w14:textId="2D867156" w:rsidR="00221330" w:rsidRPr="00D44D33" w:rsidRDefault="29E338F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automatycznie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poniesieniem</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jakichkolwiek</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konsekwencji</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finansowych</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przedłużeniem</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39A6DFC1"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odszkodowanie</w:t>
      </w:r>
      <w:r w:rsidR="1C342CD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C342CD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C342CD8"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1C342CD8"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1C342CD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C342CD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54E62E0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4E62E03" w:rsidRPr="00D44D33">
        <w:rPr>
          <w:rFonts w:ascii="Times New Roman" w:eastAsiaTheme="minorEastAsia" w:hAnsi="Times New Roman" w:cs="Times New Roman"/>
          <w:sz w:val="24"/>
          <w:szCs w:val="24"/>
        </w:rPr>
        <w:t>1</w:t>
      </w:r>
      <w:r w:rsidR="1C342CD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587D506A" w14:textId="40FAA8BF"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jasny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zrozumiały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rozsądnym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automatycznym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przedłużeniu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trwającej</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taryfowego</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minut,</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smsów</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ilości</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internetowych.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powiadamia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sposobie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najkorzystniejszych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pakietach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taryfowych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rozsądnym</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najpóźniejszy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drugiej</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limituje</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ogólny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najwcześniejszy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00356A91" w:rsidRPr="00D44D33">
        <w:rPr>
          <w:rFonts w:ascii="Times New Roman" w:eastAsiaTheme="minorEastAsia" w:hAnsi="Times New Roman" w:cs="Times New Roman"/>
          <w:sz w:val="24"/>
          <w:szCs w:val="24"/>
        </w:rPr>
        <w:t>powiadamiany</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zbyt</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dużym</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wyprzedzeniem</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czasowym</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mającym</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przedłużeniu</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Zbyt</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wczesne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powiadomienie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skutkować</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pamiętał,</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kilka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wypowiedzieć</w:t>
      </w:r>
      <w:r w:rsidR="00572C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zgadza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572CF8" w:rsidRPr="00D44D33">
        <w:rPr>
          <w:rFonts w:ascii="Times New Roman" w:eastAsiaTheme="minorEastAsia" w:hAnsi="Times New Roman" w:cs="Times New Roman"/>
          <w:sz w:val="24"/>
          <w:szCs w:val="24"/>
        </w:rPr>
        <w:t>kontynuację</w:t>
      </w:r>
      <w:r w:rsidR="0091108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zadanie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świadome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podjęcie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nadal</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chce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korzystać</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rozpocząć</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wcześnie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zmierzające</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00911084" w:rsidRPr="00D44D33">
        <w:rPr>
          <w:rFonts w:ascii="Times New Roman" w:eastAsiaTheme="minorEastAsia" w:hAnsi="Times New Roman" w:cs="Times New Roman"/>
          <w:sz w:val="24"/>
          <w:szCs w:val="24"/>
        </w:rPr>
        <w:t>umowy.</w:t>
      </w:r>
      <w:r w:rsidR="00C242B1" w:rsidRPr="00D44D33">
        <w:rPr>
          <w:rFonts w:ascii="Times New Roman" w:eastAsiaTheme="minorEastAsia" w:hAnsi="Times New Roman" w:cs="Times New Roman"/>
          <w:sz w:val="24"/>
          <w:szCs w:val="24"/>
        </w:rPr>
        <w:t xml:space="preserve"> Przepis ust.</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telekomunikacyjnych</w:t>
      </w:r>
      <w:r w:rsidR="3595673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6C0CC79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C0CC796"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6C0CC796"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6C0CC796" w:rsidRPr="00D44D33">
        <w:rPr>
          <w:rFonts w:ascii="Times New Roman" w:eastAsiaTheme="minorEastAsia" w:hAnsi="Times New Roman" w:cs="Times New Roman"/>
          <w:sz w:val="24"/>
          <w:szCs w:val="24"/>
        </w:rPr>
        <w:t>M2M</w:t>
      </w:r>
      <w:r w:rsidR="3FDEBF1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polegający</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informowaniu</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który</w:t>
      </w:r>
      <w:r w:rsidR="209D4CFF"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uległa</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automatycznemu</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przedłużeniu</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najkorzystniejszych</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pakietach</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taryfowych</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uległa</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automatycznemu</w:t>
      </w:r>
      <w:r w:rsidR="00970B2E" w:rsidRPr="00D44D33">
        <w:rPr>
          <w:rFonts w:ascii="Times New Roman" w:eastAsiaTheme="minorEastAsia" w:hAnsi="Times New Roman" w:cs="Times New Roman"/>
          <w:sz w:val="24"/>
          <w:szCs w:val="24"/>
        </w:rPr>
        <w:t xml:space="preserve"> </w:t>
      </w:r>
      <w:r w:rsidR="000767D9" w:rsidRPr="00D44D33">
        <w:rPr>
          <w:rFonts w:ascii="Times New Roman" w:eastAsiaTheme="minorEastAsia" w:hAnsi="Times New Roman" w:cs="Times New Roman"/>
          <w:sz w:val="24"/>
          <w:szCs w:val="24"/>
        </w:rPr>
        <w:t>przedłużeniu</w:t>
      </w:r>
      <w:r w:rsidR="6914E62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296</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6914E62F" w:rsidRPr="00D44D33">
        <w:rPr>
          <w:rFonts w:ascii="Times New Roman" w:eastAsiaTheme="minorEastAsia" w:hAnsi="Times New Roman" w:cs="Times New Roman"/>
          <w:sz w:val="24"/>
          <w:szCs w:val="24"/>
        </w:rPr>
        <w:t>EKŁE.</w:t>
      </w:r>
    </w:p>
    <w:p w14:paraId="53037D4C" w14:textId="3D3516BF" w:rsidR="0053061E" w:rsidRPr="00D44D33" w:rsidRDefault="471FD3B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297</w:t>
      </w:r>
      <w:r w:rsidR="00970B2E" w:rsidRPr="00D44D33">
        <w:rPr>
          <w:rFonts w:ascii="Times New Roman" w:eastAsiaTheme="minorEastAsia" w:hAnsi="Times New Roman" w:cs="Times New Roman"/>
          <w:b/>
          <w:bCs/>
          <w:sz w:val="24"/>
          <w:szCs w:val="24"/>
        </w:rPr>
        <w:t xml:space="preserve"> </w:t>
      </w:r>
    </w:p>
    <w:p w14:paraId="5A82D676" w14:textId="47EAA194" w:rsidR="471FD3B7"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9507D8" w:rsidRPr="00D44D33">
        <w:rPr>
          <w:rFonts w:ascii="Times New Roman" w:eastAsiaTheme="minorEastAsia" w:hAnsi="Times New Roman" w:cs="Times New Roman"/>
          <w:b/>
          <w:bCs/>
          <w:sz w:val="24"/>
          <w:szCs w:val="24"/>
        </w:rPr>
        <w:t>ołączenie</w:t>
      </w:r>
      <w:r w:rsidR="00970B2E" w:rsidRPr="00D44D33">
        <w:rPr>
          <w:rFonts w:ascii="Times New Roman" w:eastAsiaTheme="minorEastAsia" w:hAnsi="Times New Roman" w:cs="Times New Roman"/>
          <w:b/>
          <w:bCs/>
          <w:sz w:val="24"/>
          <w:szCs w:val="24"/>
        </w:rPr>
        <w:t xml:space="preserve"> </w:t>
      </w:r>
      <w:r w:rsidR="009507D8"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009507D8" w:rsidRPr="00D44D33">
        <w:rPr>
          <w:rFonts w:ascii="Times New Roman" w:eastAsiaTheme="minorEastAsia" w:hAnsi="Times New Roman" w:cs="Times New Roman"/>
          <w:b/>
          <w:bCs/>
          <w:sz w:val="24"/>
          <w:szCs w:val="24"/>
        </w:rPr>
        <w:t>konsultantem</w:t>
      </w:r>
    </w:p>
    <w:p w14:paraId="686A528B" w14:textId="60376D56" w:rsidR="00BD5A4D" w:rsidRPr="00D44D33" w:rsidRDefault="471FD3B7"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uzyskania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alternatywnych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taryf,</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jeżeli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uzyskania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połączenia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głosowego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konsultantem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p>
    <w:p w14:paraId="53A4119D" w14:textId="77777777" w:rsidR="00B61396" w:rsidRDefault="00B61396" w:rsidP="00D44D33">
      <w:pPr>
        <w:spacing w:before="120" w:after="120" w:line="360" w:lineRule="auto"/>
        <w:jc w:val="center"/>
        <w:rPr>
          <w:rFonts w:ascii="Times New Roman" w:eastAsiaTheme="minorEastAsia" w:hAnsi="Times New Roman" w:cs="Times New Roman"/>
          <w:b/>
          <w:bCs/>
          <w:sz w:val="24"/>
          <w:szCs w:val="24"/>
        </w:rPr>
      </w:pPr>
    </w:p>
    <w:p w14:paraId="78E04145" w14:textId="7B56FFE6" w:rsidR="0053061E" w:rsidRPr="00D44D33" w:rsidRDefault="60C158A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298</w:t>
      </w:r>
      <w:r w:rsidR="00970B2E" w:rsidRPr="00D44D33">
        <w:rPr>
          <w:rFonts w:ascii="Times New Roman" w:eastAsiaTheme="minorEastAsia" w:hAnsi="Times New Roman" w:cs="Times New Roman"/>
          <w:b/>
          <w:bCs/>
          <w:sz w:val="24"/>
          <w:szCs w:val="24"/>
        </w:rPr>
        <w:t xml:space="preserve"> </w:t>
      </w:r>
    </w:p>
    <w:p w14:paraId="51ED8AFE" w14:textId="4E34F6AA" w:rsidR="00221330"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649FF41D" w:rsidRPr="00D44D33">
        <w:rPr>
          <w:rFonts w:ascii="Times New Roman" w:eastAsiaTheme="minorEastAsia" w:hAnsi="Times New Roman" w:cs="Times New Roman"/>
          <w:b/>
          <w:bCs/>
          <w:sz w:val="24"/>
          <w:szCs w:val="24"/>
        </w:rPr>
        <w:t>dszkodowanie</w:t>
      </w:r>
      <w:r w:rsidR="00970B2E" w:rsidRPr="00D44D33">
        <w:rPr>
          <w:rFonts w:ascii="Times New Roman" w:eastAsiaTheme="minorEastAsia" w:hAnsi="Times New Roman" w:cs="Times New Roman"/>
          <w:b/>
          <w:bCs/>
          <w:sz w:val="24"/>
          <w:szCs w:val="24"/>
        </w:rPr>
        <w:t xml:space="preserve"> </w:t>
      </w:r>
      <w:r w:rsidR="00814D38"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814D38" w:rsidRPr="00D44D33">
        <w:rPr>
          <w:rFonts w:ascii="Times New Roman" w:eastAsiaTheme="minorEastAsia" w:hAnsi="Times New Roman" w:cs="Times New Roman"/>
          <w:b/>
          <w:bCs/>
          <w:sz w:val="24"/>
          <w:szCs w:val="24"/>
        </w:rPr>
        <w:t>przypadku</w:t>
      </w:r>
      <w:r w:rsidR="00970B2E" w:rsidRPr="00D44D33">
        <w:rPr>
          <w:rFonts w:ascii="Times New Roman" w:eastAsiaTheme="minorEastAsia" w:hAnsi="Times New Roman" w:cs="Times New Roman"/>
          <w:b/>
          <w:bCs/>
          <w:sz w:val="24"/>
          <w:szCs w:val="24"/>
        </w:rPr>
        <w:t xml:space="preserve"> </w:t>
      </w:r>
      <w:r w:rsidR="00814D38" w:rsidRPr="00D44D33">
        <w:rPr>
          <w:rFonts w:ascii="Times New Roman" w:eastAsiaTheme="minorEastAsia" w:hAnsi="Times New Roman" w:cs="Times New Roman"/>
          <w:b/>
          <w:bCs/>
          <w:sz w:val="24"/>
          <w:szCs w:val="24"/>
        </w:rPr>
        <w:t>przedterminowego</w:t>
      </w:r>
      <w:r w:rsidR="00970B2E" w:rsidRPr="00D44D33">
        <w:rPr>
          <w:rFonts w:ascii="Times New Roman" w:eastAsiaTheme="minorEastAsia" w:hAnsi="Times New Roman" w:cs="Times New Roman"/>
          <w:b/>
          <w:bCs/>
          <w:sz w:val="24"/>
          <w:szCs w:val="24"/>
        </w:rPr>
        <w:t xml:space="preserve"> </w:t>
      </w:r>
      <w:r w:rsidR="00814D38" w:rsidRPr="00D44D33">
        <w:rPr>
          <w:rFonts w:ascii="Times New Roman" w:eastAsiaTheme="minorEastAsia" w:hAnsi="Times New Roman" w:cs="Times New Roman"/>
          <w:b/>
          <w:bCs/>
          <w:sz w:val="24"/>
          <w:szCs w:val="24"/>
        </w:rPr>
        <w:t>rozwiązania</w:t>
      </w:r>
      <w:r w:rsidR="00970B2E" w:rsidRPr="00D44D33">
        <w:rPr>
          <w:rFonts w:ascii="Times New Roman" w:eastAsiaTheme="minorEastAsia" w:hAnsi="Times New Roman" w:cs="Times New Roman"/>
          <w:b/>
          <w:bCs/>
          <w:sz w:val="24"/>
          <w:szCs w:val="24"/>
        </w:rPr>
        <w:t xml:space="preserve"> </w:t>
      </w:r>
      <w:r w:rsidR="00814D38" w:rsidRPr="00D44D33">
        <w:rPr>
          <w:rFonts w:ascii="Times New Roman" w:eastAsiaTheme="minorEastAsia" w:hAnsi="Times New Roman" w:cs="Times New Roman"/>
          <w:b/>
          <w:bCs/>
          <w:sz w:val="24"/>
          <w:szCs w:val="24"/>
        </w:rPr>
        <w:t>umowy</w:t>
      </w:r>
    </w:p>
    <w:p w14:paraId="20FA0CB7" w14:textId="7ACB756F" w:rsidR="00221330" w:rsidRPr="00D44D33" w:rsidRDefault="0053061E"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 xml:space="preserve">Przepis art. </w:t>
      </w:r>
      <w:r w:rsidR="00AD1DA0" w:rsidRPr="00D44D33">
        <w:rPr>
          <w:rFonts w:ascii="Times New Roman" w:eastAsia="Times New Roman" w:hAnsi="Times New Roman" w:cs="Times New Roman"/>
          <w:sz w:val="24"/>
          <w:szCs w:val="24"/>
        </w:rPr>
        <w:t>298</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dotyczy</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zakresu</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uprawnień</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wypowiedzenia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przed</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końcem</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okresu</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jej</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obowiązywania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winy</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takiej</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sytuacji</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dochodzić</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odszkodowa</w:t>
      </w:r>
      <w:r w:rsidR="5815375C" w:rsidRPr="00D44D33">
        <w:rPr>
          <w:rFonts w:ascii="Times New Roman" w:eastAsia="Times New Roman" w:hAnsi="Times New Roman" w:cs="Times New Roman"/>
          <w:sz w:val="24"/>
          <w:szCs w:val="24"/>
        </w:rPr>
        <w:t>nia</w:t>
      </w:r>
      <w:r w:rsidR="00970B2E" w:rsidRPr="00D44D33">
        <w:rPr>
          <w:rFonts w:ascii="Times New Roman" w:eastAsia="Times New Roman" w:hAnsi="Times New Roman" w:cs="Times New Roman"/>
          <w:sz w:val="24"/>
          <w:szCs w:val="24"/>
        </w:rPr>
        <w:t xml:space="preserve"> </w:t>
      </w:r>
      <w:r w:rsidR="5815375C"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815375C"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5815375C"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43404BD5" w:rsidRPr="00D44D33">
        <w:rPr>
          <w:rFonts w:ascii="Times New Roman" w:eastAsia="Times New Roman" w:hAnsi="Times New Roman" w:cs="Times New Roman"/>
          <w:sz w:val="24"/>
          <w:szCs w:val="24"/>
        </w:rPr>
        <w:t>Pke</w:t>
      </w:r>
      <w:r w:rsidR="5815375C"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Odszkodowanie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przysługuje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wypowiedzenia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konsumenta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przed</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rozpoczęciem</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przyłączenia</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go</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gdy</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przyłączenie</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091388F" w:rsidRPr="00D44D33">
        <w:rPr>
          <w:rFonts w:ascii="Times New Roman" w:eastAsia="Times New Roman" w:hAnsi="Times New Roman" w:cs="Times New Roman"/>
          <w:sz w:val="24"/>
          <w:szCs w:val="24"/>
        </w:rPr>
        <w:t>wykonywane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przed</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rozpoczęciem</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chyba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przedmiotem</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roszczenia</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04233FC" w:rsidRPr="00D44D33">
        <w:rPr>
          <w:rFonts w:ascii="Times New Roman" w:eastAsia="Times New Roman" w:hAnsi="Times New Roman" w:cs="Times New Roman"/>
          <w:sz w:val="24"/>
          <w:szCs w:val="24"/>
        </w:rPr>
        <w:t>promocyjne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1C586B8F" w:rsidRPr="00D44D33">
        <w:rPr>
          <w:rFonts w:ascii="Times New Roman" w:eastAsia="Times New Roman" w:hAnsi="Times New Roman" w:cs="Times New Roman"/>
          <w:sz w:val="24"/>
          <w:szCs w:val="24"/>
        </w:rPr>
        <w:t>końcowe</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przeniesienia</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5F1CD795"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05B15DAF" w:rsidRPr="00D44D33">
        <w:rPr>
          <w:rFonts w:ascii="Times New Roman" w:eastAsia="Times New Roman" w:hAnsi="Times New Roman" w:cs="Times New Roman"/>
          <w:sz w:val="24"/>
          <w:szCs w:val="24"/>
        </w:rPr>
        <w:t>usług</w:t>
      </w:r>
      <w:r w:rsidR="2C13820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2C13820A"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2C13820A" w:rsidRPr="00D44D33">
        <w:rPr>
          <w:rFonts w:ascii="Times New Roman" w:eastAsia="Times New Roman" w:hAnsi="Times New Roman" w:cs="Times New Roman"/>
          <w:sz w:val="24"/>
          <w:szCs w:val="24"/>
        </w:rPr>
        <w:t>przejął</w:t>
      </w:r>
      <w:r w:rsidR="00970B2E" w:rsidRPr="00D44D33">
        <w:rPr>
          <w:rFonts w:ascii="Times New Roman" w:eastAsia="Times New Roman" w:hAnsi="Times New Roman" w:cs="Times New Roman"/>
          <w:sz w:val="24"/>
          <w:szCs w:val="24"/>
        </w:rPr>
        <w:t xml:space="preserve"> </w:t>
      </w:r>
      <w:r w:rsidR="2C13820A" w:rsidRPr="00D44D33">
        <w:rPr>
          <w:rFonts w:ascii="Times New Roman" w:eastAsia="Times New Roman" w:hAnsi="Times New Roman" w:cs="Times New Roman"/>
          <w:sz w:val="24"/>
          <w:szCs w:val="24"/>
        </w:rPr>
        <w:t>zobowiązania</w:t>
      </w:r>
      <w:r w:rsidR="00970B2E" w:rsidRPr="00D44D33">
        <w:rPr>
          <w:rFonts w:ascii="Times New Roman" w:eastAsia="Times New Roman" w:hAnsi="Times New Roman" w:cs="Times New Roman"/>
          <w:sz w:val="24"/>
          <w:szCs w:val="24"/>
        </w:rPr>
        <w:t xml:space="preserve"> </w:t>
      </w:r>
      <w:r w:rsidR="449C2D43" w:rsidRPr="00D44D33">
        <w:rPr>
          <w:rFonts w:ascii="Times New Roman" w:eastAsia="Times New Roman" w:hAnsi="Times New Roman" w:cs="Times New Roman"/>
          <w:sz w:val="24"/>
          <w:szCs w:val="24"/>
        </w:rPr>
        <w:t>dotychczasowego</w:t>
      </w:r>
      <w:r w:rsidR="00970B2E" w:rsidRPr="00D44D33">
        <w:rPr>
          <w:rFonts w:ascii="Times New Roman" w:eastAsia="Times New Roman" w:hAnsi="Times New Roman" w:cs="Times New Roman"/>
          <w:sz w:val="24"/>
          <w:szCs w:val="24"/>
        </w:rPr>
        <w:t xml:space="preserve"> </w:t>
      </w:r>
      <w:r w:rsidR="7F2BDD79"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7F2BDD79"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F2BDD79"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7F2BDD79" w:rsidRPr="00D44D33">
        <w:rPr>
          <w:rFonts w:ascii="Times New Roman" w:eastAsia="Times New Roman" w:hAnsi="Times New Roman" w:cs="Times New Roman"/>
          <w:sz w:val="24"/>
          <w:szCs w:val="24"/>
        </w:rPr>
        <w:t>ogłosił</w:t>
      </w:r>
      <w:r w:rsidR="00970B2E" w:rsidRPr="00D44D33">
        <w:rPr>
          <w:rFonts w:ascii="Times New Roman" w:eastAsia="Times New Roman" w:hAnsi="Times New Roman" w:cs="Times New Roman"/>
          <w:sz w:val="24"/>
          <w:szCs w:val="24"/>
        </w:rPr>
        <w:t xml:space="preserve"> </w:t>
      </w:r>
      <w:r w:rsidR="7F2BDD79" w:rsidRPr="00D44D33">
        <w:rPr>
          <w:rFonts w:ascii="Times New Roman" w:eastAsia="Times New Roman" w:hAnsi="Times New Roman" w:cs="Times New Roman"/>
          <w:sz w:val="24"/>
          <w:szCs w:val="24"/>
        </w:rPr>
        <w:t>upadłość</w:t>
      </w:r>
      <w:r w:rsidR="1C586B8F"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promocyjne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końcowe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należy</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rozumieć</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telekomunikacyjne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końcowe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zakupione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świadczenie</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009F082A" w:rsidRPr="00D44D33">
        <w:rPr>
          <w:rFonts w:ascii="Times New Roman" w:eastAsia="Times New Roman" w:hAnsi="Times New Roman" w:cs="Times New Roman"/>
          <w:sz w:val="24"/>
          <w:szCs w:val="24"/>
        </w:rPr>
        <w:t>elektronicznej.</w:t>
      </w:r>
    </w:p>
    <w:p w14:paraId="33C6852C" w14:textId="307B233F"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A16CE6"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zostało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ograniczenie,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odszkodowania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względem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Wysokość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odszkodowania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przekroczyć:</w:t>
      </w:r>
    </w:p>
    <w:p w14:paraId="61EFC7C4" w14:textId="62F1C87C" w:rsidR="0091388F" w:rsidRPr="00D44D33" w:rsidRDefault="3A3D9FF2" w:rsidP="00D44D33">
      <w:pPr>
        <w:pStyle w:val="Akapitzlist"/>
        <w:numPr>
          <w:ilvl w:val="1"/>
          <w:numId w:val="123"/>
        </w:numPr>
        <w:spacing w:before="120" w:after="120" w:line="360" w:lineRule="auto"/>
        <w:ind w:left="709"/>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tytułu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00425EC3" w:rsidRPr="00D44D33">
        <w:rPr>
          <w:rFonts w:ascii="Times New Roman" w:eastAsiaTheme="minorEastAsia" w:hAnsi="Times New Roman" w:cs="Times New Roman"/>
          <w:bCs/>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połowy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sumy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abonamentowej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okresowej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AD1DA0" w:rsidRPr="00D44D33">
        <w:rPr>
          <w:rFonts w:ascii="Times New Roman" w:eastAsia="Times New Roman" w:hAnsi="Times New Roman" w:cs="Times New Roman"/>
          <w:sz w:val="24"/>
          <w:szCs w:val="24"/>
        </w:rPr>
        <w:t>282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AD1DA0" w:rsidRPr="00D44D33">
        <w:rPr>
          <w:rFonts w:ascii="Times New Roman" w:eastAsia="Times New Roman" w:hAnsi="Times New Roman" w:cs="Times New Roman"/>
          <w:sz w:val="24"/>
          <w:szCs w:val="24"/>
        </w:rPr>
        <w:t>288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powinien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uiścić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czasu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zakończenia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umowy</w:t>
      </w:r>
      <w:r w:rsidR="73389948"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46CFA1CA" w14:textId="09FB622A" w:rsidR="0091388F" w:rsidRPr="00D44D33" w:rsidRDefault="0091388F" w:rsidP="00D44D33">
      <w:pPr>
        <w:pStyle w:val="Akapitzlist"/>
        <w:numPr>
          <w:ilvl w:val="1"/>
          <w:numId w:val="123"/>
        </w:numPr>
        <w:spacing w:before="120" w:after="120" w:line="360" w:lineRule="auto"/>
        <w:ind w:left="709"/>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tytułu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promocyjnego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końcowego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sumy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części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abonamentowej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okresowej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stanowiącej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opłatę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AD1DA0" w:rsidRPr="00D44D33">
        <w:rPr>
          <w:rFonts w:ascii="Times New Roman" w:eastAsia="Times New Roman" w:hAnsi="Times New Roman" w:cs="Times New Roman"/>
          <w:sz w:val="24"/>
          <w:szCs w:val="24"/>
        </w:rPr>
        <w:t>282</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AD1DA0" w:rsidRPr="00D44D33">
        <w:rPr>
          <w:rFonts w:ascii="Times New Roman" w:eastAsia="Times New Roman" w:hAnsi="Times New Roman" w:cs="Times New Roman"/>
          <w:sz w:val="24"/>
          <w:szCs w:val="24"/>
        </w:rPr>
        <w:t>288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powinien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uiścić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czasu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zakończenia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umowy.</w:t>
      </w:r>
    </w:p>
    <w:p w14:paraId="267E9854" w14:textId="77777777" w:rsidR="00221330" w:rsidRPr="00D44D33" w:rsidRDefault="566EAAC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Przykład:</w:t>
      </w:r>
    </w:p>
    <w:p w14:paraId="61A68F1A" w14:textId="42D099EA" w:rsidR="00221330" w:rsidRPr="00D44D33" w:rsidRDefault="35E36E7E"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U</w:t>
      </w:r>
      <w:r w:rsidR="25F18C97"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została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zawarta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24</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miesiące,</w:t>
      </w:r>
      <w:r w:rsidR="00970B2E" w:rsidRPr="00D44D33">
        <w:rPr>
          <w:rFonts w:ascii="Times New Roman" w:eastAsia="Times New Roman" w:hAnsi="Times New Roman" w:cs="Times New Roman"/>
          <w:sz w:val="24"/>
          <w:szCs w:val="24"/>
        </w:rPr>
        <w:t xml:space="preserve"> </w:t>
      </w:r>
      <w:r w:rsidR="623C76B1" w:rsidRPr="00D44D33">
        <w:rPr>
          <w:rFonts w:ascii="Times New Roman" w:eastAsia="Times New Roman" w:hAnsi="Times New Roman" w:cs="Times New Roman"/>
          <w:sz w:val="24"/>
          <w:szCs w:val="24"/>
        </w:rPr>
        <w:t>opłata</w:t>
      </w:r>
      <w:r w:rsidR="00970B2E" w:rsidRPr="00D44D33">
        <w:rPr>
          <w:rFonts w:ascii="Times New Roman" w:eastAsia="Times New Roman" w:hAnsi="Times New Roman" w:cs="Times New Roman"/>
          <w:sz w:val="24"/>
          <w:szCs w:val="24"/>
        </w:rPr>
        <w:t xml:space="preserve"> </w:t>
      </w:r>
      <w:r w:rsidR="623C76B1" w:rsidRPr="00D44D33">
        <w:rPr>
          <w:rFonts w:ascii="Times New Roman" w:eastAsia="Times New Roman" w:hAnsi="Times New Roman" w:cs="Times New Roman"/>
          <w:sz w:val="24"/>
          <w:szCs w:val="24"/>
        </w:rPr>
        <w:t>abonamentowa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została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określona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kwotę</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100</w:t>
      </w:r>
      <w:r w:rsidR="00970B2E" w:rsidRPr="00D44D33">
        <w:rPr>
          <w:rFonts w:ascii="Times New Roman" w:eastAsia="Times New Roman" w:hAnsi="Times New Roman" w:cs="Times New Roman"/>
          <w:sz w:val="24"/>
          <w:szCs w:val="24"/>
        </w:rPr>
        <w:t xml:space="preserve"> </w:t>
      </w:r>
      <w:r w:rsidR="25F18C97" w:rsidRPr="00D44D33">
        <w:rPr>
          <w:rFonts w:ascii="Times New Roman" w:eastAsia="Times New Roman" w:hAnsi="Times New Roman" w:cs="Times New Roman"/>
          <w:sz w:val="24"/>
          <w:szCs w:val="24"/>
        </w:rPr>
        <w:t>zł,</w:t>
      </w:r>
      <w:r w:rsidR="00970B2E" w:rsidRPr="00D44D33">
        <w:rPr>
          <w:rFonts w:ascii="Times New Roman" w:eastAsia="Times New Roman" w:hAnsi="Times New Roman" w:cs="Times New Roman"/>
          <w:sz w:val="24"/>
          <w:szCs w:val="24"/>
        </w:rPr>
        <w:t xml:space="preserve"> </w:t>
      </w:r>
      <w:r w:rsidR="623C76B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23C76B1" w:rsidRPr="00D44D33">
        <w:rPr>
          <w:rFonts w:ascii="Times New Roman" w:eastAsia="Times New Roman" w:hAnsi="Times New Roman" w:cs="Times New Roman"/>
          <w:sz w:val="24"/>
          <w:szCs w:val="24"/>
        </w:rPr>
        <w:t>czego</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40</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zł</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opłata</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usługę,</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10</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zł</w:t>
      </w:r>
      <w:r w:rsidR="00970B2E" w:rsidRPr="00D44D33">
        <w:rPr>
          <w:rFonts w:ascii="Times New Roman" w:eastAsia="Times New Roman" w:hAnsi="Times New Roman" w:cs="Times New Roman"/>
          <w:sz w:val="24"/>
          <w:szCs w:val="24"/>
        </w:rPr>
        <w:t xml:space="preserve"> </w:t>
      </w:r>
      <w:r w:rsidR="623C76B1"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przyłączenie</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50</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zł</w:t>
      </w:r>
      <w:r w:rsidR="00970B2E" w:rsidRPr="00D44D33">
        <w:rPr>
          <w:rFonts w:ascii="Times New Roman" w:eastAsia="Times New Roman" w:hAnsi="Times New Roman" w:cs="Times New Roman"/>
          <w:sz w:val="24"/>
          <w:szCs w:val="24"/>
        </w:rPr>
        <w:t xml:space="preserve"> </w:t>
      </w:r>
      <w:r w:rsidR="623C76B1"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promocyjne</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urządzenie</w:t>
      </w:r>
      <w:r w:rsidR="00970B2E" w:rsidRPr="00D44D33">
        <w:rPr>
          <w:rFonts w:ascii="Times New Roman" w:eastAsia="Times New Roman" w:hAnsi="Times New Roman" w:cs="Times New Roman"/>
          <w:sz w:val="24"/>
          <w:szCs w:val="24"/>
        </w:rPr>
        <w:t xml:space="preserve"> </w:t>
      </w:r>
      <w:r w:rsidR="3A3D9FF2" w:rsidRPr="00D44D33">
        <w:rPr>
          <w:rFonts w:ascii="Times New Roman" w:eastAsia="Times New Roman" w:hAnsi="Times New Roman" w:cs="Times New Roman"/>
          <w:sz w:val="24"/>
          <w:szCs w:val="24"/>
        </w:rPr>
        <w:t>końcowe.</w:t>
      </w:r>
      <w:r w:rsidR="00371EEA">
        <w:rPr>
          <w:rFonts w:ascii="Times New Roman" w:eastAsia="Times New Roman" w:hAnsi="Times New Roman" w:cs="Times New Roman"/>
          <w:sz w:val="24"/>
          <w:szCs w:val="24"/>
        </w:rPr>
        <w:t xml:space="preserve"> </w:t>
      </w:r>
    </w:p>
    <w:p w14:paraId="4DCCC850" w14:textId="1C6E808B"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obliczana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p>
    <w:p w14:paraId="442D862B" w14:textId="16FCA264" w:rsidR="003A3E8F" w:rsidRPr="00D44D33" w:rsidRDefault="0091388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x</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[(½</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x</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w:t>
      </w:r>
      <w:r w:rsidR="002C3E5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700</w:t>
      </w:r>
      <w:r w:rsidR="00970B2E" w:rsidRPr="00D44D33">
        <w:rPr>
          <w:rFonts w:ascii="Times New Roman" w:eastAsiaTheme="minorEastAsia" w:hAnsi="Times New Roman" w:cs="Times New Roman"/>
          <w:sz w:val="24"/>
          <w:szCs w:val="24"/>
        </w:rPr>
        <w:t xml:space="preserve"> </w:t>
      </w:r>
      <w:r w:rsidR="003A3E8F" w:rsidRPr="00D44D33">
        <w:rPr>
          <w:rFonts w:ascii="Times New Roman" w:eastAsiaTheme="minorEastAsia" w:hAnsi="Times New Roman" w:cs="Times New Roman"/>
          <w:sz w:val="24"/>
          <w:szCs w:val="24"/>
        </w:rPr>
        <w:t>zł</w:t>
      </w:r>
    </w:p>
    <w:p w14:paraId="1B0DF5D2" w14:textId="77777777" w:rsidR="00B61396" w:rsidRDefault="00B61396" w:rsidP="00D44D33">
      <w:pPr>
        <w:spacing w:before="120" w:after="120" w:line="360" w:lineRule="auto"/>
        <w:jc w:val="center"/>
        <w:rPr>
          <w:rFonts w:ascii="Times New Roman" w:eastAsiaTheme="minorEastAsia" w:hAnsi="Times New Roman" w:cs="Times New Roman"/>
          <w:b/>
          <w:bCs/>
          <w:sz w:val="24"/>
          <w:szCs w:val="24"/>
        </w:rPr>
      </w:pPr>
    </w:p>
    <w:p w14:paraId="1454087E" w14:textId="16998848" w:rsidR="0053061E" w:rsidRPr="00D44D33" w:rsidRDefault="1D8478C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299</w:t>
      </w:r>
      <w:r w:rsidR="00970B2E" w:rsidRPr="00D44D33">
        <w:rPr>
          <w:rFonts w:ascii="Times New Roman" w:eastAsiaTheme="minorEastAsia" w:hAnsi="Times New Roman" w:cs="Times New Roman"/>
          <w:b/>
          <w:bCs/>
          <w:sz w:val="24"/>
          <w:szCs w:val="24"/>
        </w:rPr>
        <w:t xml:space="preserve"> </w:t>
      </w:r>
    </w:p>
    <w:p w14:paraId="2181090C" w14:textId="76D68172" w:rsidR="00ED571C"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00ED571C" w:rsidRPr="00D44D33">
        <w:rPr>
          <w:rFonts w:ascii="Times New Roman" w:eastAsiaTheme="minorEastAsia" w:hAnsi="Times New Roman" w:cs="Times New Roman"/>
          <w:b/>
          <w:bCs/>
          <w:sz w:val="24"/>
          <w:szCs w:val="24"/>
        </w:rPr>
        <w:t>ferty</w:t>
      </w:r>
      <w:r w:rsidR="00970B2E" w:rsidRPr="00D44D33">
        <w:rPr>
          <w:rFonts w:ascii="Times New Roman" w:eastAsiaTheme="minorEastAsia" w:hAnsi="Times New Roman" w:cs="Times New Roman"/>
          <w:b/>
          <w:bCs/>
          <w:sz w:val="24"/>
          <w:szCs w:val="24"/>
        </w:rPr>
        <w:t xml:space="preserve"> </w:t>
      </w:r>
      <w:r w:rsidR="00ED571C" w:rsidRPr="00D44D33">
        <w:rPr>
          <w:rFonts w:ascii="Times New Roman" w:eastAsiaTheme="minorEastAsia" w:hAnsi="Times New Roman" w:cs="Times New Roman"/>
          <w:b/>
          <w:bCs/>
          <w:sz w:val="24"/>
          <w:szCs w:val="24"/>
        </w:rPr>
        <w:t>wiązane</w:t>
      </w:r>
    </w:p>
    <w:p w14:paraId="6E44DAA3" w14:textId="3C6E3F66" w:rsidR="00ED571C"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art. </w:t>
      </w:r>
      <w:r w:rsidR="511D604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dotąd</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nieregulowanych</w:t>
      </w:r>
      <w:r w:rsidR="00970B2E" w:rsidRPr="00D44D33">
        <w:rPr>
          <w:rFonts w:ascii="Times New Roman" w:eastAsiaTheme="minorEastAsia" w:hAnsi="Times New Roman" w:cs="Times New Roman"/>
          <w:sz w:val="24"/>
          <w:szCs w:val="24"/>
        </w:rPr>
        <w:t xml:space="preserve"> </w:t>
      </w:r>
      <w:r w:rsidR="2A2F6C4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2F6C4B" w:rsidRPr="00D44D33">
        <w:rPr>
          <w:rFonts w:ascii="Times New Roman" w:eastAsiaTheme="minorEastAsia" w:hAnsi="Times New Roman" w:cs="Times New Roman"/>
          <w:sz w:val="24"/>
          <w:szCs w:val="24"/>
        </w:rPr>
        <w:t>Pt</w:t>
      </w:r>
      <w:r w:rsidR="511D604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obejmujących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wiązanych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pakietowych.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299</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107</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pakietowe,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obejmują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dostępną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wykorzystującą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obejmować</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powyżej</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wskazanymi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6D2242CE"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linearne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medialne</w:t>
      </w:r>
      <w:r w:rsidR="6D2242C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2483A3EC" w:rsidRPr="00D44D33">
        <w:rPr>
          <w:rFonts w:ascii="Times New Roman" w:eastAsiaTheme="minorEastAsia" w:hAnsi="Times New Roman" w:cs="Times New Roman"/>
          <w:sz w:val="24"/>
          <w:szCs w:val="24"/>
        </w:rPr>
        <w:t>promocyjne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końcowe.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Przedmiotowa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wiązane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będącym</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konsumentami.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odwołanie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dotyczących</w:t>
      </w:r>
      <w:r w:rsidR="6D2242C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doręczania</w:t>
      </w:r>
      <w:r w:rsidR="00970B2E" w:rsidRPr="00D44D33">
        <w:rPr>
          <w:rFonts w:ascii="Times New Roman" w:eastAsiaTheme="minorEastAsia" w:hAnsi="Times New Roman" w:cs="Times New Roman"/>
          <w:sz w:val="24"/>
          <w:szCs w:val="24"/>
        </w:rPr>
        <w:t xml:space="preserve"> </w:t>
      </w:r>
      <w:r w:rsidR="6D2242CE" w:rsidRPr="00D44D33">
        <w:rPr>
          <w:rFonts w:ascii="Times New Roman" w:eastAsiaTheme="minorEastAsia" w:hAnsi="Times New Roman" w:cs="Times New Roman"/>
          <w:sz w:val="24"/>
          <w:szCs w:val="24"/>
        </w:rPr>
        <w:t>zwięzłego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podsumowania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maksymalnego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umowy</w:t>
      </w:r>
      <w:r w:rsidR="37B2F25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automatycznego</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przedłużania</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stałych</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znaczących</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rozbieżności</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wykonaniem</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usługi</w:t>
      </w:r>
      <w:r w:rsidR="511D604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umową.</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niewykonanie</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nienależyte</w:t>
      </w:r>
      <w:r w:rsidR="00970B2E" w:rsidRPr="00D44D33">
        <w:rPr>
          <w:rFonts w:ascii="Times New Roman" w:eastAsiaTheme="minorEastAsia" w:hAnsi="Times New Roman" w:cs="Times New Roman"/>
          <w:sz w:val="24"/>
          <w:szCs w:val="24"/>
        </w:rPr>
        <w:t xml:space="preserve"> </w:t>
      </w:r>
      <w:r w:rsidR="37B2F25E" w:rsidRPr="00D44D33">
        <w:rPr>
          <w:rFonts w:ascii="Times New Roman" w:eastAsiaTheme="minorEastAsia" w:hAnsi="Times New Roman" w:cs="Times New Roman"/>
          <w:sz w:val="24"/>
          <w:szCs w:val="24"/>
        </w:rPr>
        <w:t>wykonanie</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którejkolwiek</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511D604D" w:rsidRPr="00D44D33">
        <w:rPr>
          <w:rFonts w:ascii="Times New Roman" w:eastAsiaTheme="minorEastAsia" w:hAnsi="Times New Roman" w:cs="Times New Roman"/>
          <w:sz w:val="24"/>
          <w:szCs w:val="24"/>
        </w:rPr>
        <w:t>pakietu.</w:t>
      </w:r>
    </w:p>
    <w:p w14:paraId="628491C7" w14:textId="0E84C5F3" w:rsidR="00ED571C" w:rsidRPr="00D44D33" w:rsidRDefault="00ED571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zamówienia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A30947" w:rsidRPr="00D44D33">
        <w:rPr>
          <w:rFonts w:ascii="Times New Roman" w:eastAsiaTheme="minorEastAsia" w:hAnsi="Times New Roman" w:cs="Times New Roman"/>
          <w:sz w:val="24"/>
          <w:szCs w:val="24"/>
        </w:rPr>
        <w:t>promocyjne</w:t>
      </w:r>
      <w:r w:rsidR="00970B2E" w:rsidRPr="00D44D33">
        <w:rPr>
          <w:rFonts w:ascii="Times New Roman" w:eastAsiaTheme="minorEastAsia" w:hAnsi="Times New Roman" w:cs="Times New Roman"/>
          <w:sz w:val="24"/>
          <w:szCs w:val="24"/>
        </w:rPr>
        <w:t xml:space="preserve"> </w:t>
      </w:r>
      <w:r w:rsidR="00A30947"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A30947" w:rsidRPr="00D44D33">
        <w:rPr>
          <w:rFonts w:ascii="Times New Roman" w:eastAsiaTheme="minorEastAsia" w:hAnsi="Times New Roman" w:cs="Times New Roman"/>
          <w:sz w:val="24"/>
          <w:szCs w:val="24"/>
        </w:rPr>
        <w:t>końcowe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wydłużenia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pierwotnego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zgodę.</w:t>
      </w:r>
    </w:p>
    <w:p w14:paraId="12D97529" w14:textId="78D69BC0" w:rsidR="00ED571C" w:rsidRPr="00D44D33" w:rsidRDefault="00ED571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mikroprzedsiębiorcami,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małymi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pozarządowymi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wolontariacie,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wyraźnie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zgodzili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6AE94F1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p>
    <w:p w14:paraId="200D3E78" w14:textId="6FC139E8" w:rsidR="0053061E" w:rsidRPr="00D44D33" w:rsidRDefault="00DA66D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300</w:t>
      </w:r>
      <w:r w:rsidR="00970B2E" w:rsidRPr="00D44D33">
        <w:rPr>
          <w:rFonts w:ascii="Times New Roman" w:eastAsiaTheme="minorEastAsia" w:hAnsi="Times New Roman" w:cs="Times New Roman"/>
          <w:b/>
          <w:bCs/>
          <w:sz w:val="24"/>
          <w:szCs w:val="24"/>
        </w:rPr>
        <w:t xml:space="preserve"> </w:t>
      </w:r>
    </w:p>
    <w:p w14:paraId="3B704EA8" w14:textId="37225238" w:rsidR="00221330" w:rsidRPr="00D44D33" w:rsidRDefault="005306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Z</w:t>
      </w:r>
      <w:r w:rsidR="566EAACD" w:rsidRPr="00D44D33">
        <w:rPr>
          <w:rFonts w:ascii="Times New Roman" w:eastAsiaTheme="minorEastAsia" w:hAnsi="Times New Roman" w:cs="Times New Roman"/>
          <w:b/>
          <w:bCs/>
          <w:sz w:val="24"/>
          <w:szCs w:val="24"/>
        </w:rPr>
        <w:t>miana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warunków</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umowy</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wynikająca</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przepisów</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prawa</w:t>
      </w:r>
    </w:p>
    <w:p w14:paraId="5E8655AD" w14:textId="62D75ECF" w:rsidR="00221330"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300</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dokonanych</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publ</w:t>
      </w:r>
      <w:r w:rsidR="7C04D1B4" w:rsidRPr="00D44D33">
        <w:rPr>
          <w:rFonts w:ascii="Times New Roman" w:eastAsiaTheme="minorEastAsia" w:hAnsi="Times New Roman" w:cs="Times New Roman"/>
          <w:sz w:val="24"/>
          <w:szCs w:val="24"/>
        </w:rPr>
        <w:t>icznie</w:t>
      </w:r>
      <w:r w:rsidR="00970B2E" w:rsidRPr="00D44D33">
        <w:rPr>
          <w:rFonts w:ascii="Times New Roman" w:eastAsiaTheme="minorEastAsia" w:hAnsi="Times New Roman" w:cs="Times New Roman"/>
          <w:sz w:val="24"/>
          <w:szCs w:val="24"/>
        </w:rPr>
        <w:t xml:space="preserve"> </w:t>
      </w:r>
      <w:r w:rsidR="7C04D1B4"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6A8FD90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jednostronnych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akceptacji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wprowadzanych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6CD7466" w:rsidRPr="00D44D33">
        <w:rPr>
          <w:rFonts w:ascii="Times New Roman" w:eastAsiaTheme="minorEastAsia" w:hAnsi="Times New Roman" w:cs="Times New Roman"/>
          <w:sz w:val="24"/>
          <w:szCs w:val="24"/>
        </w:rPr>
        <w:t>EKŁE</w:t>
      </w:r>
      <w:r w:rsidR="0D4EDB71" w:rsidRPr="00D44D33">
        <w:rPr>
          <w:rFonts w:ascii="Times New Roman" w:eastAsiaTheme="minorEastAsia" w:hAnsi="Times New Roman" w:cs="Times New Roman"/>
          <w:sz w:val="24"/>
          <w:szCs w:val="24"/>
        </w:rPr>
        <w:t>.</w:t>
      </w:r>
    </w:p>
    <w:p w14:paraId="6291B519" w14:textId="35989ECF" w:rsidR="00221330"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1ECA9CD7"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wypowiedzieć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licząc</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konsekwencjami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przedterminowe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rozwiązanie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371EEA">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Należą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62E96733" w:rsidRPr="00D44D33">
        <w:rPr>
          <w:rFonts w:ascii="Times New Roman" w:eastAsiaTheme="minorEastAsia" w:hAnsi="Times New Roman" w:cs="Times New Roman"/>
          <w:sz w:val="24"/>
          <w:szCs w:val="24"/>
        </w:rPr>
        <w:t>przypadki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50C4B36E"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0C4B36E" w:rsidRPr="00D44D33">
        <w:rPr>
          <w:rFonts w:ascii="Times New Roman" w:eastAsiaTheme="minorEastAsia" w:hAnsi="Times New Roman" w:cs="Times New Roman"/>
          <w:sz w:val="24"/>
          <w:szCs w:val="24"/>
        </w:rPr>
        <w:t>umowy</w:t>
      </w:r>
      <w:r w:rsidR="6A9406A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wynikiem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stawek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podatku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zaproponowane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administracyjny,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powodując</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negatywnych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skutków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457AD59C"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internetowej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proponowanych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wyprzedzeniem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miesiąca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poinformowany</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1</w:t>
      </w:r>
      <w:r w:rsidR="005D763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wejścia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życie.</w:t>
      </w:r>
    </w:p>
    <w:p w14:paraId="0ADD6577" w14:textId="6B94F2EE" w:rsidR="00C25310" w:rsidRPr="00D44D33" w:rsidRDefault="4CF0B71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4BE3C05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BE3C054"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internetowej.</w:t>
      </w:r>
    </w:p>
    <w:p w14:paraId="6ADB1EDC" w14:textId="34A45ED9" w:rsidR="0053061E" w:rsidRPr="00D44D33" w:rsidRDefault="00C2531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AD1DA0" w:rsidRPr="00D44D33">
        <w:rPr>
          <w:rFonts w:ascii="Times New Roman" w:eastAsiaTheme="minorEastAsia" w:hAnsi="Times New Roman" w:cs="Times New Roman"/>
          <w:b/>
          <w:sz w:val="24"/>
          <w:szCs w:val="24"/>
        </w:rPr>
        <w:t>301</w:t>
      </w:r>
    </w:p>
    <w:p w14:paraId="6A8A307D" w14:textId="733BCEB0" w:rsidR="00C25310" w:rsidRPr="00D44D33" w:rsidRDefault="0053061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Z</w:t>
      </w:r>
      <w:r w:rsidR="00C25310" w:rsidRPr="00D44D33">
        <w:rPr>
          <w:rFonts w:ascii="Times New Roman" w:eastAsiaTheme="minorEastAsia" w:hAnsi="Times New Roman" w:cs="Times New Roman"/>
          <w:b/>
          <w:bCs/>
          <w:sz w:val="24"/>
          <w:szCs w:val="24"/>
        </w:rPr>
        <w:t>miana</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warunków</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umowy</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na</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czas</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określony</w:t>
      </w:r>
    </w:p>
    <w:p w14:paraId="52731655" w14:textId="03AB32F5" w:rsidR="00DA0F12"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jednostronnej</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7E5DAF"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obiektywnych</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300</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365C90BD"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Przykładem</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pandemii,</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wymuszać</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12DC65A" w:rsidRPr="00D44D33">
        <w:rPr>
          <w:rFonts w:ascii="Times New Roman" w:eastAsiaTheme="minorEastAsia" w:hAnsi="Times New Roman" w:cs="Times New Roman"/>
          <w:sz w:val="24"/>
          <w:szCs w:val="24"/>
        </w:rPr>
        <w:t>usług</w:t>
      </w:r>
      <w:r w:rsidR="5985C7C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242C9C70" w14:textId="031C5C90" w:rsidR="00221330" w:rsidRPr="00D44D33" w:rsidRDefault="5985C7C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566EAACD" w:rsidRPr="00D44D33">
        <w:rPr>
          <w:rFonts w:ascii="Times New Roman" w:eastAsiaTheme="minorEastAsia" w:hAnsi="Times New Roman" w:cs="Times New Roman"/>
          <w:sz w:val="24"/>
          <w:szCs w:val="24"/>
        </w:rPr>
        <w:t>asady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12A7E7C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2A7E7C5"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12A7E7C5"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12A7E7C5"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12A7E7C5"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3</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determinowana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informacyjne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samej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doręczona</w:t>
      </w:r>
      <w:r w:rsidR="00970B2E" w:rsidRPr="00D44D33">
        <w:rPr>
          <w:rFonts w:ascii="Times New Roman" w:eastAsiaTheme="minorEastAsia" w:hAnsi="Times New Roman" w:cs="Times New Roman"/>
          <w:sz w:val="24"/>
          <w:szCs w:val="24"/>
        </w:rPr>
        <w:t xml:space="preserve"> </w:t>
      </w:r>
      <w:r w:rsidR="00D21D6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21D6B" w:rsidRPr="00D44D33">
        <w:rPr>
          <w:rFonts w:ascii="Times New Roman" w:eastAsiaTheme="minorEastAsia" w:hAnsi="Times New Roman" w:cs="Times New Roman"/>
          <w:sz w:val="24"/>
          <w:szCs w:val="24"/>
        </w:rPr>
        <w:t>piśmie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285</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2</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korespondencyjny.</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internetowej.</w:t>
      </w:r>
    </w:p>
    <w:p w14:paraId="5E7A3B32" w14:textId="671B7A66" w:rsidR="001A5C9D" w:rsidRPr="00D44D33" w:rsidRDefault="001A5C9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wyjściem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planowanych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akceptacji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w:t>
      </w:r>
      <w:r w:rsidR="000079AA" w:rsidRPr="00D44D33">
        <w:rPr>
          <w:rFonts w:ascii="Times New Roman" w:eastAsiaTheme="minorEastAsia" w:hAnsi="Times New Roman" w:cs="Times New Roman"/>
          <w:sz w:val="24"/>
          <w:szCs w:val="24"/>
        </w:rPr>
        <w:t>nia</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2050AC"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p>
    <w:p w14:paraId="123DC416" w14:textId="24E9732C"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21D6B"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w:t>
      </w:r>
      <w:r w:rsidR="7C75C4B8" w:rsidRPr="00D44D33">
        <w:rPr>
          <w:rFonts w:ascii="Times New Roman" w:eastAsiaTheme="minorEastAsia" w:hAnsi="Times New Roman" w:cs="Times New Roman"/>
          <w:sz w:val="24"/>
          <w:szCs w:val="24"/>
        </w:rPr>
        <w:t>a</w:t>
      </w:r>
      <w:r w:rsidRPr="00D44D33">
        <w:rPr>
          <w:rFonts w:ascii="Times New Roman" w:eastAsiaTheme="minorEastAsia" w:hAnsi="Times New Roman" w:cs="Times New Roman"/>
          <w:sz w:val="24"/>
          <w:szCs w:val="24"/>
        </w:rPr>
        <w: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367FD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związana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formą</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np</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korespondencyjny,</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00367FD3" w:rsidRPr="00D44D33">
        <w:rPr>
          <w:rFonts w:ascii="Times New Roman" w:eastAsiaTheme="minorEastAsia" w:hAnsi="Times New Roman" w:cs="Times New Roman"/>
          <w:sz w:val="24"/>
          <w:szCs w:val="24"/>
        </w:rPr>
        <w:t>pisemnej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6982814" w14:textId="1D146A87" w:rsidR="00367FD3" w:rsidRPr="00D44D33" w:rsidRDefault="00367FD3"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Izby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zrzeszające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mimo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usilnych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wciąż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niejednokrotnie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pisemnej,</w:t>
      </w:r>
      <w:r w:rsidR="00970B2E" w:rsidRPr="00D44D33">
        <w:rPr>
          <w:rFonts w:ascii="Times New Roman" w:eastAsiaTheme="minorEastAsia" w:hAnsi="Times New Roman" w:cs="Times New Roman"/>
          <w:sz w:val="24"/>
          <w:szCs w:val="24"/>
        </w:rPr>
        <w:t xml:space="preserve"> </w:t>
      </w:r>
      <w:r w:rsidR="00D21D6B"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zaufania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perspektywie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najbliższych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kilkunastu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lat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powinni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mieć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całkowitej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rezygnacji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papierowego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obrotu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przejścia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zdalną,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relacji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między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przedsiębiorcami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konsumentami.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Jednak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obecnie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całkowicie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wykluczyć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pisemnej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podstawowej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głównie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nieposiadające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szczególnie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starsze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2E232D"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zwyczajnie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preferują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taki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2E232D" w:rsidRPr="00D44D33">
        <w:rPr>
          <w:rFonts w:ascii="Times New Roman" w:eastAsia="Times New Roman" w:hAnsi="Times New Roman" w:cs="Times New Roman"/>
          <w:sz w:val="24"/>
          <w:szCs w:val="24"/>
        </w:rPr>
        <w:t>dostawcą</w:t>
      </w:r>
      <w:r w:rsidRPr="00D44D33">
        <w:rPr>
          <w:rFonts w:ascii="Times New Roman" w:eastAsia="Times New Roman" w:hAnsi="Times New Roman" w:cs="Times New Roman"/>
          <w:sz w:val="24"/>
          <w:szCs w:val="24"/>
        </w:rPr>
        <w:t>.</w:t>
      </w:r>
    </w:p>
    <w:p w14:paraId="764667EC" w14:textId="59CE9CB8" w:rsidR="00DE13CF" w:rsidRPr="00D44D33" w:rsidRDefault="00DE13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Ostatnie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pokazały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przydatnym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E232D" w:rsidRPr="00D44D33">
        <w:rPr>
          <w:rFonts w:ascii="Times New Roman" w:eastAsiaTheme="minorEastAsia" w:hAnsi="Times New Roman" w:cs="Times New Roman"/>
          <w:sz w:val="24"/>
          <w:szCs w:val="24"/>
        </w:rPr>
        <w:t>i</w:t>
      </w:r>
      <w:r w:rsidRPr="00D44D33">
        <w:rPr>
          <w:rFonts w:ascii="Times New Roman" w:eastAsiaTheme="minorEastAsia" w:hAnsi="Times New Roman" w:cs="Times New Roman"/>
          <w:sz w:val="24"/>
          <w:szCs w:val="24"/>
        </w:rPr>
        <w:t>nternet,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Wciąż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jeszcze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zjawisko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globalną.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Główny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Statystyczny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53061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komputerów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31,7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65-74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komputera.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statystyki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wyglądają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002E232D" w:rsidRPr="00D44D33">
        <w:rPr>
          <w:rFonts w:ascii="Times New Roman" w:eastAsiaTheme="minorEastAsia" w:hAnsi="Times New Roman" w:cs="Times New Roman"/>
          <w:sz w:val="24"/>
          <w:szCs w:val="24"/>
        </w:rPr>
        <w:t>i</w:t>
      </w:r>
      <w:r w:rsidRPr="00D44D33">
        <w:rPr>
          <w:rFonts w:ascii="Times New Roman" w:eastAsiaTheme="minorEastAsia" w:hAnsi="Times New Roman" w:cs="Times New Roman"/>
          <w:sz w:val="24"/>
          <w:szCs w:val="24"/>
        </w:rPr>
        <w:t>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weźmiemy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jeszcze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starszych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jeszcze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12-15%.</w:t>
      </w:r>
    </w:p>
    <w:p w14:paraId="060DAEB7" w14:textId="416D722A" w:rsidR="00EC4773" w:rsidRPr="00D44D33" w:rsidRDefault="001930F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2E232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E232D"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2E232D" w:rsidRPr="00D44D33">
        <w:rPr>
          <w:rFonts w:ascii="Times New Roman" w:eastAsiaTheme="minorEastAsia" w:hAnsi="Times New Roman" w:cs="Times New Roman"/>
          <w:sz w:val="24"/>
          <w:szCs w:val="24"/>
        </w:rPr>
        <w:t>M2M</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268</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pozostałym</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287</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sprzeciwu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przeciwko</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zastosowaniu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przepisów.</w:t>
      </w:r>
    </w:p>
    <w:p w14:paraId="3A81AAB9" w14:textId="3DB58EDB" w:rsidR="0053061E" w:rsidRPr="00D44D33" w:rsidRDefault="00C2531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AD1DA0" w:rsidRPr="00D44D33">
        <w:rPr>
          <w:rFonts w:ascii="Times New Roman" w:eastAsiaTheme="minorEastAsia" w:hAnsi="Times New Roman" w:cs="Times New Roman"/>
          <w:b/>
          <w:sz w:val="24"/>
          <w:szCs w:val="24"/>
        </w:rPr>
        <w:t>302</w:t>
      </w:r>
    </w:p>
    <w:p w14:paraId="55F45E33" w14:textId="1B7F4384" w:rsidR="00C25310" w:rsidRPr="00D44D33" w:rsidRDefault="0053061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Z</w:t>
      </w:r>
      <w:r w:rsidR="00C25310" w:rsidRPr="00D44D33">
        <w:rPr>
          <w:rFonts w:ascii="Times New Roman" w:eastAsiaTheme="minorEastAsia" w:hAnsi="Times New Roman" w:cs="Times New Roman"/>
          <w:b/>
          <w:bCs/>
          <w:sz w:val="24"/>
          <w:szCs w:val="24"/>
        </w:rPr>
        <w:t>miana</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warunków</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umowy</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na</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czas</w:t>
      </w:r>
      <w:r w:rsidR="00970B2E" w:rsidRPr="00D44D33">
        <w:rPr>
          <w:rFonts w:ascii="Times New Roman" w:eastAsiaTheme="minorEastAsia" w:hAnsi="Times New Roman" w:cs="Times New Roman"/>
          <w:b/>
          <w:bCs/>
          <w:sz w:val="24"/>
          <w:szCs w:val="24"/>
        </w:rPr>
        <w:t xml:space="preserve"> </w:t>
      </w:r>
      <w:r w:rsidR="00C25310" w:rsidRPr="00D44D33">
        <w:rPr>
          <w:rFonts w:ascii="Times New Roman" w:eastAsiaTheme="minorEastAsia" w:hAnsi="Times New Roman" w:cs="Times New Roman"/>
          <w:b/>
          <w:bCs/>
          <w:sz w:val="24"/>
          <w:szCs w:val="24"/>
        </w:rPr>
        <w:t>nieokreślony</w:t>
      </w:r>
    </w:p>
    <w:p w14:paraId="1ACE9B74" w14:textId="3F303A26" w:rsidR="008D5024"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jednostronnej</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nieokreślony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automatycznie</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przedłużyła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nieokreślony,</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300</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1</w:t>
      </w:r>
      <w:r w:rsidR="00C2531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dokonywać</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wprowadzania</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przewidziano</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okoliczności</w:t>
      </w:r>
      <w:r w:rsidR="002E232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930F5"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komunikowania</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A5C9D" w:rsidRPr="00D44D33">
        <w:rPr>
          <w:rFonts w:ascii="Times New Roman" w:eastAsiaTheme="minorEastAsia" w:hAnsi="Times New Roman" w:cs="Times New Roman"/>
          <w:sz w:val="24"/>
          <w:szCs w:val="24"/>
        </w:rPr>
        <w:t>zmianach</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0143B3" w:rsidRPr="00D44D33">
        <w:rPr>
          <w:rFonts w:ascii="Times New Roman" w:eastAsiaTheme="minorEastAsia" w:hAnsi="Times New Roman" w:cs="Times New Roman"/>
          <w:sz w:val="24"/>
          <w:szCs w:val="24"/>
        </w:rPr>
        <w:t xml:space="preserve">300 </w:t>
      </w:r>
      <w:r w:rsidR="00C2531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nieokreślony</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odszkodowaniu</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C25310" w:rsidRPr="00D44D33">
        <w:rPr>
          <w:rFonts w:ascii="Times New Roman" w:eastAsiaTheme="minorEastAsia" w:hAnsi="Times New Roman" w:cs="Times New Roman"/>
          <w:sz w:val="24"/>
          <w:szCs w:val="24"/>
        </w:rPr>
        <w:t>1</w:t>
      </w:r>
      <w:r w:rsidR="00EC477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akceptacji</w:t>
      </w:r>
      <w:r w:rsidR="00970B2E" w:rsidRPr="00D44D33">
        <w:rPr>
          <w:rFonts w:ascii="Times New Roman" w:eastAsiaTheme="minorEastAsia" w:hAnsi="Times New Roman" w:cs="Times New Roman"/>
          <w:sz w:val="24"/>
          <w:szCs w:val="24"/>
        </w:rPr>
        <w:t xml:space="preserve"> </w:t>
      </w:r>
      <w:r w:rsidR="00EC4773" w:rsidRPr="00D44D33">
        <w:rPr>
          <w:rFonts w:ascii="Times New Roman" w:eastAsiaTheme="minorEastAsia" w:hAnsi="Times New Roman" w:cs="Times New Roman"/>
          <w:sz w:val="24"/>
          <w:szCs w:val="24"/>
        </w:rPr>
        <w:t>zmian</w:t>
      </w:r>
      <w:r w:rsidR="00DE13C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wejścia</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E13CF" w:rsidRPr="00D44D33">
        <w:rPr>
          <w:rFonts w:ascii="Times New Roman" w:eastAsiaTheme="minorEastAsia" w:hAnsi="Times New Roman" w:cs="Times New Roman"/>
          <w:sz w:val="24"/>
          <w:szCs w:val="24"/>
        </w:rPr>
        <w:t>życie</w:t>
      </w:r>
      <w:r w:rsidR="00EC4773" w:rsidRPr="00D44D33">
        <w:rPr>
          <w:rFonts w:ascii="Times New Roman" w:eastAsiaTheme="minorEastAsia" w:hAnsi="Times New Roman" w:cs="Times New Roman"/>
          <w:sz w:val="24"/>
          <w:szCs w:val="24"/>
        </w:rPr>
        <w:t>.</w:t>
      </w:r>
    </w:p>
    <w:p w14:paraId="644B6979" w14:textId="557595D5" w:rsidR="0053061E" w:rsidRPr="00D44D33" w:rsidRDefault="511785E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sz w:val="24"/>
          <w:szCs w:val="24"/>
        </w:rPr>
        <w:t>303</w:t>
      </w:r>
    </w:p>
    <w:p w14:paraId="032E6B37" w14:textId="3C1A33D4" w:rsidR="002C3E5A" w:rsidRPr="00D44D33" w:rsidRDefault="0053061E"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Z</w:t>
      </w:r>
      <w:r w:rsidR="002C3E5A" w:rsidRPr="00D44D33">
        <w:rPr>
          <w:rFonts w:ascii="Times New Roman" w:eastAsiaTheme="minorEastAsia" w:hAnsi="Times New Roman" w:cs="Times New Roman"/>
          <w:b/>
          <w:bCs/>
          <w:sz w:val="24"/>
          <w:szCs w:val="24"/>
        </w:rPr>
        <w:t>wrot</w:t>
      </w:r>
      <w:r w:rsidR="00970B2E" w:rsidRPr="00D44D33">
        <w:rPr>
          <w:rFonts w:ascii="Times New Roman" w:eastAsiaTheme="minorEastAsia" w:hAnsi="Times New Roman" w:cs="Times New Roman"/>
          <w:b/>
          <w:bCs/>
          <w:sz w:val="24"/>
          <w:szCs w:val="24"/>
        </w:rPr>
        <w:t xml:space="preserve"> </w:t>
      </w:r>
      <w:r w:rsidR="002C3E5A" w:rsidRPr="00D44D33">
        <w:rPr>
          <w:rFonts w:ascii="Times New Roman" w:eastAsiaTheme="minorEastAsia" w:hAnsi="Times New Roman" w:cs="Times New Roman"/>
          <w:b/>
          <w:bCs/>
          <w:sz w:val="24"/>
          <w:szCs w:val="24"/>
        </w:rPr>
        <w:t>kosztu</w:t>
      </w:r>
      <w:r w:rsidR="00970B2E" w:rsidRPr="00D44D33">
        <w:rPr>
          <w:rFonts w:ascii="Times New Roman" w:eastAsiaTheme="minorEastAsia" w:hAnsi="Times New Roman" w:cs="Times New Roman"/>
          <w:b/>
          <w:bCs/>
          <w:sz w:val="24"/>
          <w:szCs w:val="24"/>
        </w:rPr>
        <w:t xml:space="preserve"> </w:t>
      </w:r>
      <w:r w:rsidR="002C3E5A" w:rsidRPr="00D44D33">
        <w:rPr>
          <w:rFonts w:ascii="Times New Roman" w:eastAsiaTheme="minorEastAsia" w:hAnsi="Times New Roman" w:cs="Times New Roman"/>
          <w:b/>
          <w:bCs/>
          <w:sz w:val="24"/>
          <w:szCs w:val="24"/>
        </w:rPr>
        <w:t>urządzenia</w:t>
      </w:r>
    </w:p>
    <w:p w14:paraId="26D3C7B1" w14:textId="1B01E805" w:rsidR="00743F94" w:rsidRPr="00D44D33" w:rsidRDefault="0053061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odmiennej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określona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jednostronnej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301</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istotnych</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rozbieżności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wykonaniem</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postanowieniami.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korzystając</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chce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zatrzymać</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końcowe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wydane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przenoszącej</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własność</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(promocyjne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końcowe),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żądać</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sumy</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abonamentowej</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okresowej</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stanowiącej</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opłatę</w:t>
      </w:r>
      <w:r w:rsidR="00970B2E" w:rsidRPr="00D44D33">
        <w:rPr>
          <w:rFonts w:ascii="Times New Roman" w:eastAsiaTheme="minorEastAsia" w:hAnsi="Times New Roman" w:cs="Times New Roman"/>
          <w:sz w:val="24"/>
          <w:szCs w:val="24"/>
        </w:rPr>
        <w:t xml:space="preserve"> </w:t>
      </w:r>
      <w:r w:rsidR="00743F94" w:rsidRPr="00D44D33">
        <w:rPr>
          <w:rFonts w:ascii="Times New Roman" w:eastAsiaTheme="minorEastAsia" w:hAnsi="Times New Roman" w:cs="Times New Roman"/>
          <w:sz w:val="24"/>
          <w:szCs w:val="24"/>
        </w:rPr>
        <w:t>za:</w:t>
      </w:r>
    </w:p>
    <w:p w14:paraId="25A09950" w14:textId="20CCAD35" w:rsidR="00743F94" w:rsidRPr="00D44D33" w:rsidRDefault="00743F94" w:rsidP="00D44D33">
      <w:pPr>
        <w:pStyle w:val="Akapitzlist"/>
        <w:numPr>
          <w:ilvl w:val="0"/>
          <w:numId w:val="124"/>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521D3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521D3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uiścić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p>
    <w:p w14:paraId="1D264B89" w14:textId="5FF4423E" w:rsidR="00743F94" w:rsidRPr="00D44D33" w:rsidRDefault="00743F94" w:rsidP="00D44D33">
      <w:pPr>
        <w:pStyle w:val="Akapitzlist"/>
        <w:numPr>
          <w:ilvl w:val="0"/>
          <w:numId w:val="124"/>
        </w:num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521D3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lit</w:t>
      </w:r>
      <w:r w:rsidR="00521D3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uiścić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p>
    <w:p w14:paraId="612C8675" w14:textId="1A35CD68" w:rsidR="006A510B" w:rsidRPr="00D44D33" w:rsidRDefault="002C3E5A" w:rsidP="00D44D33">
      <w:pPr>
        <w:spacing w:before="120" w:after="120" w:line="360" w:lineRule="auto"/>
        <w:ind w:left="284"/>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niższa.</w:t>
      </w:r>
      <w:r w:rsidR="00970B2E" w:rsidRPr="00D44D33">
        <w:rPr>
          <w:rFonts w:ascii="Times New Roman" w:eastAsiaTheme="minorEastAsia" w:hAnsi="Times New Roman" w:cs="Times New Roman"/>
          <w:sz w:val="24"/>
          <w:szCs w:val="24"/>
        </w:rPr>
        <w:t xml:space="preserve"> </w:t>
      </w:r>
    </w:p>
    <w:p w14:paraId="042F1F7B" w14:textId="7360EF98" w:rsidR="002C3E5A" w:rsidRPr="00D44D33" w:rsidRDefault="002C3E5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kompromis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proporcjonalnego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p>
    <w:p w14:paraId="1ED77785" w14:textId="18B281B5" w:rsidR="00F9654F" w:rsidRPr="00D44D33" w:rsidRDefault="00F9654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4B10E7E2" w14:textId="332EC0EA" w:rsidR="00521D3F" w:rsidRPr="00D44D33" w:rsidRDefault="003D0C38"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521D3F" w:rsidRPr="00D44D33">
        <w:rPr>
          <w:rFonts w:ascii="Times New Roman" w:eastAsiaTheme="minorEastAsia" w:hAnsi="Times New Roman" w:cs="Times New Roman"/>
          <w:bCs/>
          <w:sz w:val="24"/>
          <w:szCs w:val="24"/>
        </w:rPr>
        <w:t>2</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ma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celu</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zabezpieczenie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interesów</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abonenta,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który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będącym</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uprawnionym</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wypowiedzenia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korzysta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tego</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uprawnienia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decyduje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zachować</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promocyjne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urządzenie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końcowe.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takiej</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sytuacji</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powinien</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żądać</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jednorazowej</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zapłaty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odszkodowania,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gdyż</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obowiązek</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natychmiastowej</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zapłaty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zniechęcałby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abonenta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korzystania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uprawnienia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rozwiązania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związku</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tym</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zdecydowano,</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że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rozkłada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kwotę</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odszkodowania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raty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miesięczne.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Liczba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rat</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może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być</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mniejsza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niż</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liczba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pozostałych</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końca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trwania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okresów</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rozliczeniowych.</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Dzięki</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takiemu</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zastrzeżeniu</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sytuacja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abonenta</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ulegnie</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pogorszeniu</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związku</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wypowiedzeniem</w:t>
      </w:r>
      <w:r w:rsidR="00970B2E" w:rsidRPr="00D44D33">
        <w:rPr>
          <w:rFonts w:ascii="Times New Roman" w:eastAsiaTheme="minorEastAsia" w:hAnsi="Times New Roman" w:cs="Times New Roman"/>
          <w:bCs/>
          <w:sz w:val="24"/>
          <w:szCs w:val="24"/>
        </w:rPr>
        <w:t xml:space="preserve"> </w:t>
      </w:r>
      <w:r w:rsidR="00521D3F" w:rsidRPr="00D44D33">
        <w:rPr>
          <w:rFonts w:ascii="Times New Roman" w:eastAsiaTheme="minorEastAsia" w:hAnsi="Times New Roman" w:cs="Times New Roman"/>
          <w:bCs/>
          <w:sz w:val="24"/>
          <w:szCs w:val="24"/>
        </w:rPr>
        <w:t>umowy.</w:t>
      </w:r>
    </w:p>
    <w:p w14:paraId="629C9647" w14:textId="389E373D" w:rsidR="00F9654F" w:rsidRPr="00D44D33" w:rsidRDefault="00F9654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maszyna-maszyna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425EC3" w:rsidRPr="00D44D33">
        <w:rPr>
          <w:rFonts w:ascii="Times New Roman" w:eastAsiaTheme="minorEastAsia" w:hAnsi="Times New Roman" w:cs="Times New Roman"/>
          <w:bCs/>
          <w:sz w:val="24"/>
          <w:szCs w:val="24"/>
        </w:rPr>
        <w:t>–</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sprzeciwu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p>
    <w:p w14:paraId="2923ED71" w14:textId="3ED57C9A" w:rsidR="003D0C38" w:rsidRPr="00D44D33" w:rsidRDefault="00FB66B0"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AD1DA0" w:rsidRPr="00D44D33">
        <w:rPr>
          <w:rFonts w:ascii="Times New Roman" w:eastAsiaTheme="minorEastAsia" w:hAnsi="Times New Roman" w:cs="Times New Roman"/>
          <w:b/>
          <w:sz w:val="24"/>
          <w:szCs w:val="24"/>
        </w:rPr>
        <w:t>304</w:t>
      </w:r>
    </w:p>
    <w:p w14:paraId="2C3DFF15" w14:textId="6258C6EA" w:rsidR="00FB66B0" w:rsidRPr="00D44D33" w:rsidRDefault="003D0C3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Z</w:t>
      </w:r>
      <w:r w:rsidR="006A510B" w:rsidRPr="00D44D33">
        <w:rPr>
          <w:rFonts w:ascii="Times New Roman" w:eastAsiaTheme="minorEastAsia" w:hAnsi="Times New Roman" w:cs="Times New Roman"/>
          <w:b/>
          <w:sz w:val="24"/>
          <w:szCs w:val="24"/>
        </w:rPr>
        <w:t>niesienie</w:t>
      </w:r>
      <w:r w:rsidR="00970B2E" w:rsidRPr="00D44D33">
        <w:rPr>
          <w:rFonts w:ascii="Times New Roman" w:eastAsiaTheme="minorEastAsia" w:hAnsi="Times New Roman" w:cs="Times New Roman"/>
          <w:b/>
          <w:sz w:val="24"/>
          <w:szCs w:val="24"/>
        </w:rPr>
        <w:t xml:space="preserve"> </w:t>
      </w:r>
      <w:r w:rsidR="006A510B" w:rsidRPr="00D44D33">
        <w:rPr>
          <w:rFonts w:ascii="Times New Roman" w:eastAsiaTheme="minorEastAsia" w:hAnsi="Times New Roman" w:cs="Times New Roman"/>
          <w:b/>
          <w:sz w:val="24"/>
          <w:szCs w:val="24"/>
        </w:rPr>
        <w:t>ograniczeń</w:t>
      </w:r>
      <w:r w:rsidR="00970B2E" w:rsidRPr="00D44D33">
        <w:rPr>
          <w:rFonts w:ascii="Times New Roman" w:eastAsiaTheme="minorEastAsia" w:hAnsi="Times New Roman" w:cs="Times New Roman"/>
          <w:b/>
          <w:sz w:val="24"/>
          <w:szCs w:val="24"/>
        </w:rPr>
        <w:t xml:space="preserve"> </w:t>
      </w:r>
      <w:r w:rsidR="006A510B" w:rsidRPr="00D44D33">
        <w:rPr>
          <w:rFonts w:ascii="Times New Roman" w:eastAsiaTheme="minorEastAsia" w:hAnsi="Times New Roman" w:cs="Times New Roman"/>
          <w:b/>
          <w:sz w:val="24"/>
          <w:szCs w:val="24"/>
        </w:rPr>
        <w:t>w</w:t>
      </w:r>
      <w:r w:rsidR="00970B2E" w:rsidRPr="00D44D33">
        <w:rPr>
          <w:rFonts w:ascii="Times New Roman" w:eastAsiaTheme="minorEastAsia" w:hAnsi="Times New Roman" w:cs="Times New Roman"/>
          <w:b/>
          <w:sz w:val="24"/>
          <w:szCs w:val="24"/>
        </w:rPr>
        <w:t xml:space="preserve"> </w:t>
      </w:r>
      <w:r w:rsidR="006A510B" w:rsidRPr="00D44D33">
        <w:rPr>
          <w:rFonts w:ascii="Times New Roman" w:eastAsiaTheme="minorEastAsia" w:hAnsi="Times New Roman" w:cs="Times New Roman"/>
          <w:b/>
          <w:sz w:val="24"/>
          <w:szCs w:val="24"/>
        </w:rPr>
        <w:t>korzystaniu</w:t>
      </w:r>
      <w:r w:rsidR="00970B2E" w:rsidRPr="00D44D33">
        <w:rPr>
          <w:rFonts w:ascii="Times New Roman" w:eastAsiaTheme="minorEastAsia" w:hAnsi="Times New Roman" w:cs="Times New Roman"/>
          <w:b/>
          <w:sz w:val="24"/>
          <w:szCs w:val="24"/>
        </w:rPr>
        <w:t xml:space="preserve"> </w:t>
      </w:r>
      <w:r w:rsidR="006A510B"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6A510B" w:rsidRPr="00D44D33">
        <w:rPr>
          <w:rFonts w:ascii="Times New Roman" w:eastAsiaTheme="minorEastAsia" w:hAnsi="Times New Roman" w:cs="Times New Roman"/>
          <w:b/>
          <w:sz w:val="24"/>
          <w:szCs w:val="24"/>
        </w:rPr>
        <w:t>urządzenia</w:t>
      </w:r>
    </w:p>
    <w:p w14:paraId="616F8193" w14:textId="4BFA3455" w:rsidR="002C3E5A" w:rsidRPr="00D44D33" w:rsidRDefault="00F9654F"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304</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bezpłatnego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wszelkich</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promocyjnego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blokada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SIM</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lock</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uregulował</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2C3E5A"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aktualizował</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6A510B" w:rsidRPr="00D44D33">
        <w:rPr>
          <w:rFonts w:ascii="Times New Roman" w:eastAsiaTheme="minorEastAsia" w:hAnsi="Times New Roman" w:cs="Times New Roman"/>
          <w:bCs/>
          <w:sz w:val="24"/>
          <w:szCs w:val="24"/>
        </w:rPr>
        <w:t>upływu</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okresu</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jaki</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została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zawarta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umowa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świadczenie</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elektronicznej</w:t>
      </w:r>
      <w:r w:rsidR="002935CC"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ramach</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której</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sprzedano</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urządzenie,</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zapłaty</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odszkodowania,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którym</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mowa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art.</w:t>
      </w:r>
      <w:r w:rsidR="00970B2E" w:rsidRPr="00D44D33">
        <w:rPr>
          <w:rFonts w:ascii="Times New Roman" w:eastAsiaTheme="minorEastAsia" w:hAnsi="Times New Roman" w:cs="Times New Roman"/>
          <w:bCs/>
          <w:sz w:val="24"/>
          <w:szCs w:val="24"/>
        </w:rPr>
        <w:t xml:space="preserve"> </w:t>
      </w:r>
      <w:r w:rsidR="00AD1DA0" w:rsidRPr="00D44D33">
        <w:rPr>
          <w:rFonts w:ascii="Times New Roman" w:eastAsiaTheme="minorEastAsia" w:hAnsi="Times New Roman" w:cs="Times New Roman"/>
          <w:bCs/>
          <w:sz w:val="24"/>
          <w:szCs w:val="24"/>
        </w:rPr>
        <w:t>298</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1</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albo</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zapłaty</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odszkodowania,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którym</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mowa</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art.</w:t>
      </w:r>
      <w:r w:rsidR="00970B2E" w:rsidRPr="00D44D33">
        <w:rPr>
          <w:rFonts w:ascii="Times New Roman" w:eastAsiaTheme="minorEastAsia" w:hAnsi="Times New Roman" w:cs="Times New Roman"/>
          <w:bCs/>
          <w:sz w:val="24"/>
          <w:szCs w:val="24"/>
        </w:rPr>
        <w:t xml:space="preserve"> </w:t>
      </w:r>
      <w:r w:rsidR="00AD1DA0" w:rsidRPr="00D44D33">
        <w:rPr>
          <w:rFonts w:ascii="Times New Roman" w:eastAsiaTheme="minorEastAsia" w:hAnsi="Times New Roman" w:cs="Times New Roman"/>
          <w:bCs/>
          <w:sz w:val="24"/>
          <w:szCs w:val="24"/>
        </w:rPr>
        <w:t>303</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6A510B" w:rsidRPr="00D44D33">
        <w:rPr>
          <w:rFonts w:ascii="Times New Roman" w:eastAsiaTheme="minorEastAsia" w:hAnsi="Times New Roman" w:cs="Times New Roman"/>
          <w:bCs/>
          <w:sz w:val="24"/>
          <w:szCs w:val="24"/>
        </w:rPr>
        <w:t>1.</w:t>
      </w:r>
    </w:p>
    <w:p w14:paraId="0DCAC00B" w14:textId="62A55D3C" w:rsidR="002C3E5A" w:rsidRPr="00D44D33" w:rsidRDefault="002C3E5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F9654F" w:rsidRPr="00D44D33">
        <w:rPr>
          <w:rFonts w:ascii="Times New Roman" w:eastAsiaTheme="minorEastAsia" w:hAnsi="Times New Roman" w:cs="Times New Roman"/>
          <w:sz w:val="24"/>
          <w:szCs w:val="24"/>
        </w:rPr>
        <w:t>częściową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p>
    <w:p w14:paraId="36361F18" w14:textId="28B9FC86" w:rsidR="002C3E5A" w:rsidRPr="00D44D33" w:rsidRDefault="002C3E5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M2M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425EC3" w:rsidRPr="00D44D33">
        <w:rPr>
          <w:rFonts w:ascii="Times New Roman" w:eastAsiaTheme="minorEastAsia" w:hAnsi="Times New Roman" w:cs="Times New Roman"/>
          <w:bCs/>
          <w:sz w:val="24"/>
          <w:szCs w:val="24"/>
        </w:rPr>
        <w:t>–</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287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zrzekły</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2935CC" w:rsidRPr="00D44D33">
        <w:rPr>
          <w:rFonts w:ascii="Times New Roman" w:eastAsiaTheme="minorEastAsia" w:hAnsi="Times New Roman" w:cs="Times New Roman"/>
          <w:sz w:val="24"/>
          <w:szCs w:val="24"/>
        </w:rPr>
        <w:t>prawa</w:t>
      </w:r>
      <w:r w:rsidRPr="00D44D33">
        <w:rPr>
          <w:rFonts w:ascii="Times New Roman" w:eastAsiaTheme="minorEastAsia" w:hAnsi="Times New Roman" w:cs="Times New Roman"/>
          <w:sz w:val="24"/>
          <w:szCs w:val="24"/>
        </w:rPr>
        <w:t>.</w:t>
      </w:r>
    </w:p>
    <w:p w14:paraId="02D3E810" w14:textId="61C0296D" w:rsidR="003D0C38" w:rsidRPr="00D44D33" w:rsidRDefault="511785E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305</w:t>
      </w:r>
    </w:p>
    <w:p w14:paraId="55539EEE" w14:textId="6DFEFC0F" w:rsidR="00221330" w:rsidRPr="00D44D33" w:rsidRDefault="003D0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I</w:t>
      </w:r>
      <w:r w:rsidR="566EAACD" w:rsidRPr="00D44D33">
        <w:rPr>
          <w:rFonts w:ascii="Times New Roman" w:eastAsiaTheme="minorEastAsia" w:hAnsi="Times New Roman" w:cs="Times New Roman"/>
          <w:b/>
          <w:bCs/>
          <w:sz w:val="24"/>
          <w:szCs w:val="24"/>
        </w:rPr>
        <w:t>nformacje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publikowane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przez</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Prezesa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UKE</w:t>
      </w:r>
    </w:p>
    <w:p w14:paraId="0404E7AE" w14:textId="240237F4" w:rsidR="00221330" w:rsidRPr="00D44D33" w:rsidRDefault="003D0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305</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AA1056" w:rsidRPr="00D44D33">
        <w:rPr>
          <w:rFonts w:ascii="Times New Roman" w:eastAsiaTheme="minorEastAsia" w:hAnsi="Times New Roman" w:cs="Times New Roman"/>
          <w:sz w:val="24"/>
          <w:szCs w:val="24"/>
        </w:rPr>
        <w:t>BIP</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istotnych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standardowych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sposobach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sposobach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pozasądowego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rozwiązywania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AA1056"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00AA105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zobligować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stronach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punktach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klienta.</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tożsamy</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regulacjami</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wynikającymi</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1B4F520" w:rsidRPr="00D44D33">
        <w:rPr>
          <w:rFonts w:ascii="Times New Roman" w:eastAsiaTheme="minorEastAsia" w:hAnsi="Times New Roman" w:cs="Times New Roman"/>
          <w:sz w:val="24"/>
          <w:szCs w:val="24"/>
        </w:rPr>
        <w:t>Pt.</w:t>
      </w:r>
    </w:p>
    <w:p w14:paraId="37EE08DF" w14:textId="680ED30A" w:rsidR="003D0C38" w:rsidRPr="00D44D33" w:rsidRDefault="7A110AB9"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306</w:t>
      </w:r>
    </w:p>
    <w:p w14:paraId="4B38C22C" w14:textId="73D57BE9" w:rsidR="00221330" w:rsidRPr="00D44D33" w:rsidRDefault="003D0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I</w:t>
      </w:r>
      <w:r w:rsidR="566EAACD" w:rsidRPr="00D44D33">
        <w:rPr>
          <w:rFonts w:ascii="Times New Roman" w:eastAsiaTheme="minorEastAsia" w:hAnsi="Times New Roman" w:cs="Times New Roman"/>
          <w:b/>
          <w:bCs/>
          <w:sz w:val="24"/>
          <w:szCs w:val="24"/>
        </w:rPr>
        <w:t>nformacja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metodzie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pomiaru</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prędkości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internetu</w:t>
      </w:r>
    </w:p>
    <w:p w14:paraId="5B7DE228" w14:textId="233DD066" w:rsidR="00221330" w:rsidRPr="00D44D33" w:rsidRDefault="003D0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metodzie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prędkości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prędkość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stosowanej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metodzie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zgłosić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sprzeciw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uznał,</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gwarantuje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przejrzystych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parametrach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rzetelnego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prędkości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sprzeciwu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uznawany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akceptację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nieprzekazania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metodzie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6).</w:t>
      </w:r>
    </w:p>
    <w:p w14:paraId="075A0003" w14:textId="40D4AB0D"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238979C5" w:rsidRPr="00D44D33">
        <w:rPr>
          <w:rFonts w:ascii="Times New Roman" w:eastAsiaTheme="minorEastAsia" w:hAnsi="Times New Roman" w:cs="Times New Roman"/>
          <w:sz w:val="24"/>
          <w:szCs w:val="24"/>
        </w:rPr>
        <w:t>badania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prędkość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mierzona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sprzeciwu,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prędkość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promocyjnych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mierzona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prędkość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mniejsza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deklarowana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prędkości,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(ust.5).</w:t>
      </w:r>
    </w:p>
    <w:p w14:paraId="22BF20A6" w14:textId="13AA0D8C" w:rsidR="2C6ECB62" w:rsidRPr="00D44D33" w:rsidRDefault="2C6ECB6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tożsame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0D5E5C3"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p>
    <w:p w14:paraId="72A495A5" w14:textId="6276C9AF" w:rsidR="003D0C38" w:rsidRPr="00D44D33" w:rsidRDefault="788AF25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AD1DA0" w:rsidRPr="00D44D33">
        <w:rPr>
          <w:rFonts w:ascii="Times New Roman" w:eastAsiaTheme="minorEastAsia" w:hAnsi="Times New Roman" w:cs="Times New Roman"/>
          <w:b/>
          <w:bCs/>
          <w:sz w:val="24"/>
          <w:szCs w:val="24"/>
        </w:rPr>
        <w:t>307</w:t>
      </w:r>
    </w:p>
    <w:p w14:paraId="19544491" w14:textId="3F6C6555" w:rsidR="00221330" w:rsidRPr="00D44D33" w:rsidRDefault="003D0C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N</w:t>
      </w:r>
      <w:r w:rsidR="566EAACD" w:rsidRPr="00D44D33">
        <w:rPr>
          <w:rFonts w:ascii="Times New Roman" w:eastAsiaTheme="minorEastAsia" w:hAnsi="Times New Roman" w:cs="Times New Roman"/>
          <w:b/>
          <w:bCs/>
          <w:sz w:val="24"/>
          <w:szCs w:val="24"/>
        </w:rPr>
        <w:t>iezależne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narzędzie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porównawcze</w:t>
      </w:r>
    </w:p>
    <w:p w14:paraId="50D7345C" w14:textId="401C7169" w:rsidR="00221330" w:rsidRPr="00D44D33" w:rsidRDefault="003D0C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AD1DA0" w:rsidRPr="00D44D33">
        <w:rPr>
          <w:rFonts w:ascii="Times New Roman" w:eastAsiaTheme="minorEastAsia" w:hAnsi="Times New Roman" w:cs="Times New Roman"/>
          <w:sz w:val="24"/>
          <w:szCs w:val="24"/>
        </w:rPr>
        <w:t>307</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niezależnego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porównawczego.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103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zobowiązuje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terytorium,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mieli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swobodny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narzędzi</w:t>
      </w:r>
      <w:r w:rsidR="00454484" w:rsidRPr="00D44D33">
        <w:rPr>
          <w:rFonts w:ascii="Times New Roman" w:eastAsiaTheme="minorEastAsia" w:hAnsi="Times New Roman" w:cs="Times New Roman"/>
          <w:sz w:val="24"/>
          <w:szCs w:val="24"/>
        </w:rPr>
        <w:t>a</w:t>
      </w:r>
      <w:r w:rsidR="566EAACD" w:rsidRPr="00D44D33">
        <w:rPr>
          <w:rFonts w:ascii="Times New Roman" w:eastAsiaTheme="minorEastAsia" w:hAnsi="Times New Roman" w:cs="Times New Roman"/>
          <w:sz w:val="24"/>
          <w:szCs w:val="24"/>
        </w:rPr>
        <w:t>.</w:t>
      </w:r>
    </w:p>
    <w:p w14:paraId="6B008469" w14:textId="775F80EA"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Narzędzie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parametrów,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najważniejsze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decydujące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003D0C38"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3D0C38"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3D0C38" w:rsidRPr="00D44D33">
        <w:rPr>
          <w:rFonts w:ascii="Times New Roman" w:eastAsiaTheme="minorEastAsia" w:hAnsi="Times New Roman" w:cs="Times New Roman"/>
          <w:sz w:val="24"/>
          <w:szCs w:val="24"/>
        </w:rPr>
        <w:t>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jasne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kryteria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dokładne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prostym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jednoznacznym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językiem.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41855157"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p>
    <w:p w14:paraId="7C03167B" w14:textId="7DFDFD76" w:rsidR="0079502C" w:rsidRPr="00D44D33" w:rsidRDefault="0179DA5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D23CC1" w:rsidRPr="00D44D33">
        <w:rPr>
          <w:rFonts w:ascii="Times New Roman" w:eastAsiaTheme="minorEastAsia" w:hAnsi="Times New Roman" w:cs="Times New Roman"/>
          <w:b/>
          <w:bCs/>
          <w:sz w:val="24"/>
          <w:szCs w:val="24"/>
        </w:rPr>
        <w:t>308</w:t>
      </w:r>
      <w:r w:rsidR="00970B2E" w:rsidRPr="00D44D33">
        <w:rPr>
          <w:rFonts w:ascii="Times New Roman" w:eastAsiaTheme="minorEastAsia" w:hAnsi="Times New Roman" w:cs="Times New Roman"/>
          <w:b/>
          <w:bCs/>
          <w:sz w:val="24"/>
          <w:szCs w:val="24"/>
        </w:rPr>
        <w:t xml:space="preserve"> </w:t>
      </w:r>
    </w:p>
    <w:p w14:paraId="0DE4ABEE" w14:textId="2C761638" w:rsidR="00221330"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C</w:t>
      </w:r>
      <w:r w:rsidR="00AA1056" w:rsidRPr="00D44D33">
        <w:rPr>
          <w:rFonts w:ascii="Times New Roman" w:eastAsiaTheme="minorEastAsia" w:hAnsi="Times New Roman" w:cs="Times New Roman"/>
          <w:b/>
          <w:bCs/>
          <w:sz w:val="24"/>
          <w:szCs w:val="24"/>
        </w:rPr>
        <w:t>ertyfikacja</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narzędzia</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porównawczego</w:t>
      </w:r>
    </w:p>
    <w:p w14:paraId="18A47FA3" w14:textId="36E7F656"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3CC1" w:rsidRPr="00D44D33">
        <w:rPr>
          <w:rFonts w:ascii="Times New Roman" w:eastAsiaTheme="minorEastAsia" w:hAnsi="Times New Roman" w:cs="Times New Roman"/>
          <w:sz w:val="24"/>
          <w:szCs w:val="24"/>
        </w:rPr>
        <w:t>308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wnioskowania</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porównawczego</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0CFDB0A7" w:rsidRPr="00D44D33">
        <w:rPr>
          <w:rFonts w:ascii="Times New Roman" w:eastAsiaTheme="minorEastAsia" w:hAnsi="Times New Roman" w:cs="Times New Roman"/>
          <w:sz w:val="24"/>
          <w:szCs w:val="24"/>
        </w:rPr>
        <w:t>prowadzonemu</w:t>
      </w:r>
      <w:r w:rsidR="00970B2E" w:rsidRPr="00D44D33">
        <w:rPr>
          <w:rFonts w:ascii="Times New Roman" w:eastAsiaTheme="minorEastAsia" w:hAnsi="Times New Roman" w:cs="Times New Roman"/>
          <w:sz w:val="24"/>
          <w:szCs w:val="24"/>
        </w:rPr>
        <w:t xml:space="preserve"> </w:t>
      </w:r>
      <w:r w:rsidR="0CFDB0A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CFDB0A7"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narzędziu</w:t>
      </w:r>
      <w:r w:rsidR="00970B2E" w:rsidRPr="00D44D33">
        <w:rPr>
          <w:rFonts w:ascii="Times New Roman" w:eastAsiaTheme="minorEastAsia" w:hAnsi="Times New Roman" w:cs="Times New Roman"/>
          <w:sz w:val="24"/>
          <w:szCs w:val="24"/>
        </w:rPr>
        <w:t xml:space="preserve"> </w:t>
      </w:r>
      <w:r w:rsidR="3A1EA019" w:rsidRPr="00D44D33">
        <w:rPr>
          <w:rFonts w:ascii="Times New Roman" w:eastAsiaTheme="minorEastAsia" w:hAnsi="Times New Roman" w:cs="Times New Roman"/>
          <w:sz w:val="24"/>
          <w:szCs w:val="24"/>
        </w:rPr>
        <w:t>certyfikatu</w:t>
      </w:r>
      <w:r w:rsidR="00970B2E" w:rsidRPr="00D44D33">
        <w:rPr>
          <w:rFonts w:ascii="Times New Roman" w:eastAsiaTheme="minorEastAsia" w:hAnsi="Times New Roman" w:cs="Times New Roman"/>
          <w:sz w:val="24"/>
          <w:szCs w:val="24"/>
        </w:rPr>
        <w:t xml:space="preserve"> </w:t>
      </w:r>
      <w:r w:rsidR="3ABF0C94"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ABF0C94" w:rsidRPr="00D44D33">
        <w:rPr>
          <w:rFonts w:ascii="Times New Roman" w:eastAsiaTheme="minorEastAsia" w:hAnsi="Times New Roman" w:cs="Times New Roman"/>
          <w:sz w:val="24"/>
          <w:szCs w:val="24"/>
        </w:rPr>
        <w:t>UKE</w:t>
      </w:r>
      <w:r w:rsidR="76DF237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certyfikacji</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określana</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publikowana</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regulaminu</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76DF237A"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9098B3"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zasilenia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p>
    <w:p w14:paraId="19B84B77" w14:textId="0C33B6A6" w:rsidR="0079502C" w:rsidRPr="00D44D33" w:rsidRDefault="720DA39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D23CC1" w:rsidRPr="00D44D33">
        <w:rPr>
          <w:rFonts w:ascii="Times New Roman" w:eastAsiaTheme="minorEastAsia" w:hAnsi="Times New Roman" w:cs="Times New Roman"/>
          <w:b/>
          <w:bCs/>
          <w:sz w:val="24"/>
          <w:szCs w:val="24"/>
        </w:rPr>
        <w:t>309</w:t>
      </w:r>
      <w:r w:rsidR="00970B2E" w:rsidRPr="00D44D33">
        <w:rPr>
          <w:rFonts w:ascii="Times New Roman" w:eastAsiaTheme="minorEastAsia" w:hAnsi="Times New Roman" w:cs="Times New Roman"/>
          <w:b/>
          <w:bCs/>
          <w:sz w:val="24"/>
          <w:szCs w:val="24"/>
        </w:rPr>
        <w:t xml:space="preserve"> </w:t>
      </w:r>
    </w:p>
    <w:p w14:paraId="79C15033" w14:textId="4E33D112" w:rsidR="00221330"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N</w:t>
      </w:r>
      <w:r w:rsidR="00AA1056" w:rsidRPr="00D44D33">
        <w:rPr>
          <w:rFonts w:ascii="Times New Roman" w:eastAsiaTheme="minorEastAsia" w:hAnsi="Times New Roman" w:cs="Times New Roman"/>
          <w:b/>
          <w:bCs/>
          <w:sz w:val="24"/>
          <w:szCs w:val="24"/>
        </w:rPr>
        <w:t>arzędzie</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porównawcze</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zapewniane</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przez</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Prezesa</w:t>
      </w:r>
      <w:r w:rsidR="00970B2E" w:rsidRPr="00D44D33">
        <w:rPr>
          <w:rFonts w:ascii="Times New Roman" w:eastAsiaTheme="minorEastAsia" w:hAnsi="Times New Roman" w:cs="Times New Roman"/>
          <w:b/>
          <w:bCs/>
          <w:sz w:val="24"/>
          <w:szCs w:val="24"/>
        </w:rPr>
        <w:t xml:space="preserve"> </w:t>
      </w:r>
      <w:r w:rsidR="00AA1056" w:rsidRPr="00D44D33">
        <w:rPr>
          <w:rFonts w:ascii="Times New Roman" w:eastAsiaTheme="minorEastAsia" w:hAnsi="Times New Roman" w:cs="Times New Roman"/>
          <w:b/>
          <w:bCs/>
          <w:sz w:val="24"/>
          <w:szCs w:val="24"/>
        </w:rPr>
        <w:t>UKE</w:t>
      </w:r>
    </w:p>
    <w:p w14:paraId="082EB961" w14:textId="36F2B29B" w:rsidR="00221330" w:rsidRPr="00D44D33" w:rsidRDefault="566EAAC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3CC1" w:rsidRPr="00D44D33">
        <w:rPr>
          <w:rFonts w:ascii="Times New Roman" w:eastAsiaTheme="minorEastAsia" w:hAnsi="Times New Roman" w:cs="Times New Roman"/>
          <w:sz w:val="24"/>
          <w:szCs w:val="24"/>
        </w:rPr>
        <w:t>309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508636E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kryteriów,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porównawcze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teleinformatycznego.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3CC1" w:rsidRPr="00D44D33">
        <w:rPr>
          <w:rFonts w:ascii="Times New Roman" w:eastAsiaTheme="minorEastAsia" w:hAnsi="Times New Roman" w:cs="Times New Roman"/>
          <w:sz w:val="24"/>
          <w:szCs w:val="24"/>
        </w:rPr>
        <w:t>309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CE258FD" w:rsidRPr="00D44D33">
        <w:rPr>
          <w:rFonts w:ascii="Times New Roman" w:eastAsiaTheme="minorEastAsia" w:hAnsi="Times New Roman" w:cs="Times New Roman"/>
          <w:sz w:val="24"/>
          <w:szCs w:val="24"/>
        </w:rPr>
        <w:t>wprowadzają</w:t>
      </w:r>
      <w:r w:rsidR="00970B2E" w:rsidRPr="00D44D33">
        <w:rPr>
          <w:rFonts w:ascii="Times New Roman" w:eastAsiaTheme="minorEastAsia" w:hAnsi="Times New Roman" w:cs="Times New Roman"/>
          <w:sz w:val="24"/>
          <w:szCs w:val="24"/>
        </w:rPr>
        <w:t xml:space="preserve"> </w:t>
      </w:r>
      <w:r w:rsidR="014A2FC1"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014A2FC1" w:rsidRPr="00D44D33">
        <w:rPr>
          <w:rFonts w:ascii="Times New Roman" w:eastAsia="Times New Roman" w:hAnsi="Times New Roman" w:cs="Times New Roman"/>
          <w:sz w:val="24"/>
          <w:szCs w:val="24"/>
        </w:rPr>
        <w:t>aktualizacji</w:t>
      </w:r>
      <w:r w:rsidR="00970B2E" w:rsidRPr="00D44D33">
        <w:rPr>
          <w:rFonts w:ascii="Times New Roman" w:eastAsia="Times New Roman" w:hAnsi="Times New Roman" w:cs="Times New Roman"/>
          <w:sz w:val="24"/>
          <w:szCs w:val="24"/>
        </w:rPr>
        <w:t xml:space="preserve"> </w:t>
      </w:r>
      <w:r w:rsidR="000079AA"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cenie</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jakości,</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D23CC1" w:rsidRPr="00D44D33">
        <w:rPr>
          <w:rFonts w:ascii="Times New Roman" w:hAnsi="Times New Roman" w:cs="Times New Roman"/>
          <w:sz w:val="24"/>
          <w:szCs w:val="24"/>
        </w:rPr>
        <w:t>307</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0079AA"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4D799434" w:rsidRPr="00D44D33">
        <w:rPr>
          <w:rFonts w:ascii="Times New Roman" w:eastAsia="Times New Roman" w:hAnsi="Times New Roman" w:cs="Times New Roman"/>
          <w:sz w:val="24"/>
          <w:szCs w:val="24"/>
        </w:rPr>
        <w:t>przekazanych</w:t>
      </w:r>
      <w:r w:rsidR="00970B2E" w:rsidRPr="00D44D33">
        <w:rPr>
          <w:rFonts w:ascii="Times New Roman" w:eastAsia="Times New Roman" w:hAnsi="Times New Roman" w:cs="Times New Roman"/>
          <w:sz w:val="24"/>
          <w:szCs w:val="24"/>
        </w:rPr>
        <w:t xml:space="preserve"> </w:t>
      </w:r>
      <w:r w:rsidR="4D799434"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D799434"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4D799434" w:rsidRPr="00D44D33">
        <w:rPr>
          <w:rFonts w:ascii="Times New Roman" w:eastAsia="Times New Roman" w:hAnsi="Times New Roman" w:cs="Times New Roman"/>
          <w:sz w:val="24"/>
          <w:szCs w:val="24"/>
        </w:rPr>
        <w:t>porównawczego.</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pojęciu</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aktualizacji</w:t>
      </w:r>
      <w:r w:rsidR="00970B2E" w:rsidRPr="00D44D33">
        <w:rPr>
          <w:rFonts w:ascii="Times New Roman" w:eastAsia="Times New Roman" w:hAnsi="Times New Roman" w:cs="Times New Roman"/>
          <w:sz w:val="24"/>
          <w:szCs w:val="24"/>
        </w:rPr>
        <w:t xml:space="preserve"> </w:t>
      </w:r>
      <w:r w:rsidR="00AA1056"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mieści</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zarówno</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wprowadzenie</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nowej</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ofercie,</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zmiana</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dotychczasowej</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oferty</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jak</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wycofanie</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dotychczasowej</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oferty</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związanej</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wycofaniem</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oferty</w:t>
      </w:r>
      <w:r w:rsidR="00970B2E" w:rsidRPr="00D44D33">
        <w:rPr>
          <w:rFonts w:ascii="Times New Roman" w:eastAsia="Times New Roman" w:hAnsi="Times New Roman" w:cs="Times New Roman"/>
          <w:sz w:val="24"/>
          <w:szCs w:val="24"/>
        </w:rPr>
        <w:t xml:space="preserve"> </w:t>
      </w:r>
      <w:r w:rsidR="00CF6475"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CF6475" w:rsidRPr="00D44D33">
        <w:rPr>
          <w:rFonts w:ascii="Times New Roman" w:eastAsia="Times New Roman" w:hAnsi="Times New Roman" w:cs="Times New Roman"/>
          <w:sz w:val="24"/>
          <w:szCs w:val="24"/>
        </w:rPr>
        <w:t>wówczas</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dniem</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wejścia</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życie</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dzień</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zaprzestania</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obowiązywania</w:t>
      </w:r>
      <w:r w:rsidR="00970B2E" w:rsidRPr="00D44D33">
        <w:rPr>
          <w:rFonts w:ascii="Times New Roman" w:eastAsia="Times New Roman" w:hAnsi="Times New Roman" w:cs="Times New Roman"/>
          <w:sz w:val="24"/>
          <w:szCs w:val="24"/>
        </w:rPr>
        <w:t xml:space="preserve"> </w:t>
      </w:r>
      <w:r w:rsidR="008319CF" w:rsidRPr="00D44D33">
        <w:rPr>
          <w:rFonts w:ascii="Times New Roman" w:eastAsia="Times New Roman" w:hAnsi="Times New Roman" w:cs="Times New Roman"/>
          <w:sz w:val="24"/>
          <w:szCs w:val="24"/>
        </w:rPr>
        <w:t>oferty).</w:t>
      </w:r>
    </w:p>
    <w:p w14:paraId="038A73AB" w14:textId="17BAB5E9" w:rsidR="00221330" w:rsidRPr="00D44D33" w:rsidRDefault="33A5241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3CC1" w:rsidRPr="00D44D33">
        <w:rPr>
          <w:rFonts w:ascii="Times New Roman" w:eastAsiaTheme="minorEastAsia" w:hAnsi="Times New Roman" w:cs="Times New Roman"/>
          <w:sz w:val="24"/>
          <w:szCs w:val="24"/>
        </w:rPr>
        <w:t>307</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w:t>
      </w:r>
      <w:r w:rsidR="72D587B4" w:rsidRPr="00D44D33">
        <w:rPr>
          <w:rFonts w:ascii="Times New Roman" w:eastAsiaTheme="minorEastAsia" w:hAnsi="Times New Roman" w:cs="Times New Roman"/>
          <w:sz w:val="24"/>
          <w:szCs w:val="24"/>
        </w:rPr>
        <w:t>terium</w:t>
      </w:r>
      <w:r w:rsidR="00970B2E" w:rsidRPr="00D44D33">
        <w:rPr>
          <w:rFonts w:ascii="Times New Roman" w:eastAsiaTheme="minorEastAsia" w:hAnsi="Times New Roman" w:cs="Times New Roman"/>
          <w:sz w:val="24"/>
          <w:szCs w:val="24"/>
        </w:rPr>
        <w:t xml:space="preserve"> </w:t>
      </w:r>
      <w:r w:rsidR="11547256"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poprzednim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kalendarzowym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przych</w:t>
      </w:r>
      <w:r w:rsidR="0CA64B71" w:rsidRPr="00D44D33">
        <w:rPr>
          <w:rFonts w:ascii="Times New Roman" w:eastAsiaTheme="minorEastAsia" w:hAnsi="Times New Roman" w:cs="Times New Roman"/>
          <w:sz w:val="24"/>
          <w:szCs w:val="24"/>
        </w:rPr>
        <w:t>odu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dwutysięcznej</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krotności</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przeciętnego</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wynagrodzenia</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przekroczył</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dwutysięcznej</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krotności</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przeciętnego</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wynagrodzenia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przekazanie</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23CC1" w:rsidRPr="00D44D33">
        <w:rPr>
          <w:rFonts w:ascii="Times New Roman" w:eastAsiaTheme="minorEastAsia" w:hAnsi="Times New Roman" w:cs="Times New Roman"/>
          <w:sz w:val="24"/>
          <w:szCs w:val="24"/>
        </w:rPr>
        <w:t>307</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0079A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porównawczego</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CF6475" w:rsidRPr="00D44D33">
        <w:rPr>
          <w:rFonts w:ascii="Times New Roman" w:eastAsia="Times New Roman" w:hAnsi="Times New Roman" w:cs="Times New Roman"/>
          <w:sz w:val="24"/>
          <w:szCs w:val="24"/>
        </w:rPr>
        <w:t>dobrowolne</w:t>
      </w:r>
      <w:r w:rsidR="566EAACD"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718407CA" w14:textId="0ADF390C" w:rsidR="00221330" w:rsidRPr="00D44D33" w:rsidRDefault="566EAAC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Jednocześnie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każda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przychodu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skutkująca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aktualizacją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obliguje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przekazania</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cenie</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jakości,</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D23CC1" w:rsidRPr="00D44D33">
        <w:rPr>
          <w:rFonts w:ascii="Times New Roman" w:eastAsia="Times New Roman" w:hAnsi="Times New Roman" w:cs="Times New Roman"/>
          <w:sz w:val="24"/>
          <w:szCs w:val="24"/>
        </w:rPr>
        <w:t>307</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marca.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obejmuje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kompletnych</w:t>
      </w:r>
      <w:r w:rsidR="00970B2E" w:rsidRPr="00D44D33">
        <w:rPr>
          <w:rFonts w:ascii="Times New Roman" w:eastAsia="Times New Roman" w:hAnsi="Times New Roman" w:cs="Times New Roman"/>
          <w:sz w:val="24"/>
          <w:szCs w:val="24"/>
        </w:rPr>
        <w:t xml:space="preserve"> </w:t>
      </w:r>
      <w:r w:rsidR="000079A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wszystkich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oferowanych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siebie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dostępnych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aktualizację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najpóźniej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wejścia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życie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informacji</w:t>
      </w:r>
      <w:r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przekazywali</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cenie</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jakości,</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D23CC1" w:rsidRPr="00D44D33">
        <w:rPr>
          <w:rFonts w:ascii="Times New Roman" w:eastAsia="Times New Roman" w:hAnsi="Times New Roman" w:cs="Times New Roman"/>
          <w:sz w:val="24"/>
          <w:szCs w:val="24"/>
        </w:rPr>
        <w:t>307</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C35543"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porównawczego,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ciążącym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dobrowolnie,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przychód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poprzednim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przekroczył</w:t>
      </w:r>
      <w:r w:rsidR="00970B2E" w:rsidRPr="00D44D33">
        <w:rPr>
          <w:rFonts w:ascii="Times New Roman" w:eastAsia="Times New Roman" w:hAnsi="Times New Roman" w:cs="Times New Roman"/>
          <w:sz w:val="24"/>
          <w:szCs w:val="24"/>
        </w:rPr>
        <w:t xml:space="preserve"> </w:t>
      </w:r>
      <w:r w:rsidR="00126B5A" w:rsidRPr="00D44D33">
        <w:rPr>
          <w:rFonts w:ascii="Times New Roman" w:eastAsiaTheme="minorEastAsia" w:hAnsi="Times New Roman" w:cs="Times New Roman"/>
          <w:sz w:val="24"/>
          <w:szCs w:val="24"/>
        </w:rPr>
        <w:t>dwutysięcznej</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krotności</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przeciętnego</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wynagrodzenia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mogą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wnioskować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usunięcie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swoich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porównawczego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p>
    <w:p w14:paraId="712BB1B6" w14:textId="1AF56109" w:rsidR="00221330" w:rsidRPr="00D44D33" w:rsidRDefault="00C35543"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Informacje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jakości,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D23CC1" w:rsidRPr="00D44D33">
        <w:rPr>
          <w:rFonts w:ascii="Times New Roman" w:eastAsia="Times New Roman" w:hAnsi="Times New Roman" w:cs="Times New Roman"/>
          <w:sz w:val="24"/>
          <w:szCs w:val="24"/>
        </w:rPr>
        <w:t>307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przekazywane</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będą</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elektroniczną</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skrzynkę</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podawczą</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00235655" w:rsidRPr="00D44D33">
        <w:rPr>
          <w:rFonts w:ascii="Times New Roman" w:eastAsia="Times New Roman" w:hAnsi="Times New Roman" w:cs="Times New Roman"/>
          <w:sz w:val="24"/>
          <w:szCs w:val="24"/>
        </w:rPr>
        <w:t xml:space="preserve">na piśmie w postaci elektronicznej </w:t>
      </w:r>
      <w:r w:rsidR="60864330" w:rsidRPr="00D44D33">
        <w:rPr>
          <w:rFonts w:ascii="Times New Roman" w:eastAsia="Times New Roman" w:hAnsi="Times New Roman" w:cs="Times New Roman"/>
          <w:sz w:val="24"/>
          <w:szCs w:val="24"/>
        </w:rPr>
        <w:t>opatrzon</w:t>
      </w:r>
      <w:r w:rsidR="00235655" w:rsidRPr="00D44D33">
        <w:rPr>
          <w:rFonts w:ascii="Times New Roman" w:eastAsia="Times New Roman" w:hAnsi="Times New Roman" w:cs="Times New Roman"/>
          <w:sz w:val="24"/>
          <w:szCs w:val="24"/>
        </w:rPr>
        <w:t>ym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kwalifikowanym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elektronicznym,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osobistym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albo</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podpisem</w:t>
      </w:r>
      <w:r w:rsidR="00970B2E" w:rsidRPr="00D44D33">
        <w:rPr>
          <w:rFonts w:ascii="Times New Roman" w:eastAsia="Times New Roman" w:hAnsi="Times New Roman" w:cs="Times New Roman"/>
          <w:sz w:val="24"/>
          <w:szCs w:val="24"/>
        </w:rPr>
        <w:t xml:space="preserve"> </w:t>
      </w:r>
      <w:r w:rsidR="60864330" w:rsidRPr="00D44D33">
        <w:rPr>
          <w:rFonts w:ascii="Times New Roman" w:eastAsia="Times New Roman" w:hAnsi="Times New Roman" w:cs="Times New Roman"/>
          <w:sz w:val="24"/>
          <w:szCs w:val="24"/>
        </w:rPr>
        <w:t>zaufanym.</w:t>
      </w:r>
      <w:r w:rsidR="00970B2E" w:rsidRPr="00D44D33">
        <w:rPr>
          <w:rFonts w:ascii="Times New Roman" w:eastAsia="Times New Roman" w:hAnsi="Times New Roman" w:cs="Times New Roman"/>
          <w:sz w:val="24"/>
          <w:szCs w:val="24"/>
        </w:rPr>
        <w:t xml:space="preserve"> </w:t>
      </w:r>
    </w:p>
    <w:p w14:paraId="344D9186" w14:textId="3547F99B" w:rsidR="00221330" w:rsidRPr="00D44D33" w:rsidRDefault="6660A07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poinformuje,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stronie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podmiotowej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BIP</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adresie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udostępniony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formularz.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Określi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również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wzór</w:t>
      </w:r>
      <w:r w:rsidR="00970B2E" w:rsidRPr="00D44D33">
        <w:rPr>
          <w:rFonts w:ascii="Times New Roman" w:eastAsia="Times New Roman" w:hAnsi="Times New Roman" w:cs="Times New Roman"/>
          <w:sz w:val="24"/>
          <w:szCs w:val="24"/>
        </w:rPr>
        <w:t xml:space="preserve"> </w:t>
      </w:r>
      <w:r w:rsidR="34B348BF" w:rsidRPr="00D44D33">
        <w:rPr>
          <w:rFonts w:ascii="Times New Roman" w:eastAsia="Times New Roman" w:hAnsi="Times New Roman" w:cs="Times New Roman"/>
          <w:sz w:val="24"/>
          <w:szCs w:val="24"/>
        </w:rPr>
        <w:t>przekazywanych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formie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dokumentu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rozumieniu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2005</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zadania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Uruchomienie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porównawczego</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poprzedza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obwieszczenie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objęci</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obowiązkiem</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dostarczenia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narzędzia</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porównawczego</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przekazują</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te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miesięcy</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566EAACD" w:rsidRPr="00D44D33">
        <w:rPr>
          <w:rFonts w:ascii="Times New Roman" w:eastAsia="Times New Roman" w:hAnsi="Times New Roman" w:cs="Times New Roman"/>
          <w:sz w:val="24"/>
          <w:szCs w:val="24"/>
        </w:rPr>
        <w:t>obwieszczenia.</w:t>
      </w:r>
      <w:r w:rsidR="00970B2E" w:rsidRPr="00D44D33">
        <w:rPr>
          <w:rFonts w:ascii="Times New Roman" w:eastAsia="Times New Roman" w:hAnsi="Times New Roman" w:cs="Times New Roman"/>
          <w:sz w:val="24"/>
          <w:szCs w:val="24"/>
        </w:rPr>
        <w:t xml:space="preserve"> </w:t>
      </w:r>
    </w:p>
    <w:p w14:paraId="1ED485A4" w14:textId="452CE2B2" w:rsidR="00221330" w:rsidRPr="00D44D33" w:rsidRDefault="566EAAC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Brak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aktualizacji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ustawowym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podlega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karze.</w:t>
      </w:r>
    </w:p>
    <w:p w14:paraId="34E88C43" w14:textId="30F12B01" w:rsidR="0079502C" w:rsidRPr="00D44D33" w:rsidRDefault="50CFD2E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310</w:t>
      </w:r>
    </w:p>
    <w:p w14:paraId="5A17B4C0" w14:textId="03A7B37C" w:rsidR="00221330"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I</w:t>
      </w:r>
      <w:r w:rsidR="566EAACD" w:rsidRPr="00D44D33">
        <w:rPr>
          <w:rFonts w:ascii="Times New Roman" w:eastAsiaTheme="minorEastAsia" w:hAnsi="Times New Roman" w:cs="Times New Roman"/>
          <w:b/>
          <w:bCs/>
          <w:sz w:val="24"/>
          <w:szCs w:val="24"/>
        </w:rPr>
        <w:t>nformowanie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jakości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świadczonych</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320DDD93" w14:textId="2F0B905E" w:rsidR="00326DCA" w:rsidRPr="00D44D33" w:rsidRDefault="0079502C" w:rsidP="00D44D33">
      <w:pPr>
        <w:spacing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310</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104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dokonując</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kierują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przedmiotowego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podmiotowy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kontrolują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kilka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elementów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pośredni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stosowną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gwarantowanym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zależy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czynników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zewnętrznych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stosowanej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sygnału</w:t>
      </w:r>
      <w:r w:rsidR="0045448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zobowiązać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wpływie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czynników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zewnętrznych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zażądać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opublikowaniem,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podlegających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fakultatywna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delegacja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wskaźniki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metody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formę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26DCA" w:rsidRPr="00D44D33">
        <w:rPr>
          <w:rFonts w:ascii="Times New Roman" w:eastAsiaTheme="minorEastAsia" w:hAnsi="Times New Roman" w:cs="Times New Roman"/>
          <w:sz w:val="24"/>
          <w:szCs w:val="24"/>
        </w:rPr>
        <w:t>Wskaźniki jakości usług to parametry usługi, które mają dla użytkownika największe znaczenie, w związku z czym powinny być one określone w materiałach publikowanych przez dostawcę usług. Dla usługi dostępu do internetu będą to opóźnienie, zmienność opóźnienia czy utrata pakietów. Natomiast przy usługach komunikacji interpersonalnej wskaźnikami kluczowymi są czas i skuteczność zestawienia połączenia oraz jego jakość. Natomiast metody pomiaru</w:t>
      </w:r>
      <w:r w:rsidR="00D6660D" w:rsidRPr="00D44D33">
        <w:rPr>
          <w:rFonts w:ascii="Times New Roman" w:eastAsiaTheme="minorEastAsia" w:hAnsi="Times New Roman" w:cs="Times New Roman"/>
          <w:sz w:val="24"/>
          <w:szCs w:val="24"/>
        </w:rPr>
        <w:t xml:space="preserve"> to wskazanie w jaki technicznie sposób mają być mierzone ww. wskaźniki jakości usług.</w:t>
      </w:r>
    </w:p>
    <w:p w14:paraId="49FD40F7" w14:textId="75F8A116" w:rsidR="0079502C" w:rsidRPr="00D44D33" w:rsidRDefault="73AE1C2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311</w:t>
      </w:r>
    </w:p>
    <w:p w14:paraId="3167B1FE" w14:textId="3580E08E" w:rsidR="00221330"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N</w:t>
      </w:r>
      <w:r w:rsidR="566EAACD" w:rsidRPr="00D44D33">
        <w:rPr>
          <w:rFonts w:ascii="Times New Roman" w:eastAsiaTheme="minorEastAsia" w:hAnsi="Times New Roman" w:cs="Times New Roman"/>
          <w:b/>
          <w:bCs/>
          <w:sz w:val="24"/>
          <w:szCs w:val="24"/>
        </w:rPr>
        <w:t>arzędzie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monitorowania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wykorzystania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7C8CD600" w14:textId="5E48C8BE" w:rsidR="001F6713" w:rsidRPr="00D44D33" w:rsidRDefault="0079502C"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311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102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monitorowania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kontrolowania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obejmującego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aktualnych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podmiotowy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rozliczane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ilość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zużytych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taryfikacyjnych.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narzędzie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monitorujące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poziom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powiadamiać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osiągnieciem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limitu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zużycia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wybranego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taryfowego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całkowitym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osiągnięciu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pułapów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zużycia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1F6713" w:rsidRPr="00D44D33">
        <w:rPr>
          <w:rFonts w:ascii="Times New Roman" w:eastAsiaTheme="minorEastAsia" w:hAnsi="Times New Roman" w:cs="Times New Roman"/>
          <w:sz w:val="24"/>
          <w:szCs w:val="24"/>
        </w:rPr>
        <w:t>Dostawca usług ma obowiązek poinformować o</w:t>
      </w:r>
      <w:r w:rsidR="001F6713" w:rsidRPr="00D44D33">
        <w:rPr>
          <w:rFonts w:ascii="Times New Roman" w:eastAsiaTheme="minorEastAsia" w:hAnsi="Times New Roman" w:cs="Times New Roman"/>
          <w:bCs/>
          <w:sz w:val="24"/>
          <w:szCs w:val="24"/>
        </w:rPr>
        <w:t xml:space="preserve"> zbliżającym się osiągnieciu limitu zużycia usługi w ramach wybranego przez abonenta pakietu taryfowego – przed osiągnięciem tego limitu oraz całkowitym wykorzystaniu tego limitu – niezwłocznie po jego wykorzystaniu.</w:t>
      </w:r>
    </w:p>
    <w:p w14:paraId="72242188" w14:textId="748C9CF0" w:rsidR="00221330" w:rsidRPr="00D44D33" w:rsidRDefault="0E9644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doprecyzowuje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wykorzystujących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numery</w:t>
      </w:r>
      <w:r w:rsidR="38DA9935"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stacjonarnej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obowiązek</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powiadamiania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konsumenta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całkowitym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limitu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zużycia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realizowany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później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48</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godzin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momentu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całkowitego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wykorzystania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limitu.</w:t>
      </w:r>
      <w:r w:rsidR="00970B2E" w:rsidRPr="00D44D33">
        <w:rPr>
          <w:rFonts w:ascii="Times New Roman" w:eastAsia="Times New Roman" w:hAnsi="Times New Roman" w:cs="Times New Roman"/>
          <w:sz w:val="24"/>
          <w:szCs w:val="24"/>
        </w:rPr>
        <w:t xml:space="preserve"> </w:t>
      </w:r>
      <w:r w:rsidR="566EAACD"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311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znajduje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mikroprzedsiębiorców,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małych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2018</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425EC3"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organizacji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pozarządowych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wolontariacie</w:t>
      </w:r>
      <w:r w:rsidR="57AF4C5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przewidywały</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3C19D03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38D2D8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38D2D83"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przekroczeniu</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limitu</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wykupionego</w:t>
      </w:r>
      <w:r w:rsidR="00970B2E" w:rsidRPr="00D44D33">
        <w:rPr>
          <w:rFonts w:ascii="Times New Roman" w:eastAsiaTheme="minorEastAsia" w:hAnsi="Times New Roman" w:cs="Times New Roman"/>
          <w:sz w:val="24"/>
          <w:szCs w:val="24"/>
        </w:rPr>
        <w:t xml:space="preserve"> </w:t>
      </w:r>
      <w:r w:rsidR="6437DA86" w:rsidRPr="00D44D33">
        <w:rPr>
          <w:rFonts w:ascii="Times New Roman" w:eastAsiaTheme="minorEastAsia" w:hAnsi="Times New Roman" w:cs="Times New Roman"/>
          <w:sz w:val="24"/>
          <w:szCs w:val="24"/>
        </w:rPr>
        <w:t>pakietu.</w:t>
      </w:r>
    </w:p>
    <w:p w14:paraId="2F36D8F3" w14:textId="398DDD84" w:rsidR="00145B7A" w:rsidRPr="00D44D33" w:rsidRDefault="00145B7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F755E1" w:rsidRPr="00D44D33">
        <w:rPr>
          <w:rFonts w:ascii="Times New Roman" w:eastAsiaTheme="minorEastAsia" w:hAnsi="Times New Roman" w:cs="Times New Roman"/>
          <w:sz w:val="24"/>
          <w:szCs w:val="24"/>
        </w:rPr>
        <w:t xml:space="preserve"> ust. 4</w:t>
      </w:r>
      <w:r w:rsidRPr="00D44D33">
        <w:rPr>
          <w:rFonts w:ascii="Times New Roman" w:eastAsiaTheme="minorEastAsia" w:hAnsi="Times New Roman" w:cs="Times New Roman"/>
          <w:sz w:val="24"/>
          <w:szCs w:val="24"/>
        </w:rPr>
        <w:t xml:space="preserve"> </w:t>
      </w:r>
      <w:r w:rsidR="00F755E1" w:rsidRPr="00D44D33">
        <w:rPr>
          <w:rFonts w:ascii="Times New Roman" w:eastAsiaTheme="minorEastAsia" w:hAnsi="Times New Roman" w:cs="Times New Roman"/>
          <w:sz w:val="24"/>
          <w:szCs w:val="24"/>
        </w:rPr>
        <w:t xml:space="preserve">wskazuje się, </w:t>
      </w:r>
      <w:r w:rsidRPr="00D44D33">
        <w:rPr>
          <w:rFonts w:ascii="Times New Roman" w:eastAsiaTheme="minorEastAsia" w:hAnsi="Times New Roman" w:cs="Times New Roman"/>
          <w:sz w:val="24"/>
          <w:szCs w:val="24"/>
        </w:rPr>
        <w:t xml:space="preserve">że </w:t>
      </w:r>
      <w:r w:rsidRPr="00D44D33">
        <w:rPr>
          <w:rFonts w:ascii="Times New Roman" w:eastAsiaTheme="minorEastAsia" w:hAnsi="Times New Roman" w:cs="Times New Roman"/>
          <w:bCs/>
          <w:sz w:val="24"/>
          <w:szCs w:val="24"/>
        </w:rPr>
        <w:t xml:space="preserve">Minister właściwy do spraw informatyzacji ogłasza w swoim dzienniku urzędowym i na stronie podmiotowej BIP wykaz stron internetowych i aplikacji mobilnych jednostek sektora finansów publicznych i innych stron i aplikacji mobilnych, z których korzystanie nie wpływa na wykorzystanie limitu transmisji danych w ramach pakietu, z którego abonent korzysta. Jest to </w:t>
      </w:r>
      <w:r w:rsidRPr="00D44D33">
        <w:rPr>
          <w:rFonts w:ascii="Times New Roman" w:eastAsiaTheme="minorEastAsia" w:hAnsi="Times New Roman" w:cs="Times New Roman"/>
          <w:sz w:val="24"/>
          <w:szCs w:val="24"/>
        </w:rPr>
        <w:t xml:space="preserve">wyjątek od naliczania zużycia danych przy korzystaniu z usługi dostępu do internetu w sieci ruchomej. </w:t>
      </w:r>
    </w:p>
    <w:p w14:paraId="5C6A2C3A" w14:textId="4B784514" w:rsidR="00145B7A" w:rsidRPr="00D44D33" w:rsidRDefault="00145B7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83BCE" w:rsidRPr="00D44D33">
        <w:rPr>
          <w:rFonts w:ascii="Times New Roman" w:eastAsiaTheme="minorEastAsia" w:hAnsi="Times New Roman" w:cs="Times New Roman"/>
          <w:sz w:val="24"/>
          <w:szCs w:val="24"/>
        </w:rPr>
        <w:t xml:space="preserve"> ust. </w:t>
      </w:r>
      <w:r w:rsidRPr="00D44D33">
        <w:rPr>
          <w:rFonts w:ascii="Times New Roman" w:eastAsiaTheme="minorEastAsia" w:hAnsi="Times New Roman" w:cs="Times New Roman"/>
          <w:sz w:val="24"/>
          <w:szCs w:val="24"/>
        </w:rPr>
        <w:t>5 wskazuje się minimalny katalog informacji jakie powinny znaleźć się w wykazie, a także termin dostosowania zasad rozliczania zużycia transferu do zmian w wykazie stron i aplikacji.</w:t>
      </w:r>
    </w:p>
    <w:p w14:paraId="51601B48" w14:textId="22EEDDBB" w:rsidR="5322C0BD" w:rsidRPr="00D44D33" w:rsidRDefault="00145B7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 z ust. 7 z</w:t>
      </w:r>
      <w:r w:rsidR="4DB6CDB9" w:rsidRPr="00D44D33">
        <w:rPr>
          <w:rFonts w:ascii="Times New Roman" w:eastAsiaTheme="minorEastAsia" w:hAnsi="Times New Roman" w:cs="Times New Roman"/>
          <w:sz w:val="24"/>
          <w:szCs w:val="24"/>
        </w:rPr>
        <w:t>miana</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9243DCF" w:rsidRPr="00D44D33">
        <w:rPr>
          <w:rFonts w:ascii="Times New Roman" w:eastAsiaTheme="minorEastAsia" w:hAnsi="Times New Roman" w:cs="Times New Roman"/>
          <w:sz w:val="24"/>
          <w:szCs w:val="24"/>
        </w:rPr>
        <w:t>zasadach</w:t>
      </w:r>
      <w:r w:rsidR="00970B2E" w:rsidRPr="00D44D33">
        <w:rPr>
          <w:rFonts w:ascii="Times New Roman" w:eastAsiaTheme="minorEastAsia" w:hAnsi="Times New Roman" w:cs="Times New Roman"/>
          <w:sz w:val="24"/>
          <w:szCs w:val="24"/>
        </w:rPr>
        <w:t xml:space="preserve"> </w:t>
      </w:r>
      <w:r w:rsidR="69243DCF"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69243DC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wynikająca</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wykazie</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s</w:t>
      </w:r>
      <w:r w:rsidR="4263731B"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4DB6CDB9" w:rsidRPr="00D44D33">
        <w:rPr>
          <w:rFonts w:ascii="Times New Roman" w:eastAsiaTheme="minorEastAsia" w:hAnsi="Times New Roman" w:cs="Times New Roman"/>
          <w:sz w:val="24"/>
          <w:szCs w:val="24"/>
        </w:rPr>
        <w:t>rozl</w:t>
      </w:r>
      <w:r w:rsidR="0228708F" w:rsidRPr="00D44D33">
        <w:rPr>
          <w:rFonts w:ascii="Times New Roman" w:eastAsiaTheme="minorEastAsia" w:hAnsi="Times New Roman" w:cs="Times New Roman"/>
          <w:sz w:val="24"/>
          <w:szCs w:val="24"/>
        </w:rPr>
        <w:t>iczane</w:t>
      </w:r>
      <w:r w:rsidR="00970B2E" w:rsidRPr="00D44D33">
        <w:rPr>
          <w:rFonts w:ascii="Times New Roman" w:eastAsiaTheme="minorEastAsia" w:hAnsi="Times New Roman" w:cs="Times New Roman"/>
          <w:sz w:val="24"/>
          <w:szCs w:val="24"/>
        </w:rPr>
        <w:t xml:space="preserve"> </w:t>
      </w:r>
      <w:r w:rsidR="022870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228708F"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228708F" w:rsidRPr="00D44D33">
        <w:rPr>
          <w:rFonts w:ascii="Times New Roman" w:eastAsiaTheme="minorEastAsia" w:hAnsi="Times New Roman" w:cs="Times New Roman"/>
          <w:sz w:val="24"/>
          <w:szCs w:val="24"/>
        </w:rPr>
        <w:t>pakietów</w:t>
      </w:r>
      <w:r w:rsidR="00970B2E" w:rsidRPr="00D44D33">
        <w:rPr>
          <w:rFonts w:ascii="Times New Roman" w:eastAsiaTheme="minorEastAsia" w:hAnsi="Times New Roman" w:cs="Times New Roman"/>
          <w:sz w:val="24"/>
          <w:szCs w:val="24"/>
        </w:rPr>
        <w:t xml:space="preserve"> </w:t>
      </w:r>
      <w:r w:rsidR="4F0BAA06" w:rsidRPr="00D44D33">
        <w:rPr>
          <w:rFonts w:ascii="Times New Roman" w:eastAsiaTheme="minorEastAsia" w:hAnsi="Times New Roman" w:cs="Times New Roman"/>
          <w:sz w:val="24"/>
          <w:szCs w:val="24"/>
        </w:rPr>
        <w:t>taryfowych</w:t>
      </w:r>
      <w:r w:rsidR="00970B2E" w:rsidRPr="00D44D33">
        <w:rPr>
          <w:rFonts w:ascii="Times New Roman" w:eastAsiaTheme="minorEastAsia" w:hAnsi="Times New Roman" w:cs="Times New Roman"/>
          <w:sz w:val="24"/>
          <w:szCs w:val="24"/>
        </w:rPr>
        <w:t xml:space="preserve"> </w:t>
      </w:r>
      <w:r w:rsidR="4F0BAA0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F0BAA0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4F0BAA06"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4F0BAA06" w:rsidRPr="00D44D33">
        <w:rPr>
          <w:rFonts w:ascii="Times New Roman" w:eastAsiaTheme="minorEastAsia" w:hAnsi="Times New Roman" w:cs="Times New Roman"/>
          <w:sz w:val="24"/>
          <w:szCs w:val="24"/>
        </w:rPr>
        <w:t>w</w:t>
      </w:r>
      <w:r w:rsidR="0248A365" w:rsidRPr="00D44D33">
        <w:rPr>
          <w:rFonts w:ascii="Times New Roman" w:eastAsiaTheme="minorEastAsia" w:hAnsi="Times New Roman" w:cs="Times New Roman"/>
          <w:sz w:val="24"/>
          <w:szCs w:val="24"/>
        </w:rPr>
        <w:t>arunków</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stąd</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248A365" w:rsidRPr="00D44D33">
        <w:rPr>
          <w:rFonts w:ascii="Times New Roman" w:eastAsiaTheme="minorEastAsia" w:hAnsi="Times New Roman" w:cs="Times New Roman"/>
          <w:sz w:val="24"/>
          <w:szCs w:val="24"/>
        </w:rPr>
        <w:t>w</w:t>
      </w:r>
      <w:r w:rsidR="03F9494A" w:rsidRPr="00D44D33">
        <w:rPr>
          <w:rFonts w:ascii="Times New Roman" w:eastAsiaTheme="minorEastAsia" w:hAnsi="Times New Roman" w:cs="Times New Roman"/>
          <w:sz w:val="24"/>
          <w:szCs w:val="24"/>
        </w:rPr>
        <w:t>ypełniania</w:t>
      </w:r>
      <w:r w:rsidR="00970B2E" w:rsidRPr="00D44D33">
        <w:rPr>
          <w:rFonts w:ascii="Times New Roman" w:eastAsiaTheme="minorEastAsia" w:hAnsi="Times New Roman" w:cs="Times New Roman"/>
          <w:sz w:val="24"/>
          <w:szCs w:val="24"/>
        </w:rPr>
        <w:t xml:space="preserve"> </w:t>
      </w:r>
      <w:r w:rsidR="03F9494A"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03F9494A"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3F9494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3F9494A" w:rsidRPr="00D44D33">
        <w:rPr>
          <w:rFonts w:ascii="Times New Roman" w:eastAsiaTheme="minorEastAsia" w:hAnsi="Times New Roman" w:cs="Times New Roman"/>
          <w:sz w:val="24"/>
          <w:szCs w:val="24"/>
        </w:rPr>
        <w:t>informowaniem</w:t>
      </w:r>
      <w:r w:rsidR="00970B2E" w:rsidRPr="00D44D33">
        <w:rPr>
          <w:rFonts w:ascii="Times New Roman" w:eastAsiaTheme="minorEastAsia" w:hAnsi="Times New Roman" w:cs="Times New Roman"/>
          <w:sz w:val="24"/>
          <w:szCs w:val="24"/>
        </w:rPr>
        <w:t xml:space="preserve"> </w:t>
      </w:r>
      <w:r w:rsidR="03F9494A" w:rsidRPr="00D44D33">
        <w:rPr>
          <w:rFonts w:ascii="Times New Roman" w:eastAsiaTheme="minorEastAsia" w:hAnsi="Times New Roman" w:cs="Times New Roman"/>
          <w:sz w:val="24"/>
          <w:szCs w:val="24"/>
        </w:rPr>
        <w:t>abonentów.</w:t>
      </w:r>
      <w:r w:rsidRPr="00D44D33">
        <w:rPr>
          <w:rFonts w:ascii="Times New Roman" w:eastAsiaTheme="minorEastAsia" w:hAnsi="Times New Roman" w:cs="Times New Roman"/>
          <w:sz w:val="24"/>
          <w:szCs w:val="24"/>
        </w:rPr>
        <w:t xml:space="preserve"> W przypadku zmian w wykazie dostawca usług powinie</w:t>
      </w:r>
      <w:r w:rsidR="008466EE" w:rsidRPr="00D44D33">
        <w:rPr>
          <w:rFonts w:ascii="Times New Roman" w:eastAsiaTheme="minorEastAsia" w:hAnsi="Times New Roman" w:cs="Times New Roman"/>
          <w:sz w:val="24"/>
          <w:szCs w:val="24"/>
        </w:rPr>
        <w:t>n wdrożyć te zmiany w terminie 5</w:t>
      </w:r>
      <w:r w:rsidRPr="00D44D33">
        <w:rPr>
          <w:rFonts w:ascii="Times New Roman" w:eastAsiaTheme="minorEastAsia" w:hAnsi="Times New Roman" w:cs="Times New Roman"/>
          <w:sz w:val="24"/>
          <w:szCs w:val="24"/>
        </w:rPr>
        <w:t xml:space="preserve"> dni roboczych od ogłoszenia wykazu.</w:t>
      </w:r>
    </w:p>
    <w:p w14:paraId="6F037C95" w14:textId="516D880A" w:rsidR="00C35543" w:rsidRPr="00D44D33" w:rsidRDefault="00C3554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312</w:t>
      </w:r>
      <w:r w:rsidR="00FE619E" w:rsidRPr="00D44D33">
        <w:rPr>
          <w:rFonts w:ascii="Times New Roman" w:eastAsiaTheme="minorEastAsia" w:hAnsi="Times New Roman" w:cs="Times New Roman"/>
          <w:bCs/>
          <w:sz w:val="24"/>
          <w:szCs w:val="24"/>
        </w:rPr>
        <w:t>–</w:t>
      </w:r>
      <w:r w:rsidR="00BF4CC5" w:rsidRPr="00D44D33">
        <w:rPr>
          <w:rFonts w:ascii="Times New Roman" w:eastAsiaTheme="minorEastAsia" w:hAnsi="Times New Roman" w:cs="Times New Roman"/>
          <w:b/>
          <w:bCs/>
          <w:sz w:val="24"/>
          <w:szCs w:val="24"/>
        </w:rPr>
        <w:t>315</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zachowanie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ciągłości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internetu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związku</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zmianą</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dostawcy</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w:t>
      </w:r>
    </w:p>
    <w:p w14:paraId="5D68D46B" w14:textId="117AC241" w:rsidR="0079502C" w:rsidRPr="00D44D33" w:rsidRDefault="006928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312</w:t>
      </w:r>
      <w:r w:rsidR="00970B2E" w:rsidRPr="00D44D33">
        <w:rPr>
          <w:rFonts w:ascii="Times New Roman" w:eastAsiaTheme="minorEastAsia" w:hAnsi="Times New Roman" w:cs="Times New Roman"/>
          <w:b/>
          <w:bCs/>
          <w:sz w:val="24"/>
          <w:szCs w:val="24"/>
        </w:rPr>
        <w:t xml:space="preserve"> </w:t>
      </w:r>
    </w:p>
    <w:p w14:paraId="73CF61C1" w14:textId="19A9F9E5" w:rsidR="0069287E"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C</w:t>
      </w:r>
      <w:r w:rsidR="00CF6475" w:rsidRPr="00D44D33">
        <w:rPr>
          <w:rFonts w:ascii="Times New Roman" w:eastAsiaTheme="minorEastAsia" w:hAnsi="Times New Roman" w:cs="Times New Roman"/>
          <w:b/>
          <w:bCs/>
          <w:sz w:val="24"/>
          <w:szCs w:val="24"/>
        </w:rPr>
        <w:t>iągłość</w:t>
      </w:r>
      <w:r w:rsidR="00970B2E" w:rsidRPr="00D44D33">
        <w:rPr>
          <w:rFonts w:ascii="Times New Roman" w:eastAsiaTheme="minorEastAsia" w:hAnsi="Times New Roman" w:cs="Times New Roman"/>
          <w:b/>
          <w:bCs/>
          <w:sz w:val="24"/>
          <w:szCs w:val="24"/>
        </w:rPr>
        <w:t xml:space="preserve"> </w:t>
      </w:r>
      <w:r w:rsidR="00CF6475"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00CF6475"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00CF6475"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00CF6475" w:rsidRPr="00D44D33">
        <w:rPr>
          <w:rFonts w:ascii="Times New Roman" w:eastAsiaTheme="minorEastAsia" w:hAnsi="Times New Roman" w:cs="Times New Roman"/>
          <w:b/>
          <w:bCs/>
          <w:sz w:val="24"/>
          <w:szCs w:val="24"/>
        </w:rPr>
        <w:t>internetu</w:t>
      </w:r>
    </w:p>
    <w:p w14:paraId="75E60C3E" w14:textId="2D7AF282" w:rsidR="00CF6475" w:rsidRPr="00D44D33" w:rsidRDefault="0079502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312</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106</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regulowały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przypadek</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p>
    <w:p w14:paraId="15708C5B" w14:textId="60B63639" w:rsidR="001A5F92" w:rsidRPr="00D44D33" w:rsidRDefault="0069287E"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9502C" w:rsidRPr="00D44D33">
        <w:rPr>
          <w:rFonts w:ascii="Times New Roman" w:eastAsiaTheme="minorEastAsia" w:hAnsi="Times New Roman" w:cs="Times New Roman"/>
          <w:sz w:val="24"/>
          <w:szCs w:val="24"/>
        </w:rPr>
        <w:t>przepisie 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zrealizowania.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45448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9583A"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00F9583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9583A"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00F9583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9583A" w:rsidRPr="00D44D33">
        <w:rPr>
          <w:rFonts w:ascii="Times New Roman" w:eastAsiaTheme="minorEastAsia" w:hAnsi="Times New Roman" w:cs="Times New Roman"/>
          <w:sz w:val="24"/>
          <w:szCs w:val="24"/>
        </w:rPr>
        <w:t>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19C52CD8" w14:textId="46B162A5" w:rsidR="00F9583A" w:rsidRPr="00D44D33" w:rsidRDefault="00F9583A"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rozwiązywanej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uiszcza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nieprzekraczającej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abonamentowej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abonamentowa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EB1269" w:rsidRPr="00D44D33">
        <w:rPr>
          <w:rFonts w:ascii="Times New Roman" w:eastAsiaTheme="minorEastAsia" w:hAnsi="Times New Roman" w:cs="Times New Roman"/>
          <w:sz w:val="24"/>
          <w:szCs w:val="24"/>
        </w:rPr>
        <w:t>kres</w:t>
      </w:r>
      <w:r w:rsidR="00970B2E" w:rsidRPr="00D44D33">
        <w:rPr>
          <w:rFonts w:ascii="Times New Roman" w:eastAsiaTheme="minorEastAsia" w:hAnsi="Times New Roman" w:cs="Times New Roman"/>
          <w:sz w:val="24"/>
          <w:szCs w:val="24"/>
        </w:rPr>
        <w:t xml:space="preserve"> </w:t>
      </w:r>
      <w:r w:rsidR="00EB1269" w:rsidRPr="00D44D33">
        <w:rPr>
          <w:rFonts w:ascii="Times New Roman" w:eastAsiaTheme="minorEastAsia" w:hAnsi="Times New Roman" w:cs="Times New Roman"/>
          <w:sz w:val="24"/>
          <w:szCs w:val="24"/>
        </w:rPr>
        <w:t>rozliczeniowy,</w:t>
      </w:r>
      <w:r w:rsidR="00970B2E" w:rsidRPr="00D44D33">
        <w:rPr>
          <w:rFonts w:ascii="Times New Roman" w:eastAsiaTheme="minorEastAsia" w:hAnsi="Times New Roman" w:cs="Times New Roman"/>
          <w:sz w:val="24"/>
          <w:szCs w:val="24"/>
        </w:rPr>
        <w:t xml:space="preserve"> </w:t>
      </w:r>
      <w:r w:rsidR="00EB1269" w:rsidRPr="00D44D33">
        <w:rPr>
          <w:rFonts w:ascii="Times New Roman" w:eastAsiaTheme="minorEastAsia" w:hAnsi="Times New Roman" w:cs="Times New Roman"/>
          <w:sz w:val="24"/>
          <w:szCs w:val="24"/>
        </w:rPr>
        <w:t>powiększona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298</w:t>
      </w:r>
      <w:r w:rsidRPr="00D44D33">
        <w:rPr>
          <w:rFonts w:ascii="Times New Roman" w:eastAsiaTheme="minorEastAsia" w:hAnsi="Times New Roman" w:cs="Times New Roman"/>
          <w:sz w:val="24"/>
          <w:szCs w:val="24"/>
        </w:rPr>
        <w:t>.</w:t>
      </w:r>
    </w:p>
    <w:p w14:paraId="3C560D45" w14:textId="58FBF5BC" w:rsidR="00454484" w:rsidRPr="00D44D33" w:rsidRDefault="0069287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E0299"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tryby</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1A5F92"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zachowaniem</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okresu</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wypowiedzenia</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przewidzianego</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umową</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dotychczasowym</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dostawcą</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usługi</w:t>
      </w:r>
      <w:r w:rsidR="00FE0299"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bez</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zachowania</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okresu</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wypowiedzenia</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ze</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wskazaniem</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dnia</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zmiany</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koniec</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okresu</w:t>
      </w:r>
      <w:r w:rsidR="00970B2E" w:rsidRPr="00D44D33">
        <w:rPr>
          <w:rFonts w:ascii="Times New Roman" w:eastAsiaTheme="minorEastAsia" w:hAnsi="Times New Roman" w:cs="Times New Roman"/>
          <w:bCs/>
          <w:sz w:val="24"/>
          <w:szCs w:val="24"/>
        </w:rPr>
        <w:t xml:space="preserve"> </w:t>
      </w:r>
      <w:r w:rsidR="00FE0299" w:rsidRPr="00D44D33">
        <w:rPr>
          <w:rFonts w:ascii="Times New Roman" w:eastAsiaTheme="minorEastAsia" w:hAnsi="Times New Roman" w:cs="Times New Roman"/>
          <w:bCs/>
          <w:sz w:val="24"/>
          <w:szCs w:val="24"/>
        </w:rPr>
        <w:t>promocyjnego</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wynikającego</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dotychczasowym</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dostawcą</w:t>
      </w:r>
      <w:r w:rsidR="00970B2E" w:rsidRPr="00D44D33">
        <w:rPr>
          <w:rFonts w:ascii="Times New Roman" w:eastAsiaTheme="minorEastAsia" w:hAnsi="Times New Roman" w:cs="Times New Roman"/>
          <w:bCs/>
          <w:sz w:val="24"/>
          <w:szCs w:val="24"/>
        </w:rPr>
        <w:t xml:space="preserve"> </w:t>
      </w:r>
      <w:r w:rsidR="001A5F92" w:rsidRPr="00D44D33">
        <w:rPr>
          <w:rFonts w:ascii="Times New Roman" w:eastAsiaTheme="minorEastAsia" w:hAnsi="Times New Roman" w:cs="Times New Roman"/>
          <w:bCs/>
          <w:sz w:val="24"/>
          <w:szCs w:val="24"/>
        </w:rPr>
        <w:t>usługi.</w:t>
      </w:r>
      <w:r w:rsidR="00371EEA">
        <w:rPr>
          <w:rFonts w:ascii="Times New Roman" w:eastAsiaTheme="minorEastAsia" w:hAnsi="Times New Roman" w:cs="Times New Roman"/>
          <w:bCs/>
          <w:sz w:val="24"/>
          <w:szCs w:val="24"/>
        </w:rPr>
        <w:t xml:space="preserve"> </w:t>
      </w:r>
    </w:p>
    <w:p w14:paraId="4C47EFC0" w14:textId="494B101C" w:rsidR="006E1D06" w:rsidRPr="00D44D33" w:rsidRDefault="0079502C"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FE0299"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zawieszenie</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skuteczności</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złożonego</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Zapis</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gwarantuje</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712B52"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bCs/>
          <w:sz w:val="24"/>
          <w:szCs w:val="24"/>
        </w:rPr>
        <w:t xml:space="preserve"> </w:t>
      </w:r>
      <w:r w:rsidR="00712B52" w:rsidRPr="00D44D33">
        <w:rPr>
          <w:rFonts w:ascii="Times New Roman" w:eastAsiaTheme="minorEastAsia" w:hAnsi="Times New Roman" w:cs="Times New Roman"/>
          <w:bCs/>
          <w:sz w:val="24"/>
          <w:szCs w:val="24"/>
        </w:rPr>
        <w:t>Niezwłocznie</w:t>
      </w:r>
      <w:r w:rsidR="00970B2E" w:rsidRPr="00D44D33">
        <w:rPr>
          <w:rFonts w:ascii="Times New Roman" w:eastAsiaTheme="minorEastAsia" w:hAnsi="Times New Roman" w:cs="Times New Roman"/>
          <w:bCs/>
          <w:sz w:val="24"/>
          <w:szCs w:val="24"/>
        </w:rPr>
        <w:t xml:space="preserve"> </w:t>
      </w:r>
      <w:r w:rsidR="00712B52" w:rsidRPr="00D44D33">
        <w:rPr>
          <w:rFonts w:ascii="Times New Roman" w:eastAsiaTheme="minorEastAsia" w:hAnsi="Times New Roman" w:cs="Times New Roman"/>
          <w:bCs/>
          <w:sz w:val="24"/>
          <w:szCs w:val="24"/>
        </w:rPr>
        <w:t>po</w:t>
      </w:r>
      <w:r w:rsidR="00970B2E" w:rsidRPr="00D44D33">
        <w:rPr>
          <w:rFonts w:ascii="Times New Roman" w:eastAsiaTheme="minorEastAsia" w:hAnsi="Times New Roman" w:cs="Times New Roman"/>
          <w:bCs/>
          <w:sz w:val="24"/>
          <w:szCs w:val="24"/>
        </w:rPr>
        <w:t xml:space="preserve"> </w:t>
      </w:r>
      <w:r w:rsidR="00712B52" w:rsidRPr="00D44D33">
        <w:rPr>
          <w:rFonts w:ascii="Times New Roman" w:eastAsiaTheme="minorEastAsia" w:hAnsi="Times New Roman" w:cs="Times New Roman"/>
          <w:bCs/>
          <w:sz w:val="24"/>
          <w:szCs w:val="24"/>
        </w:rPr>
        <w:t>rozpoczęciu</w:t>
      </w:r>
      <w:r w:rsidR="00970B2E" w:rsidRPr="00D44D33">
        <w:rPr>
          <w:rFonts w:ascii="Times New Roman" w:eastAsiaTheme="minorEastAsia" w:hAnsi="Times New Roman" w:cs="Times New Roman"/>
          <w:bCs/>
          <w:sz w:val="24"/>
          <w:szCs w:val="24"/>
        </w:rPr>
        <w:t xml:space="preserve"> </w:t>
      </w:r>
      <w:r w:rsidR="00712B52"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00712B52"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712B52" w:rsidRPr="00D44D33">
        <w:rPr>
          <w:rFonts w:ascii="Times New Roman" w:eastAsiaTheme="minorEastAsia" w:hAnsi="Times New Roman" w:cs="Times New Roman"/>
          <w:bCs/>
          <w:sz w:val="24"/>
          <w:szCs w:val="24"/>
        </w:rPr>
        <w:t>abonent</w:t>
      </w:r>
      <w:r w:rsidR="00970B2E" w:rsidRPr="00D44D33">
        <w:rPr>
          <w:rFonts w:ascii="Times New Roman" w:eastAsiaTheme="minorEastAsia" w:hAnsi="Times New Roman" w:cs="Times New Roman"/>
          <w:bCs/>
          <w:sz w:val="24"/>
          <w:szCs w:val="24"/>
        </w:rPr>
        <w:t xml:space="preserve"> </w:t>
      </w:r>
      <w:r w:rsidR="00C1393C" w:rsidRPr="00D44D33">
        <w:rPr>
          <w:rFonts w:ascii="Times New Roman" w:eastAsiaTheme="minorEastAsia" w:hAnsi="Times New Roman" w:cs="Times New Roman"/>
          <w:bCs/>
          <w:sz w:val="24"/>
          <w:szCs w:val="24"/>
        </w:rPr>
        <w:t>otrzymuje</w:t>
      </w:r>
      <w:r w:rsidR="00970B2E" w:rsidRPr="00D44D33">
        <w:rPr>
          <w:rFonts w:ascii="Times New Roman" w:eastAsiaTheme="minorEastAsia" w:hAnsi="Times New Roman" w:cs="Times New Roman"/>
          <w:bCs/>
          <w:sz w:val="24"/>
          <w:szCs w:val="24"/>
        </w:rPr>
        <w:t xml:space="preserve"> </w:t>
      </w:r>
      <w:r w:rsidR="00C1393C" w:rsidRPr="00D44D33">
        <w:rPr>
          <w:rFonts w:ascii="Times New Roman" w:eastAsiaTheme="minorEastAsia" w:hAnsi="Times New Roman" w:cs="Times New Roman"/>
          <w:bCs/>
          <w:sz w:val="24"/>
          <w:szCs w:val="24"/>
        </w:rPr>
        <w:t>potwierdzenie</w:t>
      </w:r>
      <w:r w:rsidR="00970B2E" w:rsidRPr="00D44D33">
        <w:rPr>
          <w:rFonts w:ascii="Times New Roman" w:eastAsiaTheme="minorEastAsia" w:hAnsi="Times New Roman" w:cs="Times New Roman"/>
          <w:bCs/>
          <w:sz w:val="24"/>
          <w:szCs w:val="24"/>
        </w:rPr>
        <w:t xml:space="preserve"> </w:t>
      </w:r>
      <w:r w:rsidR="00C1393C" w:rsidRPr="00D44D33">
        <w:rPr>
          <w:rFonts w:ascii="Times New Roman" w:eastAsiaTheme="minorEastAsia" w:hAnsi="Times New Roman" w:cs="Times New Roman"/>
          <w:bCs/>
          <w:sz w:val="24"/>
          <w:szCs w:val="24"/>
        </w:rPr>
        <w:t>rozpoczęcia</w:t>
      </w:r>
      <w:r w:rsidR="00970B2E" w:rsidRPr="00D44D33">
        <w:rPr>
          <w:rFonts w:ascii="Times New Roman" w:eastAsiaTheme="minorEastAsia" w:hAnsi="Times New Roman" w:cs="Times New Roman"/>
          <w:bCs/>
          <w:sz w:val="24"/>
          <w:szCs w:val="24"/>
        </w:rPr>
        <w:t xml:space="preserve"> </w:t>
      </w:r>
      <w:r w:rsidR="00C1393C"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00C1393C" w:rsidRPr="00D44D33">
        <w:rPr>
          <w:rFonts w:ascii="Times New Roman" w:eastAsiaTheme="minorEastAsia" w:hAnsi="Times New Roman" w:cs="Times New Roman"/>
          <w:bCs/>
          <w:sz w:val="24"/>
          <w:szCs w:val="24"/>
        </w:rPr>
        <w:t>usług</w:t>
      </w:r>
      <w:r w:rsidR="00791907"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993FAD" w:rsidRPr="00D44D33">
        <w:rPr>
          <w:rFonts w:ascii="Times New Roman" w:eastAsiaTheme="minorEastAsia" w:hAnsi="Times New Roman" w:cs="Times New Roman"/>
          <w:bCs/>
          <w:sz w:val="24"/>
          <w:szCs w:val="24"/>
        </w:rPr>
        <w:t>(</w:t>
      </w:r>
      <w:r w:rsidR="00791907"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6</w:t>
      </w:r>
      <w:r w:rsidR="00993FAD" w:rsidRPr="00D44D33">
        <w:rPr>
          <w:rFonts w:ascii="Times New Roman" w:eastAsiaTheme="minorEastAsia" w:hAnsi="Times New Roman" w:cs="Times New Roman"/>
          <w:bCs/>
          <w:sz w:val="24"/>
          <w:szCs w:val="24"/>
        </w:rPr>
        <w:t>)</w:t>
      </w:r>
      <w:r w:rsidR="00712B52"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Zgodnie</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7</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zmiana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internetu</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może</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powodować</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przerwy</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świadczeniu</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przekraczającej</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1</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dzień</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roboczy.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Czynności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związane</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realizacją</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uprawnienia</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zachowania</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ciągłości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przypadku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zmiany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s</w:t>
      </w:r>
      <w:r w:rsidR="00791907" w:rsidRPr="00D44D33">
        <w:rPr>
          <w:rFonts w:ascii="Times New Roman" w:eastAsiaTheme="minorEastAsia" w:hAnsi="Times New Roman" w:cs="Times New Roman"/>
          <w:bCs/>
          <w:sz w:val="24"/>
          <w:szCs w:val="24"/>
        </w:rPr>
        <w:t>ą</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dla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abonenta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bezpłatne</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8</w:t>
      </w:r>
      <w:r w:rsidR="006E1D06" w:rsidRPr="00D44D33">
        <w:rPr>
          <w:rFonts w:ascii="Times New Roman" w:eastAsiaTheme="minorEastAsia" w:hAnsi="Times New Roman" w:cs="Times New Roman"/>
          <w:bCs/>
          <w:sz w:val="24"/>
          <w:szCs w:val="24"/>
        </w:rPr>
        <w:t>).</w:t>
      </w:r>
    </w:p>
    <w:p w14:paraId="7EC570DD" w14:textId="40B1CE25" w:rsidR="006E1D06" w:rsidRPr="00D44D33" w:rsidRDefault="00791907"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9</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sformułowany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został</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nakaz</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współpracy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nowego</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dotychczasowego</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podczas</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procesu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zmiany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internetu,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tak</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aby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zapewnić</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zachowanie</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ciągłości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internetu.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Jednocześnie</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doprecyzowano,</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że</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procesem</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tym</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kieruje</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nowy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Wymiana</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informacji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pomiędzy</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operatorami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dostawcami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internetu</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ma</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odbywać</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drogą</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elektroniczną</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006E1D06" w:rsidRPr="00D44D33">
        <w:rPr>
          <w:rFonts w:ascii="Times New Roman" w:eastAsiaTheme="minorEastAsia" w:hAnsi="Times New Roman" w:cs="Times New Roman"/>
          <w:bCs/>
          <w:sz w:val="24"/>
          <w:szCs w:val="24"/>
        </w:rPr>
        <w:t>pośrednictwem</w:t>
      </w:r>
      <w:r w:rsidR="00970B2E" w:rsidRPr="00D44D33">
        <w:rPr>
          <w:rFonts w:ascii="Times New Roman" w:eastAsiaTheme="minorEastAsia" w:hAnsi="Times New Roman" w:cs="Times New Roman"/>
          <w:bCs/>
          <w:sz w:val="24"/>
          <w:szCs w:val="24"/>
        </w:rPr>
        <w:t xml:space="preserve"> </w:t>
      </w:r>
      <w:r w:rsidR="0080392B" w:rsidRPr="00D44D33">
        <w:rPr>
          <w:rFonts w:ascii="Times New Roman" w:eastAsiaTheme="minorEastAsia" w:hAnsi="Times New Roman" w:cs="Times New Roman"/>
          <w:bCs/>
          <w:sz w:val="24"/>
          <w:szCs w:val="24"/>
        </w:rPr>
        <w:t>systemu</w:t>
      </w:r>
      <w:r w:rsidR="00970B2E" w:rsidRPr="00D44D33">
        <w:rPr>
          <w:rFonts w:ascii="Times New Roman" w:eastAsiaTheme="minorEastAsia" w:hAnsi="Times New Roman" w:cs="Times New Roman"/>
          <w:bCs/>
          <w:sz w:val="24"/>
          <w:szCs w:val="24"/>
        </w:rPr>
        <w:t xml:space="preserve"> </w:t>
      </w:r>
      <w:r w:rsidR="0080392B" w:rsidRPr="00D44D33">
        <w:rPr>
          <w:rFonts w:ascii="Times New Roman" w:eastAsiaTheme="minorEastAsia" w:hAnsi="Times New Roman" w:cs="Times New Roman"/>
          <w:bCs/>
          <w:sz w:val="24"/>
          <w:szCs w:val="24"/>
        </w:rPr>
        <w:t>zapewnianego</w:t>
      </w:r>
      <w:r w:rsidR="00970B2E" w:rsidRPr="00D44D33">
        <w:rPr>
          <w:rFonts w:ascii="Times New Roman" w:eastAsiaTheme="minorEastAsia" w:hAnsi="Times New Roman" w:cs="Times New Roman"/>
          <w:bCs/>
          <w:sz w:val="24"/>
          <w:szCs w:val="24"/>
        </w:rPr>
        <w:t xml:space="preserve"> </w:t>
      </w:r>
      <w:r w:rsidR="0080392B"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0080392B" w:rsidRPr="00D44D33">
        <w:rPr>
          <w:rFonts w:ascii="Times New Roman" w:eastAsiaTheme="minorEastAsia" w:hAnsi="Times New Roman" w:cs="Times New Roman"/>
          <w:bCs/>
          <w:sz w:val="24"/>
          <w:szCs w:val="24"/>
        </w:rPr>
        <w:t>Prezesa</w:t>
      </w:r>
      <w:r w:rsidR="00970B2E" w:rsidRPr="00D44D33">
        <w:rPr>
          <w:rFonts w:ascii="Times New Roman" w:eastAsiaTheme="minorEastAsia" w:hAnsi="Times New Roman" w:cs="Times New Roman"/>
          <w:bCs/>
          <w:sz w:val="24"/>
          <w:szCs w:val="24"/>
        </w:rPr>
        <w:t xml:space="preserve"> </w:t>
      </w:r>
      <w:r w:rsidR="0080392B" w:rsidRPr="00D44D33">
        <w:rPr>
          <w:rFonts w:ascii="Times New Roman" w:eastAsiaTheme="minorEastAsia" w:hAnsi="Times New Roman" w:cs="Times New Roman"/>
          <w:bCs/>
          <w:sz w:val="24"/>
          <w:szCs w:val="24"/>
        </w:rPr>
        <w:t>UKE</w:t>
      </w:r>
      <w:r w:rsidR="006E1D06"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p>
    <w:p w14:paraId="7787BF80" w14:textId="1E6400CE" w:rsidR="0080392B" w:rsidRPr="00D44D33" w:rsidRDefault="0080392B"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bCs/>
          <w:sz w:val="24"/>
          <w:szCs w:val="24"/>
        </w:rPr>
        <w:t>przewidziane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zostało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uprawnienie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abonenta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zachowania,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żądanie,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okres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6</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miesięcy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poczty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zapewnianej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dotychczasowego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w:t>
      </w:r>
      <w:r w:rsidR="00B01DAE"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internetu.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Uprawnienie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dotyczy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sytuacji,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gdy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abonent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korzysta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poczty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której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adres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związany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nazwą</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handlową</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znakiem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towarowym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p>
    <w:p w14:paraId="58042AB6" w14:textId="0BCFFCC9" w:rsidR="0079502C" w:rsidRPr="00D44D33" w:rsidRDefault="0080392B"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313</w:t>
      </w:r>
    </w:p>
    <w:p w14:paraId="2DCA7D06" w14:textId="73383391" w:rsidR="006E1D06"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0080392B" w:rsidRPr="00D44D33">
        <w:rPr>
          <w:rFonts w:ascii="Times New Roman" w:eastAsiaTheme="minorEastAsia" w:hAnsi="Times New Roman" w:cs="Times New Roman"/>
          <w:b/>
          <w:bCs/>
          <w:sz w:val="24"/>
          <w:szCs w:val="24"/>
        </w:rPr>
        <w:t>późnienie</w:t>
      </w:r>
      <w:r w:rsidR="00970B2E" w:rsidRPr="00D44D33">
        <w:rPr>
          <w:rFonts w:ascii="Times New Roman" w:eastAsiaTheme="minorEastAsia" w:hAnsi="Times New Roman" w:cs="Times New Roman"/>
          <w:b/>
          <w:bCs/>
          <w:sz w:val="24"/>
          <w:szCs w:val="24"/>
        </w:rPr>
        <w:t xml:space="preserve"> </w:t>
      </w:r>
      <w:r w:rsidR="0080392B" w:rsidRPr="00D44D33">
        <w:rPr>
          <w:rFonts w:ascii="Times New Roman" w:eastAsiaTheme="minorEastAsia" w:hAnsi="Times New Roman" w:cs="Times New Roman"/>
          <w:b/>
          <w:bCs/>
          <w:sz w:val="24"/>
          <w:szCs w:val="24"/>
        </w:rPr>
        <w:t>lub</w:t>
      </w:r>
      <w:r w:rsidR="00970B2E" w:rsidRPr="00D44D33">
        <w:rPr>
          <w:rFonts w:ascii="Times New Roman" w:eastAsiaTheme="minorEastAsia" w:hAnsi="Times New Roman" w:cs="Times New Roman"/>
          <w:b/>
          <w:bCs/>
          <w:sz w:val="24"/>
          <w:szCs w:val="24"/>
        </w:rPr>
        <w:t xml:space="preserve"> </w:t>
      </w:r>
      <w:r w:rsidR="0080392B" w:rsidRPr="00D44D33">
        <w:rPr>
          <w:rFonts w:ascii="Times New Roman" w:eastAsiaTheme="minorEastAsia" w:hAnsi="Times New Roman" w:cs="Times New Roman"/>
          <w:b/>
          <w:bCs/>
          <w:sz w:val="24"/>
          <w:szCs w:val="24"/>
        </w:rPr>
        <w:t>nieskuteczna</w:t>
      </w:r>
      <w:r w:rsidR="00970B2E" w:rsidRPr="00D44D33">
        <w:rPr>
          <w:rFonts w:ascii="Times New Roman" w:eastAsiaTheme="minorEastAsia" w:hAnsi="Times New Roman" w:cs="Times New Roman"/>
          <w:b/>
          <w:bCs/>
          <w:sz w:val="24"/>
          <w:szCs w:val="24"/>
        </w:rPr>
        <w:t xml:space="preserve"> </w:t>
      </w:r>
      <w:r w:rsidR="0080392B" w:rsidRPr="00D44D33">
        <w:rPr>
          <w:rFonts w:ascii="Times New Roman" w:eastAsiaTheme="minorEastAsia" w:hAnsi="Times New Roman" w:cs="Times New Roman"/>
          <w:b/>
          <w:bCs/>
          <w:sz w:val="24"/>
          <w:szCs w:val="24"/>
        </w:rPr>
        <w:t>zmiana</w:t>
      </w:r>
      <w:r w:rsidR="00970B2E" w:rsidRPr="00D44D33">
        <w:rPr>
          <w:rFonts w:ascii="Times New Roman" w:eastAsiaTheme="minorEastAsia" w:hAnsi="Times New Roman" w:cs="Times New Roman"/>
          <w:b/>
          <w:bCs/>
          <w:sz w:val="24"/>
          <w:szCs w:val="24"/>
        </w:rPr>
        <w:t xml:space="preserve"> </w:t>
      </w:r>
      <w:r w:rsidR="0080392B" w:rsidRPr="00D44D33">
        <w:rPr>
          <w:rFonts w:ascii="Times New Roman" w:eastAsiaTheme="minorEastAsia" w:hAnsi="Times New Roman" w:cs="Times New Roman"/>
          <w:b/>
          <w:bCs/>
          <w:sz w:val="24"/>
          <w:szCs w:val="24"/>
        </w:rPr>
        <w:t>dostawcy</w:t>
      </w:r>
      <w:r w:rsidR="00970B2E" w:rsidRPr="00D44D33">
        <w:rPr>
          <w:rFonts w:ascii="Times New Roman" w:eastAsiaTheme="minorEastAsia" w:hAnsi="Times New Roman" w:cs="Times New Roman"/>
          <w:b/>
          <w:bCs/>
          <w:sz w:val="24"/>
          <w:szCs w:val="24"/>
        </w:rPr>
        <w:t xml:space="preserve"> </w:t>
      </w:r>
      <w:r w:rsidR="0080392B" w:rsidRPr="00D44D33">
        <w:rPr>
          <w:rFonts w:ascii="Times New Roman" w:eastAsiaTheme="minorEastAsia" w:hAnsi="Times New Roman" w:cs="Times New Roman"/>
          <w:b/>
          <w:bCs/>
          <w:sz w:val="24"/>
          <w:szCs w:val="24"/>
        </w:rPr>
        <w:t>internetu</w:t>
      </w:r>
    </w:p>
    <w:p w14:paraId="4C2B1BD5" w14:textId="45216EAE" w:rsidR="00993FAD" w:rsidRPr="00D44D33" w:rsidRDefault="00993FAD"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doszło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takim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przypadku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dotychczasowy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kontynuuje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dotychczasowych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warunkach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czasu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rozpoczęcia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Sytuacja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nieskutecznej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zmiany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której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dotychczasowy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niejako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zastępstwie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powinna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być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tymczasowa.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związku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2</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wskazano,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że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brak</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rozpoczęcia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w:t>
      </w:r>
      <w:r w:rsidR="00436C3F"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terminie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30</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dni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terminu,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którym</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rozpoczęcie</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miało</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nastąpić</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będzie</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wywoływać</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konkretne</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skutki</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prawne.</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W</w:t>
      </w:r>
      <w:r w:rsidRPr="00D44D33">
        <w:rPr>
          <w:rFonts w:ascii="Times New Roman" w:eastAsiaTheme="minorEastAsia" w:hAnsi="Times New Roman" w:cs="Times New Roman"/>
          <w:bCs/>
          <w:sz w:val="24"/>
          <w:szCs w:val="24"/>
        </w:rPr>
        <w:t>ypowiedzenie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umowy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dotychczasowym</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dostawcą</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przypadku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brak</w:t>
      </w:r>
      <w:r w:rsidR="00436C3F" w:rsidRPr="00D44D33">
        <w:rPr>
          <w:rFonts w:ascii="Times New Roman" w:eastAsiaTheme="minorEastAsia" w:hAnsi="Times New Roman" w:cs="Times New Roman"/>
          <w:bCs/>
          <w:sz w:val="24"/>
          <w:szCs w:val="24"/>
        </w:rPr>
        <w:t>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przeciwnego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abonenta</w:t>
      </w:r>
      <w:r w:rsidR="00436C3F"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stanie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bezskuteczne</w:t>
      </w:r>
      <w:r w:rsidR="00436C3F"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umow</w:t>
      </w:r>
      <w:r w:rsidR="00436C3F" w:rsidRPr="00D44D33">
        <w:rPr>
          <w:rFonts w:ascii="Times New Roman" w:eastAsiaTheme="minorEastAsia" w:hAnsi="Times New Roman" w:cs="Times New Roman"/>
          <w:bCs/>
          <w:sz w:val="24"/>
          <w:szCs w:val="24"/>
        </w:rPr>
        <w: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nowym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dostawcą</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dostępu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internetu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uważa</w:t>
      </w:r>
      <w:r w:rsidR="00436C3F"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będzie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niezawartą</w:t>
      </w:r>
      <w:r w:rsidR="00436C3F"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ww.</w:t>
      </w:r>
      <w:r w:rsidR="00970B2E" w:rsidRPr="00D44D33">
        <w:rPr>
          <w:rFonts w:ascii="Times New Roman" w:eastAsiaTheme="minorEastAsia" w:hAnsi="Times New Roman" w:cs="Times New Roman"/>
          <w:bCs/>
          <w:sz w:val="24"/>
          <w:szCs w:val="24"/>
        </w:rPr>
        <w:t xml:space="preserve"> </w:t>
      </w:r>
      <w:r w:rsidR="00436C3F" w:rsidRPr="00D44D33">
        <w:rPr>
          <w:rFonts w:ascii="Times New Roman" w:eastAsiaTheme="minorEastAsia" w:hAnsi="Times New Roman" w:cs="Times New Roman"/>
          <w:bCs/>
          <w:sz w:val="24"/>
          <w:szCs w:val="24"/>
        </w:rPr>
        <w:t>skutkach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dotychczasowy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informuje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abonenta.</w:t>
      </w:r>
    </w:p>
    <w:p w14:paraId="2CD78D40" w14:textId="3D9CEF5C" w:rsidR="0054485A" w:rsidRPr="00D44D33" w:rsidRDefault="0079502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Przepisy ust. </w:t>
      </w:r>
      <w:r w:rsidR="0054485A" w:rsidRPr="00D44D33">
        <w:rPr>
          <w:rFonts w:ascii="Times New Roman" w:eastAsiaTheme="minorEastAsia" w:hAnsi="Times New Roman" w:cs="Times New Roman"/>
          <w:sz w:val="24"/>
          <w:szCs w:val="24"/>
        </w:rPr>
        <w:t>3</w:t>
      </w:r>
      <w:r w:rsidR="00FE619E" w:rsidRPr="00D44D33">
        <w:rPr>
          <w:rFonts w:ascii="Times New Roman" w:eastAsiaTheme="minorEastAsia" w:hAnsi="Times New Roman" w:cs="Times New Roman"/>
          <w:bCs/>
          <w:sz w:val="24"/>
          <w:szCs w:val="24"/>
        </w:rPr>
        <w:t>–</w:t>
      </w:r>
      <w:r w:rsidR="0054485A"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odszkodowawczej</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doszło</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54485A" w:rsidRPr="00D44D33" w:rsidDel="00296114">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uzgodnionym</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jednorazowe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od</w:t>
      </w:r>
      <w:r w:rsidR="00371EEA">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rozpoczęty</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opóźnienia</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sumy</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miesięcznych</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liczonej</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rachunków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ostatnich</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trzech</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okresów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rozliczeniowych.</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przysługiwało</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opóźnienie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przekroczyło</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54485A" w:rsidRPr="00D44D33">
        <w:rPr>
          <w:rFonts w:ascii="Times New Roman" w:eastAsiaTheme="minorEastAsia" w:hAnsi="Times New Roman" w:cs="Times New Roman"/>
          <w:sz w:val="24"/>
          <w:szCs w:val="24"/>
        </w:rPr>
        <w:t>roboczego.</w:t>
      </w:r>
      <w:r w:rsidR="00970B2E" w:rsidRPr="00D44D33">
        <w:rPr>
          <w:rFonts w:ascii="Times New Roman" w:eastAsiaTheme="minorEastAsia" w:hAnsi="Times New Roman" w:cs="Times New Roman"/>
          <w:sz w:val="24"/>
          <w:szCs w:val="24"/>
        </w:rPr>
        <w:t xml:space="preserve"> </w:t>
      </w:r>
    </w:p>
    <w:p w14:paraId="6452A60A" w14:textId="759DDA23" w:rsidR="0054485A" w:rsidRPr="00D44D33" w:rsidRDefault="0054485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opóźnienie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nieleżących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wypłaconego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leżały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opóźnienia.</w:t>
      </w:r>
    </w:p>
    <w:p w14:paraId="51B8CD03" w14:textId="57C7700A" w:rsidR="0069287E" w:rsidRPr="00D44D33" w:rsidRDefault="0054485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Kwota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obliczana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upłynęły</w:t>
      </w:r>
      <w:r w:rsidR="00970B2E" w:rsidRPr="00D44D33">
        <w:rPr>
          <w:rFonts w:ascii="Times New Roman" w:eastAsiaTheme="minorEastAsia" w:hAnsi="Times New Roman" w:cs="Times New Roman"/>
          <w:sz w:val="24"/>
          <w:szCs w:val="24"/>
        </w:rPr>
        <w:t xml:space="preserve"> </w:t>
      </w:r>
      <w:r w:rsidRPr="00D44D33" w:rsidDel="006074E5">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sidDel="00745341">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sidDel="00745341">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B879C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upływu</w:t>
      </w:r>
      <w:r w:rsidR="00970B2E" w:rsidRPr="00D44D33">
        <w:rPr>
          <w:rFonts w:ascii="Times New Roman" w:eastAsiaTheme="minorEastAsia" w:hAnsi="Times New Roman" w:cs="Times New Roman"/>
          <w:sz w:val="24"/>
          <w:szCs w:val="24"/>
        </w:rPr>
        <w:t xml:space="preserve"> </w:t>
      </w:r>
      <w:r w:rsidR="00B879C3" w:rsidRPr="00D44D33">
        <w:rPr>
          <w:rFonts w:ascii="Times New Roman" w:eastAsiaTheme="minorEastAsia" w:hAnsi="Times New Roman" w:cs="Times New Roman"/>
          <w:sz w:val="24"/>
          <w:szCs w:val="24"/>
        </w:rPr>
        <w:t>30-dniowego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B879C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B879C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B879C3"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B879C3"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B879C3" w:rsidRPr="00D44D33">
        <w:rPr>
          <w:rFonts w:ascii="Times New Roman" w:eastAsiaTheme="minorEastAsia" w:hAnsi="Times New Roman" w:cs="Times New Roman"/>
          <w:sz w:val="24"/>
          <w:szCs w:val="24"/>
        </w:rPr>
        <w:t>wyżej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EC726DE" w14:textId="24F4D145" w:rsidR="0079502C" w:rsidRPr="00D44D33" w:rsidRDefault="006928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Artykuł</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314</w:t>
      </w:r>
    </w:p>
    <w:p w14:paraId="399DBDD6" w14:textId="5F0D0374" w:rsidR="0069287E"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R</w:t>
      </w:r>
      <w:r w:rsidR="006B4BE3" w:rsidRPr="00D44D33">
        <w:rPr>
          <w:rFonts w:ascii="Times New Roman" w:eastAsiaTheme="minorEastAsia" w:hAnsi="Times New Roman" w:cs="Times New Roman"/>
          <w:b/>
          <w:bCs/>
          <w:sz w:val="24"/>
          <w:szCs w:val="24"/>
        </w:rPr>
        <w:t>ealizacja</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uprawnień</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zakresie</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ciągłości</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internetu</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oraz</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jej</w:t>
      </w:r>
      <w:r w:rsidR="00970B2E" w:rsidRPr="00D44D33">
        <w:rPr>
          <w:rFonts w:ascii="Times New Roman" w:eastAsiaTheme="minorEastAsia" w:hAnsi="Times New Roman" w:cs="Times New Roman"/>
          <w:b/>
          <w:bCs/>
          <w:sz w:val="24"/>
          <w:szCs w:val="24"/>
        </w:rPr>
        <w:t xml:space="preserve"> </w:t>
      </w:r>
      <w:r w:rsidR="006B4BE3" w:rsidRPr="00D44D33">
        <w:rPr>
          <w:rFonts w:ascii="Times New Roman" w:eastAsiaTheme="minorEastAsia" w:hAnsi="Times New Roman" w:cs="Times New Roman"/>
          <w:b/>
          <w:bCs/>
          <w:sz w:val="24"/>
          <w:szCs w:val="24"/>
        </w:rPr>
        <w:t>zawieszenie</w:t>
      </w:r>
    </w:p>
    <w:p w14:paraId="73889B19" w14:textId="114A6C9C" w:rsidR="0001231E" w:rsidRPr="00D44D33" w:rsidRDefault="0079502C"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6B4BE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B4BE3"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B4BE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B4BE3"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operatora</w:t>
      </w:r>
      <w:r w:rsidR="006B4BE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obejmują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stworzenie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organizacyjnych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istnieją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praktycznej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zawiesić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pozwalają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całości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przystosowania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objętego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urzędu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drodze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decyzji</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zawiesić</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realizację</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ograniczyć</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zakres</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realizacji</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uprawnienia</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zachowania</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ciągłości</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operatorowi,</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uporczywie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wadliwy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niezgodnie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wolą</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realizuje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proces</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Zawieszenie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ograniczenie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uprawnień</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pozostaje</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wpływu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proces</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zmiany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dostawcy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internetu,</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który</w:t>
      </w:r>
      <w:r w:rsidR="00B01DAE" w:rsidRPr="00D44D33">
        <w:rPr>
          <w:rFonts w:ascii="Times New Roman" w:eastAsia="Times New Roman" w:hAnsi="Times New Roman" w:cs="Times New Roman"/>
          <w:sz w:val="24"/>
          <w:szCs w:val="24"/>
        </w:rPr>
        <w:t>m</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dany</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069287E" w:rsidRPr="00D44D33">
        <w:rPr>
          <w:rFonts w:ascii="Times New Roman" w:eastAsia="Times New Roman" w:hAnsi="Times New Roman" w:cs="Times New Roman"/>
          <w:sz w:val="24"/>
          <w:szCs w:val="24"/>
        </w:rPr>
        <w:t>dawcą.</w:t>
      </w:r>
    </w:p>
    <w:p w14:paraId="2F9933A3" w14:textId="6527A2C2" w:rsidR="0079502C" w:rsidRPr="00D44D33" w:rsidRDefault="006928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315</w:t>
      </w:r>
    </w:p>
    <w:p w14:paraId="5AB2FE8C" w14:textId="235EAFB6" w:rsidR="0069287E"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S</w:t>
      </w:r>
      <w:r w:rsidR="00FA5D2D" w:rsidRPr="00D44D33">
        <w:rPr>
          <w:rFonts w:ascii="Times New Roman" w:eastAsiaTheme="minorEastAsia" w:hAnsi="Times New Roman" w:cs="Times New Roman"/>
          <w:b/>
          <w:bCs/>
          <w:sz w:val="24"/>
          <w:szCs w:val="24"/>
        </w:rPr>
        <w:t>ystem</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wymiany</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komunikatów</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zakresie</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zmiany</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dostawcy</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00FA5D2D" w:rsidRPr="00D44D33">
        <w:rPr>
          <w:rFonts w:ascii="Times New Roman" w:eastAsiaTheme="minorEastAsia" w:hAnsi="Times New Roman" w:cs="Times New Roman"/>
          <w:b/>
          <w:bCs/>
          <w:sz w:val="24"/>
          <w:szCs w:val="24"/>
        </w:rPr>
        <w:t>internetu</w:t>
      </w:r>
    </w:p>
    <w:p w14:paraId="1FDC336D" w14:textId="2F7392B5" w:rsidR="0001231E" w:rsidRPr="00D44D33" w:rsidRDefault="0079502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w:t>
      </w:r>
      <w:r w:rsidR="00FA5D2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utworzenie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teleinformatycznego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wymiany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operatorami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dostawcami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zintegrowany</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systemem</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001C16F8"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zarządzaniem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systemem</w:t>
      </w:r>
      <w:r w:rsidR="00B01DA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zgromadzonych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celach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zapewnieniem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funkcjonalności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przystępność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udostępnienie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interfejsu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371EEA">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00FA5D2D"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delegację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ustawową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organizacji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spos</w:t>
      </w:r>
      <w:r w:rsidR="00B01DAE" w:rsidRPr="00D44D33">
        <w:rPr>
          <w:rFonts w:ascii="Times New Roman" w:eastAsiaTheme="minorEastAsia" w:hAnsi="Times New Roman" w:cs="Times New Roman"/>
          <w:sz w:val="24"/>
          <w:szCs w:val="24"/>
        </w:rPr>
        <w:t>obu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wymiany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operatorami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dostawcami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internetu.</w:t>
      </w:r>
    </w:p>
    <w:p w14:paraId="27332BB3"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5408B28F"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5DADAC05" w14:textId="3EC62F13" w:rsidR="001C16F8" w:rsidRPr="00D44D33" w:rsidRDefault="001C16F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BF4CC5" w:rsidRPr="00D44D33">
        <w:rPr>
          <w:rFonts w:ascii="Times New Roman" w:eastAsiaTheme="minorEastAsia" w:hAnsi="Times New Roman" w:cs="Times New Roman"/>
          <w:b/>
          <w:sz w:val="24"/>
          <w:szCs w:val="24"/>
        </w:rPr>
        <w:t>316</w:t>
      </w:r>
    </w:p>
    <w:p w14:paraId="6AAD2A55" w14:textId="1D31D56A" w:rsidR="0069287E" w:rsidRPr="00D44D33" w:rsidRDefault="001C16F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9502C"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sprecyzowane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będący</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C93FD4" w:rsidRPr="00D44D33">
        <w:rPr>
          <w:rFonts w:ascii="Times New Roman" w:eastAsiaTheme="minorEastAsia" w:hAnsi="Times New Roman" w:cs="Times New Roman"/>
          <w:sz w:val="24"/>
          <w:szCs w:val="24"/>
        </w:rPr>
        <w:t>ruchomej,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6C6293" w:rsidRPr="00D44D33">
        <w:rPr>
          <w:rFonts w:ascii="Times New Roman" w:eastAsiaTheme="minorEastAsia" w:hAnsi="Times New Roman" w:cs="Times New Roman"/>
          <w:sz w:val="24"/>
          <w:szCs w:val="24"/>
        </w:rPr>
        <w: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świadczonego</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technologii</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mobilnej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6C6293" w:rsidRPr="00D44D33">
        <w:rPr>
          <w:rFonts w:ascii="Times New Roman" w:eastAsiaTheme="minorEastAsia" w:hAnsi="Times New Roman" w:cs="Times New Roman"/>
          <w:sz w:val="24"/>
          <w:szCs w:val="24"/>
        </w:rPr>
        <w:t>niegeograficznego</w:t>
      </w:r>
      <w:r w:rsidR="00181E0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znaleźć</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181E05" w:rsidRPr="00D44D33">
        <w:rPr>
          <w:rFonts w:ascii="Times New Roman" w:eastAsiaTheme="minorEastAsia" w:hAnsi="Times New Roman" w:cs="Times New Roman"/>
          <w:sz w:val="24"/>
          <w:szCs w:val="24"/>
        </w:rPr>
        <w:t>numeru.</w:t>
      </w:r>
    </w:p>
    <w:p w14:paraId="103DFC03" w14:textId="495F3DCD" w:rsidR="00221330" w:rsidRPr="00D44D33" w:rsidRDefault="56028FE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317</w:t>
      </w:r>
      <w:r w:rsidR="00FE619E" w:rsidRPr="00D44D33">
        <w:rPr>
          <w:rFonts w:ascii="Times New Roman" w:eastAsiaTheme="minorEastAsia" w:hAnsi="Times New Roman" w:cs="Times New Roman"/>
          <w:bCs/>
          <w:sz w:val="24"/>
          <w:szCs w:val="24"/>
        </w:rPr>
        <w:t>–</w:t>
      </w:r>
      <w:r w:rsidR="00BF4CC5" w:rsidRPr="00D44D33">
        <w:rPr>
          <w:rFonts w:ascii="Times New Roman" w:eastAsiaTheme="minorEastAsia" w:hAnsi="Times New Roman" w:cs="Times New Roman"/>
          <w:b/>
          <w:bCs/>
          <w:sz w:val="24"/>
          <w:szCs w:val="24"/>
        </w:rPr>
        <w:t>321</w:t>
      </w:r>
      <w:r w:rsidR="00970B2E" w:rsidRPr="00D44D33">
        <w:rPr>
          <w:rFonts w:ascii="Times New Roman" w:eastAsiaTheme="minorEastAsia" w:hAnsi="Times New Roman" w:cs="Times New Roman"/>
          <w:b/>
          <w:bCs/>
          <w:sz w:val="24"/>
          <w:szCs w:val="24"/>
        </w:rPr>
        <w:t xml:space="preserve"> </w:t>
      </w:r>
      <w:r w:rsidR="12727ED0" w:rsidRPr="00D44D33">
        <w:rPr>
          <w:rFonts w:ascii="Times New Roman" w:eastAsiaTheme="minorEastAsia" w:hAnsi="Times New Roman" w:cs="Times New Roman"/>
          <w:b/>
          <w:bCs/>
          <w:sz w:val="24"/>
          <w:szCs w:val="24"/>
        </w:rPr>
        <w:t>z</w:t>
      </w:r>
      <w:r w:rsidR="566EAACD" w:rsidRPr="00D44D33">
        <w:rPr>
          <w:rFonts w:ascii="Times New Roman" w:eastAsiaTheme="minorEastAsia" w:hAnsi="Times New Roman" w:cs="Times New Roman"/>
          <w:b/>
          <w:bCs/>
          <w:sz w:val="24"/>
          <w:szCs w:val="24"/>
        </w:rPr>
        <w:t>miana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przeniesienie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innej</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lokalizacji,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przeniesienie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związku</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ze</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zmianą</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dostawcy</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0D4DD706" w14:textId="4016DF34" w:rsidR="0079502C" w:rsidRPr="00D44D33" w:rsidRDefault="0001231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317</w:t>
      </w:r>
    </w:p>
    <w:p w14:paraId="34F9BF9B" w14:textId="7E3EC91B" w:rsidR="004D4ADD"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Z</w:t>
      </w:r>
      <w:r w:rsidR="004D4ADD" w:rsidRPr="00D44D33">
        <w:rPr>
          <w:rFonts w:ascii="Times New Roman" w:eastAsiaTheme="minorEastAsia" w:hAnsi="Times New Roman" w:cs="Times New Roman"/>
          <w:b/>
          <w:bCs/>
          <w:sz w:val="24"/>
          <w:szCs w:val="24"/>
        </w:rPr>
        <w:t>miana</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przydzielonego</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numeru</w:t>
      </w:r>
    </w:p>
    <w:p w14:paraId="6C385FD8" w14:textId="487DB524" w:rsidR="00221330" w:rsidRPr="00D44D33" w:rsidRDefault="0079502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Cs/>
          <w:sz w:val="24"/>
          <w:szCs w:val="24"/>
        </w:rPr>
        <w:t>Przepis</w:t>
      </w:r>
      <w:r w:rsidR="00970B2E" w:rsidRPr="00D44D33">
        <w:rPr>
          <w:rFonts w:ascii="Times New Roman" w:eastAsiaTheme="minorEastAsia" w:hAnsi="Times New Roman" w:cs="Times New Roman"/>
          <w:bCs/>
          <w:sz w:val="24"/>
          <w:szCs w:val="24"/>
        </w:rPr>
        <w:t xml:space="preserve"> </w:t>
      </w:r>
      <w:r w:rsidR="004D4ADD" w:rsidRPr="00D44D33">
        <w:rPr>
          <w:rFonts w:ascii="Times New Roman" w:eastAsiaTheme="minorEastAsia" w:hAnsi="Times New Roman" w:cs="Times New Roman"/>
          <w:bCs/>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przydzielonego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dalsze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uciążliwe.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Przedmiotowe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przydzielony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przewidzianym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324</w:t>
      </w:r>
      <w:r w:rsidR="00EC04D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występują</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67D451B8" w:rsidRPr="00D44D33">
        <w:rPr>
          <w:rFonts w:ascii="Times New Roman" w:eastAsiaTheme="minorEastAsia" w:hAnsi="Times New Roman" w:cs="Times New Roman"/>
          <w:sz w:val="24"/>
          <w:szCs w:val="24"/>
        </w:rPr>
        <w:t>Pt.</w:t>
      </w:r>
    </w:p>
    <w:p w14:paraId="652B7CBA" w14:textId="5CBD127D" w:rsidR="0079502C" w:rsidRPr="00D44D33" w:rsidRDefault="264F414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318</w:t>
      </w:r>
    </w:p>
    <w:p w14:paraId="49C1C6B2" w14:textId="1594B636" w:rsidR="00221330" w:rsidRPr="00D44D33" w:rsidRDefault="0079502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4D4ADD" w:rsidRPr="00D44D33">
        <w:rPr>
          <w:rFonts w:ascii="Times New Roman" w:eastAsiaTheme="minorEastAsia" w:hAnsi="Times New Roman" w:cs="Times New Roman"/>
          <w:b/>
          <w:bCs/>
          <w:sz w:val="24"/>
          <w:szCs w:val="24"/>
        </w:rPr>
        <w:t>rzeniesienie</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nowej</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lokalizacji</w:t>
      </w:r>
    </w:p>
    <w:p w14:paraId="29F083CA" w14:textId="5C7B393F" w:rsidR="00221330" w:rsidRPr="00D44D33" w:rsidRDefault="0079502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318</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miejsca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zamieszkania,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siedziby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miejsca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istniejącej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samego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całego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kraju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niegeograficznych,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geograficznych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samym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wskaźniku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geograficznego.</w:t>
      </w:r>
      <w:r w:rsidR="00970B2E" w:rsidRPr="00D44D33">
        <w:rPr>
          <w:rFonts w:ascii="Times New Roman" w:eastAsiaTheme="minorEastAsia" w:hAnsi="Times New Roman" w:cs="Times New Roman"/>
          <w:sz w:val="24"/>
          <w:szCs w:val="24"/>
        </w:rPr>
        <w:t xml:space="preserve"> </w:t>
      </w:r>
    </w:p>
    <w:p w14:paraId="07F7711B" w14:textId="2E6F7EFE" w:rsidR="00F71FCC" w:rsidRPr="00D44D33" w:rsidRDefault="05CA8F5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319</w:t>
      </w:r>
    </w:p>
    <w:p w14:paraId="0AFCB028" w14:textId="3ABAC431" w:rsidR="05CA8F55" w:rsidRPr="00D44D33" w:rsidRDefault="00F71FC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4D4ADD" w:rsidRPr="00D44D33">
        <w:rPr>
          <w:rFonts w:ascii="Times New Roman" w:eastAsiaTheme="minorEastAsia" w:hAnsi="Times New Roman" w:cs="Times New Roman"/>
          <w:b/>
          <w:bCs/>
          <w:sz w:val="24"/>
          <w:szCs w:val="24"/>
        </w:rPr>
        <w:t>rzeniesienie</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numeru</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związku</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ze</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zmianą</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dostawcy</w:t>
      </w:r>
      <w:r w:rsidR="00970B2E" w:rsidRPr="00D44D33">
        <w:rPr>
          <w:rFonts w:ascii="Times New Roman" w:eastAsiaTheme="minorEastAsia" w:hAnsi="Times New Roman" w:cs="Times New Roman"/>
          <w:b/>
          <w:bCs/>
          <w:sz w:val="24"/>
          <w:szCs w:val="24"/>
        </w:rPr>
        <w:t xml:space="preserve"> </w:t>
      </w:r>
      <w:r w:rsidR="004D4ADD" w:rsidRPr="00D44D33">
        <w:rPr>
          <w:rFonts w:ascii="Times New Roman" w:eastAsiaTheme="minorEastAsia" w:hAnsi="Times New Roman" w:cs="Times New Roman"/>
          <w:b/>
          <w:bCs/>
          <w:sz w:val="24"/>
          <w:szCs w:val="24"/>
        </w:rPr>
        <w:t>usług</w:t>
      </w:r>
    </w:p>
    <w:p w14:paraId="1AFEA4DB" w14:textId="066793CB" w:rsidR="00221330" w:rsidRPr="00D44D33" w:rsidRDefault="00F71FC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BF4CC5" w:rsidRPr="00D44D33">
        <w:rPr>
          <w:rFonts w:ascii="Times New Roman" w:eastAsiaTheme="minorEastAsia" w:hAnsi="Times New Roman" w:cs="Times New Roman"/>
          <w:sz w:val="24"/>
          <w:szCs w:val="24"/>
        </w:rPr>
        <w:t>319</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106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istniejącej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geograficznym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geograficznych,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niegeograficznych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całego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kraju.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przenoszenia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stacjonarnymi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ruchomymi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p>
    <w:p w14:paraId="3607337C" w14:textId="19B2243F"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miesiąc</w:t>
      </w:r>
      <w:r w:rsidR="3211873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przejęciu</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zobowiązań</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cofnął</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18CCC896" w:rsidRPr="00D44D33">
        <w:rPr>
          <w:rFonts w:ascii="Times New Roman" w:eastAsiaTheme="minorEastAsia" w:hAnsi="Times New Roman" w:cs="Times New Roman"/>
          <w:sz w:val="24"/>
          <w:szCs w:val="24"/>
        </w:rPr>
        <w:t>numeracji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zastrzeżono,</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zrzec</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101249F5" w:rsidRPr="00D44D33">
        <w:rPr>
          <w:rFonts w:ascii="Times New Roman" w:eastAsiaTheme="minorEastAsia" w:hAnsi="Times New Roman" w:cs="Times New Roman"/>
          <w:sz w:val="24"/>
          <w:szCs w:val="24"/>
        </w:rPr>
        <w:t>numeru.</w:t>
      </w:r>
    </w:p>
    <w:p w14:paraId="4D4EF24A" w14:textId="68916220" w:rsidR="0001231E" w:rsidRPr="00D44D33" w:rsidRDefault="004D4ADD"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przenosząc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bCs/>
          <w:sz w:val="24"/>
          <w:szCs w:val="24"/>
        </w:rPr>
        <w:t>opłata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wysokości</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nieprzekraczającej</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opłaty</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abonamentowej</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okres</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wypowiedzenia,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nie</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wyższej</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jednak</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niż</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opłata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abonamentowa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jeden</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okres</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rozliczeniowy,</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powiększona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odszkodowanie,</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którym</w:t>
      </w:r>
      <w:r w:rsidR="00371EEA">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mowa</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791907" w:rsidRPr="00D44D33">
        <w:rPr>
          <w:rFonts w:ascii="Times New Roman" w:eastAsiaTheme="minorEastAsia" w:hAnsi="Times New Roman" w:cs="Times New Roman"/>
          <w:bCs/>
          <w:sz w:val="24"/>
          <w:szCs w:val="24"/>
        </w:rPr>
        <w:t>art.</w:t>
      </w:r>
      <w:r w:rsidR="00970B2E" w:rsidRPr="00D44D33">
        <w:rPr>
          <w:rFonts w:ascii="Times New Roman" w:eastAsiaTheme="minorEastAsia" w:hAnsi="Times New Roman" w:cs="Times New Roman"/>
          <w:bCs/>
          <w:sz w:val="24"/>
          <w:szCs w:val="24"/>
        </w:rPr>
        <w:t xml:space="preserve"> </w:t>
      </w:r>
      <w:r w:rsidR="00370C89" w:rsidRPr="00D44D33">
        <w:rPr>
          <w:rFonts w:ascii="Times New Roman" w:eastAsiaTheme="minorEastAsia" w:hAnsi="Times New Roman" w:cs="Times New Roman"/>
          <w:bCs/>
          <w:sz w:val="24"/>
          <w:szCs w:val="24"/>
        </w:rPr>
        <w:t>298</w:t>
      </w:r>
      <w:r w:rsidR="00791907" w:rsidRPr="00D44D33">
        <w:rPr>
          <w:rFonts w:ascii="Times New Roman" w:eastAsiaTheme="minorEastAsia" w:hAnsi="Times New Roman" w:cs="Times New Roman"/>
          <w:bCs/>
          <w:sz w:val="24"/>
          <w:szCs w:val="24"/>
        </w:rPr>
        <w:t>.</w:t>
      </w:r>
    </w:p>
    <w:p w14:paraId="68B1DD58" w14:textId="17B05599" w:rsidR="0001231E" w:rsidRPr="00D44D33" w:rsidRDefault="00896EA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566EAACD" w:rsidRPr="00D44D33">
        <w:rPr>
          <w:rFonts w:ascii="Times New Roman" w:eastAsiaTheme="minorEastAsia" w:hAnsi="Times New Roman" w:cs="Times New Roman"/>
          <w:sz w:val="24"/>
          <w:szCs w:val="24"/>
        </w:rPr>
        <w:t>bonent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żądając</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wypowiedzieć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dostawcą</w:t>
      </w:r>
      <w:r w:rsidR="56E0F33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A85585B" w14:textId="620C6ADA" w:rsidR="0001231E" w:rsidRPr="00D44D33" w:rsidRDefault="56E0F331" w:rsidP="00B61396">
      <w:pPr>
        <w:pStyle w:val="Akapitzlist"/>
        <w:numPr>
          <w:ilvl w:val="1"/>
          <w:numId w:val="126"/>
        </w:numPr>
        <w:spacing w:before="120" w:after="120" w:line="360" w:lineRule="auto"/>
        <w:ind w:left="426" w:hanging="426"/>
        <w:jc w:val="both"/>
        <w:rPr>
          <w:rFonts w:ascii="Times New Roman" w:eastAsia="Times" w:hAnsi="Times New Roman" w:cs="Times New Roman"/>
          <w:sz w:val="24"/>
          <w:szCs w:val="24"/>
        </w:rPr>
      </w:pP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zachowaniem</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okresu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wypowiedzenia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wynikającego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umowy</w:t>
      </w:r>
      <w:r w:rsidR="00B01DAE"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p>
    <w:p w14:paraId="74700D49" w14:textId="7A1721C3" w:rsidR="00FE619E" w:rsidRPr="00D44D33" w:rsidRDefault="56E0F331" w:rsidP="00B61396">
      <w:pPr>
        <w:pStyle w:val="Akapitzlist"/>
        <w:numPr>
          <w:ilvl w:val="1"/>
          <w:numId w:val="126"/>
        </w:numPr>
        <w:spacing w:before="120" w:after="120" w:line="360" w:lineRule="auto"/>
        <w:ind w:left="426" w:hanging="426"/>
        <w:jc w:val="both"/>
        <w:rPr>
          <w:rFonts w:ascii="Times New Roman" w:eastAsia="Times" w:hAnsi="Times New Roman" w:cs="Times New Roman"/>
          <w:sz w:val="24"/>
          <w:szCs w:val="24"/>
        </w:rPr>
      </w:pPr>
      <w:r w:rsidRPr="00D44D33">
        <w:rPr>
          <w:rFonts w:ascii="Times New Roman" w:eastAsia="Times" w:hAnsi="Times New Roman" w:cs="Times New Roman"/>
          <w:sz w:val="24"/>
          <w:szCs w:val="24"/>
        </w:rPr>
        <w:t>bez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zachowania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okresu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wypowiedzenia,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ze</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wskazaniem</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konkretnego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terminu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przeniesienia</w:t>
      </w:r>
      <w:r w:rsidR="00B01DAE" w:rsidRPr="00D44D33">
        <w:rPr>
          <w:rFonts w:ascii="Times New Roman" w:eastAsia="Times" w:hAnsi="Times New Roman" w:cs="Times New Roman"/>
          <w:sz w:val="24"/>
          <w:szCs w:val="24"/>
        </w:rPr>
        <w:t>;</w:t>
      </w:r>
      <w:r w:rsidR="00970B2E" w:rsidRPr="00D44D33">
        <w:rPr>
          <w:rFonts w:ascii="Times New Roman" w:eastAsia="Times" w:hAnsi="Times New Roman" w:cs="Times New Roman"/>
          <w:sz w:val="24"/>
          <w:szCs w:val="24"/>
        </w:rPr>
        <w:t xml:space="preserve"> </w:t>
      </w:r>
    </w:p>
    <w:p w14:paraId="389B574D" w14:textId="4DB4467B" w:rsidR="00221330" w:rsidRPr="00D44D33" w:rsidRDefault="56E0F331" w:rsidP="00B61396">
      <w:pPr>
        <w:pStyle w:val="Akapitzlist"/>
        <w:numPr>
          <w:ilvl w:val="1"/>
          <w:numId w:val="126"/>
        </w:numPr>
        <w:spacing w:before="120" w:after="120" w:line="360" w:lineRule="auto"/>
        <w:ind w:left="426" w:hanging="426"/>
        <w:jc w:val="both"/>
        <w:rPr>
          <w:rFonts w:ascii="Times New Roman" w:eastAsia="Times" w:hAnsi="Times New Roman" w:cs="Times New Roman"/>
          <w:sz w:val="24"/>
          <w:szCs w:val="24"/>
        </w:rPr>
      </w:pPr>
      <w:r w:rsidRPr="00D44D33">
        <w:rPr>
          <w:rFonts w:ascii="Times New Roman" w:eastAsia="Times" w:hAnsi="Times New Roman" w:cs="Times New Roman"/>
          <w:sz w:val="24"/>
          <w:szCs w:val="24"/>
        </w:rPr>
        <w:t>na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koniec</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okresu</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obowiązywania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umowy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wymaganego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skorzystania</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warunków</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promocyjnych</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wynikającego</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umowy</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z</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dotychczasowym</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dostawcą</w:t>
      </w:r>
      <w:r w:rsidR="00970B2E" w:rsidRPr="00D44D33">
        <w:rPr>
          <w:rFonts w:ascii="Times New Roman" w:eastAsia="Times" w:hAnsi="Times New Roman" w:cs="Times New Roman"/>
          <w:sz w:val="24"/>
          <w:szCs w:val="24"/>
        </w:rPr>
        <w:t xml:space="preserve"> </w:t>
      </w:r>
      <w:r w:rsidRPr="00D44D33">
        <w:rPr>
          <w:rFonts w:ascii="Times New Roman" w:eastAsia="Times" w:hAnsi="Times New Roman" w:cs="Times New Roman"/>
          <w:sz w:val="24"/>
          <w:szCs w:val="24"/>
        </w:rPr>
        <w:t>usług.</w:t>
      </w:r>
      <w:r w:rsidR="00970B2E" w:rsidRPr="00D44D33">
        <w:rPr>
          <w:rFonts w:ascii="Times New Roman" w:eastAsia="Times" w:hAnsi="Times New Roman" w:cs="Times New Roman"/>
          <w:sz w:val="24"/>
          <w:szCs w:val="24"/>
        </w:rPr>
        <w:t xml:space="preserve"> </w:t>
      </w:r>
    </w:p>
    <w:p w14:paraId="3A710050" w14:textId="7BEB27C0" w:rsidR="00221330" w:rsidRPr="00D44D33" w:rsidRDefault="155986D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896EAA" w:rsidRPr="00D44D33">
        <w:rPr>
          <w:rFonts w:ascii="Times New Roman" w:eastAsia="Times New Roman" w:hAnsi="Times New Roman" w:cs="Times New Roman"/>
          <w:sz w:val="24"/>
          <w:szCs w:val="24"/>
        </w:rPr>
        <w:t>6</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przeniesienie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przydzielonego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następuje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później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roboczego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uzgodnionego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rozpoczęcia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791907"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w:t>
      </w:r>
      <w:r w:rsidRPr="00D44D33">
        <w:rPr>
          <w:rFonts w:ascii="Times New Roman" w:eastAsiaTheme="minorEastAsia" w:hAnsi="Times New Roman" w:cs="Times New Roman"/>
          <w:sz w:val="24"/>
          <w:szCs w:val="24"/>
        </w:rPr>
        <w:t>ktronicznej.</w:t>
      </w:r>
      <w:r w:rsidR="00970B2E" w:rsidRPr="00D44D33">
        <w:rPr>
          <w:rFonts w:ascii="Times New Roman" w:eastAsiaTheme="minorEastAsia" w:hAnsi="Times New Roman" w:cs="Times New Roman"/>
          <w:sz w:val="24"/>
          <w:szCs w:val="24"/>
        </w:rPr>
        <w:t xml:space="preserve"> </w:t>
      </w:r>
      <w:r w:rsidR="66B067A8"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66B067A8" w:rsidRPr="00D44D33">
        <w:rPr>
          <w:rFonts w:ascii="Times New Roman" w:eastAsiaTheme="minorEastAsia" w:hAnsi="Times New Roman" w:cs="Times New Roman"/>
          <w:sz w:val="24"/>
          <w:szCs w:val="24"/>
        </w:rPr>
        <w:t>doprecyzowano,</w:t>
      </w:r>
      <w:r w:rsidR="00970B2E" w:rsidRPr="00D44D33">
        <w:rPr>
          <w:rFonts w:ascii="Times New Roman" w:eastAsiaTheme="minorEastAsia" w:hAnsi="Times New Roman" w:cs="Times New Roman"/>
          <w:sz w:val="24"/>
          <w:szCs w:val="24"/>
        </w:rPr>
        <w:t xml:space="preserve"> </w:t>
      </w:r>
      <w:r w:rsidR="66B067A8"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zgodny</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terminem</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dotychczasowym</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zachowanie</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791907" w:rsidRPr="00D44D33">
        <w:rPr>
          <w:rFonts w:ascii="Times New Roman" w:eastAsiaTheme="minorEastAsia" w:hAnsi="Times New Roman" w:cs="Times New Roman"/>
          <w:sz w:val="24"/>
          <w:szCs w:val="24"/>
        </w:rPr>
        <w:t>usługi.</w:t>
      </w:r>
    </w:p>
    <w:p w14:paraId="1C25C0A6" w14:textId="5388BB04" w:rsidR="005F6940" w:rsidRPr="00D44D33" w:rsidRDefault="005F694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p>
    <w:p w14:paraId="6F5C73FF" w14:textId="0CEDE1FA" w:rsidR="00221330" w:rsidRPr="00D44D33" w:rsidRDefault="6B3D183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F71FC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96EAA"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sobą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250D5D39"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250D5D39" w:rsidRPr="00D44D33">
        <w:rPr>
          <w:rFonts w:ascii="Times New Roman" w:eastAsiaTheme="minorEastAsia" w:hAnsi="Times New Roman" w:cs="Times New Roman"/>
          <w:sz w:val="24"/>
          <w:szCs w:val="24"/>
        </w:rPr>
        <w:t>CBD</w:t>
      </w:r>
      <w:r w:rsidR="4061697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Bazę</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przeniesionych.</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w:t>
      </w:r>
      <w:r w:rsidR="00B01DAE" w:rsidRPr="00D44D33">
        <w:rPr>
          <w:rFonts w:ascii="Times New Roman" w:eastAsiaTheme="minorEastAsia" w:hAnsi="Times New Roman" w:cs="Times New Roman"/>
          <w:sz w:val="24"/>
          <w:szCs w:val="24"/>
        </w:rPr>
        <w:t>NK</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udostępniono</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numerację</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aktualizacji</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F6940" w:rsidRPr="00D44D33">
        <w:rPr>
          <w:rFonts w:ascii="Times New Roman" w:eastAsiaTheme="minorEastAsia" w:hAnsi="Times New Roman" w:cs="Times New Roman"/>
          <w:sz w:val="24"/>
          <w:szCs w:val="24"/>
        </w:rPr>
        <w:t>B</w:t>
      </w:r>
      <w:r w:rsidR="40616976" w:rsidRPr="00D44D33">
        <w:rPr>
          <w:rFonts w:ascii="Times New Roman" w:eastAsiaTheme="minorEastAsia" w:hAnsi="Times New Roman" w:cs="Times New Roman"/>
          <w:sz w:val="24"/>
          <w:szCs w:val="24"/>
        </w:rPr>
        <w:t>azie.</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pobiera</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4061697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p>
    <w:p w14:paraId="48DAF9B8" w14:textId="32EF0751" w:rsidR="008E5640" w:rsidRPr="00D44D33" w:rsidRDefault="250D5D3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E5640"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upad</w:t>
      </w:r>
      <w:r w:rsidR="58103C7E" w:rsidRPr="00D44D33">
        <w:rPr>
          <w:rFonts w:ascii="Times New Roman" w:eastAsiaTheme="minorEastAsia" w:hAnsi="Times New Roman" w:cs="Times New Roman"/>
          <w:sz w:val="24"/>
          <w:szCs w:val="24"/>
        </w:rPr>
        <w:t>łości</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stanowiącą,</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wymiana</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8103C7E"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Prezesem</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przydzielone</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zasoby</w:t>
      </w:r>
      <w:r w:rsidR="00970B2E" w:rsidRPr="00D44D33">
        <w:rPr>
          <w:rFonts w:ascii="Times New Roman" w:eastAsiaTheme="minorEastAsia" w:hAnsi="Times New Roman" w:cs="Times New Roman"/>
          <w:sz w:val="24"/>
          <w:szCs w:val="24"/>
        </w:rPr>
        <w:t xml:space="preserve"> </w:t>
      </w:r>
      <w:r w:rsidR="6B3D1834"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p>
    <w:p w14:paraId="44EEC2B8" w14:textId="697810B1" w:rsidR="00F71FCC" w:rsidRPr="00D44D33" w:rsidRDefault="09086FD6" w:rsidP="00D44D33">
      <w:pPr>
        <w:spacing w:before="120" w:after="120" w:line="360" w:lineRule="auto"/>
        <w:jc w:val="center"/>
        <w:rPr>
          <w:rFonts w:ascii="Times New Roman" w:eastAsia="Times New Roman" w:hAnsi="Times New Roman" w:cs="Times New Roman"/>
          <w:b/>
          <w:sz w:val="24"/>
          <w:szCs w:val="24"/>
        </w:rPr>
      </w:pPr>
      <w:r w:rsidRPr="00D44D33">
        <w:rPr>
          <w:rFonts w:ascii="Times New Roman" w:eastAsia="Times New Roman" w:hAnsi="Times New Roman" w:cs="Times New Roman"/>
          <w:b/>
          <w:sz w:val="24"/>
          <w:szCs w:val="24"/>
        </w:rPr>
        <w:t>Art.</w:t>
      </w:r>
      <w:r w:rsidR="00970B2E" w:rsidRPr="00D44D33">
        <w:rPr>
          <w:rFonts w:ascii="Times New Roman" w:eastAsia="Times New Roman" w:hAnsi="Times New Roman" w:cs="Times New Roman"/>
          <w:b/>
          <w:sz w:val="24"/>
          <w:szCs w:val="24"/>
        </w:rPr>
        <w:t xml:space="preserve"> </w:t>
      </w:r>
      <w:r w:rsidR="00BF4CC5" w:rsidRPr="00D44D33">
        <w:rPr>
          <w:rFonts w:ascii="Times New Roman" w:eastAsia="Times New Roman" w:hAnsi="Times New Roman" w:cs="Times New Roman"/>
          <w:b/>
          <w:sz w:val="24"/>
          <w:szCs w:val="24"/>
        </w:rPr>
        <w:t>320</w:t>
      </w:r>
    </w:p>
    <w:p w14:paraId="13AAD9E5" w14:textId="1DF5BD93" w:rsidR="0074403E" w:rsidRPr="00D44D33" w:rsidRDefault="00F71FCC" w:rsidP="00D44D33">
      <w:pPr>
        <w:spacing w:before="120" w:after="120" w:line="360" w:lineRule="auto"/>
        <w:jc w:val="center"/>
        <w:rPr>
          <w:rFonts w:ascii="Times New Roman" w:eastAsia="Times New Roman" w:hAnsi="Times New Roman" w:cs="Times New Roman"/>
          <w:b/>
          <w:sz w:val="24"/>
          <w:szCs w:val="24"/>
        </w:rPr>
      </w:pPr>
      <w:r w:rsidRPr="00D44D33">
        <w:rPr>
          <w:rFonts w:ascii="Times New Roman" w:eastAsia="Times New Roman" w:hAnsi="Times New Roman" w:cs="Times New Roman"/>
          <w:b/>
          <w:sz w:val="24"/>
          <w:szCs w:val="24"/>
        </w:rPr>
        <w:t>N</w:t>
      </w:r>
      <w:r w:rsidR="007952CC" w:rsidRPr="00D44D33">
        <w:rPr>
          <w:rFonts w:ascii="Times New Roman" w:eastAsia="Times New Roman" w:hAnsi="Times New Roman" w:cs="Times New Roman"/>
          <w:b/>
          <w:sz w:val="24"/>
          <w:szCs w:val="24"/>
        </w:rPr>
        <w:t>ieskuteczne</w:t>
      </w:r>
      <w:r w:rsidR="00970B2E" w:rsidRPr="00D44D33">
        <w:rPr>
          <w:rFonts w:ascii="Times New Roman" w:eastAsia="Times New Roman" w:hAnsi="Times New Roman" w:cs="Times New Roman"/>
          <w:b/>
          <w:sz w:val="24"/>
          <w:szCs w:val="24"/>
        </w:rPr>
        <w:t xml:space="preserve"> </w:t>
      </w:r>
      <w:r w:rsidR="007952CC" w:rsidRPr="00D44D33">
        <w:rPr>
          <w:rFonts w:ascii="Times New Roman" w:eastAsia="Times New Roman" w:hAnsi="Times New Roman" w:cs="Times New Roman"/>
          <w:b/>
          <w:sz w:val="24"/>
          <w:szCs w:val="24"/>
        </w:rPr>
        <w:t>przeniesienie</w:t>
      </w:r>
      <w:r w:rsidR="00970B2E" w:rsidRPr="00D44D33">
        <w:rPr>
          <w:rFonts w:ascii="Times New Roman" w:eastAsia="Times New Roman" w:hAnsi="Times New Roman" w:cs="Times New Roman"/>
          <w:b/>
          <w:sz w:val="24"/>
          <w:szCs w:val="24"/>
        </w:rPr>
        <w:t xml:space="preserve"> </w:t>
      </w:r>
      <w:r w:rsidR="007952CC" w:rsidRPr="00D44D33">
        <w:rPr>
          <w:rFonts w:ascii="Times New Roman" w:eastAsia="Times New Roman" w:hAnsi="Times New Roman" w:cs="Times New Roman"/>
          <w:b/>
          <w:sz w:val="24"/>
          <w:szCs w:val="24"/>
        </w:rPr>
        <w:t>numeru</w:t>
      </w:r>
      <w:r w:rsidR="00970B2E" w:rsidRPr="00D44D33">
        <w:rPr>
          <w:rFonts w:ascii="Times New Roman" w:eastAsia="Times New Roman" w:hAnsi="Times New Roman" w:cs="Times New Roman"/>
          <w:b/>
          <w:sz w:val="24"/>
          <w:szCs w:val="24"/>
        </w:rPr>
        <w:t xml:space="preserve"> </w:t>
      </w:r>
      <w:r w:rsidR="00C65A17" w:rsidRPr="00D44D33">
        <w:rPr>
          <w:rFonts w:ascii="Times New Roman" w:eastAsia="Times New Roman" w:hAnsi="Times New Roman" w:cs="Times New Roman"/>
          <w:b/>
          <w:sz w:val="24"/>
          <w:szCs w:val="24"/>
        </w:rPr>
        <w:t>i</w:t>
      </w:r>
      <w:r w:rsidR="00970B2E" w:rsidRPr="00D44D33">
        <w:rPr>
          <w:rFonts w:ascii="Times New Roman" w:eastAsia="Times New Roman" w:hAnsi="Times New Roman" w:cs="Times New Roman"/>
          <w:b/>
          <w:sz w:val="24"/>
          <w:szCs w:val="24"/>
        </w:rPr>
        <w:t xml:space="preserve"> </w:t>
      </w:r>
      <w:r w:rsidR="00C65A17" w:rsidRPr="00D44D33">
        <w:rPr>
          <w:rFonts w:ascii="Times New Roman" w:eastAsia="Times New Roman" w:hAnsi="Times New Roman" w:cs="Times New Roman"/>
          <w:b/>
          <w:sz w:val="24"/>
          <w:szCs w:val="24"/>
        </w:rPr>
        <w:t>odszkodowanie</w:t>
      </w:r>
    </w:p>
    <w:p w14:paraId="1C75D5B3" w14:textId="3E253DDA" w:rsidR="0001231E" w:rsidRPr="00D44D33" w:rsidRDefault="389049E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BF4CC5" w:rsidRPr="00D44D33">
        <w:rPr>
          <w:rFonts w:ascii="Times New Roman" w:eastAsia="Times New Roman" w:hAnsi="Times New Roman" w:cs="Times New Roman"/>
          <w:sz w:val="24"/>
          <w:szCs w:val="24"/>
        </w:rPr>
        <w:t>320</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regulują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sytuację,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doszło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przeniesienia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żądaniem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takim</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wypadku</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dotychczasowy</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0001231E"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wznawia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kontynuuje</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świadczenie</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usług</w:t>
      </w:r>
      <w:r w:rsidR="0074403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dotychczasowych</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warunkach</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czasu</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przeniesienia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Wznowienie</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usług</w:t>
      </w:r>
      <w:r w:rsidR="0074403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następuje</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takim</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terminie,</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aby</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utrata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usług</w:t>
      </w:r>
      <w:r w:rsidR="0074403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przekroczyła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570E1321" w:rsidRPr="00D44D33">
        <w:rPr>
          <w:rFonts w:ascii="Times New Roman" w:eastAsia="Times New Roman" w:hAnsi="Times New Roman" w:cs="Times New Roman"/>
          <w:sz w:val="24"/>
          <w:szCs w:val="24"/>
        </w:rPr>
        <w:t>roboczego</w:t>
      </w:r>
      <w:r w:rsidR="6797D71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Maksymalny</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wymiar</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przerwy</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świadczeniu</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usług</w:t>
      </w:r>
      <w:r w:rsidR="0074403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wynika</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106</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5</w:t>
      </w:r>
      <w:r w:rsidR="00970B2E" w:rsidRPr="00D44D33">
        <w:rPr>
          <w:rFonts w:ascii="Times New Roman" w:eastAsia="Times New Roman" w:hAnsi="Times New Roman" w:cs="Times New Roman"/>
          <w:sz w:val="24"/>
          <w:szCs w:val="24"/>
        </w:rPr>
        <w:t xml:space="preserve"> </w:t>
      </w:r>
      <w:r w:rsidR="06194E25" w:rsidRPr="00D44D33">
        <w:rPr>
          <w:rFonts w:ascii="Times New Roman" w:eastAsia="Times New Roman" w:hAnsi="Times New Roman" w:cs="Times New Roman"/>
          <w:sz w:val="24"/>
          <w:szCs w:val="24"/>
        </w:rPr>
        <w:t>EKŁE.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skorzystania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uprawnienia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przeniesienia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rozwiązanie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następuje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pod</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warunkiem</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zawieszającym</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tj.</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umowa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ul</w:t>
      </w:r>
      <w:r w:rsidR="0074403E" w:rsidRPr="00D44D33">
        <w:rPr>
          <w:rFonts w:ascii="Times New Roman" w:eastAsia="Times New Roman" w:hAnsi="Times New Roman" w:cs="Times New Roman"/>
          <w:sz w:val="24"/>
          <w:szCs w:val="24"/>
        </w:rPr>
        <w:t>e</w:t>
      </w:r>
      <w:r w:rsidR="6797D71A" w:rsidRPr="00D44D33">
        <w:rPr>
          <w:rFonts w:ascii="Times New Roman" w:eastAsia="Times New Roman" w:hAnsi="Times New Roman" w:cs="Times New Roman"/>
          <w:sz w:val="24"/>
          <w:szCs w:val="24"/>
        </w:rPr>
        <w:t>ga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rozwiązaniu,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nadal</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świadczone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dotychczasowego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usług</w:t>
      </w:r>
      <w:r w:rsidR="0074403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czasu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rozpoczęcia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usług</w:t>
      </w:r>
      <w:r w:rsidR="0074403E"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nowego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Jednocześnie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przewidują</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ograniczenie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skutku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zawieszającego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czasie</w:t>
      </w:r>
      <w:r w:rsidR="00970B2E" w:rsidRPr="00D44D33">
        <w:rPr>
          <w:rFonts w:ascii="Times New Roman" w:eastAsia="Times New Roman" w:hAnsi="Times New Roman" w:cs="Times New Roman"/>
          <w:sz w:val="24"/>
          <w:szCs w:val="24"/>
        </w:rPr>
        <w:t xml:space="preserve"> </w:t>
      </w:r>
      <w:r w:rsidR="0074403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74403E" w:rsidRPr="00D44D33">
        <w:rPr>
          <w:rFonts w:ascii="Times New Roman" w:eastAsia="Times New Roman" w:hAnsi="Times New Roman" w:cs="Times New Roman"/>
          <w:sz w:val="24"/>
          <w:szCs w:val="24"/>
        </w:rPr>
        <w:t>30</w:t>
      </w:r>
      <w:r w:rsidR="00970B2E" w:rsidRPr="00D44D33">
        <w:rPr>
          <w:rFonts w:ascii="Times New Roman" w:eastAsia="Times New Roman" w:hAnsi="Times New Roman" w:cs="Times New Roman"/>
          <w:sz w:val="24"/>
          <w:szCs w:val="24"/>
        </w:rPr>
        <w:t xml:space="preserve"> </w:t>
      </w:r>
      <w:r w:rsidR="0074403E" w:rsidRPr="00D44D33">
        <w:rPr>
          <w:rFonts w:ascii="Times New Roman" w:eastAsia="Times New Roman" w:hAnsi="Times New Roman" w:cs="Times New Roman"/>
          <w:sz w:val="24"/>
          <w:szCs w:val="24"/>
        </w:rPr>
        <w:t>dni</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nastąpić</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miało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przeniesienie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Świadczenie</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dotychczasowego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dostawcę</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odbywa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dotychczasowych</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warunkach</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zarówno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odniesieniu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zakresu</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6797D71A" w:rsidRPr="00D44D33">
        <w:rPr>
          <w:rFonts w:ascii="Times New Roman" w:eastAsia="Times New Roman" w:hAnsi="Times New Roman" w:cs="Times New Roman"/>
          <w:sz w:val="24"/>
          <w:szCs w:val="24"/>
        </w:rPr>
        <w:t>cen.</w:t>
      </w:r>
    </w:p>
    <w:p w14:paraId="6F93EDA5" w14:textId="08C39F22"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4B6E1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dotrzymany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miesięcznych</w:t>
      </w:r>
      <w:r w:rsidR="00970B2E" w:rsidRPr="00D44D33">
        <w:rPr>
          <w:rFonts w:ascii="Times New Roman" w:eastAsiaTheme="minorEastAsia" w:hAnsi="Times New Roman" w:cs="Times New Roman"/>
          <w:sz w:val="24"/>
          <w:szCs w:val="24"/>
        </w:rPr>
        <w:t xml:space="preserve"> </w:t>
      </w:r>
      <w:r w:rsidR="232A38FE"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232A38F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232A38FE" w:rsidRPr="00D44D33">
        <w:rPr>
          <w:rFonts w:ascii="Times New Roman" w:eastAsiaTheme="minorEastAsia" w:hAnsi="Times New Roman" w:cs="Times New Roman"/>
          <w:sz w:val="24"/>
          <w:szCs w:val="24"/>
        </w:rPr>
        <w:t>telekomunikacyjne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doładowań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przyczyn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nieleżących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4B6E1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B6E12"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4B6E12" w:rsidRPr="00D44D33">
        <w:rPr>
          <w:rFonts w:ascii="Times New Roman" w:eastAsiaTheme="minorEastAsia" w:hAnsi="Times New Roman" w:cs="Times New Roman"/>
          <w:sz w:val="24"/>
          <w:szCs w:val="24"/>
        </w:rPr>
        <w:t>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4B6E12"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C0A039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opóźnienie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F71FCC"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4B6E1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½</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średniej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00FE619E"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½</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doładowań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00F71FCC"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obliczaniu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677DFE51" w:rsidRPr="00D44D33">
        <w:rPr>
          <w:rFonts w:ascii="Times New Roman" w:eastAsia="Times New Roman" w:hAnsi="Times New Roman" w:cs="Times New Roman"/>
          <w:sz w:val="24"/>
          <w:szCs w:val="24"/>
        </w:rPr>
        <w:t>d</w:t>
      </w:r>
      <w:r w:rsidR="3D20F0AB" w:rsidRPr="00D44D33">
        <w:rPr>
          <w:rFonts w:ascii="Times New Roman" w:eastAsia="Times New Roman" w:hAnsi="Times New Roman" w:cs="Times New Roman"/>
          <w:sz w:val="24"/>
          <w:szCs w:val="24"/>
        </w:rPr>
        <w:t>zień</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zakończenia</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obowiązywania</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kontynuowanej</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wznowionej</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dotychczasowym</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dostawcą</w:t>
      </w:r>
      <w:r w:rsidR="00970B2E" w:rsidRPr="00D44D33">
        <w:rPr>
          <w:rFonts w:ascii="Times New Roman" w:eastAsia="Times New Roman" w:hAnsi="Times New Roman" w:cs="Times New Roman"/>
          <w:sz w:val="24"/>
          <w:szCs w:val="24"/>
        </w:rPr>
        <w:t xml:space="preserve"> </w:t>
      </w:r>
      <w:r w:rsidR="677DFE51" w:rsidRPr="00D44D33">
        <w:rPr>
          <w:rFonts w:ascii="Times New Roman" w:eastAsia="Times New Roman" w:hAnsi="Times New Roman" w:cs="Times New Roman"/>
          <w:sz w:val="24"/>
          <w:szCs w:val="24"/>
        </w:rPr>
        <w:t>usług</w:t>
      </w:r>
      <w:r w:rsidR="004B6E1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004B6E12"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przeniesienia</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numeru</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zgody</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22EFD684"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powrotem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4B6E1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4B6E1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p>
    <w:p w14:paraId="2CE2F3D0" w14:textId="52B5CA36" w:rsidR="00F71FCC" w:rsidRPr="00D44D33" w:rsidRDefault="7E3B5A8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BF4CC5" w:rsidRPr="00D44D33">
        <w:rPr>
          <w:rFonts w:ascii="Times New Roman" w:eastAsiaTheme="minorEastAsia" w:hAnsi="Times New Roman" w:cs="Times New Roman"/>
          <w:b/>
          <w:bCs/>
          <w:sz w:val="24"/>
          <w:szCs w:val="24"/>
        </w:rPr>
        <w:t>321</w:t>
      </w:r>
    </w:p>
    <w:p w14:paraId="1910C6EF" w14:textId="19B03AA5" w:rsidR="7E3B5A87" w:rsidRPr="00D44D33" w:rsidRDefault="00C65A1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Baza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numerów</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przeniesionych</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PLI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CBD</w:t>
      </w:r>
    </w:p>
    <w:p w14:paraId="33AC7932" w14:textId="1833BFD1" w:rsidR="2284D859" w:rsidRPr="00D44D33" w:rsidRDefault="7E3B5A8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przeniesionych</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zawierającą</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aktualnym</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FA1C9C" w:rsidRPr="00D44D33">
        <w:rPr>
          <w:rFonts w:ascii="Times New Roman" w:eastAsiaTheme="minorEastAsia" w:hAnsi="Times New Roman" w:cs="Times New Roman"/>
          <w:sz w:val="24"/>
          <w:szCs w:val="24"/>
        </w:rPr>
        <w:t>głosowej</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EE1C30" w:rsidRPr="00D44D33">
        <w:rPr>
          <w:rFonts w:ascii="Times New Roman" w:eastAsiaTheme="minorEastAsia" w:hAnsi="Times New Roman" w:cs="Times New Roman"/>
          <w:sz w:val="24"/>
          <w:szCs w:val="24"/>
        </w:rPr>
        <w:t>NK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bazie.</w:t>
      </w:r>
      <w:r w:rsidR="00970B2E" w:rsidRPr="00D44D33">
        <w:rPr>
          <w:rFonts w:ascii="Times New Roman" w:eastAsiaTheme="minorEastAsia" w:hAnsi="Times New Roman" w:cs="Times New Roman"/>
          <w:sz w:val="24"/>
          <w:szCs w:val="24"/>
        </w:rPr>
        <w:t xml:space="preserve"> </w:t>
      </w:r>
      <w:r w:rsidR="007E68A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7E68AF"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7E68AF"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E68AF"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7E68AF" w:rsidRPr="00D44D33">
        <w:rPr>
          <w:rFonts w:ascii="Times New Roman" w:eastAsiaTheme="minorEastAsia" w:hAnsi="Times New Roman" w:cs="Times New Roman"/>
          <w:bCs/>
          <w:sz w:val="24"/>
          <w:szCs w:val="24"/>
        </w:rPr>
        <w:t>Prezes</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UKE</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może</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umożliwić,</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stronie</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podmiotowej</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BIP</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UKE,</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identyfikację</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dla</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danego</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numeru</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publicznej</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sieci</w:t>
      </w:r>
      <w:r w:rsidR="00970B2E" w:rsidRPr="00D44D33">
        <w:rPr>
          <w:rFonts w:ascii="Times New Roman" w:eastAsiaTheme="minorEastAsia" w:hAnsi="Times New Roman" w:cs="Times New Roman"/>
          <w:bCs/>
          <w:sz w:val="24"/>
          <w:szCs w:val="24"/>
        </w:rPr>
        <w:t xml:space="preserve"> </w:t>
      </w:r>
      <w:r w:rsidR="007E68AF" w:rsidRPr="00D44D33">
        <w:rPr>
          <w:rFonts w:ascii="Times New Roman" w:eastAsiaTheme="minorEastAsia" w:hAnsi="Times New Roman" w:cs="Times New Roman"/>
          <w:bCs/>
          <w:sz w:val="24"/>
          <w:szCs w:val="24"/>
        </w:rPr>
        <w:t>telekomunikacyjnej.</w:t>
      </w:r>
      <w:r w:rsidR="00970B2E" w:rsidRPr="00D44D33">
        <w:rPr>
          <w:rFonts w:ascii="Times New Roman" w:eastAsiaTheme="minorEastAsia" w:hAnsi="Times New Roman" w:cs="Times New Roman"/>
          <w:bCs/>
          <w:sz w:val="24"/>
          <w:szCs w:val="24"/>
        </w:rPr>
        <w:t xml:space="preserve"> </w:t>
      </w:r>
    </w:p>
    <w:p w14:paraId="18C69BBE" w14:textId="66F8B011" w:rsidR="00F71FCC" w:rsidRPr="00D44D33" w:rsidRDefault="706E4C8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322</w:t>
      </w:r>
    </w:p>
    <w:p w14:paraId="7AB239BE" w14:textId="16518CA9" w:rsidR="00221330" w:rsidRPr="00D44D33" w:rsidRDefault="00C65A1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NDS</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preselekcja</w:t>
      </w:r>
    </w:p>
    <w:p w14:paraId="225E3246" w14:textId="0255DA5D" w:rsidR="00804CF1" w:rsidRPr="00D44D33" w:rsidRDefault="191274A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każdorazowo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(NDS)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zlecenie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preselekcji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(zlecenie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wybranego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wybierze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zapewniającego</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przyłączenie</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rynkowej</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rozpoczynania</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stacjonarnej.</w:t>
      </w:r>
    </w:p>
    <w:p w14:paraId="12BB71D6" w14:textId="70015FE6" w:rsidR="0001231E" w:rsidRPr="00D44D33" w:rsidRDefault="191274A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4CF1"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roszczeniami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p>
    <w:p w14:paraId="441A1F4E" w14:textId="3FA66851" w:rsidR="00F71FCC" w:rsidRPr="00D44D33" w:rsidRDefault="0069287E"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bCs/>
          <w:sz w:val="24"/>
          <w:szCs w:val="24"/>
        </w:rPr>
        <w:t>Art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b/>
          <w:sz w:val="24"/>
          <w:szCs w:val="24"/>
        </w:rPr>
        <w:t>323</w:t>
      </w:r>
    </w:p>
    <w:p w14:paraId="3C0AE061" w14:textId="392FBB45" w:rsidR="0069287E" w:rsidRPr="00D44D33" w:rsidRDefault="00F71FCC"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sz w:val="24"/>
          <w:szCs w:val="24"/>
        </w:rPr>
        <w:t>R</w:t>
      </w:r>
      <w:r w:rsidR="006E5912" w:rsidRPr="00D44D33">
        <w:rPr>
          <w:rFonts w:ascii="Times New Roman" w:eastAsiaTheme="minorEastAsia" w:hAnsi="Times New Roman" w:cs="Times New Roman"/>
          <w:b/>
          <w:sz w:val="24"/>
          <w:szCs w:val="24"/>
        </w:rPr>
        <w:t>ealizacja</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uprawnienia</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do</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przeniesienia</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numeru</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oraz</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jej</w:t>
      </w:r>
      <w:r w:rsidR="00970B2E" w:rsidRPr="00D44D33">
        <w:rPr>
          <w:rFonts w:ascii="Times New Roman" w:eastAsiaTheme="minorEastAsia" w:hAnsi="Times New Roman" w:cs="Times New Roman"/>
          <w:b/>
          <w:sz w:val="24"/>
          <w:szCs w:val="24"/>
        </w:rPr>
        <w:t xml:space="preserve"> </w:t>
      </w:r>
      <w:r w:rsidR="006E5912" w:rsidRPr="00D44D33">
        <w:rPr>
          <w:rFonts w:ascii="Times New Roman" w:eastAsiaTheme="minorEastAsia" w:hAnsi="Times New Roman" w:cs="Times New Roman"/>
          <w:b/>
          <w:sz w:val="24"/>
          <w:szCs w:val="24"/>
        </w:rPr>
        <w:t>zawieszenie</w:t>
      </w:r>
    </w:p>
    <w:p w14:paraId="084EC794" w14:textId="6DFCB7C6" w:rsidR="0001231E" w:rsidRPr="00D44D33" w:rsidRDefault="00F71FC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323</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tworzenia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abonenckich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przeniesieniem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w:t>
      </w:r>
      <w:r w:rsidR="00FC72AE" w:rsidRPr="00D44D33">
        <w:rPr>
          <w:rFonts w:ascii="Times New Roman" w:eastAsiaTheme="minorEastAsia" w:hAnsi="Times New Roman" w:cs="Times New Roman"/>
          <w:sz w:val="24"/>
          <w:szCs w:val="24"/>
        </w:rPr>
        <w:t>g</w:t>
      </w:r>
      <w:r w:rsidR="0069287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EE1C3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zawiesić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pozwalają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przystosowania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narzędzi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służących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przeciwdziałania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nadużyciom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wprowadzić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zawieszające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ograniczające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który</w:t>
      </w:r>
      <w:r w:rsidR="00EE1C30"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318</w:t>
      </w:r>
      <w:r w:rsidR="00FE619E" w:rsidRPr="00D44D33">
        <w:rPr>
          <w:rFonts w:ascii="Times New Roman" w:eastAsiaTheme="minorEastAsia" w:hAnsi="Times New Roman" w:cs="Times New Roman"/>
          <w:bCs/>
          <w:sz w:val="24"/>
          <w:szCs w:val="24"/>
        </w:rPr>
        <w:t>–</w:t>
      </w:r>
      <w:r w:rsidR="008B57F0" w:rsidRPr="00D44D33">
        <w:rPr>
          <w:rFonts w:ascii="Times New Roman" w:eastAsiaTheme="minorEastAsia" w:hAnsi="Times New Roman" w:cs="Times New Roman"/>
          <w:sz w:val="24"/>
          <w:szCs w:val="24"/>
        </w:rPr>
        <w:t>322</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operatorom,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uporczywie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wadliwy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niezgodnie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wolą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realizują</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proces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Zawieszenie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ograniczenie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wpływu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procesy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numeru</w:t>
      </w:r>
      <w:r w:rsidR="00EE1C3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dawcą.</w:t>
      </w:r>
      <w:r w:rsidR="00970B2E" w:rsidRPr="00D44D33">
        <w:rPr>
          <w:rFonts w:ascii="Times New Roman" w:eastAsiaTheme="minorEastAsia" w:hAnsi="Times New Roman" w:cs="Times New Roman"/>
          <w:sz w:val="24"/>
          <w:szCs w:val="24"/>
        </w:rPr>
        <w:t xml:space="preserve"> </w:t>
      </w:r>
    </w:p>
    <w:p w14:paraId="5D3DC8F2" w14:textId="7D051C92" w:rsidR="00F71FCC" w:rsidRPr="00D44D33" w:rsidRDefault="3FE3D91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324</w:t>
      </w:r>
    </w:p>
    <w:p w14:paraId="514B202D" w14:textId="2652DE1B" w:rsidR="3FE3D91A" w:rsidRPr="00D44D33" w:rsidRDefault="00F71FC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6E5912" w:rsidRPr="00D44D33">
        <w:rPr>
          <w:rFonts w:ascii="Times New Roman" w:eastAsiaTheme="minorEastAsia" w:hAnsi="Times New Roman" w:cs="Times New Roman"/>
          <w:b/>
          <w:bCs/>
          <w:sz w:val="24"/>
          <w:szCs w:val="24"/>
        </w:rPr>
        <w:t>rocedowanie</w:t>
      </w:r>
      <w:r w:rsidR="00970B2E" w:rsidRPr="00D44D33">
        <w:rPr>
          <w:rFonts w:ascii="Times New Roman" w:eastAsiaTheme="minorEastAsia" w:hAnsi="Times New Roman" w:cs="Times New Roman"/>
          <w:b/>
          <w:bCs/>
          <w:sz w:val="24"/>
          <w:szCs w:val="24"/>
        </w:rPr>
        <w:t xml:space="preserve"> </w:t>
      </w:r>
      <w:r w:rsidR="00EF44E7"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00EF44E7" w:rsidRPr="00D44D33">
        <w:rPr>
          <w:rFonts w:ascii="Times New Roman" w:eastAsiaTheme="minorEastAsia" w:hAnsi="Times New Roman" w:cs="Times New Roman"/>
          <w:b/>
          <w:bCs/>
          <w:sz w:val="24"/>
          <w:szCs w:val="24"/>
        </w:rPr>
        <w:t>zakres</w:t>
      </w:r>
      <w:r w:rsidR="00970B2E" w:rsidRPr="00D44D33">
        <w:rPr>
          <w:rFonts w:ascii="Times New Roman" w:eastAsiaTheme="minorEastAsia" w:hAnsi="Times New Roman" w:cs="Times New Roman"/>
          <w:b/>
          <w:bCs/>
          <w:sz w:val="24"/>
          <w:szCs w:val="24"/>
        </w:rPr>
        <w:t xml:space="preserve"> </w:t>
      </w:r>
      <w:r w:rsidR="006E5912" w:rsidRPr="00D44D33">
        <w:rPr>
          <w:rFonts w:ascii="Times New Roman" w:eastAsiaTheme="minorEastAsia" w:hAnsi="Times New Roman" w:cs="Times New Roman"/>
          <w:b/>
          <w:bCs/>
          <w:sz w:val="24"/>
          <w:szCs w:val="24"/>
        </w:rPr>
        <w:t>wniosków</w:t>
      </w:r>
      <w:r w:rsidR="00970B2E" w:rsidRPr="00D44D33">
        <w:rPr>
          <w:rFonts w:ascii="Times New Roman" w:eastAsiaTheme="minorEastAsia" w:hAnsi="Times New Roman" w:cs="Times New Roman"/>
          <w:b/>
          <w:bCs/>
          <w:sz w:val="24"/>
          <w:szCs w:val="24"/>
        </w:rPr>
        <w:t xml:space="preserve"> </w:t>
      </w:r>
      <w:r w:rsidR="006E5912" w:rsidRPr="00D44D33">
        <w:rPr>
          <w:rFonts w:ascii="Times New Roman" w:eastAsiaTheme="minorEastAsia" w:hAnsi="Times New Roman" w:cs="Times New Roman"/>
          <w:b/>
          <w:bCs/>
          <w:sz w:val="24"/>
          <w:szCs w:val="24"/>
        </w:rPr>
        <w:t>o</w:t>
      </w:r>
      <w:r w:rsidR="00970B2E" w:rsidRPr="00D44D33">
        <w:rPr>
          <w:rFonts w:ascii="Times New Roman" w:eastAsiaTheme="minorEastAsia" w:hAnsi="Times New Roman" w:cs="Times New Roman"/>
          <w:b/>
          <w:bCs/>
          <w:sz w:val="24"/>
          <w:szCs w:val="24"/>
        </w:rPr>
        <w:t xml:space="preserve"> </w:t>
      </w:r>
      <w:r w:rsidR="006E5912" w:rsidRPr="00D44D33">
        <w:rPr>
          <w:rFonts w:ascii="Times New Roman" w:eastAsiaTheme="minorEastAsia" w:hAnsi="Times New Roman" w:cs="Times New Roman"/>
          <w:b/>
          <w:bCs/>
          <w:sz w:val="24"/>
          <w:szCs w:val="24"/>
        </w:rPr>
        <w:t>realizację</w:t>
      </w:r>
      <w:r w:rsidR="00970B2E" w:rsidRPr="00D44D33">
        <w:rPr>
          <w:rFonts w:ascii="Times New Roman" w:eastAsiaTheme="minorEastAsia" w:hAnsi="Times New Roman" w:cs="Times New Roman"/>
          <w:b/>
          <w:bCs/>
          <w:sz w:val="24"/>
          <w:szCs w:val="24"/>
        </w:rPr>
        <w:t xml:space="preserve"> </w:t>
      </w:r>
      <w:r w:rsidR="006E5912" w:rsidRPr="00D44D33">
        <w:rPr>
          <w:rFonts w:ascii="Times New Roman" w:eastAsiaTheme="minorEastAsia" w:hAnsi="Times New Roman" w:cs="Times New Roman"/>
          <w:b/>
          <w:bCs/>
          <w:sz w:val="24"/>
          <w:szCs w:val="24"/>
        </w:rPr>
        <w:t>uprawnień</w:t>
      </w:r>
      <w:r w:rsidR="00970B2E" w:rsidRPr="00D44D33">
        <w:rPr>
          <w:rFonts w:ascii="Times New Roman" w:eastAsiaTheme="minorEastAsia" w:hAnsi="Times New Roman" w:cs="Times New Roman"/>
          <w:b/>
          <w:bCs/>
          <w:sz w:val="24"/>
          <w:szCs w:val="24"/>
        </w:rPr>
        <w:t xml:space="preserve"> </w:t>
      </w:r>
      <w:r w:rsidR="006E5912" w:rsidRPr="00D44D33">
        <w:rPr>
          <w:rFonts w:ascii="Times New Roman" w:eastAsiaTheme="minorEastAsia" w:hAnsi="Times New Roman" w:cs="Times New Roman"/>
          <w:b/>
          <w:bCs/>
          <w:sz w:val="24"/>
          <w:szCs w:val="24"/>
        </w:rPr>
        <w:t>abonenckich</w:t>
      </w:r>
    </w:p>
    <w:p w14:paraId="4A1E4D04" w14:textId="78CAFEC4" w:rsidR="00991C3D" w:rsidRPr="00D44D33" w:rsidRDefault="00F71FC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324</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312</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317</w:t>
      </w:r>
      <w:r w:rsidR="00991C3D" w:rsidRPr="00D44D33">
        <w:rPr>
          <w:rFonts w:ascii="Times New Roman" w:eastAsiaTheme="minorEastAsia" w:hAnsi="Times New Roman" w:cs="Times New Roman"/>
          <w:sz w:val="24"/>
          <w:szCs w:val="24"/>
        </w:rPr>
        <w:t>–</w:t>
      </w:r>
      <w:r w:rsidR="008B57F0" w:rsidRPr="00D44D33">
        <w:rPr>
          <w:rFonts w:ascii="Times New Roman" w:eastAsiaTheme="minorEastAsia" w:hAnsi="Times New Roman" w:cs="Times New Roman"/>
          <w:sz w:val="24"/>
          <w:szCs w:val="24"/>
        </w:rPr>
        <w:t>319</w:t>
      </w:r>
      <w:r w:rsidR="00970B2E" w:rsidRPr="00D44D33">
        <w:rPr>
          <w:rFonts w:ascii="Times New Roman" w:eastAsiaTheme="minorEastAsia" w:hAnsi="Times New Roman" w:cs="Times New Roman"/>
          <w:sz w:val="24"/>
          <w:szCs w:val="24"/>
        </w:rPr>
        <w:t xml:space="preserve"> </w:t>
      </w:r>
      <w:r w:rsidR="00FE619E"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formę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pisemną,</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dokumentową.</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wybrać</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formę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spośród</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form</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zastrzeżenie,</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przeniesieniem</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zmianę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składany</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dokumentowej,</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utrwala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doręcza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złożonego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nośniku.</w:t>
      </w:r>
    </w:p>
    <w:p w14:paraId="077D7729" w14:textId="1E9C9167" w:rsidR="00EF44E7" w:rsidRPr="00D44D33" w:rsidRDefault="00F71FC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312</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317</w:t>
      </w:r>
      <w:r w:rsidR="00FE619E" w:rsidRPr="00D44D33">
        <w:rPr>
          <w:rFonts w:ascii="Times New Roman" w:eastAsiaTheme="minorEastAsia" w:hAnsi="Times New Roman" w:cs="Times New Roman"/>
          <w:bCs/>
          <w:sz w:val="24"/>
          <w:szCs w:val="24"/>
        </w:rPr>
        <w:t>–</w:t>
      </w:r>
      <w:r w:rsidR="00EF44E7" w:rsidRPr="00D44D33">
        <w:rPr>
          <w:rFonts w:ascii="Times New Roman" w:eastAsiaTheme="minorEastAsia" w:hAnsi="Times New Roman" w:cs="Times New Roman"/>
          <w:sz w:val="24"/>
          <w:szCs w:val="24"/>
        </w:rPr>
        <w:t>319.</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podjąć</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zawiadamia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niezwłocznego</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uzupełnienia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informując</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nieuzupełnienie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spowoduje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pozostawienie</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EF44E7" w:rsidRPr="00D44D33">
        <w:rPr>
          <w:rFonts w:ascii="Times New Roman" w:eastAsiaTheme="minorEastAsia" w:hAnsi="Times New Roman" w:cs="Times New Roman"/>
          <w:sz w:val="24"/>
          <w:szCs w:val="24"/>
        </w:rPr>
        <w:t>rozpatrzenia.</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rozpatrzony</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negatywnie</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zawiadamia</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fakcie</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podając</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przyczynę</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uprawnienia.</w:t>
      </w:r>
    </w:p>
    <w:p w14:paraId="2C657C28" w14:textId="5C0950E6" w:rsidR="002E293C" w:rsidRPr="00D44D33" w:rsidRDefault="00370C8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ust. 6 </w:t>
      </w:r>
      <w:r w:rsidR="0032011A"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delegację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ustawową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szczegółow</w:t>
      </w:r>
      <w:r w:rsidR="0032011A"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wymaganych</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312</w:t>
      </w:r>
      <w:r w:rsidR="00970B2E" w:rsidRPr="00D44D33">
        <w:rPr>
          <w:rFonts w:ascii="Times New Roman" w:eastAsiaTheme="minorEastAsia" w:hAnsi="Times New Roman" w:cs="Times New Roman"/>
          <w:sz w:val="24"/>
          <w:szCs w:val="24"/>
        </w:rPr>
        <w:t xml:space="preserve"> </w:t>
      </w:r>
      <w:r w:rsidR="0032011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3554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317</w:t>
      </w:r>
      <w:r w:rsidR="00FE619E" w:rsidRPr="00D44D33">
        <w:rPr>
          <w:rFonts w:ascii="Times New Roman" w:eastAsiaTheme="minorEastAsia" w:hAnsi="Times New Roman" w:cs="Times New Roman"/>
          <w:bCs/>
          <w:sz w:val="24"/>
          <w:szCs w:val="24"/>
        </w:rPr>
        <w:t>–</w:t>
      </w:r>
      <w:r w:rsidR="008B57F0" w:rsidRPr="00D44D33">
        <w:rPr>
          <w:rFonts w:ascii="Times New Roman" w:eastAsiaTheme="minorEastAsia" w:hAnsi="Times New Roman" w:cs="Times New Roman"/>
          <w:sz w:val="24"/>
          <w:szCs w:val="24"/>
        </w:rPr>
        <w:t>319</w:t>
      </w:r>
      <w:r w:rsidR="00970B2E" w:rsidRPr="00D44D33">
        <w:rPr>
          <w:rFonts w:ascii="Times New Roman" w:eastAsiaTheme="minorEastAsia" w:hAnsi="Times New Roman" w:cs="Times New Roman"/>
          <w:sz w:val="24"/>
          <w:szCs w:val="24"/>
        </w:rPr>
        <w:t xml:space="preserve"> </w:t>
      </w:r>
      <w:r w:rsidR="00991C3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A34F9C" w:rsidRPr="00D44D33">
        <w:rPr>
          <w:rFonts w:ascii="Times New Roman" w:eastAsiaTheme="minorEastAsia" w:hAnsi="Times New Roman" w:cs="Times New Roman"/>
          <w:sz w:val="24"/>
          <w:szCs w:val="24"/>
        </w:rPr>
        <w:t xml:space="preserve">tryb procedowania tych wniosków, a także szczegółowe warunki realizacji uprawnienia, o którym mowa w art. 322, uwzględniając dostępność usług telekomunikacyjnych, możliwości techniczne publicznych sieci telekomunikacyjnych, istniejące zasoby numeracji oraz konieczność zapewnienia efektywnej realizacji tych uprawnień. </w:t>
      </w:r>
    </w:p>
    <w:p w14:paraId="4BC5A074" w14:textId="57097B7C" w:rsidR="00F71FCC" w:rsidRPr="00D44D33" w:rsidRDefault="006928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325</w:t>
      </w:r>
    </w:p>
    <w:p w14:paraId="0918ECE9" w14:textId="21D31BDD" w:rsidR="0069287E" w:rsidRPr="00D44D33" w:rsidRDefault="00F71FC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Z</w:t>
      </w:r>
      <w:r w:rsidR="00FB6019" w:rsidRPr="00D44D33">
        <w:rPr>
          <w:rFonts w:ascii="Times New Roman" w:eastAsiaTheme="minorEastAsia" w:hAnsi="Times New Roman" w:cs="Times New Roman"/>
          <w:b/>
          <w:bCs/>
          <w:sz w:val="24"/>
          <w:szCs w:val="24"/>
        </w:rPr>
        <w:t>wrot</w:t>
      </w:r>
      <w:r w:rsidR="00970B2E" w:rsidRPr="00D44D33">
        <w:rPr>
          <w:rFonts w:ascii="Times New Roman" w:eastAsiaTheme="minorEastAsia" w:hAnsi="Times New Roman" w:cs="Times New Roman"/>
          <w:b/>
          <w:bCs/>
          <w:sz w:val="24"/>
          <w:szCs w:val="24"/>
        </w:rPr>
        <w:t xml:space="preserve"> </w:t>
      </w:r>
      <w:r w:rsidR="00FB6019" w:rsidRPr="00D44D33">
        <w:rPr>
          <w:rFonts w:ascii="Times New Roman" w:eastAsiaTheme="minorEastAsia" w:hAnsi="Times New Roman" w:cs="Times New Roman"/>
          <w:b/>
          <w:bCs/>
          <w:sz w:val="24"/>
          <w:szCs w:val="24"/>
        </w:rPr>
        <w:t>środków</w:t>
      </w:r>
      <w:r w:rsidR="00970B2E" w:rsidRPr="00D44D33">
        <w:rPr>
          <w:rFonts w:ascii="Times New Roman" w:eastAsiaTheme="minorEastAsia" w:hAnsi="Times New Roman" w:cs="Times New Roman"/>
          <w:b/>
          <w:bCs/>
          <w:sz w:val="24"/>
          <w:szCs w:val="24"/>
        </w:rPr>
        <w:t xml:space="preserve"> </w:t>
      </w:r>
      <w:r w:rsidR="00FB6019" w:rsidRPr="00D44D33">
        <w:rPr>
          <w:rFonts w:ascii="Times New Roman" w:eastAsiaTheme="minorEastAsia" w:hAnsi="Times New Roman" w:cs="Times New Roman"/>
          <w:b/>
          <w:bCs/>
          <w:sz w:val="24"/>
          <w:szCs w:val="24"/>
        </w:rPr>
        <w:t>pre</w:t>
      </w:r>
      <w:r w:rsidR="00970B2E" w:rsidRPr="00D44D33">
        <w:rPr>
          <w:rFonts w:ascii="Times New Roman" w:eastAsiaTheme="minorEastAsia" w:hAnsi="Times New Roman" w:cs="Times New Roman"/>
          <w:b/>
          <w:bCs/>
          <w:sz w:val="24"/>
          <w:szCs w:val="24"/>
        </w:rPr>
        <w:t xml:space="preserve"> </w:t>
      </w:r>
      <w:r w:rsidR="00FB6019" w:rsidRPr="00D44D33">
        <w:rPr>
          <w:rFonts w:ascii="Times New Roman" w:eastAsiaTheme="minorEastAsia" w:hAnsi="Times New Roman" w:cs="Times New Roman"/>
          <w:b/>
          <w:bCs/>
          <w:sz w:val="24"/>
          <w:szCs w:val="24"/>
        </w:rPr>
        <w:t>paid</w:t>
      </w:r>
    </w:p>
    <w:p w14:paraId="4401BBF7" w14:textId="1D4EC0DA" w:rsidR="00835FC6" w:rsidRPr="00D44D33" w:rsidRDefault="00F71FC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325</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korzystających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koncie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doładowań</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lang w:eastAsia="ar-SA"/>
        </w:rPr>
        <w:t xml:space="preserve"> </w:t>
      </w:r>
      <w:r w:rsidR="00FB6019"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ważności</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konta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rozumianej</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utrata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odbierania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przychodzących</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ramach</w:t>
      </w:r>
      <w:r w:rsidR="00371EEA">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przedpłaconych</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106</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odbywa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opłacie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proporcjonalna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odpowiadać</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rzeczywistym</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kosztom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potrącana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podlegaj</w:t>
      </w:r>
      <w:r w:rsidR="00500F7A" w:rsidRPr="00D44D33">
        <w:rPr>
          <w:rFonts w:ascii="Times New Roman" w:eastAsiaTheme="minorEastAsia" w:hAnsi="Times New Roman" w:cs="Times New Roman"/>
          <w:sz w:val="24"/>
          <w:szCs w:val="24"/>
        </w:rPr>
        <w:t>ących</w:t>
      </w:r>
      <w:r w:rsidR="00970B2E" w:rsidRPr="00D44D33">
        <w:rPr>
          <w:rFonts w:ascii="Times New Roman" w:eastAsiaTheme="minorEastAsia" w:hAnsi="Times New Roman" w:cs="Times New Roman"/>
          <w:sz w:val="24"/>
          <w:szCs w:val="24"/>
        </w:rPr>
        <w:t xml:space="preserve"> </w:t>
      </w:r>
      <w:r w:rsidR="00500F7A" w:rsidRPr="00D44D33">
        <w:rPr>
          <w:rFonts w:ascii="Times New Roman" w:eastAsiaTheme="minorEastAsia" w:hAnsi="Times New Roman" w:cs="Times New Roman"/>
          <w:sz w:val="24"/>
          <w:szCs w:val="24"/>
        </w:rPr>
        <w:t>zwrotowi.</w:t>
      </w:r>
      <w:r w:rsidR="00970B2E" w:rsidRPr="00D44D33">
        <w:rPr>
          <w:rFonts w:ascii="Times New Roman" w:eastAsiaTheme="minorEastAsia" w:hAnsi="Times New Roman" w:cs="Times New Roman"/>
          <w:sz w:val="24"/>
          <w:szCs w:val="24"/>
        </w:rPr>
        <w:t xml:space="preserve"> </w:t>
      </w:r>
    </w:p>
    <w:p w14:paraId="6AB3E21D" w14:textId="5B97700E" w:rsidR="00835FC6" w:rsidRPr="00D44D33" w:rsidRDefault="00F71FCC"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Przepis u</w:t>
      </w:r>
      <w:r w:rsidR="00835FC6" w:rsidRPr="00D44D33">
        <w:rPr>
          <w:rFonts w:ascii="Times New Roman" w:eastAsiaTheme="minorEastAsia" w:hAnsi="Times New Roman" w:cs="Times New Roman"/>
          <w:sz w:val="24"/>
          <w:szCs w:val="24"/>
        </w:rPr>
        <w:t>st.</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złożony</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decyduje</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rezygnację</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kolei</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002D0712" w:rsidRPr="00D44D33">
        <w:rPr>
          <w:rFonts w:ascii="Times New Roman" w:eastAsiaTheme="minorEastAsia" w:hAnsi="Times New Roman" w:cs="Times New Roman"/>
          <w:bCs/>
          <w:sz w:val="24"/>
          <w:szCs w:val="24"/>
        </w:rPr>
        <w:t>4</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stanowi,</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że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konsument</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może,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każdym</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czasie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począwszy</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rejestracji</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kart</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prepaid,</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podać</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dostawcy</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głosowej</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numer</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rachunku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bankowego</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numer</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rachunku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spółdzielczej</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kasie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oszczędnościowo-kredytowej,</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celu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skorzystania</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uprawnienia</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otrzymania</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zwrotu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środków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prepaid,</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a</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podanie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numeru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rachunku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jednoznaczne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ze</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złożeniem</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wniosku</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zwrot</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środków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doładowań</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835FC6" w:rsidRPr="00D44D33">
        <w:rPr>
          <w:rFonts w:ascii="Times New Roman" w:eastAsiaTheme="minorEastAsia" w:hAnsi="Times New Roman" w:cs="Times New Roman"/>
          <w:bCs/>
          <w:sz w:val="24"/>
          <w:szCs w:val="24"/>
        </w:rPr>
        <w:t>przyszłości.</w:t>
      </w:r>
    </w:p>
    <w:p w14:paraId="2D65F08D" w14:textId="1FDC5F1F" w:rsidR="002E43A1" w:rsidRPr="00D44D33" w:rsidRDefault="00500F7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D0712"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spośród</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form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bankowe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konto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SKOK.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przeniesieniu</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zapis</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sytuacje,</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rezygnuje</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przyczyn</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FB6019" w:rsidRPr="00D44D33">
        <w:rPr>
          <w:rFonts w:ascii="Times New Roman" w:eastAsiaTheme="minorEastAsia" w:hAnsi="Times New Roman" w:cs="Times New Roman"/>
          <w:sz w:val="24"/>
          <w:szCs w:val="24"/>
        </w:rPr>
        <w:t>dochodzi.</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Kolejnym</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ważnym</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0384CA0" w:rsidRPr="00D44D33">
        <w:rPr>
          <w:rFonts w:ascii="Times New Roman" w:eastAsiaTheme="minorEastAsia" w:hAnsi="Times New Roman" w:cs="Times New Roman"/>
          <w:sz w:val="24"/>
          <w:szCs w:val="24"/>
        </w:rPr>
        <w:t>uprawnieniem</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otrzymywanie</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przysługującym</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00384CA0" w:rsidRPr="00D44D33">
        <w:rPr>
          <w:rFonts w:ascii="Times New Roman" w:eastAsiaTheme="minorEastAsia" w:hAnsi="Times New Roman" w:cs="Times New Roman"/>
          <w:sz w:val="24"/>
          <w:szCs w:val="24"/>
        </w:rPr>
        <w:t>prawie</w:t>
      </w:r>
      <w:r w:rsidR="00970B2E" w:rsidRPr="00D44D33">
        <w:rPr>
          <w:rFonts w:ascii="Times New Roman" w:eastAsiaTheme="minorEastAsia" w:hAnsi="Times New Roman" w:cs="Times New Roman"/>
          <w:sz w:val="24"/>
          <w:szCs w:val="24"/>
        </w:rPr>
        <w:t xml:space="preserve"> </w:t>
      </w:r>
      <w:r w:rsidR="00384CA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84CA0"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terminem</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przeniesienia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przesyła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swojemu</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podlegający</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przeniesieniu</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SMS</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informujący</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o</w:t>
      </w:r>
      <w:r w:rsidR="00371EEA">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uprawnieniu</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wygaśnięcia</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2E43A1" w:rsidRPr="00D44D33">
        <w:rPr>
          <w:rFonts w:ascii="Times New Roman" w:eastAsiaTheme="minorEastAsia" w:hAnsi="Times New Roman" w:cs="Times New Roman"/>
          <w:sz w:val="24"/>
          <w:szCs w:val="24"/>
        </w:rPr>
        <w:t>uprawnienia.</w:t>
      </w:r>
    </w:p>
    <w:p w14:paraId="1C455E9E" w14:textId="719F530E" w:rsidR="0069287E" w:rsidRPr="00D44D33" w:rsidRDefault="00F71FC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835FC6"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limituje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wygasa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p>
    <w:p w14:paraId="65D8A8BD" w14:textId="48AD8E3E" w:rsidR="00587E8B" w:rsidRPr="00D44D33" w:rsidRDefault="0079650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odebrane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5E53F66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53F66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5E53F660" w:rsidRPr="00D44D33">
        <w:rPr>
          <w:rFonts w:ascii="Times New Roman" w:eastAsiaTheme="minorEastAsia" w:hAnsi="Times New Roman" w:cs="Times New Roman"/>
          <w:sz w:val="24"/>
          <w:szCs w:val="24"/>
        </w:rPr>
        <w:t>terminie</w:t>
      </w:r>
      <w:r w:rsidR="006B2CB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pomniejszone</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odprowadzony</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podatek</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6B2CBB" w:rsidRPr="00D44D33">
        <w:rPr>
          <w:rFonts w:ascii="Times New Roman" w:eastAsiaTheme="minorEastAsia" w:hAnsi="Times New Roman" w:cs="Times New Roman"/>
          <w:sz w:val="24"/>
          <w:szCs w:val="24"/>
        </w:rPr>
        <w:t>ć</w:t>
      </w:r>
      <w:r w:rsidR="00970B2E" w:rsidRPr="00D44D33">
        <w:rPr>
          <w:rFonts w:ascii="Times New Roman" w:eastAsiaTheme="minorEastAsia" w:hAnsi="Times New Roman" w:cs="Times New Roman"/>
          <w:sz w:val="24"/>
          <w:szCs w:val="24"/>
        </w:rPr>
        <w:t xml:space="preserve"> </w:t>
      </w:r>
      <w:r w:rsidR="006B2CBB"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Funduszu</w:t>
      </w:r>
      <w:r w:rsidR="00970B2E" w:rsidRPr="00D44D33">
        <w:rPr>
          <w:rFonts w:ascii="Times New Roman" w:eastAsiaTheme="minorEastAsia" w:hAnsi="Times New Roman" w:cs="Times New Roman"/>
          <w:sz w:val="24"/>
          <w:szCs w:val="24"/>
        </w:rPr>
        <w:t xml:space="preserve"> </w:t>
      </w:r>
      <w:r w:rsidR="00126B5A" w:rsidRPr="00D44D33">
        <w:rPr>
          <w:rFonts w:ascii="Times New Roman" w:eastAsiaTheme="minorEastAsia" w:hAnsi="Times New Roman" w:cs="Times New Roman"/>
          <w:sz w:val="24"/>
          <w:szCs w:val="24"/>
        </w:rPr>
        <w:t>Szerokopasmowego</w:t>
      </w:r>
      <w:r w:rsidR="42A40B8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E61207E" w14:textId="544612D7" w:rsidR="00587E8B" w:rsidRPr="00D44D33" w:rsidRDefault="00587E8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doładowań,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Funduszu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pomniejszone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odprowadzonego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sprzedaży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doładowań.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pomniejszenie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wyeliminowanie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budżetu</w:t>
      </w:r>
      <w:r w:rsidR="00970B2E" w:rsidRPr="00D44D33">
        <w:rPr>
          <w:rFonts w:ascii="Times New Roman" w:eastAsiaTheme="minorEastAsia" w:hAnsi="Times New Roman" w:cs="Times New Roman"/>
          <w:sz w:val="24"/>
          <w:szCs w:val="24"/>
        </w:rPr>
        <w:t xml:space="preserve"> </w:t>
      </w:r>
      <w:r w:rsidR="006B54D8" w:rsidRPr="00D44D33">
        <w:rPr>
          <w:rFonts w:ascii="Times New Roman" w:eastAsiaTheme="minorEastAsia" w:hAnsi="Times New Roman" w:cs="Times New Roman"/>
          <w:sz w:val="24"/>
          <w:szCs w:val="24"/>
        </w:rPr>
        <w:t xml:space="preserve">państwa </w:t>
      </w:r>
      <w:r w:rsidRPr="00D44D33">
        <w:rPr>
          <w:rFonts w:ascii="Times New Roman" w:eastAsiaTheme="minorEastAsia" w:hAnsi="Times New Roman" w:cs="Times New Roman"/>
          <w:sz w:val="24"/>
          <w:szCs w:val="24"/>
        </w:rPr>
        <w:t>dwukrotnie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p>
    <w:p w14:paraId="5AFD6140" w14:textId="084245B0" w:rsidR="00E27A21" w:rsidRPr="00D44D33" w:rsidRDefault="00E27A2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marginesie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Funduszu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E619E" w:rsidRPr="00D44D33">
        <w:rPr>
          <w:rFonts w:ascii="Times New Roman" w:eastAsiaTheme="minorEastAsia" w:hAnsi="Times New Roman" w:cs="Times New Roman"/>
          <w:sz w:val="24"/>
          <w:szCs w:val="24"/>
        </w:rPr>
        <w:t xml:space="preserve">z dnia 15 lutego 1992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dochodowym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00FE619E" w:rsidRPr="00D44D33">
        <w:rPr>
          <w:rFonts w:ascii="Times New Roman" w:eastAsiaTheme="minorEastAsia" w:hAnsi="Times New Roman" w:cs="Times New Roman"/>
          <w:sz w:val="24"/>
          <w:szCs w:val="24"/>
        </w:rPr>
        <w:t xml:space="preserve">(Dz. U. z </w:t>
      </w:r>
      <w:r w:rsidR="00FE619E" w:rsidRPr="00D44D33">
        <w:rPr>
          <w:rFonts w:ascii="Times New Roman" w:hAnsi="Times New Roman" w:cs="Times New Roman"/>
          <w:sz w:val="24"/>
          <w:szCs w:val="24"/>
        </w:rPr>
        <w:t xml:space="preserve">2021 r. poz. 1800, z późn. zm.) </w:t>
      </w:r>
      <w:r w:rsidRPr="00D44D33">
        <w:rPr>
          <w:rFonts w:ascii="Times New Roman" w:eastAsiaTheme="minorEastAsia" w:hAnsi="Times New Roman" w:cs="Times New Roman"/>
          <w:sz w:val="24"/>
          <w:szCs w:val="24"/>
        </w:rPr>
        <w:t>(„Kosztami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poniesione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źródła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źródła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p>
    <w:p w14:paraId="3DF74076" w14:textId="1BE6255E" w:rsidR="00796501" w:rsidRPr="00D44D33" w:rsidRDefault="4E425850"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corocznie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przekazać</w:t>
      </w:r>
      <w:r w:rsidR="00970B2E" w:rsidRPr="00D44D33">
        <w:rPr>
          <w:rFonts w:ascii="Times New Roman" w:eastAsiaTheme="minorEastAsia" w:hAnsi="Times New Roman" w:cs="Times New Roman"/>
          <w:sz w:val="24"/>
          <w:szCs w:val="24"/>
        </w:rPr>
        <w:t xml:space="preserve"> </w:t>
      </w:r>
      <w:r w:rsidR="2BB27C0E"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0572814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72814A" w:rsidRPr="00D44D33">
        <w:rPr>
          <w:rFonts w:ascii="Times New Roman" w:eastAsiaTheme="minorEastAsia" w:hAnsi="Times New Roman" w:cs="Times New Roman"/>
          <w:sz w:val="24"/>
          <w:szCs w:val="24"/>
        </w:rPr>
        <w:t>rachunek</w:t>
      </w:r>
      <w:r w:rsidR="00970B2E" w:rsidRPr="00D44D33">
        <w:rPr>
          <w:rFonts w:ascii="Times New Roman" w:eastAsiaTheme="minorEastAsia" w:hAnsi="Times New Roman" w:cs="Times New Roman"/>
          <w:sz w:val="24"/>
          <w:szCs w:val="24"/>
        </w:rPr>
        <w:t xml:space="preserve"> </w:t>
      </w:r>
      <w:r w:rsidR="0572814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72814A"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266075C0" w:rsidRPr="00D44D33">
        <w:rPr>
          <w:rFonts w:ascii="Times New Roman" w:eastAsiaTheme="minorEastAsia" w:hAnsi="Times New Roman" w:cs="Times New Roman"/>
          <w:sz w:val="24"/>
          <w:szCs w:val="24"/>
        </w:rPr>
        <w:t>i</w:t>
      </w:r>
      <w:r w:rsidR="0C66939B" w:rsidRPr="00D44D33">
        <w:rPr>
          <w:rFonts w:ascii="Times New Roman" w:eastAsiaTheme="minorEastAsia" w:hAnsi="Times New Roman" w:cs="Times New Roman"/>
          <w:sz w:val="24"/>
          <w:szCs w:val="24"/>
        </w:rPr>
        <w:t>nformacje</w:t>
      </w:r>
      <w:r w:rsidR="00970B2E" w:rsidRPr="00D44D33">
        <w:rPr>
          <w:rFonts w:ascii="Times New Roman" w:eastAsiaTheme="minorEastAsia" w:hAnsi="Times New Roman" w:cs="Times New Roman"/>
          <w:sz w:val="24"/>
          <w:szCs w:val="24"/>
        </w:rPr>
        <w:t xml:space="preserve"> </w:t>
      </w:r>
      <w:r w:rsidR="0C66939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A6761C1"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C66939B"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C66939B" w:rsidRPr="00D44D33">
        <w:rPr>
          <w:rFonts w:ascii="Times New Roman" w:eastAsiaTheme="minorEastAsia" w:hAnsi="Times New Roman" w:cs="Times New Roman"/>
          <w:sz w:val="24"/>
          <w:szCs w:val="24"/>
        </w:rPr>
        <w:t>środk</w:t>
      </w:r>
      <w:r w:rsidR="06696602" w:rsidRPr="00D44D33">
        <w:rPr>
          <w:rFonts w:ascii="Times New Roman" w:eastAsiaTheme="minorEastAsia" w:hAnsi="Times New Roman" w:cs="Times New Roman"/>
          <w:sz w:val="24"/>
          <w:szCs w:val="24"/>
        </w:rPr>
        <w:t>ów</w:t>
      </w:r>
      <w:r w:rsidR="00970B2E" w:rsidRPr="00D44D33">
        <w:rPr>
          <w:rFonts w:ascii="Times New Roman" w:eastAsiaTheme="minorEastAsia" w:hAnsi="Times New Roman" w:cs="Times New Roman"/>
          <w:sz w:val="24"/>
          <w:szCs w:val="24"/>
        </w:rPr>
        <w:t xml:space="preserve"> </w:t>
      </w:r>
      <w:r w:rsidR="0C66939B"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C66939B" w:rsidRPr="00D44D33">
        <w:rPr>
          <w:rFonts w:ascii="Times New Roman" w:eastAsiaTheme="minorEastAsia" w:hAnsi="Times New Roman" w:cs="Times New Roman"/>
          <w:sz w:val="24"/>
          <w:szCs w:val="24"/>
        </w:rPr>
        <w:t>przekazywane</w:t>
      </w:r>
      <w:r w:rsidR="00970B2E" w:rsidRPr="00D44D33">
        <w:rPr>
          <w:rFonts w:ascii="Times New Roman" w:eastAsiaTheme="minorEastAsia" w:hAnsi="Times New Roman" w:cs="Times New Roman"/>
          <w:sz w:val="24"/>
          <w:szCs w:val="24"/>
        </w:rPr>
        <w:t xml:space="preserve"> </w:t>
      </w:r>
      <w:r w:rsidR="0C66939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corocznej</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sprawozdawczości</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wynikającej</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CF1CA3D" w:rsidRPr="00D44D33">
        <w:rPr>
          <w:rFonts w:ascii="Times New Roman" w:eastAsiaTheme="minorEastAsia" w:hAnsi="Times New Roman" w:cs="Times New Roman"/>
          <w:sz w:val="24"/>
          <w:szCs w:val="24"/>
        </w:rPr>
        <w:t>2</w:t>
      </w:r>
      <w:r w:rsidR="0E432042"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208E8822" w:rsidRPr="00D44D33">
        <w:rPr>
          <w:rFonts w:ascii="Times New Roman" w:eastAsiaTheme="minorEastAsia" w:hAnsi="Times New Roman" w:cs="Times New Roman"/>
          <w:sz w:val="24"/>
          <w:szCs w:val="24"/>
        </w:rPr>
        <w:t>Pke</w:t>
      </w:r>
      <w:r w:rsidR="0461454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przekazywać</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rachunek</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Funduszu</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pozostałych</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kontach</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paid</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wskazanej</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przekazywana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będzie</w:t>
      </w:r>
      <w:r w:rsidR="00371EEA">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Narodowemu</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Funduszowi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Zdrowia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przeznaczeniem</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dofinansowanie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świadczeń</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opieki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zdrowotnej</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profilaktyki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leczenia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problemowego</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technologii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dzieci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E3C568D" w:rsidRPr="00D44D33">
        <w:rPr>
          <w:rFonts w:ascii="Times New Roman" w:eastAsiaTheme="minorEastAsia" w:hAnsi="Times New Roman" w:cs="Times New Roman"/>
          <w:sz w:val="24"/>
          <w:szCs w:val="24"/>
        </w:rPr>
        <w:t>młodzież.</w:t>
      </w:r>
    </w:p>
    <w:p w14:paraId="59BBA6F5" w14:textId="1CF55AD6" w:rsidR="002E43A1" w:rsidRPr="00D44D33" w:rsidRDefault="3C2B0B7F"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P</w:t>
      </w:r>
      <w:r w:rsidR="358ED2F5" w:rsidRPr="00D44D33">
        <w:rPr>
          <w:rFonts w:ascii="Times New Roman" w:eastAsiaTheme="minorEastAsia" w:hAnsi="Times New Roman" w:cs="Times New Roman"/>
          <w:sz w:val="24"/>
          <w:szCs w:val="24"/>
        </w:rPr>
        <w:t>onadto</w:t>
      </w:r>
      <w:r w:rsidR="00970B2E" w:rsidRPr="00D44D33">
        <w:rPr>
          <w:rFonts w:ascii="Times New Roman" w:eastAsiaTheme="minorEastAsia" w:hAnsi="Times New Roman" w:cs="Times New Roman"/>
          <w:sz w:val="24"/>
          <w:szCs w:val="24"/>
        </w:rPr>
        <w:t xml:space="preserve"> </w:t>
      </w:r>
      <w:r w:rsidR="181A0062" w:rsidRPr="00D44D33">
        <w:rPr>
          <w:rFonts w:ascii="Times New Roman" w:eastAsiaTheme="minorEastAsia" w:hAnsi="Times New Roman" w:cs="Times New Roman"/>
          <w:sz w:val="24"/>
          <w:szCs w:val="24"/>
        </w:rPr>
        <w:t>dodano</w:t>
      </w:r>
      <w:r w:rsidR="00970B2E" w:rsidRPr="00D44D33">
        <w:rPr>
          <w:rFonts w:ascii="Times New Roman" w:eastAsiaTheme="minorEastAsia" w:hAnsi="Times New Roman" w:cs="Times New Roman"/>
          <w:sz w:val="24"/>
          <w:szCs w:val="24"/>
        </w:rPr>
        <w:t xml:space="preserve"> </w:t>
      </w:r>
      <w:r w:rsidR="358ED2F5" w:rsidRPr="00D44D33">
        <w:rPr>
          <w:rFonts w:ascii="Times New Roman" w:eastAsiaTheme="minorEastAsia" w:hAnsi="Times New Roman" w:cs="Times New Roman"/>
          <w:sz w:val="24"/>
          <w:szCs w:val="24"/>
        </w:rPr>
        <w:t>przepis</w:t>
      </w:r>
      <w:r w:rsidR="3D3A80CD" w:rsidRPr="00D44D33">
        <w:rPr>
          <w:rFonts w:ascii="Times New Roman" w:eastAsiaTheme="minorEastAsia" w:hAnsi="Times New Roman" w:cs="Times New Roman"/>
          <w:sz w:val="24"/>
          <w:szCs w:val="24"/>
        </w:rPr>
        <w:t>y</w:t>
      </w:r>
      <w:r w:rsidR="358ED2F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58ED2F5" w:rsidRPr="00D44D33">
        <w:rPr>
          <w:rFonts w:ascii="Times New Roman" w:eastAsiaTheme="minorEastAsia" w:hAnsi="Times New Roman" w:cs="Times New Roman"/>
          <w:sz w:val="24"/>
          <w:szCs w:val="24"/>
        </w:rPr>
        <w:t>analogiczne</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28</w:t>
      </w:r>
      <w:r w:rsidR="00F852F2" w:rsidRPr="00D44D33">
        <w:rPr>
          <w:rFonts w:ascii="Times New Roman" w:eastAsiaTheme="minorEastAsia" w:hAnsi="Times New Roman" w:cs="Times New Roman"/>
          <w:bCs/>
          <w:sz w:val="24"/>
          <w:szCs w:val="24"/>
        </w:rPr>
        <w:t xml:space="preserve"> i </w:t>
      </w:r>
      <w:r w:rsidR="6BDEF987"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7F1E0FF7"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BDEF987" w:rsidRPr="00D44D33">
        <w:rPr>
          <w:rFonts w:ascii="Times New Roman" w:eastAsiaTheme="minorEastAsia" w:hAnsi="Times New Roman" w:cs="Times New Roman"/>
          <w:sz w:val="24"/>
          <w:szCs w:val="24"/>
        </w:rPr>
        <w:t>23-25</w:t>
      </w:r>
      <w:r w:rsidR="00970B2E" w:rsidRPr="00D44D33">
        <w:rPr>
          <w:rFonts w:ascii="Times New Roman" w:eastAsiaTheme="minorEastAsia" w:hAnsi="Times New Roman" w:cs="Times New Roman"/>
          <w:sz w:val="24"/>
          <w:szCs w:val="24"/>
        </w:rPr>
        <w:t xml:space="preserve"> </w:t>
      </w:r>
      <w:r w:rsidR="388F9B78" w:rsidRPr="00D44D33">
        <w:rPr>
          <w:rFonts w:ascii="Times New Roman" w:eastAsiaTheme="minorEastAsia" w:hAnsi="Times New Roman" w:cs="Times New Roman"/>
          <w:sz w:val="24"/>
          <w:szCs w:val="24"/>
        </w:rPr>
        <w:t>Pke</w:t>
      </w:r>
      <w:r w:rsidR="5AD88B9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00F71FCC" w:rsidRPr="00D44D33">
        <w:rPr>
          <w:rFonts w:ascii="Times New Roman" w:eastAsia="Times New Roman" w:hAnsi="Times New Roman" w:cs="Times New Roman"/>
          <w:sz w:val="24"/>
          <w:szCs w:val="24"/>
        </w:rPr>
        <w:t>Przepis u</w:t>
      </w:r>
      <w:r w:rsidR="45ECC65E" w:rsidRPr="00D44D33">
        <w:rPr>
          <w:rFonts w:ascii="Times New Roman" w:eastAsia="Times New Roman" w:hAnsi="Times New Roman" w:cs="Times New Roman"/>
          <w:sz w:val="24"/>
          <w:szCs w:val="24"/>
        </w:rPr>
        <w:t>st.</w:t>
      </w:r>
      <w:r w:rsidR="00970B2E" w:rsidRPr="00D44D33">
        <w:rPr>
          <w:rFonts w:ascii="Times New Roman" w:eastAsia="Times New Roman" w:hAnsi="Times New Roman" w:cs="Times New Roman"/>
          <w:sz w:val="24"/>
          <w:szCs w:val="24"/>
        </w:rPr>
        <w:t xml:space="preserve"> </w:t>
      </w:r>
      <w:r w:rsidR="00296E93" w:rsidRPr="00D44D33">
        <w:rPr>
          <w:rFonts w:ascii="Times New Roman" w:eastAsia="Times New Roman" w:hAnsi="Times New Roman" w:cs="Times New Roman"/>
          <w:sz w:val="24"/>
          <w:szCs w:val="24"/>
        </w:rPr>
        <w:t xml:space="preserve">11 </w:t>
      </w:r>
      <w:r w:rsidR="45ECC65E"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45ECC65E" w:rsidRPr="00D44D33">
        <w:rPr>
          <w:rFonts w:ascii="Times New Roman" w:eastAsia="Times New Roman" w:hAnsi="Times New Roman" w:cs="Times New Roman"/>
          <w:sz w:val="24"/>
          <w:szCs w:val="24"/>
        </w:rPr>
        <w:t>podstawę</w:t>
      </w:r>
      <w:r w:rsidR="00970B2E" w:rsidRPr="00D44D33">
        <w:rPr>
          <w:rFonts w:ascii="Times New Roman" w:eastAsia="Times New Roman" w:hAnsi="Times New Roman" w:cs="Times New Roman"/>
          <w:sz w:val="24"/>
          <w:szCs w:val="24"/>
        </w:rPr>
        <w:t xml:space="preserve"> </w:t>
      </w:r>
      <w:r w:rsidR="45ECC65E" w:rsidRPr="00D44D33">
        <w:rPr>
          <w:rFonts w:ascii="Times New Roman" w:eastAsia="Times New Roman" w:hAnsi="Times New Roman" w:cs="Times New Roman"/>
          <w:sz w:val="24"/>
          <w:szCs w:val="24"/>
        </w:rPr>
        <w:t>prawną</w:t>
      </w:r>
      <w:r w:rsidR="00970B2E" w:rsidRPr="00D44D33">
        <w:rPr>
          <w:rFonts w:ascii="Times New Roman" w:eastAsia="Times New Roman" w:hAnsi="Times New Roman" w:cs="Times New Roman"/>
          <w:sz w:val="24"/>
          <w:szCs w:val="24"/>
        </w:rPr>
        <w:t xml:space="preserve"> </w:t>
      </w:r>
      <w:r w:rsidR="45ECC65E"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45ECC65E" w:rsidRPr="00D44D33">
        <w:rPr>
          <w:rFonts w:ascii="Times New Roman" w:eastAsia="Times New Roman" w:hAnsi="Times New Roman" w:cs="Times New Roman"/>
          <w:sz w:val="24"/>
          <w:szCs w:val="24"/>
        </w:rPr>
        <w:t>odpowiedniego</w:t>
      </w:r>
      <w:r w:rsidR="00970B2E" w:rsidRPr="00D44D33">
        <w:rPr>
          <w:rFonts w:ascii="Times New Roman" w:eastAsia="Times New Roman" w:hAnsi="Times New Roman" w:cs="Times New Roman"/>
          <w:sz w:val="24"/>
          <w:szCs w:val="24"/>
        </w:rPr>
        <w:t xml:space="preserve"> </w:t>
      </w:r>
      <w:r w:rsidR="45ECC65E" w:rsidRPr="00D44D33">
        <w:rPr>
          <w:rFonts w:ascii="Times New Roman" w:eastAsia="Times New Roman" w:hAnsi="Times New Roman" w:cs="Times New Roman"/>
          <w:sz w:val="24"/>
          <w:szCs w:val="24"/>
        </w:rPr>
        <w:t>stosowania</w:t>
      </w:r>
      <w:r w:rsidR="00970B2E" w:rsidRPr="00D44D33">
        <w:rPr>
          <w:rFonts w:ascii="Times New Roman" w:eastAsia="Times New Roman" w:hAnsi="Times New Roman" w:cs="Times New Roman"/>
          <w:sz w:val="24"/>
          <w:szCs w:val="24"/>
        </w:rPr>
        <w:t xml:space="preserve"> </w:t>
      </w:r>
      <w:r w:rsidR="45ECC65E" w:rsidRPr="00D44D33">
        <w:rPr>
          <w:rFonts w:ascii="Times New Roman" w:eastAsia="Times New Roman" w:hAnsi="Times New Roman" w:cs="Times New Roman"/>
          <w:sz w:val="24"/>
          <w:szCs w:val="24"/>
        </w:rPr>
        <w:t>r</w:t>
      </w:r>
      <w:r w:rsidR="3974D5E2" w:rsidRPr="00D44D33">
        <w:rPr>
          <w:rFonts w:ascii="Times New Roman" w:eastAsia="Times New Roman" w:hAnsi="Times New Roman" w:cs="Times New Roman"/>
          <w:sz w:val="24"/>
          <w:szCs w:val="24"/>
        </w:rPr>
        <w:t>ozdział</w:t>
      </w:r>
      <w:r w:rsidR="465B8F08" w:rsidRPr="00D44D33">
        <w:rPr>
          <w:rFonts w:ascii="Times New Roman" w:eastAsia="Times New Roman" w:hAnsi="Times New Roman" w:cs="Times New Roman"/>
          <w:sz w:val="24"/>
          <w:szCs w:val="24"/>
        </w:rPr>
        <w:t>ów</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5</w:t>
      </w:r>
      <w:r w:rsidR="0076374D" w:rsidRPr="00D44D33">
        <w:rPr>
          <w:rFonts w:ascii="Times New Roman" w:eastAsiaTheme="minorEastAsia" w:hAnsi="Times New Roman" w:cs="Times New Roman"/>
          <w:bCs/>
          <w:sz w:val="24"/>
          <w:szCs w:val="24"/>
        </w:rPr>
        <w:t>–</w:t>
      </w:r>
      <w:r w:rsidR="3974D5E2" w:rsidRPr="00D44D33">
        <w:rPr>
          <w:rFonts w:ascii="Times New Roman" w:eastAsia="Times New Roman" w:hAnsi="Times New Roman" w:cs="Times New Roman"/>
          <w:sz w:val="24"/>
          <w:szCs w:val="24"/>
        </w:rPr>
        <w:t>6,</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7</w:t>
      </w:r>
      <w:r w:rsidR="0076374D" w:rsidRPr="00D44D33">
        <w:rPr>
          <w:rFonts w:ascii="Times New Roman" w:eastAsiaTheme="minorEastAsia" w:hAnsi="Times New Roman" w:cs="Times New Roman"/>
          <w:bCs/>
          <w:sz w:val="24"/>
          <w:szCs w:val="24"/>
        </w:rPr>
        <w:t>–</w:t>
      </w:r>
      <w:r w:rsidR="3974D5E2" w:rsidRPr="00D44D33">
        <w:rPr>
          <w:rFonts w:ascii="Times New Roman" w:eastAsia="Times New Roman" w:hAnsi="Times New Roman" w:cs="Times New Roman"/>
          <w:sz w:val="24"/>
          <w:szCs w:val="24"/>
        </w:rPr>
        <w:t>9</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13</w:t>
      </w:r>
      <w:r w:rsidR="0076374D" w:rsidRPr="00D44D33">
        <w:rPr>
          <w:rFonts w:ascii="Times New Roman" w:eastAsiaTheme="minorEastAsia" w:hAnsi="Times New Roman" w:cs="Times New Roman"/>
          <w:bCs/>
          <w:sz w:val="24"/>
          <w:szCs w:val="24"/>
        </w:rPr>
        <w:t>–</w:t>
      </w:r>
      <w:r w:rsidR="3974D5E2" w:rsidRPr="00D44D33">
        <w:rPr>
          <w:rFonts w:ascii="Times New Roman" w:eastAsia="Times New Roman" w:hAnsi="Times New Roman" w:cs="Times New Roman"/>
          <w:sz w:val="24"/>
          <w:szCs w:val="24"/>
        </w:rPr>
        <w:t>15</w:t>
      </w:r>
      <w:r w:rsidR="00970B2E" w:rsidRPr="00D44D33">
        <w:rPr>
          <w:rFonts w:ascii="Times New Roman" w:eastAsia="Times New Roman" w:hAnsi="Times New Roman" w:cs="Times New Roman"/>
          <w:sz w:val="24"/>
          <w:szCs w:val="24"/>
        </w:rPr>
        <w:t xml:space="preserve"> </w:t>
      </w:r>
      <w:r w:rsidR="00F71FCC" w:rsidRPr="00D44D33">
        <w:rPr>
          <w:rFonts w:ascii="Times New Roman" w:eastAsia="Times New Roman" w:hAnsi="Times New Roman" w:cs="Times New Roman"/>
          <w:sz w:val="24"/>
          <w:szCs w:val="24"/>
        </w:rPr>
        <w:t>d</w:t>
      </w:r>
      <w:r w:rsidR="3974D5E2" w:rsidRPr="00D44D33">
        <w:rPr>
          <w:rFonts w:ascii="Times New Roman" w:eastAsia="Times New Roman" w:hAnsi="Times New Roman" w:cs="Times New Roman"/>
          <w:sz w:val="24"/>
          <w:szCs w:val="24"/>
        </w:rPr>
        <w:t>ziału</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III</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29</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sierpnia</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1997</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0076374D" w:rsidRPr="00D44D33">
        <w:rPr>
          <w:rFonts w:ascii="Times New Roman" w:eastAsiaTheme="minorEastAsia" w:hAnsi="Times New Roman" w:cs="Times New Roman"/>
          <w:bCs/>
          <w:sz w:val="24"/>
          <w:szCs w:val="24"/>
        </w:rPr>
        <w:t>–</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Ordynacja</w:t>
      </w:r>
      <w:r w:rsidR="00970B2E" w:rsidRPr="00D44D33">
        <w:rPr>
          <w:rFonts w:ascii="Times New Roman" w:eastAsia="Times New Roman" w:hAnsi="Times New Roman" w:cs="Times New Roman"/>
          <w:sz w:val="24"/>
          <w:szCs w:val="24"/>
        </w:rPr>
        <w:t xml:space="preserve"> </w:t>
      </w:r>
      <w:r w:rsidR="297F82E1" w:rsidRPr="00D44D33">
        <w:rPr>
          <w:rFonts w:ascii="Times New Roman" w:eastAsia="Times New Roman" w:hAnsi="Times New Roman" w:cs="Times New Roman"/>
          <w:sz w:val="24"/>
          <w:szCs w:val="24"/>
        </w:rPr>
        <w:t>podatkowa</w:t>
      </w:r>
      <w:r w:rsidR="5E23944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E239443"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dotyczą</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zobowiązań</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podatkowych</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regulują</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kwestie</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zaległości</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podatkowych,</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odsetek</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zwłokę,</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wygaśnięcia</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zobowiązań</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podatkowych,</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ulg,</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przedawnień,</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nadpłaty,</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odpowiedzialności</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solidarnej</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podatkowej</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osób</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trzecich,</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a</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także</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praw</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obowiązk</w:t>
      </w:r>
      <w:r w:rsidR="6FE5918E" w:rsidRPr="00D44D33">
        <w:rPr>
          <w:rFonts w:ascii="Times New Roman" w:eastAsia="Times New Roman" w:hAnsi="Times New Roman" w:cs="Times New Roman"/>
          <w:sz w:val="24"/>
          <w:szCs w:val="24"/>
        </w:rPr>
        <w:t>ów</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następców</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prawnych</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3974D5E2" w:rsidRPr="00D44D33">
        <w:rPr>
          <w:rFonts w:ascii="Times New Roman" w:eastAsia="Times New Roman" w:hAnsi="Times New Roman" w:cs="Times New Roman"/>
          <w:sz w:val="24"/>
          <w:szCs w:val="24"/>
        </w:rPr>
        <w:t>przekształconych.</w:t>
      </w:r>
      <w:r w:rsidR="00970B2E" w:rsidRPr="00D44D33">
        <w:rPr>
          <w:rFonts w:ascii="Times New Roman" w:eastAsia="Times New Roman" w:hAnsi="Times New Roman" w:cs="Times New Roman"/>
          <w:sz w:val="24"/>
          <w:szCs w:val="24"/>
        </w:rPr>
        <w:t xml:space="preserve"> </w:t>
      </w:r>
      <w:r w:rsidR="6659FCE3" w:rsidRPr="00D44D33">
        <w:rPr>
          <w:rFonts w:ascii="Times New Roman" w:eastAsia="Times New Roman" w:hAnsi="Times New Roman" w:cs="Times New Roman"/>
          <w:sz w:val="24"/>
          <w:szCs w:val="24"/>
        </w:rPr>
        <w:t>Natomiast</w:t>
      </w:r>
      <w:r w:rsidR="00970B2E" w:rsidRPr="00D44D33">
        <w:rPr>
          <w:rFonts w:ascii="Times New Roman" w:eastAsia="Times New Roman" w:hAnsi="Times New Roman" w:cs="Times New Roman"/>
          <w:sz w:val="24"/>
          <w:szCs w:val="24"/>
        </w:rPr>
        <w:t xml:space="preserve"> </w:t>
      </w:r>
      <w:r w:rsidR="00500F7A"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500F7A" w:rsidRPr="00D44D33">
        <w:rPr>
          <w:rFonts w:ascii="Times New Roman" w:eastAsia="Times New Roman" w:hAnsi="Times New Roman" w:cs="Times New Roman"/>
          <w:sz w:val="24"/>
          <w:szCs w:val="24"/>
        </w:rPr>
        <w:t>1</w:t>
      </w:r>
      <w:r w:rsidR="00835FC6" w:rsidRPr="00D44D33">
        <w:rPr>
          <w:rFonts w:ascii="Times New Roman" w:eastAsia="Times New Roman" w:hAnsi="Times New Roman" w:cs="Times New Roman"/>
          <w:sz w:val="24"/>
          <w:szCs w:val="24"/>
        </w:rPr>
        <w:t>2</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stanowi</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iż,</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doładowań,</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których</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mowa</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835FC6" w:rsidRPr="00D44D33">
        <w:rPr>
          <w:rFonts w:ascii="Times New Roman" w:eastAsia="Times New Roman" w:hAnsi="Times New Roman" w:cs="Times New Roman"/>
          <w:sz w:val="24"/>
          <w:szCs w:val="24"/>
        </w:rPr>
        <w:t>8</w:t>
      </w:r>
      <w:r w:rsidR="5D7D87C4"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stosuje</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przepisy</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postępowaniu</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egzekucyjnym</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administracji</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egzekucji</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charakterze</w:t>
      </w:r>
      <w:r w:rsidR="00970B2E" w:rsidRPr="00D44D33">
        <w:rPr>
          <w:rFonts w:ascii="Times New Roman" w:eastAsia="Times New Roman" w:hAnsi="Times New Roman" w:cs="Times New Roman"/>
          <w:sz w:val="24"/>
          <w:szCs w:val="24"/>
        </w:rPr>
        <w:t xml:space="preserve"> </w:t>
      </w:r>
      <w:r w:rsidR="5D7D87C4" w:rsidRPr="00D44D33">
        <w:rPr>
          <w:rFonts w:ascii="Times New Roman" w:eastAsia="Times New Roman" w:hAnsi="Times New Roman" w:cs="Times New Roman"/>
          <w:sz w:val="24"/>
          <w:szCs w:val="24"/>
        </w:rPr>
        <w:t>pieniężnym</w:t>
      </w:r>
      <w:r w:rsidR="610FD41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Kwestię</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tę</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reguluje</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dział</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II</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egzekucja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należ</w:t>
      </w:r>
      <w:r w:rsidR="00D64A58" w:rsidRPr="00D44D33">
        <w:rPr>
          <w:rFonts w:ascii="Times New Roman" w:eastAsia="Times New Roman" w:hAnsi="Times New Roman" w:cs="Times New Roman"/>
          <w:sz w:val="24"/>
          <w:szCs w:val="24"/>
        </w:rPr>
        <w:t>ności</w:t>
      </w:r>
      <w:r w:rsidR="00970B2E" w:rsidRPr="00D44D33">
        <w:rPr>
          <w:rFonts w:ascii="Times New Roman" w:eastAsia="Times New Roman" w:hAnsi="Times New Roman" w:cs="Times New Roman"/>
          <w:sz w:val="24"/>
          <w:szCs w:val="24"/>
        </w:rPr>
        <w:t xml:space="preserve"> </w:t>
      </w:r>
      <w:r w:rsidR="00D64A58" w:rsidRPr="00D44D33">
        <w:rPr>
          <w:rFonts w:ascii="Times New Roman" w:eastAsia="Times New Roman" w:hAnsi="Times New Roman" w:cs="Times New Roman"/>
          <w:sz w:val="24"/>
          <w:szCs w:val="24"/>
        </w:rPr>
        <w:t>pieniężnych</w:t>
      </w:r>
      <w:r w:rsidR="00970B2E" w:rsidRPr="00D44D33">
        <w:rPr>
          <w:rFonts w:ascii="Times New Roman" w:eastAsia="Times New Roman" w:hAnsi="Times New Roman" w:cs="Times New Roman"/>
          <w:sz w:val="24"/>
          <w:szCs w:val="24"/>
        </w:rPr>
        <w:t xml:space="preserve"> </w:t>
      </w:r>
      <w:r w:rsidR="00D64A58" w:rsidRPr="00D44D33">
        <w:rPr>
          <w:rFonts w:ascii="Times New Roman" w:eastAsia="Times New Roman" w:hAnsi="Times New Roman" w:cs="Times New Roman"/>
          <w:sz w:val="24"/>
          <w:szCs w:val="24"/>
        </w:rPr>
        <w:t>ustawy</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dnia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17</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czerwca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1966</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r.</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postępowaniu</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egzekucyjnym</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administracji.</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Egzekucji</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podlega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należność</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główna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odsetki</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ustawowe.</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będący</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wierzycielem</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składa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wniosek</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organu</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egzekucyjnego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(jakim</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właściwy</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naczelnik</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urzędu</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skarbowego),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który</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to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organ</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wystawionego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tytułu</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wykonawczego</w:t>
      </w:r>
      <w:r w:rsidR="00970B2E" w:rsidRPr="00D44D33">
        <w:rPr>
          <w:rFonts w:ascii="Times New Roman" w:eastAsia="Times New Roman" w:hAnsi="Times New Roman" w:cs="Times New Roman"/>
          <w:sz w:val="24"/>
          <w:szCs w:val="24"/>
        </w:rPr>
        <w:t xml:space="preserve"> </w:t>
      </w:r>
      <w:r w:rsidR="610FD411" w:rsidRPr="00D44D33">
        <w:rPr>
          <w:rFonts w:ascii="Times New Roman" w:eastAsia="Times New Roman" w:hAnsi="Times New Roman" w:cs="Times New Roman"/>
          <w:sz w:val="24"/>
          <w:szCs w:val="24"/>
        </w:rPr>
        <w:t>wszc</w:t>
      </w:r>
      <w:r w:rsidR="00623684" w:rsidRPr="00D44D33">
        <w:rPr>
          <w:rFonts w:ascii="Times New Roman" w:eastAsia="Times New Roman" w:hAnsi="Times New Roman" w:cs="Times New Roman"/>
          <w:sz w:val="24"/>
          <w:szCs w:val="24"/>
        </w:rPr>
        <w:t>zyna</w:t>
      </w:r>
      <w:r w:rsidR="00970B2E" w:rsidRPr="00D44D33">
        <w:rPr>
          <w:rFonts w:ascii="Times New Roman" w:eastAsia="Times New Roman" w:hAnsi="Times New Roman" w:cs="Times New Roman"/>
          <w:sz w:val="24"/>
          <w:szCs w:val="24"/>
        </w:rPr>
        <w:t xml:space="preserve"> </w:t>
      </w:r>
      <w:r w:rsidR="00623684" w:rsidRPr="00D44D33">
        <w:rPr>
          <w:rFonts w:ascii="Times New Roman" w:eastAsia="Times New Roman" w:hAnsi="Times New Roman" w:cs="Times New Roman"/>
          <w:sz w:val="24"/>
          <w:szCs w:val="24"/>
        </w:rPr>
        <w:t>egzekucję</w:t>
      </w:r>
      <w:r w:rsidR="00970B2E" w:rsidRPr="00D44D33">
        <w:rPr>
          <w:rFonts w:ascii="Times New Roman" w:eastAsia="Times New Roman" w:hAnsi="Times New Roman" w:cs="Times New Roman"/>
          <w:sz w:val="24"/>
          <w:szCs w:val="24"/>
        </w:rPr>
        <w:t xml:space="preserve"> </w:t>
      </w:r>
      <w:r w:rsidR="006C2443" w:rsidRPr="00D44D33">
        <w:rPr>
          <w:rFonts w:ascii="Times New Roman" w:eastAsia="Times New Roman" w:hAnsi="Times New Roman" w:cs="Times New Roman"/>
          <w:sz w:val="24"/>
          <w:szCs w:val="24"/>
        </w:rPr>
        <w:t>administracyjną.</w:t>
      </w:r>
      <w:r w:rsidR="00970B2E" w:rsidRPr="00D44D33">
        <w:rPr>
          <w:rFonts w:ascii="Times New Roman" w:eastAsia="Times New Roman" w:hAnsi="Times New Roman" w:cs="Times New Roman"/>
          <w:sz w:val="24"/>
          <w:szCs w:val="24"/>
        </w:rPr>
        <w:t xml:space="preserve"> </w:t>
      </w:r>
    </w:p>
    <w:p w14:paraId="0672B125" w14:textId="76121F52" w:rsidR="002E43A1" w:rsidRPr="00D44D33" w:rsidRDefault="00500F7A"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1</w:t>
      </w:r>
      <w:r w:rsidR="00835FC6"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przewidziano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wydania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rozporządzenia,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określone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zostanie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jakich</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żądać</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konsumenta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ramach</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wniosku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zwrot</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prepaid.</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Ponadto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rozporządzeniu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możliwe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określenie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maksymalnej</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wysokości</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opłaty,</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jaką</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pobrać</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związku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realizacją</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wniosku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zwrot</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obserwacji</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sposobu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wdrożenia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obowiązków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zakresu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zwrotu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prepaid</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dostawców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minister</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właściwy</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spraw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informatyzacji</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zdecyduje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czy</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zachodzi</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potrzeba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podjęcia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inicjatywy</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legislacyjnej.</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Warunki</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uzyskiwania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zwrotu</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powinny</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zniechęcać</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konsumentów</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ubiegania</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2E43A1" w:rsidRPr="00D44D33">
        <w:rPr>
          <w:rFonts w:ascii="Times New Roman" w:eastAsia="Times New Roman" w:hAnsi="Times New Roman" w:cs="Times New Roman"/>
          <w:sz w:val="24"/>
          <w:szCs w:val="24"/>
        </w:rPr>
        <w:t>zwrot.</w:t>
      </w:r>
    </w:p>
    <w:p w14:paraId="09768F36" w14:textId="1D80FF7E" w:rsidR="00F852F2" w:rsidRPr="00D44D33" w:rsidRDefault="006928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326</w:t>
      </w:r>
    </w:p>
    <w:p w14:paraId="2C4BA12D" w14:textId="2EB9ECC5" w:rsidR="0069287E"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S</w:t>
      </w:r>
      <w:r w:rsidR="00E821C9" w:rsidRPr="00D44D33">
        <w:rPr>
          <w:rFonts w:ascii="Times New Roman" w:eastAsiaTheme="minorEastAsia" w:hAnsi="Times New Roman" w:cs="Times New Roman"/>
          <w:b/>
          <w:bCs/>
          <w:sz w:val="24"/>
          <w:szCs w:val="24"/>
        </w:rPr>
        <w:t>pis</w:t>
      </w:r>
      <w:r w:rsidR="00970B2E" w:rsidRPr="00D44D33">
        <w:rPr>
          <w:rFonts w:ascii="Times New Roman" w:eastAsiaTheme="minorEastAsia" w:hAnsi="Times New Roman" w:cs="Times New Roman"/>
          <w:b/>
          <w:bCs/>
          <w:sz w:val="24"/>
          <w:szCs w:val="24"/>
        </w:rPr>
        <w:t xml:space="preserve"> </w:t>
      </w:r>
      <w:r w:rsidR="00E821C9" w:rsidRPr="00D44D33">
        <w:rPr>
          <w:rFonts w:ascii="Times New Roman" w:eastAsiaTheme="minorEastAsia" w:hAnsi="Times New Roman" w:cs="Times New Roman"/>
          <w:b/>
          <w:bCs/>
          <w:sz w:val="24"/>
          <w:szCs w:val="24"/>
        </w:rPr>
        <w:t>abonentów</w:t>
      </w:r>
    </w:p>
    <w:p w14:paraId="6C7303A7" w14:textId="5BF30430" w:rsidR="0069287E"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6E5912"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spisu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biura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udostępniać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spis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strefy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numeracyjnej,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znajduje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abonenta.</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przedmiotowego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dotychczasowego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dyrektyw,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ogólnokrajowej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telefonicznych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ogólnokrajowego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spisu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mniejsze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zainteresowanie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korzystaniem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utrzymywanie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zdecydować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chce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oferować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telefonicznych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spisu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telefonicznych.</w:t>
      </w:r>
      <w:r w:rsidR="00970B2E" w:rsidRPr="00D44D33">
        <w:rPr>
          <w:rFonts w:ascii="Times New Roman" w:eastAsia="Calibri" w:hAnsi="Times New Roman" w:cs="Times New Roman"/>
          <w:bCs/>
          <w:sz w:val="24"/>
          <w:szCs w:val="24"/>
          <w:lang w:eastAsia="ar-SA"/>
        </w:rPr>
        <w:t xml:space="preserve"> </w:t>
      </w:r>
      <w:r w:rsidR="00A753BE" w:rsidRPr="00D44D33">
        <w:rPr>
          <w:rFonts w:ascii="Times New Roman" w:eastAsiaTheme="minorEastAsia" w:hAnsi="Times New Roman" w:cs="Times New Roman"/>
          <w:bCs/>
          <w:sz w:val="24"/>
          <w:szCs w:val="24"/>
        </w:rPr>
        <w:t>Zakres</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danych</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niezbędnych</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dla</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celów</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prowadzenia</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spisów</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abonentów</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wynika</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art.</w:t>
      </w:r>
      <w:r w:rsidR="00970B2E" w:rsidRPr="00D44D33">
        <w:rPr>
          <w:rFonts w:ascii="Times New Roman" w:eastAsiaTheme="minorEastAsia" w:hAnsi="Times New Roman" w:cs="Times New Roman"/>
          <w:bCs/>
          <w:sz w:val="24"/>
          <w:szCs w:val="24"/>
        </w:rPr>
        <w:t xml:space="preserve"> </w:t>
      </w:r>
      <w:r w:rsidR="008B57F0" w:rsidRPr="00D44D33">
        <w:rPr>
          <w:rFonts w:ascii="Times New Roman" w:eastAsiaTheme="minorEastAsia" w:hAnsi="Times New Roman" w:cs="Times New Roman"/>
          <w:bCs/>
          <w:sz w:val="24"/>
          <w:szCs w:val="24"/>
        </w:rPr>
        <w:t>390</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regulującego</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zasady</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funkcjonowania</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takich</w:t>
      </w:r>
      <w:r w:rsidR="00970B2E" w:rsidRPr="00D44D33">
        <w:rPr>
          <w:rFonts w:ascii="Times New Roman" w:eastAsiaTheme="minorEastAsia" w:hAnsi="Times New Roman" w:cs="Times New Roman"/>
          <w:bCs/>
          <w:sz w:val="24"/>
          <w:szCs w:val="24"/>
        </w:rPr>
        <w:t xml:space="preserve"> </w:t>
      </w:r>
      <w:r w:rsidR="00A753BE" w:rsidRPr="00D44D33">
        <w:rPr>
          <w:rFonts w:ascii="Times New Roman" w:eastAsiaTheme="minorEastAsia" w:hAnsi="Times New Roman" w:cs="Times New Roman"/>
          <w:bCs/>
          <w:sz w:val="24"/>
          <w:szCs w:val="24"/>
        </w:rPr>
        <w:t>spisów.</w:t>
      </w:r>
    </w:p>
    <w:p w14:paraId="736F3CCE" w14:textId="43AEE1DB" w:rsidR="00F852F2" w:rsidRPr="00D44D33" w:rsidRDefault="006928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327</w:t>
      </w:r>
    </w:p>
    <w:p w14:paraId="13600260" w14:textId="0D7CB0F6" w:rsidR="0069287E"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U</w:t>
      </w:r>
      <w:r w:rsidR="00E821C9" w:rsidRPr="00D44D33">
        <w:rPr>
          <w:rFonts w:ascii="Times New Roman" w:eastAsiaTheme="minorEastAsia" w:hAnsi="Times New Roman" w:cs="Times New Roman"/>
          <w:b/>
          <w:bCs/>
          <w:sz w:val="24"/>
          <w:szCs w:val="24"/>
        </w:rPr>
        <w:t>dostępnianie</w:t>
      </w:r>
      <w:r w:rsidR="00970B2E" w:rsidRPr="00D44D33">
        <w:rPr>
          <w:rFonts w:ascii="Times New Roman" w:eastAsiaTheme="minorEastAsia" w:hAnsi="Times New Roman" w:cs="Times New Roman"/>
          <w:b/>
          <w:bCs/>
          <w:sz w:val="24"/>
          <w:szCs w:val="24"/>
        </w:rPr>
        <w:t xml:space="preserve"> </w:t>
      </w:r>
      <w:r w:rsidR="00E821C9" w:rsidRPr="00D44D33">
        <w:rPr>
          <w:rFonts w:ascii="Times New Roman" w:eastAsiaTheme="minorEastAsia" w:hAnsi="Times New Roman" w:cs="Times New Roman"/>
          <w:b/>
          <w:bCs/>
          <w:sz w:val="24"/>
          <w:szCs w:val="24"/>
        </w:rPr>
        <w:t>danych</w:t>
      </w:r>
      <w:r w:rsidR="00970B2E" w:rsidRPr="00D44D33">
        <w:rPr>
          <w:rFonts w:ascii="Times New Roman" w:eastAsiaTheme="minorEastAsia" w:hAnsi="Times New Roman" w:cs="Times New Roman"/>
          <w:b/>
          <w:bCs/>
          <w:sz w:val="24"/>
          <w:szCs w:val="24"/>
        </w:rPr>
        <w:t xml:space="preserve"> </w:t>
      </w:r>
      <w:r w:rsidR="00E821C9"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00E821C9" w:rsidRPr="00D44D33">
        <w:rPr>
          <w:rFonts w:ascii="Times New Roman" w:eastAsiaTheme="minorEastAsia" w:hAnsi="Times New Roman" w:cs="Times New Roman"/>
          <w:b/>
          <w:bCs/>
          <w:sz w:val="24"/>
          <w:szCs w:val="24"/>
        </w:rPr>
        <w:t>spisu</w:t>
      </w:r>
      <w:r w:rsidR="00970B2E" w:rsidRPr="00D44D33">
        <w:rPr>
          <w:rFonts w:ascii="Times New Roman" w:eastAsiaTheme="minorEastAsia" w:hAnsi="Times New Roman" w:cs="Times New Roman"/>
          <w:b/>
          <w:bCs/>
          <w:sz w:val="24"/>
          <w:szCs w:val="24"/>
        </w:rPr>
        <w:t xml:space="preserve"> </w:t>
      </w:r>
      <w:r w:rsidR="00E821C9" w:rsidRPr="00D44D33">
        <w:rPr>
          <w:rFonts w:ascii="Times New Roman" w:eastAsiaTheme="minorEastAsia" w:hAnsi="Times New Roman" w:cs="Times New Roman"/>
          <w:b/>
          <w:bCs/>
          <w:sz w:val="24"/>
          <w:szCs w:val="24"/>
        </w:rPr>
        <w:t>abonentów</w:t>
      </w:r>
    </w:p>
    <w:p w14:paraId="6547D525" w14:textId="271B6EB2" w:rsidR="0069287E"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327</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udostępniania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przedsiębiorcom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niezbędnych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spisów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Udostępnianie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odbywać</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połączeniu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trybu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prowadzącego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porozumienia</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poszanowaniem</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ochronie</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69287E" w:rsidRPr="00D44D33">
        <w:rPr>
          <w:rFonts w:ascii="Times New Roman" w:eastAsiaTheme="minorEastAsia" w:hAnsi="Times New Roman" w:cs="Times New Roman"/>
          <w:sz w:val="24"/>
          <w:szCs w:val="24"/>
        </w:rPr>
        <w:t>osobowych.</w:t>
      </w:r>
    </w:p>
    <w:p w14:paraId="039D863E" w14:textId="113C3EF8" w:rsidR="00F852F2" w:rsidRPr="00D44D33" w:rsidRDefault="69AF32F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E248DB"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328</w:t>
      </w:r>
      <w:r w:rsidR="00970B2E" w:rsidRPr="00D44D33">
        <w:rPr>
          <w:rFonts w:ascii="Times New Roman" w:eastAsiaTheme="minorEastAsia" w:hAnsi="Times New Roman" w:cs="Times New Roman"/>
          <w:b/>
          <w:bCs/>
          <w:sz w:val="24"/>
          <w:szCs w:val="24"/>
        </w:rPr>
        <w:t xml:space="preserve"> </w:t>
      </w:r>
      <w:r w:rsidR="002B68AB"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329</w:t>
      </w:r>
    </w:p>
    <w:p w14:paraId="0FC8D618" w14:textId="5193F698" w:rsidR="69AF32FC"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W</w:t>
      </w:r>
      <w:r w:rsidR="002B68AB" w:rsidRPr="00D44D33">
        <w:rPr>
          <w:rFonts w:ascii="Times New Roman" w:eastAsiaTheme="minorEastAsia" w:hAnsi="Times New Roman" w:cs="Times New Roman"/>
          <w:b/>
          <w:bCs/>
          <w:sz w:val="24"/>
          <w:szCs w:val="24"/>
        </w:rPr>
        <w:t>ybieranie</w:t>
      </w:r>
      <w:r w:rsidR="00970B2E" w:rsidRPr="00D44D33">
        <w:rPr>
          <w:rFonts w:ascii="Times New Roman" w:eastAsiaTheme="minorEastAsia" w:hAnsi="Times New Roman" w:cs="Times New Roman"/>
          <w:b/>
          <w:bCs/>
          <w:sz w:val="24"/>
          <w:szCs w:val="24"/>
        </w:rPr>
        <w:t xml:space="preserve"> </w:t>
      </w:r>
      <w:r w:rsidR="006E5912" w:rsidRPr="00D44D33">
        <w:rPr>
          <w:rFonts w:ascii="Times New Roman" w:eastAsiaTheme="minorEastAsia" w:hAnsi="Times New Roman" w:cs="Times New Roman"/>
          <w:b/>
          <w:bCs/>
          <w:sz w:val="24"/>
          <w:szCs w:val="24"/>
        </w:rPr>
        <w:t>wieloczęstotliwo</w:t>
      </w:r>
      <w:r w:rsidR="002B68AB" w:rsidRPr="00D44D33">
        <w:rPr>
          <w:rFonts w:ascii="Times New Roman" w:eastAsiaTheme="minorEastAsia" w:hAnsi="Times New Roman" w:cs="Times New Roman"/>
          <w:b/>
          <w:bCs/>
          <w:sz w:val="24"/>
          <w:szCs w:val="24"/>
        </w:rPr>
        <w:t>ś</w:t>
      </w:r>
      <w:r w:rsidR="00344FBE" w:rsidRPr="00D44D33">
        <w:rPr>
          <w:rFonts w:ascii="Times New Roman" w:eastAsiaTheme="minorEastAsia" w:hAnsi="Times New Roman" w:cs="Times New Roman"/>
          <w:b/>
          <w:bCs/>
          <w:sz w:val="24"/>
          <w:szCs w:val="24"/>
        </w:rPr>
        <w:t>c</w:t>
      </w:r>
      <w:r w:rsidR="002B68AB" w:rsidRPr="00D44D33">
        <w:rPr>
          <w:rFonts w:ascii="Times New Roman" w:eastAsiaTheme="minorEastAsia" w:hAnsi="Times New Roman" w:cs="Times New Roman"/>
          <w:b/>
          <w:bCs/>
          <w:sz w:val="24"/>
          <w:szCs w:val="24"/>
        </w:rPr>
        <w:t>iowe</w:t>
      </w:r>
    </w:p>
    <w:p w14:paraId="26CA0E8B" w14:textId="4F4877A6" w:rsidR="00221330"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328</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wybierania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wieloczęstotliwościowego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DTMF.</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329</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sygnałów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wywołującej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wybierania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wieloczęstotliwościowego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DTMF</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członkowskich.</w:t>
      </w:r>
    </w:p>
    <w:p w14:paraId="483B33DF" w14:textId="561ECDC8" w:rsidR="00F852F2" w:rsidRPr="00D44D33" w:rsidRDefault="5E47E38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330</w:t>
      </w:r>
    </w:p>
    <w:p w14:paraId="309CAA56" w14:textId="2241D96A" w:rsidR="00221330"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L</w:t>
      </w:r>
      <w:r w:rsidR="5E47E380" w:rsidRPr="00D44D33">
        <w:rPr>
          <w:rFonts w:ascii="Times New Roman" w:eastAsiaTheme="minorEastAsia" w:hAnsi="Times New Roman" w:cs="Times New Roman"/>
          <w:b/>
          <w:bCs/>
          <w:sz w:val="24"/>
          <w:szCs w:val="24"/>
        </w:rPr>
        <w:t>o</w:t>
      </w:r>
      <w:r w:rsidR="566EAACD" w:rsidRPr="00D44D33">
        <w:rPr>
          <w:rFonts w:ascii="Times New Roman" w:eastAsiaTheme="minorEastAsia" w:hAnsi="Times New Roman" w:cs="Times New Roman"/>
          <w:b/>
          <w:bCs/>
          <w:sz w:val="24"/>
          <w:szCs w:val="24"/>
        </w:rPr>
        <w:t>kalizacja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wywołań</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alarmowych</w:t>
      </w:r>
    </w:p>
    <w:p w14:paraId="053F75CB" w14:textId="76C96617"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zamieszczono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centrom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powiadamiania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ratunkowego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alarmowego.</w:t>
      </w:r>
      <w:r w:rsidR="00970B2E" w:rsidRPr="00D44D33">
        <w:rPr>
          <w:rFonts w:ascii="Times New Roman" w:eastAsiaTheme="minorEastAsia" w:hAnsi="Times New Roman" w:cs="Times New Roman"/>
          <w:sz w:val="24"/>
          <w:szCs w:val="24"/>
        </w:rPr>
        <w:t xml:space="preserve"> </w:t>
      </w:r>
      <w:r w:rsidR="00F852F2"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006E5912" w:rsidRPr="00D44D33">
        <w:rPr>
          <w:rFonts w:ascii="Times New Roman" w:eastAsiaTheme="minorEastAsia" w:hAnsi="Times New Roman" w:cs="Times New Roman"/>
          <w:sz w:val="24"/>
          <w:szCs w:val="24"/>
        </w:rPr>
        <w:t>sieci</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zainstalowania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geograficzne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pochodzące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zwiększenia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dokładności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pochodzące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gromadzącego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Istotną</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zmianą</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w</w:t>
      </w:r>
      <w:r w:rsidR="1F517764" w:rsidRPr="00D44D33">
        <w:rPr>
          <w:rFonts w:ascii="Times New Roman" w:eastAsiaTheme="minorEastAsia" w:hAnsi="Times New Roman" w:cs="Times New Roman"/>
          <w:sz w:val="24"/>
          <w:szCs w:val="24"/>
        </w:rPr>
        <w:t>z</w:t>
      </w:r>
      <w:r w:rsidR="34423F8A" w:rsidRPr="00D44D33">
        <w:rPr>
          <w:rFonts w:ascii="Times New Roman" w:eastAsiaTheme="minorEastAsia" w:hAnsi="Times New Roman" w:cs="Times New Roman"/>
          <w:sz w:val="24"/>
          <w:szCs w:val="24"/>
        </w:rPr>
        <w:t>ględem</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uwzględnienie</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kodeksowego</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wykonującej</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34423F8A" w:rsidRPr="00D44D33">
        <w:rPr>
          <w:rFonts w:ascii="Times New Roman" w:eastAsiaTheme="minorEastAsia" w:hAnsi="Times New Roman" w:cs="Times New Roman"/>
          <w:sz w:val="24"/>
          <w:szCs w:val="24"/>
        </w:rPr>
        <w:t>alarmow</w:t>
      </w:r>
      <w:r w:rsidR="60B89095"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tylko</w:t>
      </w:r>
      <w:r w:rsidR="006E591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dotychczas</w:t>
      </w:r>
      <w:r w:rsidR="006E591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60B89095"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p>
    <w:p w14:paraId="6E96AA56" w14:textId="275E8AE6"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F852F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4F07C4"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szczegółowych</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dokładności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niezawodności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ruchomej</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Określając</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bierze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perspektywy</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dokładnego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lokalizowania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efektywnego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niesienia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powołane.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dostosowania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dokładności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niezawodności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005F5E77" w:rsidRPr="00D44D33">
        <w:rPr>
          <w:rFonts w:ascii="Times New Roman" w:eastAsiaTheme="minorEastAsia" w:hAnsi="Times New Roman" w:cs="Times New Roman"/>
          <w:sz w:val="24"/>
          <w:szCs w:val="24"/>
        </w:rPr>
        <w:t>sieci.</w:t>
      </w:r>
    </w:p>
    <w:p w14:paraId="601AB3F3" w14:textId="21953592" w:rsidR="00F852F2" w:rsidRPr="00D44D33" w:rsidRDefault="7DD7ACF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331</w:t>
      </w:r>
    </w:p>
    <w:p w14:paraId="25118AEC" w14:textId="07E124E6" w:rsidR="00221330"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C650A1" w:rsidRPr="00D44D33">
        <w:rPr>
          <w:rFonts w:ascii="Times New Roman" w:eastAsiaTheme="minorEastAsia" w:hAnsi="Times New Roman" w:cs="Times New Roman"/>
          <w:b/>
          <w:bCs/>
          <w:sz w:val="24"/>
          <w:szCs w:val="24"/>
        </w:rPr>
        <w:t>rzekazywanie</w:t>
      </w:r>
      <w:r w:rsidR="00970B2E" w:rsidRPr="00D44D33">
        <w:rPr>
          <w:rFonts w:ascii="Times New Roman" w:eastAsiaTheme="minorEastAsia" w:hAnsi="Times New Roman" w:cs="Times New Roman"/>
          <w:b/>
          <w:bCs/>
          <w:sz w:val="24"/>
          <w:szCs w:val="24"/>
        </w:rPr>
        <w:t xml:space="preserve"> </w:t>
      </w:r>
      <w:r w:rsidR="00C650A1" w:rsidRPr="00D44D33">
        <w:rPr>
          <w:rFonts w:ascii="Times New Roman" w:eastAsiaTheme="minorEastAsia" w:hAnsi="Times New Roman" w:cs="Times New Roman"/>
          <w:b/>
          <w:bCs/>
          <w:sz w:val="24"/>
          <w:szCs w:val="24"/>
        </w:rPr>
        <w:t>informacji</w:t>
      </w:r>
      <w:r w:rsidR="00970B2E" w:rsidRPr="00D44D33">
        <w:rPr>
          <w:rFonts w:ascii="Times New Roman" w:eastAsiaTheme="minorEastAsia" w:hAnsi="Times New Roman" w:cs="Times New Roman"/>
          <w:b/>
          <w:bCs/>
          <w:sz w:val="24"/>
          <w:szCs w:val="24"/>
        </w:rPr>
        <w:t xml:space="preserve"> </w:t>
      </w:r>
      <w:r w:rsidR="00C650A1" w:rsidRPr="00D44D33">
        <w:rPr>
          <w:rFonts w:ascii="Times New Roman" w:eastAsiaTheme="minorEastAsia" w:hAnsi="Times New Roman" w:cs="Times New Roman"/>
          <w:b/>
          <w:bCs/>
          <w:sz w:val="24"/>
          <w:szCs w:val="24"/>
        </w:rPr>
        <w:t>przy</w:t>
      </w:r>
      <w:r w:rsidR="00970B2E" w:rsidRPr="00D44D33">
        <w:rPr>
          <w:rFonts w:ascii="Times New Roman" w:eastAsiaTheme="minorEastAsia" w:hAnsi="Times New Roman" w:cs="Times New Roman"/>
          <w:b/>
          <w:bCs/>
          <w:sz w:val="24"/>
          <w:szCs w:val="24"/>
        </w:rPr>
        <w:t xml:space="preserve"> </w:t>
      </w:r>
      <w:r w:rsidR="00C650A1" w:rsidRPr="00D44D33">
        <w:rPr>
          <w:rFonts w:ascii="Times New Roman" w:eastAsiaTheme="minorEastAsia" w:hAnsi="Times New Roman" w:cs="Times New Roman"/>
          <w:b/>
          <w:bCs/>
          <w:sz w:val="24"/>
          <w:szCs w:val="24"/>
        </w:rPr>
        <w:t>wywołaniach</w:t>
      </w:r>
      <w:r w:rsidR="00970B2E" w:rsidRPr="00D44D33">
        <w:rPr>
          <w:rFonts w:ascii="Times New Roman" w:eastAsiaTheme="minorEastAsia" w:hAnsi="Times New Roman" w:cs="Times New Roman"/>
          <w:b/>
          <w:bCs/>
          <w:sz w:val="24"/>
          <w:szCs w:val="24"/>
        </w:rPr>
        <w:t xml:space="preserve"> </w:t>
      </w:r>
      <w:r w:rsidR="00C650A1" w:rsidRPr="00D44D33">
        <w:rPr>
          <w:rFonts w:ascii="Times New Roman" w:eastAsiaTheme="minorEastAsia" w:hAnsi="Times New Roman" w:cs="Times New Roman"/>
          <w:b/>
          <w:bCs/>
          <w:sz w:val="24"/>
          <w:szCs w:val="24"/>
        </w:rPr>
        <w:t>alarmowych</w:t>
      </w:r>
    </w:p>
    <w:p w14:paraId="2D0B45F2" w14:textId="5E64D1AD" w:rsidR="00504FF6"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nałożono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powiadomieniach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alarmowych.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ruchomych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lokalizacyjne</w:t>
      </w:r>
      <w:r w:rsidR="00970B2E" w:rsidRPr="00D44D33">
        <w:rPr>
          <w:rFonts w:ascii="Times New Roman" w:eastAsiaTheme="minorEastAsia" w:hAnsi="Times New Roman" w:cs="Times New Roman"/>
          <w:sz w:val="24"/>
          <w:szCs w:val="24"/>
        </w:rPr>
        <w:t xml:space="preserve"> </w:t>
      </w:r>
      <w:r w:rsidR="7738DFA4" w:rsidRPr="00D44D33">
        <w:rPr>
          <w:rFonts w:ascii="Times New Roman" w:eastAsiaTheme="minorEastAsia" w:hAnsi="Times New Roman" w:cs="Times New Roman"/>
          <w:sz w:val="24"/>
          <w:szCs w:val="24"/>
        </w:rPr>
        <w:t>pochodzące</w:t>
      </w:r>
      <w:r w:rsidR="00970B2E" w:rsidRPr="00D44D33">
        <w:rPr>
          <w:rFonts w:ascii="Times New Roman" w:eastAsiaTheme="minorEastAsia" w:hAnsi="Times New Roman" w:cs="Times New Roman"/>
          <w:sz w:val="24"/>
          <w:szCs w:val="24"/>
        </w:rPr>
        <w:t xml:space="preserve"> </w:t>
      </w:r>
      <w:r w:rsidR="7738DFA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738DFA4"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7738DFA4"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rzeczywistym,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0076374D"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trybie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wsadowym.</w:t>
      </w:r>
      <w:r w:rsidR="00970B2E" w:rsidRPr="00D44D33">
        <w:rPr>
          <w:rFonts w:ascii="Times New Roman" w:eastAsiaTheme="minorEastAsia" w:hAnsi="Times New Roman" w:cs="Times New Roman"/>
          <w:sz w:val="24"/>
          <w:szCs w:val="24"/>
        </w:rPr>
        <w:t xml:space="preserve"> </w:t>
      </w:r>
    </w:p>
    <w:p w14:paraId="24870FF6" w14:textId="59FB9807" w:rsidR="00504FF6"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004F07C4"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004F07C4"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prawidłowego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służbom</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powołanym</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niesienia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osobne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katalogi</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przekazywanych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będących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konsumentami</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niebędących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konsumentami.</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Rozróżnienie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dwoma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kategoriami</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faktu,</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wykonuje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będący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założyć,</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niebędącego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wykonywane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miejsca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pracy/firmy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PESEL</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duże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prawdopodobieństwo,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niekoniecznie</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504FF6" w:rsidRPr="00D44D33">
        <w:rPr>
          <w:rFonts w:ascii="Times New Roman" w:eastAsiaTheme="minorEastAsia" w:hAnsi="Times New Roman" w:cs="Times New Roman"/>
          <w:sz w:val="24"/>
          <w:szCs w:val="24"/>
        </w:rPr>
        <w:t>abonenta.</w:t>
      </w:r>
    </w:p>
    <w:p w14:paraId="6C7C08F0" w14:textId="5CCCD361" w:rsidR="00504FF6"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2D0712"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sprawy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lokalizacyjnych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powiadamiania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ratunkowego,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D0712"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aktualizacji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3882A8E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pojawienia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w:t>
      </w:r>
      <w:r w:rsidR="00144A58" w:rsidRPr="00D44D33">
        <w:rPr>
          <w:rFonts w:ascii="Times New Roman" w:eastAsiaTheme="minorEastAsia" w:hAnsi="Times New Roman" w:cs="Times New Roman"/>
          <w:sz w:val="24"/>
          <w:szCs w:val="24"/>
        </w:rPr>
        <w:t xml:space="preserve"> Zmiany powinny być zgłoszone nie później niż następnego dnia od dnia zaistnienia ich zmiany. Natomiast jeżeli zmiany takie nie nastąpiły obowiązek przekazywania informacji powinien być realizowany nie rzadziej niż raz w miesiącu.</w:t>
      </w:r>
    </w:p>
    <w:p w14:paraId="15B03898" w14:textId="4CD9B4D2" w:rsidR="009F4A71" w:rsidRPr="00D44D33" w:rsidRDefault="00864AD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2D0712"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CBD</w:t>
      </w:r>
      <w:r w:rsidR="00970B2E" w:rsidRPr="00D44D33">
        <w:rPr>
          <w:rFonts w:ascii="Times New Roman" w:eastAsiaTheme="minorEastAsia" w:hAnsi="Times New Roman" w:cs="Times New Roman"/>
          <w:sz w:val="24"/>
          <w:szCs w:val="24"/>
        </w:rPr>
        <w:t xml:space="preserve"> </w:t>
      </w:r>
      <w:r w:rsidR="00962622" w:rsidRPr="00D44D33">
        <w:rPr>
          <w:rFonts w:ascii="Times New Roman" w:eastAsiaTheme="minorEastAsia" w:hAnsi="Times New Roman" w:cs="Times New Roman"/>
          <w:sz w:val="24"/>
          <w:szCs w:val="24"/>
        </w:rPr>
        <w:t>zarządza</w:t>
      </w:r>
      <w:r w:rsidR="00970B2E" w:rsidRPr="00D44D33">
        <w:rPr>
          <w:rFonts w:ascii="Times New Roman" w:eastAsiaTheme="minorEastAsia" w:hAnsi="Times New Roman" w:cs="Times New Roman"/>
          <w:sz w:val="24"/>
          <w:szCs w:val="24"/>
        </w:rPr>
        <w:t xml:space="preserve"> </w:t>
      </w:r>
      <w:r w:rsidR="0096262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96262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zgromadzonych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p>
    <w:p w14:paraId="72E62A2E" w14:textId="06E568E0" w:rsidR="00221330"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delegację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ustawową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Radę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gromadzącego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udostępniającego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9F4A71" w:rsidRPr="00D44D33">
        <w:rPr>
          <w:rFonts w:ascii="Times New Roman" w:eastAsiaTheme="minorEastAsia" w:hAnsi="Times New Roman" w:cs="Times New Roman"/>
          <w:sz w:val="24"/>
          <w:szCs w:val="24"/>
        </w:rPr>
        <w:t>warunki organizacyjne i techniczne</w:t>
      </w:r>
      <w:r w:rsidR="00371EEA">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gromadzenia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powiadomieniami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alarmowymi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udostępnianiem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centrom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powiadamiania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ratunkowego</w:t>
      </w:r>
      <w:r w:rsidR="009F4A71" w:rsidRPr="00D44D33">
        <w:rPr>
          <w:rFonts w:ascii="Times New Roman" w:eastAsiaTheme="minorEastAsia" w:hAnsi="Times New Roman" w:cs="Times New Roman"/>
          <w:sz w:val="24"/>
          <w:szCs w:val="24"/>
        </w:rPr>
        <w:t xml:space="preserve"> oraz sposób wymiany informacji między dostawcami usług w zakresie obsługi wniosków o przeniesienie numeru</w:t>
      </w:r>
      <w:r w:rsidR="566EAACD" w:rsidRPr="00D44D33">
        <w:rPr>
          <w:rFonts w:ascii="Times New Roman" w:eastAsiaTheme="minorEastAsia" w:hAnsi="Times New Roman" w:cs="Times New Roman"/>
          <w:sz w:val="24"/>
          <w:szCs w:val="24"/>
        </w:rPr>
        <w:t>.</w:t>
      </w:r>
    </w:p>
    <w:p w14:paraId="02ED1C6D" w14:textId="5FAC0210"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alarmowych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DA450E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p>
    <w:p w14:paraId="0B0836AF" w14:textId="0D6C1C5F" w:rsidR="00F852F2" w:rsidRPr="00D44D33" w:rsidRDefault="32E0CAF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332</w:t>
      </w:r>
    </w:p>
    <w:p w14:paraId="5D6842DC" w14:textId="552688CD" w:rsidR="00221330"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w:t>
      </w:r>
      <w:r w:rsidR="566EAACD" w:rsidRPr="00D44D33">
        <w:rPr>
          <w:rFonts w:ascii="Times New Roman" w:eastAsiaTheme="minorEastAsia" w:hAnsi="Times New Roman" w:cs="Times New Roman"/>
          <w:b/>
          <w:bCs/>
          <w:sz w:val="24"/>
          <w:szCs w:val="24"/>
        </w:rPr>
        <w:t>ostęp</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do</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03D9D3C9" w14:textId="3F221AC2"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332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międzynarodowej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niegeograficzne.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uzależniony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przesłanek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zdecydował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geograficznych.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bezwzględnego,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zawiesić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ekonomiczne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harmonogram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wnioskodawcy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wnioskiem.</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3E6EB618" w:rsidRPr="00D44D33">
        <w:rPr>
          <w:rFonts w:ascii="Times New Roman" w:eastAsiaTheme="minorEastAsia" w:hAnsi="Times New Roman" w:cs="Times New Roman"/>
          <w:sz w:val="24"/>
          <w:szCs w:val="24"/>
        </w:rPr>
        <w:t>Pt.</w:t>
      </w:r>
    </w:p>
    <w:p w14:paraId="3932EA5D" w14:textId="14B9ECEF" w:rsidR="00F852F2" w:rsidRPr="00D44D33" w:rsidRDefault="007B5A7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333</w:t>
      </w:r>
    </w:p>
    <w:p w14:paraId="569E72AD" w14:textId="7155B4C5" w:rsidR="007B5A76" w:rsidRPr="00D44D33" w:rsidRDefault="00F852F2"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B</w:t>
      </w:r>
      <w:r w:rsidR="007B5A76" w:rsidRPr="00D44D33">
        <w:rPr>
          <w:rFonts w:ascii="Times New Roman" w:eastAsiaTheme="minorEastAsia" w:hAnsi="Times New Roman" w:cs="Times New Roman"/>
          <w:b/>
          <w:sz w:val="24"/>
          <w:szCs w:val="24"/>
        </w:rPr>
        <w:t>lokowanie</w:t>
      </w:r>
      <w:r w:rsidR="00970B2E" w:rsidRPr="00D44D33">
        <w:rPr>
          <w:rFonts w:ascii="Times New Roman" w:eastAsiaTheme="minorEastAsia" w:hAnsi="Times New Roman" w:cs="Times New Roman"/>
          <w:b/>
          <w:sz w:val="24"/>
          <w:szCs w:val="24"/>
        </w:rPr>
        <w:t xml:space="preserve"> </w:t>
      </w:r>
      <w:r w:rsidR="007B5A76" w:rsidRPr="00D44D33">
        <w:rPr>
          <w:rFonts w:ascii="Times New Roman" w:eastAsiaTheme="minorEastAsia" w:hAnsi="Times New Roman" w:cs="Times New Roman"/>
          <w:b/>
          <w:sz w:val="24"/>
          <w:szCs w:val="24"/>
        </w:rPr>
        <w:t>skradzionych</w:t>
      </w:r>
      <w:r w:rsidR="00970B2E" w:rsidRPr="00D44D33">
        <w:rPr>
          <w:rFonts w:ascii="Times New Roman" w:eastAsiaTheme="minorEastAsia" w:hAnsi="Times New Roman" w:cs="Times New Roman"/>
          <w:b/>
          <w:sz w:val="24"/>
          <w:szCs w:val="24"/>
        </w:rPr>
        <w:t xml:space="preserve"> </w:t>
      </w:r>
      <w:r w:rsidR="007B5A76" w:rsidRPr="00D44D33">
        <w:rPr>
          <w:rFonts w:ascii="Times New Roman" w:eastAsiaTheme="minorEastAsia" w:hAnsi="Times New Roman" w:cs="Times New Roman"/>
          <w:b/>
          <w:sz w:val="24"/>
          <w:szCs w:val="24"/>
        </w:rPr>
        <w:t>lub</w:t>
      </w:r>
      <w:r w:rsidR="00970B2E" w:rsidRPr="00D44D33">
        <w:rPr>
          <w:rFonts w:ascii="Times New Roman" w:eastAsiaTheme="minorEastAsia" w:hAnsi="Times New Roman" w:cs="Times New Roman"/>
          <w:b/>
          <w:sz w:val="24"/>
          <w:szCs w:val="24"/>
        </w:rPr>
        <w:t xml:space="preserve"> </w:t>
      </w:r>
      <w:r w:rsidR="007B5A76" w:rsidRPr="00D44D33">
        <w:rPr>
          <w:rFonts w:ascii="Times New Roman" w:eastAsiaTheme="minorEastAsia" w:hAnsi="Times New Roman" w:cs="Times New Roman"/>
          <w:b/>
          <w:sz w:val="24"/>
          <w:szCs w:val="24"/>
        </w:rPr>
        <w:t>zgubionych</w:t>
      </w:r>
      <w:r w:rsidR="00970B2E" w:rsidRPr="00D44D33">
        <w:rPr>
          <w:rFonts w:ascii="Times New Roman" w:eastAsiaTheme="minorEastAsia" w:hAnsi="Times New Roman" w:cs="Times New Roman"/>
          <w:b/>
          <w:sz w:val="24"/>
          <w:szCs w:val="24"/>
        </w:rPr>
        <w:t xml:space="preserve"> </w:t>
      </w:r>
      <w:r w:rsidR="007B5A76" w:rsidRPr="00D44D33">
        <w:rPr>
          <w:rFonts w:ascii="Times New Roman" w:eastAsiaTheme="minorEastAsia" w:hAnsi="Times New Roman" w:cs="Times New Roman"/>
          <w:b/>
          <w:sz w:val="24"/>
          <w:szCs w:val="24"/>
        </w:rPr>
        <w:t>urządzeń</w:t>
      </w:r>
    </w:p>
    <w:p w14:paraId="17A23A94" w14:textId="76D05FC6" w:rsidR="007B5A76" w:rsidRPr="00D44D33" w:rsidRDefault="007B5A76" w:rsidP="00D44D33">
      <w:pPr>
        <w:spacing w:before="120" w:after="120" w:line="360" w:lineRule="auto"/>
        <w:jc w:val="both"/>
        <w:rPr>
          <w:rFonts w:ascii="Times New Roman" w:eastAsiaTheme="minorEastAsia" w:hAnsi="Times New Roman" w:cs="Times New Roman"/>
          <w:b/>
          <w:sz w:val="24"/>
          <w:szCs w:val="24"/>
        </w:rPr>
      </w:pPr>
      <w:r w:rsidRPr="00D44D33">
        <w:rPr>
          <w:rFonts w:ascii="Times New Roman" w:eastAsiaTheme="minorEastAsia" w:hAnsi="Times New Roman" w:cs="Times New Roman"/>
          <w:bCs/>
          <w:sz w:val="24"/>
          <w:szCs w:val="24"/>
        </w:rPr>
        <w:t>Zgodnie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przepisem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operator</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ruchomej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publicznej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sieci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telekomunikacyjnej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ma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obowiązek</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podejmowania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działań</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zmierzających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uniemożliwienia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używania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sieci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skradzionych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albo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zgubionych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telekomunikacyjnych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urządzeń</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końcowych.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Ponadto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operator</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ten</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zobowiązany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przekazywania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identyfikujących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skradzione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zgubione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telekomunikacyjne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końcowe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innym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operatorom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ruchomych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publicznych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sieci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telekomunikacyjnych,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celu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realizacji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powyższego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obowiązku.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Zgodnie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2</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termin</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realizację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obowiązku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wynosi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1</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dzień</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roboczy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przedstawienia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abonenta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kradzieży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zgubieniu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telekomunikacyjnego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końcowego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będącego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własnością,</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numeru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identyfikacyjnego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dowodu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nabycia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danych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jednoznacznie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identyfikujących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właściciela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Jeśli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pochodzi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innego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operatora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wówczas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termin</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1</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roboczego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liczy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daty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otrzymania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informacji.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Abonent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składając</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oświadczenie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zgubieniu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kradzieży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urządzenia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obowiązany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oświadczeniu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zawrzeć</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klauzulę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świadomości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odpowiedzialności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karnej</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złożenie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fałszywego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oświadczenia.</w:t>
      </w:r>
    </w:p>
    <w:p w14:paraId="540264EC" w14:textId="42302330" w:rsidR="00F852F2" w:rsidRPr="00D44D33" w:rsidRDefault="7FD4495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334</w:t>
      </w:r>
    </w:p>
    <w:p w14:paraId="45AE108A" w14:textId="7AE687C0" w:rsidR="00221330"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w:t>
      </w:r>
      <w:r w:rsidR="566EAACD" w:rsidRPr="00D44D33">
        <w:rPr>
          <w:rFonts w:ascii="Times New Roman" w:eastAsiaTheme="minorEastAsia" w:hAnsi="Times New Roman" w:cs="Times New Roman"/>
          <w:b/>
          <w:bCs/>
          <w:sz w:val="24"/>
          <w:szCs w:val="24"/>
        </w:rPr>
        <w:t>ostęp</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dla</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osób</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niepełnosprawnościami</w:t>
      </w:r>
    </w:p>
    <w:p w14:paraId="41BD50A1" w14:textId="4BC2BA09" w:rsidR="00221330" w:rsidRPr="00D44D33" w:rsidRDefault="00F852F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334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polega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rozszerzeniu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podmiotowego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zapewnieniem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osobom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równoważnym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korzysta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większość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adresowane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telefonicznych,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wymogom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111</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p>
    <w:p w14:paraId="16CB09CE" w14:textId="532F7A25"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p>
    <w:p w14:paraId="0643EB19" w14:textId="2F43D7D6"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normach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Dzienniku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udogodnień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zastępuje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przystosowanych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Większość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smartfon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dostosowanych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oprogramowania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stąd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bezprzedmiotowy.</w:t>
      </w:r>
      <w:r w:rsidR="00970B2E" w:rsidRPr="00D44D33">
        <w:rPr>
          <w:rFonts w:ascii="Times New Roman" w:eastAsiaTheme="minorEastAsia" w:hAnsi="Times New Roman" w:cs="Times New Roman"/>
          <w:sz w:val="24"/>
          <w:szCs w:val="24"/>
        </w:rPr>
        <w:t xml:space="preserve"> </w:t>
      </w:r>
    </w:p>
    <w:p w14:paraId="1CFBE318" w14:textId="11C2F114" w:rsidR="00F852F2" w:rsidRPr="00D44D33" w:rsidRDefault="6017990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B57F0" w:rsidRPr="00D44D33">
        <w:rPr>
          <w:rFonts w:ascii="Times New Roman" w:eastAsiaTheme="minorEastAsia" w:hAnsi="Times New Roman" w:cs="Times New Roman"/>
          <w:b/>
          <w:bCs/>
          <w:sz w:val="24"/>
          <w:szCs w:val="24"/>
        </w:rPr>
        <w:t>335</w:t>
      </w:r>
    </w:p>
    <w:p w14:paraId="769EC797" w14:textId="71B53A8C" w:rsidR="00221330" w:rsidRPr="00D44D33" w:rsidRDefault="00F852F2"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U</w:t>
      </w:r>
      <w:r w:rsidR="566EAACD" w:rsidRPr="00D44D33">
        <w:rPr>
          <w:rFonts w:ascii="Times New Roman" w:eastAsiaTheme="minorEastAsia" w:hAnsi="Times New Roman" w:cs="Times New Roman"/>
          <w:b/>
          <w:bCs/>
          <w:sz w:val="24"/>
          <w:szCs w:val="24"/>
        </w:rPr>
        <w:t>sługi</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z</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dodatkowym</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świadczeniem</w:t>
      </w:r>
    </w:p>
    <w:p w14:paraId="445BDDD2" w14:textId="6FAA3730" w:rsidR="00221330" w:rsidRPr="00D44D33" w:rsidRDefault="00F852F2"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04715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ciążą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1C05A9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1C05A92"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31C05A92" w:rsidRPr="00D44D33">
        <w:rPr>
          <w:rFonts w:ascii="Times New Roman" w:eastAsiaTheme="minorEastAsia" w:hAnsi="Times New Roman" w:cs="Times New Roman"/>
          <w:sz w:val="24"/>
          <w:szCs w:val="24"/>
        </w:rPr>
        <w:t>świadczeniem</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zdefiniowana</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7589118E" w:rsidRPr="00D44D33">
        <w:rPr>
          <w:rFonts w:ascii="Times New Roman" w:eastAsiaTheme="minorEastAsia" w:hAnsi="Times New Roman" w:cs="Times New Roman"/>
          <w:sz w:val="24"/>
          <w:szCs w:val="24"/>
        </w:rPr>
        <w:t>8</w:t>
      </w:r>
      <w:r w:rsidRPr="00D44D33">
        <w:rPr>
          <w:rFonts w:ascii="Times New Roman" w:eastAsiaTheme="minorEastAsia" w:hAnsi="Times New Roman" w:cs="Times New Roman"/>
          <w:sz w:val="24"/>
          <w:szCs w:val="24"/>
        </w:rPr>
        <w:t>1</w:t>
      </w:r>
      <w:r w:rsidR="7589118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805263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wzbogacona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organizacyjnie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funkcjonalnie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niezależny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niekoniecznie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będący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rozlicza.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świadczona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faktycznych.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posługiwała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pojęciem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podwyższonej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opłacie,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pojęcie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oddaje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pełni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istoty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cechą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charakterystyczną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wyższa,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standardowych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choć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oferują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ono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odzwierciedlenia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końcowej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uniknięcia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interpretacyjnych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praktycznych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dokonanie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powyżej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opisanej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definicyjnej.</w:t>
      </w:r>
      <w:r w:rsidR="00970B2E" w:rsidRPr="00D44D33">
        <w:rPr>
          <w:rFonts w:ascii="Times New Roman" w:eastAsiaTheme="minorEastAsia" w:hAnsi="Times New Roman" w:cs="Times New Roman"/>
          <w:sz w:val="24"/>
          <w:szCs w:val="24"/>
        </w:rPr>
        <w:t xml:space="preserve"> </w:t>
      </w:r>
      <w:r w:rsidR="75CE30A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analizy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dotychczasowych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zgłoszeń</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rejestru</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numerów</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podwyższonej</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opłacie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prowadzonego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Prezesa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obejmują</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m.in.</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wskazanie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rodzaju</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można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stwierdzić,</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iż</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ze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względu</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przedmiot</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wyróżniane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są</w:t>
      </w:r>
      <w:r w:rsidR="00970B2E" w:rsidRPr="00D44D33">
        <w:rPr>
          <w:rFonts w:ascii="Times New Roman" w:eastAsia="Times New Roman" w:hAnsi="Times New Roman" w:cs="Times New Roman"/>
          <w:sz w:val="24"/>
          <w:szCs w:val="24"/>
        </w:rPr>
        <w:t xml:space="preserve"> </w:t>
      </w:r>
      <w:r w:rsidR="00C650A1" w:rsidRPr="00D44D33">
        <w:rPr>
          <w:rFonts w:ascii="Times New Roman" w:eastAsia="Times New Roman" w:hAnsi="Times New Roman" w:cs="Times New Roman"/>
          <w:sz w:val="24"/>
          <w:szCs w:val="24"/>
        </w:rPr>
        <w:t>następujące</w:t>
      </w:r>
      <w:r w:rsidR="00970B2E" w:rsidRPr="00D44D33">
        <w:rPr>
          <w:rFonts w:ascii="Times New Roman" w:eastAsia="Times New Roman" w:hAnsi="Times New Roman" w:cs="Times New Roman"/>
          <w:sz w:val="24"/>
          <w:szCs w:val="24"/>
        </w:rPr>
        <w:t xml:space="preserve"> </w:t>
      </w:r>
      <w:r w:rsidR="00C650A1" w:rsidRPr="00D44D33">
        <w:rPr>
          <w:rFonts w:ascii="Times New Roman" w:eastAsia="Times New Roman" w:hAnsi="Times New Roman" w:cs="Times New Roman"/>
          <w:sz w:val="24"/>
          <w:szCs w:val="24"/>
        </w:rPr>
        <w:t>usługi</w:t>
      </w:r>
      <w:r w:rsidR="0082246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konkursy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gry,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kody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dostępu</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telekomunikacyjnych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płatnych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stron</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internetowych,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serwisy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informacyjne,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głosowania,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plebiscyty,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sondy,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programy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lojalnościowe,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elementy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multimedialne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telefonów</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komórkowych,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horoskopy,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czaty,</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komentarze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programów</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telewizyjnych,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krzyżówki,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mikropłatności,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rozrywkowe,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erotyczne,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połączenia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telekomunikacyjne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różnych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relacjach,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wróżbiarskie,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drobne</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ogłoszenia,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życzenia,</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dostęp</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wersji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materiałów</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drukowanych,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usługi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numerach</w:t>
      </w:r>
      <w:r w:rsidR="00970B2E" w:rsidRPr="00D44D33">
        <w:rPr>
          <w:rFonts w:ascii="Times New Roman" w:eastAsia="Times New Roman" w:hAnsi="Times New Roman" w:cs="Times New Roman"/>
          <w:sz w:val="24"/>
          <w:szCs w:val="24"/>
        </w:rPr>
        <w:t xml:space="preserve"> </w:t>
      </w:r>
      <w:r w:rsidR="75CE30AA" w:rsidRPr="00D44D33">
        <w:rPr>
          <w:rFonts w:ascii="Times New Roman" w:eastAsia="Times New Roman" w:hAnsi="Times New Roman" w:cs="Times New Roman"/>
          <w:sz w:val="24"/>
          <w:szCs w:val="24"/>
        </w:rPr>
        <w:t>itp</w:t>
      </w:r>
      <w:r w:rsidR="2A2DE47F" w:rsidRPr="00D44D33">
        <w:rPr>
          <w:rFonts w:ascii="Times New Roman" w:eastAsia="Times New Roman" w:hAnsi="Times New Roman" w:cs="Times New Roman"/>
          <w:sz w:val="24"/>
          <w:szCs w:val="24"/>
        </w:rPr>
        <w:t>.</w:t>
      </w:r>
    </w:p>
    <w:p w14:paraId="1359A5C5" w14:textId="3B9B7A9B" w:rsidR="00822463"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brutto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kluczowa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C3D8FF3"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6C3D8FF3" w:rsidRPr="00D44D33">
        <w:rPr>
          <w:rFonts w:ascii="Times New Roman" w:eastAsiaTheme="minorEastAsia" w:hAnsi="Times New Roman" w:cs="Times New Roman"/>
          <w:sz w:val="24"/>
          <w:szCs w:val="24"/>
        </w:rPr>
        <w:t>cenowe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w:t>
      </w:r>
      <w:r w:rsidR="06374225"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SMS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MMS.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nieprawidłowości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informacyjne</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ust.</w:t>
      </w:r>
      <w:r w:rsidR="00371EEA">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dotyczącym</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każdorazowo</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naliczania</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trwającego</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00822463" w:rsidRPr="00D44D33">
        <w:rPr>
          <w:rFonts w:ascii="Times New Roman" w:eastAsiaTheme="minorEastAsia" w:hAnsi="Times New Roman" w:cs="Times New Roman"/>
          <w:sz w:val="24"/>
          <w:szCs w:val="24"/>
        </w:rPr>
        <w:t>głosowego.</w:t>
      </w:r>
    </w:p>
    <w:p w14:paraId="7139404B" w14:textId="1ABBDAC6" w:rsidR="00822463" w:rsidRPr="00D44D33" w:rsidRDefault="0082246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powtarzalny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tzw.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subskrypcji.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w:t>
      </w:r>
      <w:r w:rsidR="0089745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wymaganych</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czytelny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łatwą,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rezygnację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nieświadomym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uruchomieniem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subskrypcji.</w:t>
      </w:r>
      <w:r w:rsidR="00970B2E" w:rsidRPr="00D44D33">
        <w:rPr>
          <w:rFonts w:ascii="Times New Roman" w:eastAsiaTheme="minorEastAsia" w:hAnsi="Times New Roman" w:cs="Times New Roman"/>
          <w:sz w:val="24"/>
          <w:szCs w:val="24"/>
        </w:rPr>
        <w:t xml:space="preserve"> </w:t>
      </w:r>
    </w:p>
    <w:p w14:paraId="74A6881C" w14:textId="5419711E"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6</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graficzny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rozmiaru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czcionki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wizualnej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jasnej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czytelnej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7C149F4F"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262725F7" w14:textId="7B4408DA" w:rsidR="00F852F2" w:rsidRPr="00D44D33" w:rsidRDefault="0089745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336</w:t>
      </w:r>
    </w:p>
    <w:p w14:paraId="33C091E9" w14:textId="46E82F53" w:rsidR="0001231E" w:rsidRPr="00D44D33" w:rsidRDefault="00F852F2"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P</w:t>
      </w:r>
      <w:r w:rsidR="00897456" w:rsidRPr="00D44D33">
        <w:rPr>
          <w:rFonts w:ascii="Times New Roman" w:eastAsiaTheme="minorEastAsia" w:hAnsi="Times New Roman" w:cs="Times New Roman"/>
          <w:b/>
          <w:sz w:val="24"/>
          <w:szCs w:val="24"/>
        </w:rPr>
        <w:t>rogi</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kwotowe</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dla</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usług</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dodatkowym</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świadczeniem</w:t>
      </w:r>
    </w:p>
    <w:p w14:paraId="7DAA554F" w14:textId="393E8757"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lepszej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wydatkami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ponoszonymi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B57F0" w:rsidRPr="00D44D33">
        <w:rPr>
          <w:rFonts w:ascii="Times New Roman" w:eastAsiaTheme="minorEastAsia" w:hAnsi="Times New Roman" w:cs="Times New Roman"/>
          <w:sz w:val="24"/>
          <w:szCs w:val="24"/>
        </w:rPr>
        <w:t>336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natychmiast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zablokować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doprecyzowuje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6</w:t>
      </w:r>
      <w:r w:rsidR="002F017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uważa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zrealizowany,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godzin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kwotowego.</w:t>
      </w:r>
    </w:p>
    <w:p w14:paraId="0A97A459" w14:textId="47C4F0A6"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(całkowita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blokada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domyślnym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wybranego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domyślnego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5</w:t>
      </w:r>
      <w:r w:rsidRPr="00D44D33">
        <w:rPr>
          <w:rFonts w:ascii="Times New Roman" w:eastAsiaTheme="minorEastAsia" w:hAnsi="Times New Roman" w:cs="Times New Roman"/>
          <w:sz w:val="24"/>
          <w:szCs w:val="24"/>
        </w:rPr>
        <w:t>).</w:t>
      </w:r>
    </w:p>
    <w:p w14:paraId="5C778B19" w14:textId="24CC6733" w:rsidR="00F852F2" w:rsidRPr="00D44D33" w:rsidRDefault="0089745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337</w:t>
      </w:r>
    </w:p>
    <w:p w14:paraId="7688AC7E" w14:textId="71202FE5" w:rsidR="00897456" w:rsidRPr="00D44D33" w:rsidRDefault="00F852F2"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B</w:t>
      </w:r>
      <w:r w:rsidR="00897456" w:rsidRPr="00D44D33">
        <w:rPr>
          <w:rFonts w:ascii="Times New Roman" w:eastAsiaTheme="minorEastAsia" w:hAnsi="Times New Roman" w:cs="Times New Roman"/>
          <w:b/>
          <w:sz w:val="24"/>
          <w:szCs w:val="24"/>
        </w:rPr>
        <w:t>lokowanie</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usług</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dodatkowym</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świadczeniem</w:t>
      </w:r>
    </w:p>
    <w:p w14:paraId="744E4685" w14:textId="770CB8CF" w:rsidR="00897456" w:rsidRPr="00D44D33" w:rsidRDefault="0089745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zablokowania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użyteczna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telefonu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dziecko,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ponieważ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uchronić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nieodpowiednimi.</w:t>
      </w:r>
      <w:r w:rsidR="00970B2E" w:rsidRPr="00D44D33">
        <w:rPr>
          <w:rFonts w:ascii="Times New Roman" w:eastAsiaTheme="minorEastAsia" w:hAnsi="Times New Roman" w:cs="Times New Roman"/>
          <w:sz w:val="24"/>
          <w:szCs w:val="24"/>
        </w:rPr>
        <w:t xml:space="preserve"> </w:t>
      </w:r>
    </w:p>
    <w:p w14:paraId="79F45A1E" w14:textId="0276B6BB"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97456"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blokowanie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jednostkowej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p>
    <w:p w14:paraId="7ADA6105" w14:textId="5B0527B9" w:rsidR="00F852F2" w:rsidRPr="00D44D33" w:rsidRDefault="0089745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338</w:t>
      </w:r>
    </w:p>
    <w:p w14:paraId="2E323034" w14:textId="056C13EA" w:rsidR="00897456" w:rsidRPr="00D44D33" w:rsidRDefault="00F852F2"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B</w:t>
      </w:r>
      <w:r w:rsidR="00897456" w:rsidRPr="00D44D33">
        <w:rPr>
          <w:rFonts w:ascii="Times New Roman" w:eastAsiaTheme="minorEastAsia" w:hAnsi="Times New Roman" w:cs="Times New Roman"/>
          <w:b/>
          <w:sz w:val="24"/>
          <w:szCs w:val="24"/>
        </w:rPr>
        <w:t>rak</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możliwości</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pobrania</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opłaty</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za</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usługę</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dodatkowym</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świadczeniem</w:t>
      </w:r>
    </w:p>
    <w:p w14:paraId="567005BE" w14:textId="2CB12E16" w:rsidR="00897456" w:rsidRPr="00D44D33" w:rsidRDefault="0089745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quasi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sankcję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świetle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nieprawidłowo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motywował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obyczajami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nieprawidłowym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26BED700" w14:textId="193F285D" w:rsidR="00870745" w:rsidRPr="00D44D33" w:rsidRDefault="00897456"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339</w:t>
      </w:r>
    </w:p>
    <w:p w14:paraId="22993579" w14:textId="024ACFFA" w:rsidR="00897456" w:rsidRPr="00D44D33" w:rsidRDefault="0087074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R</w:t>
      </w:r>
      <w:r w:rsidR="00897456" w:rsidRPr="00D44D33">
        <w:rPr>
          <w:rFonts w:ascii="Times New Roman" w:eastAsiaTheme="minorEastAsia" w:hAnsi="Times New Roman" w:cs="Times New Roman"/>
          <w:b/>
          <w:sz w:val="24"/>
          <w:szCs w:val="24"/>
        </w:rPr>
        <w:t>ejestr</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usług</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dodatkowym</w:t>
      </w:r>
      <w:r w:rsidR="00970B2E" w:rsidRPr="00D44D33">
        <w:rPr>
          <w:rFonts w:ascii="Times New Roman" w:eastAsiaTheme="minorEastAsia" w:hAnsi="Times New Roman" w:cs="Times New Roman"/>
          <w:b/>
          <w:sz w:val="24"/>
          <w:szCs w:val="24"/>
        </w:rPr>
        <w:t xml:space="preserve"> </w:t>
      </w:r>
      <w:r w:rsidR="00897456" w:rsidRPr="00D44D33">
        <w:rPr>
          <w:rFonts w:ascii="Times New Roman" w:eastAsiaTheme="minorEastAsia" w:hAnsi="Times New Roman" w:cs="Times New Roman"/>
          <w:b/>
          <w:sz w:val="24"/>
          <w:szCs w:val="24"/>
        </w:rPr>
        <w:t>świadczeniem</w:t>
      </w:r>
    </w:p>
    <w:p w14:paraId="6AA52890" w14:textId="664A67D6" w:rsidR="00344C67" w:rsidRPr="00D44D33" w:rsidRDefault="12C698C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0076374D"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rejestrem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teleinformatycznym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publikowany</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201FABB"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p>
    <w:p w14:paraId="5D1212B3" w14:textId="70D72AA2" w:rsidR="00991CB2" w:rsidRPr="00D44D33" w:rsidRDefault="00991CB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przeciwieństwie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adresowany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występującymi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premium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uwidocznione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zablokowania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p>
    <w:p w14:paraId="6987027A" w14:textId="40CC194B" w:rsidR="00870745" w:rsidRPr="00D44D33" w:rsidRDefault="00344C67"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340</w:t>
      </w:r>
    </w:p>
    <w:p w14:paraId="19643692" w14:textId="7B76EF07" w:rsidR="00344C67" w:rsidRPr="00D44D33" w:rsidRDefault="0087074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Z</w:t>
      </w:r>
      <w:r w:rsidR="00344C67" w:rsidRPr="00D44D33">
        <w:rPr>
          <w:rFonts w:ascii="Times New Roman" w:eastAsiaTheme="minorEastAsia" w:hAnsi="Times New Roman" w:cs="Times New Roman"/>
          <w:b/>
          <w:sz w:val="24"/>
          <w:szCs w:val="24"/>
        </w:rPr>
        <w:t>głoszenie</w:t>
      </w:r>
      <w:r w:rsidR="00970B2E" w:rsidRPr="00D44D33">
        <w:rPr>
          <w:rFonts w:ascii="Times New Roman" w:eastAsiaTheme="minorEastAsia" w:hAnsi="Times New Roman" w:cs="Times New Roman"/>
          <w:b/>
          <w:sz w:val="24"/>
          <w:szCs w:val="24"/>
        </w:rPr>
        <w:t xml:space="preserve"> </w:t>
      </w:r>
      <w:r w:rsidR="00344C67" w:rsidRPr="00D44D33">
        <w:rPr>
          <w:rFonts w:ascii="Times New Roman" w:eastAsiaTheme="minorEastAsia" w:hAnsi="Times New Roman" w:cs="Times New Roman"/>
          <w:b/>
          <w:sz w:val="24"/>
          <w:szCs w:val="24"/>
        </w:rPr>
        <w:t>do</w:t>
      </w:r>
      <w:r w:rsidR="00970B2E" w:rsidRPr="00D44D33">
        <w:rPr>
          <w:rFonts w:ascii="Times New Roman" w:eastAsiaTheme="minorEastAsia" w:hAnsi="Times New Roman" w:cs="Times New Roman"/>
          <w:b/>
          <w:sz w:val="24"/>
          <w:szCs w:val="24"/>
        </w:rPr>
        <w:t xml:space="preserve"> </w:t>
      </w:r>
      <w:r w:rsidR="00344C67" w:rsidRPr="00D44D33">
        <w:rPr>
          <w:rFonts w:ascii="Times New Roman" w:eastAsiaTheme="minorEastAsia" w:hAnsi="Times New Roman" w:cs="Times New Roman"/>
          <w:b/>
          <w:sz w:val="24"/>
          <w:szCs w:val="24"/>
        </w:rPr>
        <w:t>rejestru</w:t>
      </w:r>
    </w:p>
    <w:p w14:paraId="348E34D7" w14:textId="2B476A8C" w:rsidR="00344C67" w:rsidRPr="00D44D33" w:rsidRDefault="12C698C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44C67" w:rsidRPr="00D44D33">
        <w:rPr>
          <w:rFonts w:ascii="Times New Roman" w:eastAsiaTheme="minorEastAsia" w:hAnsi="Times New Roman" w:cs="Times New Roman"/>
          <w:sz w:val="24"/>
          <w:szCs w:val="24"/>
        </w:rPr>
        <w:t>zgłoszeniu</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44C67" w:rsidRPr="00D44D33">
        <w:rPr>
          <w:rFonts w:ascii="Times New Roman" w:eastAsiaTheme="minorEastAsia" w:hAnsi="Times New Roman" w:cs="Times New Roman"/>
          <w:sz w:val="24"/>
          <w:szCs w:val="24"/>
        </w:rPr>
        <w:t>1</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fałszywych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oświadczeń.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dyscyplinujący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pozarządowej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pożytku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charytatywne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robocze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p>
    <w:p w14:paraId="4E8DDF9E" w14:textId="3F99BEDB" w:rsidR="00344C67" w:rsidRPr="00D44D33" w:rsidRDefault="00344C6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cena.</w:t>
      </w:r>
      <w:r w:rsidR="00970B2E" w:rsidRPr="00D44D33">
        <w:rPr>
          <w:rFonts w:ascii="Times New Roman" w:eastAsiaTheme="minorEastAsia" w:hAnsi="Times New Roman" w:cs="Times New Roman"/>
          <w:sz w:val="24"/>
          <w:szCs w:val="24"/>
        </w:rPr>
        <w:t xml:space="preserve"> </w:t>
      </w:r>
    </w:p>
    <w:p w14:paraId="33C87D20" w14:textId="6D701B4E" w:rsidR="00344C67" w:rsidRPr="00D44D33" w:rsidDel="00872F8A" w:rsidRDefault="00344C6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3E31B3" w:rsidRPr="00D44D33">
        <w:rPr>
          <w:rFonts w:ascii="Times New Roman" w:eastAsiaTheme="minorEastAsia" w:hAnsi="Times New Roman" w:cs="Times New Roman"/>
          <w:sz w:val="24"/>
          <w:szCs w:val="24"/>
        </w:rPr>
        <w:t>godnie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w:t>
      </w:r>
      <w:r w:rsidRPr="00D44D33">
        <w:rPr>
          <w:rFonts w:ascii="Times New Roman" w:eastAsiaTheme="minorEastAsia" w:hAnsi="Times New Roman" w:cs="Times New Roman"/>
          <w:sz w:val="24"/>
          <w:szCs w:val="24"/>
        </w:rPr>
        <w:t>głoszenie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013CA" w:rsidRPr="00D44D33">
        <w:rPr>
          <w:rFonts w:ascii="Times New Roman" w:eastAsiaTheme="minorEastAsia" w:hAnsi="Times New Roman" w:cs="Times New Roman"/>
          <w:sz w:val="24"/>
          <w:szCs w:val="24"/>
        </w:rPr>
        <w:t>PUE</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opatrzonego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kwalifikowanym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osobistym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zaufanym.</w:t>
      </w:r>
      <w:r w:rsidR="00970B2E" w:rsidRPr="00D44D33">
        <w:rPr>
          <w:rFonts w:ascii="Times New Roman" w:eastAsiaTheme="minorEastAsia" w:hAnsi="Times New Roman" w:cs="Times New Roman"/>
          <w:sz w:val="24"/>
          <w:szCs w:val="24"/>
        </w:rPr>
        <w:t xml:space="preserve"> </w:t>
      </w:r>
      <w:r w:rsidR="00870745"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moment,</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uznać</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moment</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wniesienia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datę</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wysłania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urzędowym</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poświadczeniu</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automatycznie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tworzone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PUE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wnoszącemu</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zgłoszenie.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dokumentu</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elektronicznego</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aktualizacyjnego</w:t>
      </w:r>
      <w:r w:rsidR="00970B2E" w:rsidRPr="00D44D33">
        <w:rPr>
          <w:rFonts w:ascii="Times New Roman" w:eastAsiaTheme="minorEastAsia" w:hAnsi="Times New Roman" w:cs="Times New Roman"/>
          <w:sz w:val="24"/>
          <w:szCs w:val="24"/>
        </w:rPr>
        <w:t xml:space="preserve"> </w:t>
      </w:r>
      <w:r w:rsidR="00AE1406"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AE140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udostępnia</w:t>
      </w:r>
      <w:r w:rsidR="00970B2E" w:rsidRPr="00D44D33">
        <w:rPr>
          <w:rFonts w:ascii="Times New Roman" w:eastAsiaTheme="minorEastAsia" w:hAnsi="Times New Roman" w:cs="Times New Roman"/>
          <w:sz w:val="24"/>
          <w:szCs w:val="24"/>
        </w:rPr>
        <w:t xml:space="preserve"> </w:t>
      </w:r>
      <w:r w:rsidR="00AE1406"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003E31B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p>
    <w:p w14:paraId="45F94AD3" w14:textId="2660C05F" w:rsidR="00870745" w:rsidRPr="00D44D33" w:rsidRDefault="00344C67"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341</w:t>
      </w:r>
    </w:p>
    <w:p w14:paraId="2D750E77" w14:textId="07B85D44" w:rsidR="00344C67" w:rsidRPr="00D44D33" w:rsidRDefault="0087074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W</w:t>
      </w:r>
      <w:r w:rsidR="00344C67" w:rsidRPr="00D44D33">
        <w:rPr>
          <w:rFonts w:ascii="Times New Roman" w:eastAsiaTheme="minorEastAsia" w:hAnsi="Times New Roman" w:cs="Times New Roman"/>
          <w:b/>
          <w:sz w:val="24"/>
          <w:szCs w:val="24"/>
        </w:rPr>
        <w:t>ezwanie</w:t>
      </w:r>
      <w:r w:rsidR="00970B2E" w:rsidRPr="00D44D33">
        <w:rPr>
          <w:rFonts w:ascii="Times New Roman" w:eastAsiaTheme="minorEastAsia" w:hAnsi="Times New Roman" w:cs="Times New Roman"/>
          <w:b/>
          <w:sz w:val="24"/>
          <w:szCs w:val="24"/>
        </w:rPr>
        <w:t xml:space="preserve"> </w:t>
      </w:r>
      <w:r w:rsidR="00344C67" w:rsidRPr="00D44D33">
        <w:rPr>
          <w:rFonts w:ascii="Times New Roman" w:eastAsiaTheme="minorEastAsia" w:hAnsi="Times New Roman" w:cs="Times New Roman"/>
          <w:b/>
          <w:sz w:val="24"/>
          <w:szCs w:val="24"/>
        </w:rPr>
        <w:t>do</w:t>
      </w:r>
      <w:r w:rsidR="00970B2E" w:rsidRPr="00D44D33">
        <w:rPr>
          <w:rFonts w:ascii="Times New Roman" w:eastAsiaTheme="minorEastAsia" w:hAnsi="Times New Roman" w:cs="Times New Roman"/>
          <w:b/>
          <w:sz w:val="24"/>
          <w:szCs w:val="24"/>
        </w:rPr>
        <w:t xml:space="preserve"> </w:t>
      </w:r>
      <w:r w:rsidR="00344C67" w:rsidRPr="00D44D33">
        <w:rPr>
          <w:rFonts w:ascii="Times New Roman" w:eastAsiaTheme="minorEastAsia" w:hAnsi="Times New Roman" w:cs="Times New Roman"/>
          <w:b/>
          <w:sz w:val="24"/>
          <w:szCs w:val="24"/>
        </w:rPr>
        <w:t>uzupełnienia</w:t>
      </w:r>
      <w:r w:rsidR="00970B2E" w:rsidRPr="00D44D33">
        <w:rPr>
          <w:rFonts w:ascii="Times New Roman" w:eastAsiaTheme="minorEastAsia" w:hAnsi="Times New Roman" w:cs="Times New Roman"/>
          <w:b/>
          <w:sz w:val="24"/>
          <w:szCs w:val="24"/>
        </w:rPr>
        <w:t xml:space="preserve"> </w:t>
      </w:r>
      <w:r w:rsidR="00344C67" w:rsidRPr="00D44D33">
        <w:rPr>
          <w:rFonts w:ascii="Times New Roman" w:eastAsiaTheme="minorEastAsia" w:hAnsi="Times New Roman" w:cs="Times New Roman"/>
          <w:b/>
          <w:sz w:val="24"/>
          <w:szCs w:val="24"/>
        </w:rPr>
        <w:t>zgłoszenia</w:t>
      </w:r>
    </w:p>
    <w:p w14:paraId="7EB8BCE6" w14:textId="449F0A4D" w:rsidR="00344C67" w:rsidRPr="00D44D33" w:rsidRDefault="00344C67"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wezwania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uzupełni</w:t>
      </w:r>
      <w:r w:rsidR="00E46BF4" w:rsidRPr="00D44D33">
        <w:rPr>
          <w:rFonts w:ascii="Times New Roman" w:eastAsiaTheme="minorEastAsia" w:hAnsi="Times New Roman" w:cs="Times New Roman"/>
          <w:sz w:val="24"/>
          <w:szCs w:val="24"/>
        </w:rPr>
        <w:t>enia</w:t>
      </w:r>
      <w:r w:rsidR="00970B2E" w:rsidRPr="00D44D33">
        <w:rPr>
          <w:rFonts w:ascii="Times New Roman" w:eastAsiaTheme="minorEastAsia" w:hAnsi="Times New Roman" w:cs="Times New Roman"/>
          <w:sz w:val="24"/>
          <w:szCs w:val="24"/>
        </w:rPr>
        <w:t xml:space="preserve"> </w:t>
      </w:r>
      <w:r w:rsidR="00E46BF4" w:rsidRPr="00D44D33">
        <w:rPr>
          <w:rFonts w:ascii="Times New Roman" w:eastAsiaTheme="minorEastAsia" w:hAnsi="Times New Roman" w:cs="Times New Roman"/>
          <w:sz w:val="24"/>
          <w:szCs w:val="24"/>
        </w:rPr>
        <w:t>braków</w:t>
      </w:r>
      <w:r w:rsidR="00970B2E" w:rsidRPr="00D44D33">
        <w:rPr>
          <w:rFonts w:ascii="Times New Roman" w:eastAsiaTheme="minorEastAsia" w:hAnsi="Times New Roman" w:cs="Times New Roman"/>
          <w:sz w:val="24"/>
          <w:szCs w:val="24"/>
        </w:rPr>
        <w:t xml:space="preserve"> </w:t>
      </w:r>
      <w:r w:rsidR="00E46BF4"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00E46BF4"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rozpoznania</w:t>
      </w:r>
      <w:r w:rsidR="00E46BF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uzupełnienia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wezwania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rozpoznania.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w:t>
      </w:r>
      <w:r w:rsidR="002F017D"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bCs/>
          <w:sz w:val="24"/>
          <w:szCs w:val="24"/>
        </w:rPr>
        <w:t>terminu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rozpoczęcia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dodatkowym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świadczeniem,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krótszego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niż</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termin</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ustawowy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skutkuje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pozostawieniem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zgłoszenia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bez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rozpoznania,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czym</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Prezes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UKE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niezwłocznie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informuje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podmiot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realizujący</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dodatkowe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świadczenie.</w:t>
      </w:r>
    </w:p>
    <w:p w14:paraId="1033C350" w14:textId="1BBED928" w:rsidR="00D21A93" w:rsidRPr="00D44D33" w:rsidRDefault="12C698C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dokonywany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roboczych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kompletnego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aktualizacyjnego</w:t>
      </w:r>
      <w:r w:rsidR="00D21A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24A011F3"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72C8F655" w14:textId="3C8A670C" w:rsidR="00870745" w:rsidRPr="00D44D33" w:rsidRDefault="00D21A93"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342</w:t>
      </w:r>
    </w:p>
    <w:p w14:paraId="2CD87C00" w14:textId="229F1A09" w:rsidR="00D21A93" w:rsidRPr="00D44D33" w:rsidRDefault="0087074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T</w:t>
      </w:r>
      <w:r w:rsidR="00D21A93" w:rsidRPr="00D44D33">
        <w:rPr>
          <w:rFonts w:ascii="Times New Roman" w:eastAsiaTheme="minorEastAsia" w:hAnsi="Times New Roman" w:cs="Times New Roman"/>
          <w:b/>
          <w:sz w:val="24"/>
          <w:szCs w:val="24"/>
        </w:rPr>
        <w:t>ermin</w:t>
      </w:r>
      <w:r w:rsidR="00970B2E" w:rsidRPr="00D44D33">
        <w:rPr>
          <w:rFonts w:ascii="Times New Roman" w:eastAsiaTheme="minorEastAsia" w:hAnsi="Times New Roman" w:cs="Times New Roman"/>
          <w:b/>
          <w:sz w:val="24"/>
          <w:szCs w:val="24"/>
        </w:rPr>
        <w:t xml:space="preserve"> </w:t>
      </w:r>
      <w:r w:rsidR="00D21A93" w:rsidRPr="00D44D33">
        <w:rPr>
          <w:rFonts w:ascii="Times New Roman" w:eastAsiaTheme="minorEastAsia" w:hAnsi="Times New Roman" w:cs="Times New Roman"/>
          <w:b/>
          <w:sz w:val="24"/>
          <w:szCs w:val="24"/>
        </w:rPr>
        <w:t>zakończenia</w:t>
      </w:r>
      <w:r w:rsidR="00970B2E" w:rsidRPr="00D44D33">
        <w:rPr>
          <w:rFonts w:ascii="Times New Roman" w:eastAsiaTheme="minorEastAsia" w:hAnsi="Times New Roman" w:cs="Times New Roman"/>
          <w:b/>
          <w:sz w:val="24"/>
          <w:szCs w:val="24"/>
        </w:rPr>
        <w:t xml:space="preserve"> </w:t>
      </w:r>
      <w:r w:rsidR="00D21A93" w:rsidRPr="00D44D33">
        <w:rPr>
          <w:rFonts w:ascii="Times New Roman" w:eastAsiaTheme="minorEastAsia" w:hAnsi="Times New Roman" w:cs="Times New Roman"/>
          <w:b/>
          <w:sz w:val="24"/>
          <w:szCs w:val="24"/>
        </w:rPr>
        <w:t>świadczenia</w:t>
      </w:r>
      <w:r w:rsidR="00970B2E" w:rsidRPr="00D44D33">
        <w:rPr>
          <w:rFonts w:ascii="Times New Roman" w:eastAsiaTheme="minorEastAsia" w:hAnsi="Times New Roman" w:cs="Times New Roman"/>
          <w:b/>
          <w:sz w:val="24"/>
          <w:szCs w:val="24"/>
        </w:rPr>
        <w:t xml:space="preserve"> </w:t>
      </w:r>
      <w:r w:rsidR="00D21A93" w:rsidRPr="00D44D33">
        <w:rPr>
          <w:rFonts w:ascii="Times New Roman" w:eastAsiaTheme="minorEastAsia" w:hAnsi="Times New Roman" w:cs="Times New Roman"/>
          <w:b/>
          <w:sz w:val="24"/>
          <w:szCs w:val="24"/>
        </w:rPr>
        <w:t>usługi</w:t>
      </w:r>
      <w:r w:rsidR="00970B2E" w:rsidRPr="00D44D33">
        <w:rPr>
          <w:rFonts w:ascii="Times New Roman" w:eastAsiaTheme="minorEastAsia" w:hAnsi="Times New Roman" w:cs="Times New Roman"/>
          <w:b/>
          <w:sz w:val="24"/>
          <w:szCs w:val="24"/>
        </w:rPr>
        <w:t xml:space="preserve"> </w:t>
      </w:r>
      <w:r w:rsidR="00D21A93"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D21A93" w:rsidRPr="00D44D33">
        <w:rPr>
          <w:rFonts w:ascii="Times New Roman" w:eastAsiaTheme="minorEastAsia" w:hAnsi="Times New Roman" w:cs="Times New Roman"/>
          <w:b/>
          <w:sz w:val="24"/>
          <w:szCs w:val="24"/>
        </w:rPr>
        <w:t>dodatkowym</w:t>
      </w:r>
      <w:r w:rsidR="00970B2E" w:rsidRPr="00D44D33">
        <w:rPr>
          <w:rFonts w:ascii="Times New Roman" w:eastAsiaTheme="minorEastAsia" w:hAnsi="Times New Roman" w:cs="Times New Roman"/>
          <w:b/>
          <w:sz w:val="24"/>
          <w:szCs w:val="24"/>
        </w:rPr>
        <w:t xml:space="preserve"> </w:t>
      </w:r>
      <w:r w:rsidR="00D21A93" w:rsidRPr="00D44D33">
        <w:rPr>
          <w:rFonts w:ascii="Times New Roman" w:eastAsiaTheme="minorEastAsia" w:hAnsi="Times New Roman" w:cs="Times New Roman"/>
          <w:b/>
          <w:sz w:val="24"/>
          <w:szCs w:val="24"/>
        </w:rPr>
        <w:t>świadczeniem</w:t>
      </w:r>
      <w:r w:rsidR="00970B2E" w:rsidRPr="00D44D33">
        <w:rPr>
          <w:rFonts w:ascii="Times New Roman" w:eastAsiaTheme="minorEastAsia" w:hAnsi="Times New Roman" w:cs="Times New Roman"/>
          <w:b/>
          <w:sz w:val="24"/>
          <w:szCs w:val="24"/>
        </w:rPr>
        <w:t xml:space="preserve"> </w:t>
      </w:r>
      <w:r w:rsidR="004452BF" w:rsidRPr="00D44D33">
        <w:rPr>
          <w:rFonts w:ascii="Times New Roman" w:eastAsiaTheme="minorEastAsia" w:hAnsi="Times New Roman" w:cs="Times New Roman"/>
          <w:b/>
          <w:sz w:val="24"/>
          <w:szCs w:val="24"/>
        </w:rPr>
        <w:t>i</w:t>
      </w:r>
      <w:r w:rsidR="00970B2E" w:rsidRPr="00D44D33">
        <w:rPr>
          <w:rFonts w:ascii="Times New Roman" w:eastAsiaTheme="minorEastAsia" w:hAnsi="Times New Roman" w:cs="Times New Roman"/>
          <w:b/>
          <w:sz w:val="24"/>
          <w:szCs w:val="24"/>
        </w:rPr>
        <w:t xml:space="preserve"> </w:t>
      </w:r>
      <w:r w:rsidR="004452BF" w:rsidRPr="00D44D33">
        <w:rPr>
          <w:rFonts w:ascii="Times New Roman" w:eastAsiaTheme="minorEastAsia" w:hAnsi="Times New Roman" w:cs="Times New Roman"/>
          <w:b/>
          <w:sz w:val="24"/>
          <w:szCs w:val="24"/>
        </w:rPr>
        <w:t>wykreślenie</w:t>
      </w:r>
      <w:r w:rsidR="00970B2E" w:rsidRPr="00D44D33">
        <w:rPr>
          <w:rFonts w:ascii="Times New Roman" w:eastAsiaTheme="minorEastAsia" w:hAnsi="Times New Roman" w:cs="Times New Roman"/>
          <w:b/>
          <w:sz w:val="24"/>
          <w:szCs w:val="24"/>
        </w:rPr>
        <w:t xml:space="preserve"> </w:t>
      </w:r>
      <w:r w:rsidR="004452BF" w:rsidRPr="00D44D33">
        <w:rPr>
          <w:rFonts w:ascii="Times New Roman" w:eastAsiaTheme="minorEastAsia" w:hAnsi="Times New Roman" w:cs="Times New Roman"/>
          <w:b/>
          <w:sz w:val="24"/>
          <w:szCs w:val="24"/>
        </w:rPr>
        <w:t>z</w:t>
      </w:r>
      <w:r w:rsidR="00970B2E" w:rsidRPr="00D44D33">
        <w:rPr>
          <w:rFonts w:ascii="Times New Roman" w:eastAsiaTheme="minorEastAsia" w:hAnsi="Times New Roman" w:cs="Times New Roman"/>
          <w:b/>
          <w:sz w:val="24"/>
          <w:szCs w:val="24"/>
        </w:rPr>
        <w:t xml:space="preserve"> </w:t>
      </w:r>
      <w:r w:rsidR="004452BF" w:rsidRPr="00D44D33">
        <w:rPr>
          <w:rFonts w:ascii="Times New Roman" w:eastAsiaTheme="minorEastAsia" w:hAnsi="Times New Roman" w:cs="Times New Roman"/>
          <w:b/>
          <w:sz w:val="24"/>
          <w:szCs w:val="24"/>
        </w:rPr>
        <w:t>rejestru</w:t>
      </w:r>
    </w:p>
    <w:p w14:paraId="0819DEB9" w14:textId="560937B0" w:rsidR="00B256AB" w:rsidRPr="00D44D33" w:rsidRDefault="12C698C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aktualności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4452BF"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p>
    <w:p w14:paraId="13217213" w14:textId="109874AD" w:rsidR="002F017D" w:rsidRPr="00D44D33" w:rsidRDefault="004452BF" w:rsidP="00D44D33">
      <w:pPr>
        <w:pStyle w:val="USTustnpkodeksu"/>
        <w:keepNext/>
        <w:spacing w:before="120" w:after="120"/>
        <w:ind w:firstLine="0"/>
        <w:rPr>
          <w:rFonts w:ascii="Times New Roman" w:hAnsi="Times New Roman" w:cs="Times New Roman"/>
          <w:bCs w:val="0"/>
          <w:szCs w:val="24"/>
          <w:lang w:eastAsia="en-US"/>
        </w:rPr>
      </w:pPr>
      <w:r w:rsidRPr="00D44D33">
        <w:rPr>
          <w:rFonts w:ascii="Times New Roman" w:hAnsi="Times New Roman" w:cs="Times New Roman"/>
          <w:bCs w:val="0"/>
          <w:szCs w:val="24"/>
          <w:lang w:eastAsia="en-US"/>
        </w:rPr>
        <w:t>Zgodnie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ust.</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2</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Prezes</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UKE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wykreśla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rejestru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numerów</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informacje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dotyczące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usługi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doda</w:t>
      </w:r>
      <w:r w:rsidR="00126EC6" w:rsidRPr="00D44D33">
        <w:rPr>
          <w:rFonts w:ascii="Times New Roman" w:hAnsi="Times New Roman" w:cs="Times New Roman"/>
          <w:bCs w:val="0"/>
          <w:szCs w:val="24"/>
          <w:lang w:eastAsia="en-US"/>
        </w:rPr>
        <w:t>tkowym</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świadczeniem</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w</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przypadku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upływu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terminu</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za</w:t>
      </w:r>
      <w:r w:rsidR="00126EC6" w:rsidRPr="00D44D33">
        <w:rPr>
          <w:rFonts w:ascii="Times New Roman" w:hAnsi="Times New Roman" w:cs="Times New Roman"/>
          <w:bCs w:val="0"/>
          <w:szCs w:val="24"/>
          <w:lang w:eastAsia="en-US"/>
        </w:rPr>
        <w:t>kończenia</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świadczenia</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usługi,</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przekazania</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przez</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podmiot</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realizujący</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dodatkowe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świadczenie</w:t>
      </w:r>
      <w:r w:rsidR="00970B2E" w:rsidRPr="00D44D33">
        <w:rPr>
          <w:rFonts w:ascii="Times New Roman" w:hAnsi="Times New Roman" w:cs="Times New Roman"/>
          <w:bCs w:val="0"/>
          <w:szCs w:val="24"/>
          <w:lang w:eastAsia="en-US"/>
        </w:rPr>
        <w:t xml:space="preserve"> </w:t>
      </w:r>
      <w:r w:rsidRPr="00D44D33">
        <w:rPr>
          <w:rFonts w:ascii="Times New Roman" w:hAnsi="Times New Roman" w:cs="Times New Roman"/>
          <w:bCs w:val="0"/>
          <w:szCs w:val="24"/>
          <w:lang w:eastAsia="en-US"/>
        </w:rPr>
        <w:t>in</w:t>
      </w:r>
      <w:r w:rsidR="00126EC6" w:rsidRPr="00D44D33">
        <w:rPr>
          <w:rFonts w:ascii="Times New Roman" w:hAnsi="Times New Roman" w:cs="Times New Roman"/>
          <w:bCs w:val="0"/>
          <w:szCs w:val="24"/>
          <w:lang w:eastAsia="en-US"/>
        </w:rPr>
        <w:t>formacji</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o</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terminie</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zakończenia</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świadczenia</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usługi</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lub</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wydania</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decyzji</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nakazującej</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zablokowanie</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dostępu</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do</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usług</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lub</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zaprzestanie</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ich</w:t>
      </w:r>
      <w:r w:rsidR="00970B2E" w:rsidRPr="00D44D33">
        <w:rPr>
          <w:rFonts w:ascii="Times New Roman" w:hAnsi="Times New Roman" w:cs="Times New Roman"/>
          <w:bCs w:val="0"/>
          <w:szCs w:val="24"/>
          <w:lang w:eastAsia="en-US"/>
        </w:rPr>
        <w:t xml:space="preserve"> </w:t>
      </w:r>
      <w:r w:rsidR="00126EC6" w:rsidRPr="00D44D33">
        <w:rPr>
          <w:rFonts w:ascii="Times New Roman" w:hAnsi="Times New Roman" w:cs="Times New Roman"/>
          <w:bCs w:val="0"/>
          <w:szCs w:val="24"/>
          <w:lang w:eastAsia="en-US"/>
        </w:rPr>
        <w:t>świadczenia.</w:t>
      </w:r>
    </w:p>
    <w:p w14:paraId="119366C4" w14:textId="0FFB437B" w:rsidR="00870745" w:rsidRPr="00D44D33" w:rsidRDefault="00991CB2"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8B57F0" w:rsidRPr="00D44D33">
        <w:rPr>
          <w:rFonts w:ascii="Times New Roman" w:eastAsiaTheme="minorEastAsia" w:hAnsi="Times New Roman" w:cs="Times New Roman"/>
          <w:b/>
          <w:sz w:val="24"/>
          <w:szCs w:val="24"/>
        </w:rPr>
        <w:t>343</w:t>
      </w:r>
    </w:p>
    <w:p w14:paraId="0521ED8A" w14:textId="5EDA3210" w:rsidR="00991CB2" w:rsidRPr="00D44D33" w:rsidRDefault="0087074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N</w:t>
      </w:r>
      <w:r w:rsidR="00991CB2" w:rsidRPr="00D44D33">
        <w:rPr>
          <w:rFonts w:ascii="Times New Roman" w:eastAsiaTheme="minorEastAsia" w:hAnsi="Times New Roman" w:cs="Times New Roman"/>
          <w:b/>
          <w:sz w:val="24"/>
          <w:szCs w:val="24"/>
        </w:rPr>
        <w:t>adużycia</w:t>
      </w:r>
      <w:r w:rsidR="00970B2E" w:rsidRPr="00D44D33">
        <w:rPr>
          <w:rFonts w:ascii="Times New Roman" w:eastAsiaTheme="minorEastAsia" w:hAnsi="Times New Roman" w:cs="Times New Roman"/>
          <w:b/>
          <w:sz w:val="24"/>
          <w:szCs w:val="24"/>
        </w:rPr>
        <w:t xml:space="preserve"> </w:t>
      </w:r>
      <w:r w:rsidR="00991CB2" w:rsidRPr="00D44D33">
        <w:rPr>
          <w:rFonts w:ascii="Times New Roman" w:eastAsiaTheme="minorEastAsia" w:hAnsi="Times New Roman" w:cs="Times New Roman"/>
          <w:b/>
          <w:sz w:val="24"/>
          <w:szCs w:val="24"/>
        </w:rPr>
        <w:t>związane</w:t>
      </w:r>
      <w:r w:rsidR="00970B2E" w:rsidRPr="00D44D33">
        <w:rPr>
          <w:rFonts w:ascii="Times New Roman" w:eastAsiaTheme="minorEastAsia" w:hAnsi="Times New Roman" w:cs="Times New Roman"/>
          <w:b/>
          <w:sz w:val="24"/>
          <w:szCs w:val="24"/>
        </w:rPr>
        <w:t xml:space="preserve"> </w:t>
      </w:r>
      <w:r w:rsidR="00991CB2" w:rsidRPr="00D44D33">
        <w:rPr>
          <w:rFonts w:ascii="Times New Roman" w:eastAsiaTheme="minorEastAsia" w:hAnsi="Times New Roman" w:cs="Times New Roman"/>
          <w:b/>
          <w:sz w:val="24"/>
          <w:szCs w:val="24"/>
        </w:rPr>
        <w:t>ze</w:t>
      </w:r>
      <w:r w:rsidR="00970B2E" w:rsidRPr="00D44D33">
        <w:rPr>
          <w:rFonts w:ascii="Times New Roman" w:eastAsiaTheme="minorEastAsia" w:hAnsi="Times New Roman" w:cs="Times New Roman"/>
          <w:b/>
          <w:sz w:val="24"/>
          <w:szCs w:val="24"/>
        </w:rPr>
        <w:t xml:space="preserve"> </w:t>
      </w:r>
      <w:r w:rsidR="00991CB2" w:rsidRPr="00D44D33">
        <w:rPr>
          <w:rFonts w:ascii="Times New Roman" w:eastAsiaTheme="minorEastAsia" w:hAnsi="Times New Roman" w:cs="Times New Roman"/>
          <w:b/>
          <w:sz w:val="24"/>
          <w:szCs w:val="24"/>
        </w:rPr>
        <w:t>świadczeniem</w:t>
      </w:r>
      <w:r w:rsidR="00970B2E" w:rsidRPr="00D44D33">
        <w:rPr>
          <w:rFonts w:ascii="Times New Roman" w:eastAsiaTheme="minorEastAsia" w:hAnsi="Times New Roman" w:cs="Times New Roman"/>
          <w:b/>
          <w:sz w:val="24"/>
          <w:szCs w:val="24"/>
        </w:rPr>
        <w:t xml:space="preserve"> </w:t>
      </w:r>
      <w:r w:rsidR="00991CB2" w:rsidRPr="00D44D33">
        <w:rPr>
          <w:rFonts w:ascii="Times New Roman" w:eastAsiaTheme="minorEastAsia" w:hAnsi="Times New Roman" w:cs="Times New Roman"/>
          <w:b/>
          <w:sz w:val="24"/>
          <w:szCs w:val="24"/>
        </w:rPr>
        <w:t>usług</w:t>
      </w:r>
    </w:p>
    <w:p w14:paraId="4092BEDE" w14:textId="1E7A8814" w:rsidR="00D532FD" w:rsidRPr="00D44D33" w:rsidRDefault="00991CB2"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70745"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nadużyciami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zablokowania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pobierania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zaprzestania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promujących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natychmiastowej</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wykonalności.</w:t>
      </w:r>
      <w:r w:rsidR="00970B2E" w:rsidRPr="00D44D33">
        <w:rPr>
          <w:rFonts w:ascii="Times New Roman" w:eastAsiaTheme="minorEastAsia" w:hAnsi="Times New Roman" w:cs="Times New Roman"/>
          <w:sz w:val="24"/>
          <w:szCs w:val="24"/>
        </w:rPr>
        <w:t xml:space="preserve"> </w:t>
      </w:r>
      <w:r w:rsidR="00960C3C" w:rsidRPr="00D44D33">
        <w:rPr>
          <w:rFonts w:ascii="Times New Roman" w:eastAsiaTheme="minorEastAsia" w:hAnsi="Times New Roman" w:cs="Times New Roman"/>
          <w:bCs/>
          <w:sz w:val="24"/>
          <w:szCs w:val="24"/>
        </w:rPr>
        <w:t>Przedsiębiorca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ma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obowiązek</w:t>
      </w:r>
      <w:r w:rsidR="000017A1"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0017A1" w:rsidRPr="00D44D33">
        <w:rPr>
          <w:rFonts w:ascii="Times New Roman" w:eastAsiaTheme="minorEastAsia" w:hAnsi="Times New Roman" w:cs="Times New Roman"/>
          <w:bCs/>
          <w:sz w:val="24"/>
          <w:szCs w:val="24"/>
        </w:rPr>
        <w:t>zgodnie</w:t>
      </w:r>
      <w:r w:rsidR="00970B2E" w:rsidRPr="00D44D33">
        <w:rPr>
          <w:rFonts w:ascii="Times New Roman" w:eastAsiaTheme="minorEastAsia" w:hAnsi="Times New Roman" w:cs="Times New Roman"/>
          <w:bCs/>
          <w:sz w:val="24"/>
          <w:szCs w:val="24"/>
        </w:rPr>
        <w:t xml:space="preserve"> </w:t>
      </w:r>
      <w:r w:rsidR="000017A1"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0017A1" w:rsidRPr="00D44D33">
        <w:rPr>
          <w:rFonts w:ascii="Times New Roman" w:eastAsiaTheme="minorEastAsia" w:hAnsi="Times New Roman" w:cs="Times New Roman"/>
          <w:bCs/>
          <w:sz w:val="24"/>
          <w:szCs w:val="24"/>
        </w:rPr>
        <w:t>decyzją,</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zablokować</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dostęp</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numeru</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usługi</w:t>
      </w:r>
      <w:r w:rsidR="000017A1"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Podobnie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podmiot</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realizujący</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dodatkowe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świadczenie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zobowiązany</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zaprzestać</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świadczenia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r w:rsidR="000017A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bCs/>
          <w:sz w:val="24"/>
          <w:szCs w:val="24"/>
        </w:rPr>
        <w:t>termin</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zablokowanie</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zaprzestanie</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krótszy</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godzin</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momentu</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000017A1"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960C3C" w:rsidRPr="00D44D33">
        <w:rPr>
          <w:rFonts w:ascii="Times New Roman" w:eastAsiaTheme="minorEastAsia" w:hAnsi="Times New Roman" w:cs="Times New Roman"/>
          <w:bCs/>
          <w:sz w:val="24"/>
          <w:szCs w:val="24"/>
        </w:rPr>
        <w:t>Decyzja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powyższym</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zakresie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może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być</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ogłoszona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ustnie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przedsiębiorcy</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podmiotowi</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realizującemu</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dodatkowe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świadczenie.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Decyzja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ogłoszona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ustnie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doręczana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jest</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stronie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piśmie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terminie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14</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dni</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od</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dnia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jej</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ogłoszenia.</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Wprowadzenie</w:t>
      </w:r>
      <w:r w:rsidR="00970B2E" w:rsidRPr="00D44D33">
        <w:rPr>
          <w:rFonts w:ascii="Times New Roman" w:eastAsiaTheme="minorEastAsia" w:hAnsi="Times New Roman" w:cs="Times New Roman"/>
          <w:bCs/>
          <w:sz w:val="24"/>
          <w:szCs w:val="24"/>
        </w:rPr>
        <w:t xml:space="preserve"> </w:t>
      </w:r>
      <w:r w:rsidR="00960C3C" w:rsidRPr="00D44D33">
        <w:rPr>
          <w:rFonts w:ascii="Times New Roman" w:eastAsiaTheme="minorEastAsia" w:hAnsi="Times New Roman" w:cs="Times New Roman"/>
          <w:bCs/>
          <w:sz w:val="24"/>
          <w:szCs w:val="24"/>
        </w:rPr>
        <w:t>możliwości</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ustnego</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ogłoszenia</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decyzji</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ma</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za</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zadanie</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umożliwienie</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Prezesowi</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UKE</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przedsiębiorcy</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szybkiego</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reagowania</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pojawiające</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002548FE" w:rsidRPr="00D44D33">
        <w:rPr>
          <w:rFonts w:ascii="Times New Roman" w:eastAsiaTheme="minorEastAsia" w:hAnsi="Times New Roman" w:cs="Times New Roman"/>
          <w:bCs/>
          <w:sz w:val="24"/>
          <w:szCs w:val="24"/>
        </w:rPr>
        <w:t>nadużycia.</w:t>
      </w:r>
      <w:r w:rsidR="00970B2E" w:rsidRPr="00D44D33">
        <w:rPr>
          <w:rFonts w:ascii="Times New Roman" w:eastAsiaTheme="minorEastAsia" w:hAnsi="Times New Roman" w:cs="Times New Roman"/>
          <w:bCs/>
          <w:sz w:val="24"/>
          <w:szCs w:val="24"/>
        </w:rPr>
        <w:t xml:space="preserve"> </w:t>
      </w:r>
    </w:p>
    <w:p w14:paraId="1438532D" w14:textId="77777777" w:rsidR="00B61396" w:rsidRDefault="00B61396" w:rsidP="00D44D33">
      <w:pPr>
        <w:spacing w:before="120" w:after="120" w:line="360" w:lineRule="auto"/>
        <w:jc w:val="center"/>
        <w:rPr>
          <w:rFonts w:ascii="Times New Roman" w:eastAsiaTheme="minorEastAsia" w:hAnsi="Times New Roman" w:cs="Times New Roman"/>
          <w:b/>
          <w:bCs/>
          <w:sz w:val="24"/>
          <w:szCs w:val="24"/>
        </w:rPr>
      </w:pPr>
    </w:p>
    <w:p w14:paraId="2E8A7E1E" w14:textId="3AA2D7A9" w:rsidR="00870745" w:rsidRPr="00D44D33" w:rsidRDefault="6176451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223B5" w:rsidRPr="00D44D33">
        <w:rPr>
          <w:rFonts w:ascii="Times New Roman" w:eastAsiaTheme="minorEastAsia" w:hAnsi="Times New Roman" w:cs="Times New Roman"/>
          <w:b/>
          <w:bCs/>
          <w:sz w:val="24"/>
          <w:szCs w:val="24"/>
        </w:rPr>
        <w:t>344</w:t>
      </w:r>
    </w:p>
    <w:p w14:paraId="1118DB93" w14:textId="12150C3C" w:rsidR="008163DE" w:rsidRPr="00D44D33" w:rsidRDefault="0087074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U</w:t>
      </w:r>
      <w:r w:rsidR="008163DE" w:rsidRPr="00D44D33">
        <w:rPr>
          <w:rFonts w:ascii="Times New Roman" w:eastAsiaTheme="minorEastAsia" w:hAnsi="Times New Roman" w:cs="Times New Roman"/>
          <w:b/>
          <w:bCs/>
          <w:sz w:val="24"/>
          <w:szCs w:val="24"/>
        </w:rPr>
        <w:t>sługa</w:t>
      </w:r>
      <w:r w:rsidR="00970B2E" w:rsidRPr="00D44D33">
        <w:rPr>
          <w:rFonts w:ascii="Times New Roman" w:eastAsiaTheme="minorEastAsia" w:hAnsi="Times New Roman" w:cs="Times New Roman"/>
          <w:b/>
          <w:bCs/>
          <w:sz w:val="24"/>
          <w:szCs w:val="24"/>
        </w:rPr>
        <w:t xml:space="preserve"> </w:t>
      </w:r>
      <w:r w:rsidR="3D70EBB3" w:rsidRPr="00D44D33">
        <w:rPr>
          <w:rFonts w:ascii="Times New Roman" w:eastAsiaTheme="minorEastAsia" w:hAnsi="Times New Roman" w:cs="Times New Roman"/>
          <w:b/>
          <w:bCs/>
          <w:sz w:val="24"/>
          <w:szCs w:val="24"/>
        </w:rPr>
        <w:t>fakultatywnego</w:t>
      </w:r>
      <w:r w:rsidR="00970B2E" w:rsidRPr="00D44D33">
        <w:rPr>
          <w:rFonts w:ascii="Times New Roman" w:eastAsiaTheme="minorEastAsia" w:hAnsi="Times New Roman" w:cs="Times New Roman"/>
          <w:b/>
          <w:bCs/>
          <w:sz w:val="24"/>
          <w:szCs w:val="24"/>
        </w:rPr>
        <w:t xml:space="preserve"> </w:t>
      </w:r>
      <w:r w:rsidR="008163DE" w:rsidRPr="00D44D33">
        <w:rPr>
          <w:rFonts w:ascii="Times New Roman" w:eastAsiaTheme="minorEastAsia" w:hAnsi="Times New Roman" w:cs="Times New Roman"/>
          <w:b/>
          <w:bCs/>
          <w:sz w:val="24"/>
          <w:szCs w:val="24"/>
        </w:rPr>
        <w:t>obcią</w:t>
      </w:r>
      <w:r w:rsidR="60384AC1" w:rsidRPr="00D44D33">
        <w:rPr>
          <w:rFonts w:ascii="Times New Roman" w:eastAsiaTheme="minorEastAsia" w:hAnsi="Times New Roman" w:cs="Times New Roman"/>
          <w:b/>
          <w:bCs/>
          <w:sz w:val="24"/>
          <w:szCs w:val="24"/>
        </w:rPr>
        <w:t>żania</w:t>
      </w:r>
      <w:r w:rsidR="00970B2E" w:rsidRPr="00D44D33">
        <w:rPr>
          <w:rFonts w:ascii="Times New Roman" w:eastAsiaTheme="minorEastAsia" w:hAnsi="Times New Roman" w:cs="Times New Roman"/>
          <w:b/>
          <w:bCs/>
          <w:sz w:val="24"/>
          <w:szCs w:val="24"/>
        </w:rPr>
        <w:t xml:space="preserve"> </w:t>
      </w:r>
      <w:r w:rsidR="60384AC1" w:rsidRPr="00D44D33">
        <w:rPr>
          <w:rFonts w:ascii="Times New Roman" w:eastAsiaTheme="minorEastAsia" w:hAnsi="Times New Roman" w:cs="Times New Roman"/>
          <w:b/>
          <w:bCs/>
          <w:sz w:val="24"/>
          <w:szCs w:val="24"/>
        </w:rPr>
        <w:t>rachunku</w:t>
      </w:r>
      <w:r w:rsidR="00970B2E" w:rsidRPr="00D44D33">
        <w:rPr>
          <w:rFonts w:ascii="Times New Roman" w:eastAsiaTheme="minorEastAsia" w:hAnsi="Times New Roman" w:cs="Times New Roman"/>
          <w:b/>
          <w:bCs/>
          <w:sz w:val="24"/>
          <w:szCs w:val="24"/>
        </w:rPr>
        <w:t xml:space="preserve"> </w:t>
      </w:r>
      <w:r w:rsidR="60384AC1" w:rsidRPr="00D44D33">
        <w:rPr>
          <w:rFonts w:ascii="Times New Roman" w:eastAsiaTheme="minorEastAsia" w:hAnsi="Times New Roman" w:cs="Times New Roman"/>
          <w:b/>
          <w:bCs/>
          <w:sz w:val="24"/>
          <w:szCs w:val="24"/>
        </w:rPr>
        <w:t>(direct</w:t>
      </w:r>
      <w:r w:rsidR="00970B2E" w:rsidRPr="00D44D33">
        <w:rPr>
          <w:rFonts w:ascii="Times New Roman" w:eastAsiaTheme="minorEastAsia" w:hAnsi="Times New Roman" w:cs="Times New Roman"/>
          <w:b/>
          <w:bCs/>
          <w:sz w:val="24"/>
          <w:szCs w:val="24"/>
        </w:rPr>
        <w:t xml:space="preserve"> </w:t>
      </w:r>
      <w:r w:rsidR="60384AC1" w:rsidRPr="00D44D33">
        <w:rPr>
          <w:rFonts w:ascii="Times New Roman" w:eastAsiaTheme="minorEastAsia" w:hAnsi="Times New Roman" w:cs="Times New Roman"/>
          <w:b/>
          <w:bCs/>
          <w:sz w:val="24"/>
          <w:szCs w:val="24"/>
        </w:rPr>
        <w:t>billing)</w:t>
      </w:r>
    </w:p>
    <w:p w14:paraId="01AC40D1" w14:textId="3EF36688" w:rsidR="000221CF" w:rsidRPr="00D44D33" w:rsidRDefault="0087074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9223B5" w:rsidRPr="00D44D33">
        <w:rPr>
          <w:rFonts w:ascii="Times New Roman" w:eastAsiaTheme="minorEastAsia" w:hAnsi="Times New Roman" w:cs="Times New Roman"/>
          <w:sz w:val="24"/>
          <w:szCs w:val="24"/>
        </w:rPr>
        <w:t>344</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7EE8B68"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3400219B" w:rsidRPr="00D44D33">
        <w:rPr>
          <w:rFonts w:ascii="Times New Roman" w:eastAsiaTheme="minorEastAsia" w:hAnsi="Times New Roman" w:cs="Times New Roman"/>
          <w:sz w:val="24"/>
          <w:szCs w:val="24"/>
        </w:rPr>
        <w:t>obciążenia</w:t>
      </w:r>
      <w:r w:rsidR="00970B2E" w:rsidRPr="00D44D33">
        <w:rPr>
          <w:rFonts w:ascii="Times New Roman" w:eastAsiaTheme="minorEastAsia" w:hAnsi="Times New Roman" w:cs="Times New Roman"/>
          <w:sz w:val="24"/>
          <w:szCs w:val="24"/>
        </w:rPr>
        <w:t xml:space="preserve"> </w:t>
      </w:r>
      <w:r w:rsidR="3400219B"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5F590B22"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polega</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umożliwieniu</w:t>
      </w:r>
      <w:r w:rsidR="00970B2E" w:rsidRPr="00D44D33">
        <w:rPr>
          <w:rFonts w:ascii="Times New Roman" w:eastAsiaTheme="minorEastAsia" w:hAnsi="Times New Roman" w:cs="Times New Roman"/>
          <w:sz w:val="24"/>
          <w:szCs w:val="24"/>
        </w:rPr>
        <w:t xml:space="preserve"> </w:t>
      </w:r>
      <w:r w:rsidR="7A7E5EA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A7E5EAF"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7A7E5EA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dokonywania</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płatności</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aktywowane</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bezpośrednie</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doliczanie</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7B02E055"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380247A7"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380247A7"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380247A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80247A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80247A7" w:rsidRPr="00D44D33">
        <w:rPr>
          <w:rFonts w:ascii="Times New Roman" w:eastAsiaTheme="minorEastAsia" w:hAnsi="Times New Roman" w:cs="Times New Roman"/>
          <w:sz w:val="24"/>
          <w:szCs w:val="24"/>
        </w:rPr>
        <w:t>elektronicznej</w:t>
      </w:r>
      <w:r w:rsidR="7B02E05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Direct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billing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jednorazowy,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cykliczny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różnego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płatnych</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forma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płatności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wygodnym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rozwiązaniem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gwarantuje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odpowiedni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poziom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mobilnego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zdarza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SMS</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rozpoczęciu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korzystaniu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direct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biling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odpłatności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wysyłana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numer</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(kartę</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SIM),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zainstalowany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urządzeniu,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odczytuje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SMS</w:t>
      </w:r>
      <w:r w:rsidR="3DC48BF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Skutkiem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obciążenie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kosztami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wiedzy.</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zdarzają</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sytuacje,</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pozyskiwana</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niewłaściwy,</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gdzie</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świadomości</w:t>
      </w:r>
      <w:r w:rsidR="0042522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2F017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działanie</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poczytywane</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25222" w:rsidRPr="00D44D33">
        <w:rPr>
          <w:rFonts w:ascii="Times New Roman" w:eastAsiaTheme="minorEastAsia" w:hAnsi="Times New Roman" w:cs="Times New Roman"/>
          <w:sz w:val="24"/>
          <w:szCs w:val="24"/>
        </w:rPr>
        <w:t>płatność.</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zabezpieczenia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direct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billing</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rozpoczęciem</w:t>
      </w:r>
      <w:r w:rsidR="3DC48BF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uruchomienie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wyrażenia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uprzedniej</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trwałym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nośniku.</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wyrażona</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spośród</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oferowanych</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rozliczeniowego,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miesiąca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kalendarzowego.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zaoferować</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progi:</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0,</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35,</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70</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100</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określi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wyniesie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007D3F36" w:rsidRPr="00D44D33">
        <w:rPr>
          <w:rFonts w:ascii="Times New Roman" w:eastAsiaTheme="minorEastAsia" w:hAnsi="Times New Roman" w:cs="Times New Roman"/>
          <w:sz w:val="24"/>
          <w:szCs w:val="24"/>
        </w:rPr>
        <w:t>70</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otrzyma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fakcie,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dalszego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nabycia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miałyby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usługą</w:t>
      </w:r>
      <w:r w:rsidR="00970B2E" w:rsidRPr="00D44D33">
        <w:rPr>
          <w:rFonts w:ascii="Times New Roman" w:eastAsiaTheme="minorEastAsia" w:hAnsi="Times New Roman" w:cs="Times New Roman"/>
          <w:sz w:val="24"/>
          <w:szCs w:val="24"/>
        </w:rPr>
        <w:t xml:space="preserve"> </w:t>
      </w:r>
      <w:r w:rsidR="00F07FD5"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zablokowana.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przekroczeniu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stacjonarnych</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przyjęty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mechanizmu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funkcjonującego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premium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rate</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uważa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zrealizowany,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wykonał</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trzy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próby</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abonentem</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ciągu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24</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godzin</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momentu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osiągnięcia</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3DC48BFF" w:rsidRPr="00D44D33">
        <w:rPr>
          <w:rFonts w:ascii="Times New Roman" w:eastAsiaTheme="minorEastAsia" w:hAnsi="Times New Roman" w:cs="Times New Roman"/>
          <w:sz w:val="24"/>
          <w:szCs w:val="24"/>
        </w:rPr>
        <w:t>kwotowego.</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odblokowania</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0046748A" w:rsidRPr="00D44D33">
        <w:rPr>
          <w:rFonts w:ascii="Times New Roman" w:eastAsiaTheme="minorEastAsia" w:hAnsi="Times New Roman" w:cs="Times New Roman"/>
          <w:sz w:val="24"/>
          <w:szCs w:val="24"/>
        </w:rPr>
        <w:t>rozliczeniowym</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000221CF" w:rsidRPr="00D44D33">
        <w:rPr>
          <w:rFonts w:ascii="Times New Roman" w:eastAsiaTheme="minorEastAsia" w:hAnsi="Times New Roman" w:cs="Times New Roman"/>
          <w:sz w:val="24"/>
          <w:szCs w:val="24"/>
        </w:rPr>
        <w:t>okre</w:t>
      </w:r>
      <w:r w:rsidR="0046748A" w:rsidRPr="00D44D33">
        <w:rPr>
          <w:rFonts w:ascii="Times New Roman" w:eastAsiaTheme="minorEastAsia" w:hAnsi="Times New Roman" w:cs="Times New Roman"/>
          <w:sz w:val="24"/>
          <w:szCs w:val="24"/>
        </w:rPr>
        <w:t>ślić</w:t>
      </w:r>
      <w:r w:rsidR="00970B2E" w:rsidRPr="00D44D33">
        <w:rPr>
          <w:rFonts w:ascii="Times New Roman" w:eastAsiaTheme="minorEastAsia" w:hAnsi="Times New Roman" w:cs="Times New Roman"/>
          <w:sz w:val="24"/>
          <w:szCs w:val="24"/>
        </w:rPr>
        <w:t xml:space="preserve"> </w:t>
      </w:r>
      <w:r w:rsidR="0046748A" w:rsidRPr="00D44D33">
        <w:rPr>
          <w:rFonts w:ascii="Times New Roman" w:eastAsiaTheme="minorEastAsia" w:hAnsi="Times New Roman" w:cs="Times New Roman"/>
          <w:sz w:val="24"/>
          <w:szCs w:val="24"/>
        </w:rPr>
        <w:t>wyższy</w:t>
      </w:r>
      <w:r w:rsidR="00970B2E" w:rsidRPr="00D44D33">
        <w:rPr>
          <w:rFonts w:ascii="Times New Roman" w:eastAsiaTheme="minorEastAsia" w:hAnsi="Times New Roman" w:cs="Times New Roman"/>
          <w:sz w:val="24"/>
          <w:szCs w:val="24"/>
        </w:rPr>
        <w:t xml:space="preserve"> </w:t>
      </w:r>
      <w:r w:rsidR="0046748A" w:rsidRPr="00D44D33">
        <w:rPr>
          <w:rFonts w:ascii="Times New Roman" w:eastAsiaTheme="minorEastAsia" w:hAnsi="Times New Roman" w:cs="Times New Roman"/>
          <w:sz w:val="24"/>
          <w:szCs w:val="24"/>
        </w:rPr>
        <w:t>próg.</w:t>
      </w:r>
    </w:p>
    <w:p w14:paraId="483F3E0F" w14:textId="28A473FD" w:rsidR="00821038" w:rsidRPr="00D44D33" w:rsidRDefault="00615B9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w:t>
      </w:r>
      <w:r w:rsidR="0021373F" w:rsidRPr="00D44D33">
        <w:rPr>
          <w:rFonts w:ascii="Times New Roman" w:eastAsiaTheme="minorEastAsia" w:hAnsi="Times New Roman" w:cs="Times New Roman"/>
          <w:sz w:val="24"/>
          <w:szCs w:val="24"/>
        </w:rPr>
        <w:t>ży</w:t>
      </w:r>
      <w:r w:rsidR="00970B2E" w:rsidRPr="00D44D33">
        <w:rPr>
          <w:rFonts w:ascii="Times New Roman" w:eastAsiaTheme="minorEastAsia" w:hAnsi="Times New Roman" w:cs="Times New Roman"/>
          <w:sz w:val="24"/>
          <w:szCs w:val="24"/>
        </w:rPr>
        <w:t xml:space="preserve"> </w:t>
      </w:r>
      <w:r w:rsidR="0021373F" w:rsidRPr="00D44D33">
        <w:rPr>
          <w:rFonts w:ascii="Times New Roman" w:eastAsiaTheme="minorEastAsia" w:hAnsi="Times New Roman" w:cs="Times New Roman"/>
          <w:sz w:val="24"/>
          <w:szCs w:val="24"/>
        </w:rPr>
        <w:t>zaznaczyć,</w:t>
      </w:r>
      <w:r w:rsidR="00970B2E" w:rsidRPr="00D44D33">
        <w:rPr>
          <w:rFonts w:ascii="Times New Roman" w:eastAsiaTheme="minorEastAsia" w:hAnsi="Times New Roman" w:cs="Times New Roman"/>
          <w:sz w:val="24"/>
          <w:szCs w:val="24"/>
        </w:rPr>
        <w:t xml:space="preserve"> </w:t>
      </w:r>
      <w:r w:rsidR="0021373F"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21373F"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0021373F"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0021373F"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21373F" w:rsidRPr="00D44D33">
        <w:rPr>
          <w:rFonts w:ascii="Times New Roman" w:eastAsiaTheme="minorEastAsia" w:hAnsi="Times New Roman" w:cs="Times New Roman"/>
          <w:sz w:val="24"/>
          <w:szCs w:val="24"/>
        </w:rPr>
        <w:t>uszczerbku</w:t>
      </w:r>
      <w:r w:rsidR="00970B2E" w:rsidRPr="00D44D33">
        <w:rPr>
          <w:rFonts w:ascii="Times New Roman" w:eastAsiaTheme="minorEastAsia" w:hAnsi="Times New Roman" w:cs="Times New Roman"/>
          <w:sz w:val="24"/>
          <w:szCs w:val="24"/>
        </w:rPr>
        <w:t xml:space="preserve"> </w:t>
      </w:r>
      <w:r w:rsidR="00C62317"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C62317"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0C62317"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C62317"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00C62317"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00C62317" w:rsidRPr="00D44D33">
        <w:rPr>
          <w:rFonts w:ascii="Times New Roman" w:eastAsiaTheme="minorEastAsia" w:hAnsi="Times New Roman" w:cs="Times New Roman"/>
          <w:sz w:val="24"/>
          <w:szCs w:val="24"/>
        </w:rPr>
        <w:t>podatkowe.</w:t>
      </w:r>
      <w:r w:rsidR="00970B2E" w:rsidRPr="00D44D33">
        <w:rPr>
          <w:rFonts w:ascii="Times New Roman" w:eastAsiaTheme="minorEastAsia" w:hAnsi="Times New Roman" w:cs="Times New Roman"/>
          <w:sz w:val="24"/>
          <w:szCs w:val="24"/>
        </w:rPr>
        <w:t xml:space="preserve"> </w:t>
      </w:r>
    </w:p>
    <w:p w14:paraId="073ED5AA" w14:textId="1AB14AD2" w:rsidR="00870745" w:rsidRPr="00D44D33" w:rsidRDefault="00A24D71"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9223B5" w:rsidRPr="00D44D33">
        <w:rPr>
          <w:rFonts w:ascii="Times New Roman" w:eastAsiaTheme="minorEastAsia" w:hAnsi="Times New Roman" w:cs="Times New Roman"/>
          <w:b/>
          <w:sz w:val="24"/>
          <w:szCs w:val="24"/>
        </w:rPr>
        <w:t>345</w:t>
      </w:r>
      <w:r w:rsidR="00970B2E" w:rsidRPr="00D44D33">
        <w:rPr>
          <w:rFonts w:ascii="Times New Roman" w:eastAsiaTheme="minorEastAsia" w:hAnsi="Times New Roman" w:cs="Times New Roman"/>
          <w:b/>
          <w:sz w:val="24"/>
          <w:szCs w:val="24"/>
        </w:rPr>
        <w:t xml:space="preserve"> </w:t>
      </w:r>
    </w:p>
    <w:p w14:paraId="3D3C9EC4" w14:textId="21ED7D53" w:rsidR="0001231E" w:rsidRPr="00D44D33" w:rsidRDefault="00870745"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U</w:t>
      </w:r>
      <w:r w:rsidR="0001231E" w:rsidRPr="00D44D33">
        <w:rPr>
          <w:rFonts w:ascii="Times New Roman" w:eastAsiaTheme="minorEastAsia" w:hAnsi="Times New Roman" w:cs="Times New Roman"/>
          <w:b/>
          <w:sz w:val="24"/>
          <w:szCs w:val="24"/>
        </w:rPr>
        <w:t>wierzytelnianie</w:t>
      </w:r>
      <w:r w:rsidR="00970B2E" w:rsidRPr="00D44D33">
        <w:rPr>
          <w:rFonts w:ascii="Times New Roman" w:eastAsiaTheme="minorEastAsia" w:hAnsi="Times New Roman" w:cs="Times New Roman"/>
          <w:b/>
          <w:sz w:val="24"/>
          <w:szCs w:val="24"/>
        </w:rPr>
        <w:t xml:space="preserve"> </w:t>
      </w:r>
      <w:r w:rsidR="0001231E" w:rsidRPr="00D44D33">
        <w:rPr>
          <w:rFonts w:ascii="Times New Roman" w:eastAsiaTheme="minorEastAsia" w:hAnsi="Times New Roman" w:cs="Times New Roman"/>
          <w:b/>
          <w:bCs/>
          <w:sz w:val="24"/>
          <w:szCs w:val="24"/>
        </w:rPr>
        <w:t>usług</w:t>
      </w:r>
      <w:r w:rsidR="0058175A"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0001231E" w:rsidRPr="00D44D33">
        <w:rPr>
          <w:rFonts w:ascii="Times New Roman" w:eastAsiaTheme="minorEastAsia" w:hAnsi="Times New Roman" w:cs="Times New Roman"/>
          <w:b/>
          <w:bCs/>
          <w:sz w:val="24"/>
          <w:szCs w:val="24"/>
        </w:rPr>
        <w:t>fakultatywnego</w:t>
      </w:r>
      <w:r w:rsidR="00970B2E" w:rsidRPr="00D44D33">
        <w:rPr>
          <w:rFonts w:ascii="Times New Roman" w:eastAsiaTheme="minorEastAsia" w:hAnsi="Times New Roman" w:cs="Times New Roman"/>
          <w:b/>
          <w:bCs/>
          <w:sz w:val="24"/>
          <w:szCs w:val="24"/>
        </w:rPr>
        <w:t xml:space="preserve"> </w:t>
      </w:r>
      <w:r w:rsidR="0001231E" w:rsidRPr="00D44D33">
        <w:rPr>
          <w:rFonts w:ascii="Times New Roman" w:eastAsiaTheme="minorEastAsia" w:hAnsi="Times New Roman" w:cs="Times New Roman"/>
          <w:b/>
          <w:bCs/>
          <w:sz w:val="24"/>
          <w:szCs w:val="24"/>
        </w:rPr>
        <w:t>obciążania</w:t>
      </w:r>
      <w:r w:rsidR="00970B2E" w:rsidRPr="00D44D33">
        <w:rPr>
          <w:rFonts w:ascii="Times New Roman" w:eastAsiaTheme="minorEastAsia" w:hAnsi="Times New Roman" w:cs="Times New Roman"/>
          <w:b/>
          <w:bCs/>
          <w:sz w:val="24"/>
          <w:szCs w:val="24"/>
        </w:rPr>
        <w:t xml:space="preserve"> </w:t>
      </w:r>
      <w:r w:rsidR="0001231E" w:rsidRPr="00D44D33">
        <w:rPr>
          <w:rFonts w:ascii="Times New Roman" w:eastAsiaTheme="minorEastAsia" w:hAnsi="Times New Roman" w:cs="Times New Roman"/>
          <w:b/>
          <w:bCs/>
          <w:sz w:val="24"/>
          <w:szCs w:val="24"/>
        </w:rPr>
        <w:t>rachunku</w:t>
      </w:r>
    </w:p>
    <w:p w14:paraId="390A6A02" w14:textId="77777777" w:rsidR="0036212F" w:rsidRPr="00D44D33" w:rsidRDefault="3DC48BFF"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generalnej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00F07FD5"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42E9FE28" w:rsidRPr="00D44D33">
        <w:rPr>
          <w:rFonts w:ascii="Times New Roman" w:eastAsia="Times New Roman" w:hAnsi="Times New Roman" w:cs="Times New Roman"/>
          <w:sz w:val="24"/>
          <w:szCs w:val="24"/>
        </w:rPr>
        <w:t>stosować</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każdego</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fakultatywnego</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obciążania</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rachunku</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autoryzację</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transakcji</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oparciu</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00BB7AA4" w:rsidRPr="00D44D33">
        <w:rPr>
          <w:rFonts w:ascii="Times New Roman" w:eastAsia="Times New Roman" w:hAnsi="Times New Roman" w:cs="Times New Roman"/>
          <w:sz w:val="24"/>
          <w:szCs w:val="24"/>
        </w:rPr>
        <w:t>jeden</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spośród</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następujących</w:t>
      </w:r>
      <w:r w:rsidR="00970B2E" w:rsidRPr="00D44D33">
        <w:rPr>
          <w:rFonts w:ascii="Times New Roman" w:eastAsia="Times New Roman" w:hAnsi="Times New Roman" w:cs="Times New Roman"/>
          <w:sz w:val="24"/>
          <w:szCs w:val="24"/>
        </w:rPr>
        <w:t xml:space="preserve"> </w:t>
      </w:r>
      <w:r w:rsidR="00F07FD5" w:rsidRPr="00D44D33">
        <w:rPr>
          <w:rFonts w:ascii="Times New Roman" w:eastAsia="Times New Roman" w:hAnsi="Times New Roman" w:cs="Times New Roman"/>
          <w:sz w:val="24"/>
          <w:szCs w:val="24"/>
        </w:rPr>
        <w:t>elementów:</w:t>
      </w:r>
      <w:r w:rsidR="00970B2E" w:rsidRPr="00D44D33">
        <w:rPr>
          <w:rFonts w:ascii="Times New Roman" w:eastAsia="Times New Roman" w:hAnsi="Times New Roman" w:cs="Times New Roman"/>
          <w:sz w:val="24"/>
          <w:szCs w:val="24"/>
        </w:rPr>
        <w:t xml:space="preserve"> </w:t>
      </w:r>
    </w:p>
    <w:p w14:paraId="6E61DDDC" w14:textId="7C41D114" w:rsidR="0036212F" w:rsidRPr="00D44D33" w:rsidRDefault="00F07FD5" w:rsidP="00B61396">
      <w:pPr>
        <w:pStyle w:val="Akapitzlist"/>
        <w:numPr>
          <w:ilvl w:val="0"/>
          <w:numId w:val="127"/>
        </w:numPr>
        <w:spacing w:before="120" w:after="120" w:line="360" w:lineRule="auto"/>
        <w:ind w:left="426" w:hanging="426"/>
        <w:jc w:val="both"/>
        <w:rPr>
          <w:rFonts w:ascii="Times New Roman" w:eastAsia="Times New Roman" w:hAnsi="Times New Roman" w:cs="Times New Roman"/>
          <w:bCs/>
          <w:sz w:val="24"/>
          <w:szCs w:val="24"/>
        </w:rPr>
      </w:pPr>
      <w:r w:rsidRPr="00D44D33">
        <w:rPr>
          <w:rFonts w:ascii="Times New Roman" w:eastAsia="Times New Roman" w:hAnsi="Times New Roman" w:cs="Times New Roman"/>
          <w:sz w:val="24"/>
          <w:szCs w:val="24"/>
        </w:rPr>
        <w:t>wiedza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czymś,</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w:t>
      </w:r>
      <w:r w:rsidR="0036212F" w:rsidRPr="00D44D33">
        <w:rPr>
          <w:rFonts w:ascii="Times New Roman" w:eastAsia="Times New Roman" w:hAnsi="Times New Roman" w:cs="Times New Roman"/>
          <w:bCs/>
          <w:sz w:val="24"/>
          <w:szCs w:val="24"/>
        </w:rPr>
        <w:t>,</w:t>
      </w:r>
    </w:p>
    <w:p w14:paraId="18893D59" w14:textId="63461D0C" w:rsidR="0036212F" w:rsidRPr="00D44D33" w:rsidRDefault="00F07FD5" w:rsidP="00B61396">
      <w:pPr>
        <w:pStyle w:val="Akapitzlist"/>
        <w:numPr>
          <w:ilvl w:val="0"/>
          <w:numId w:val="127"/>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posiadanie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czegoś,</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posiada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wyłącznie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w:t>
      </w:r>
      <w:r w:rsidR="0036212F"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p>
    <w:p w14:paraId="6A539A46" w14:textId="74D6C551" w:rsidR="0036212F" w:rsidRPr="00D44D33" w:rsidRDefault="00F07FD5" w:rsidP="00B61396">
      <w:pPr>
        <w:pStyle w:val="Akapitzlist"/>
        <w:numPr>
          <w:ilvl w:val="0"/>
          <w:numId w:val="127"/>
        </w:numPr>
        <w:spacing w:before="120" w:after="120" w:line="360" w:lineRule="auto"/>
        <w:ind w:left="426" w:hanging="426"/>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cechy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charakterystyczne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p>
    <w:p w14:paraId="59A3A376" w14:textId="6E5CABA2" w:rsidR="001A60CB" w:rsidRPr="00D44D33" w:rsidRDefault="00F07FD5"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pozostaje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uszczerbku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ustaw,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które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przewidują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wyższy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poziom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autoryzacji.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Przykładem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autoryzacji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wyżej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sposób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45ED7A68" w:rsidRPr="00D44D33">
        <w:rPr>
          <w:rFonts w:ascii="Times New Roman" w:eastAsia="Times New Roman" w:hAnsi="Times New Roman" w:cs="Times New Roman"/>
          <w:sz w:val="24"/>
          <w:szCs w:val="24"/>
        </w:rPr>
        <w:t>wpisanie</w:t>
      </w:r>
      <w:r w:rsidR="00970B2E" w:rsidRPr="00D44D33">
        <w:rPr>
          <w:rFonts w:ascii="Times New Roman" w:eastAsia="Times New Roman" w:hAnsi="Times New Roman" w:cs="Times New Roman"/>
          <w:sz w:val="24"/>
          <w:szCs w:val="24"/>
        </w:rPr>
        <w:t xml:space="preserve"> </w:t>
      </w:r>
      <w:r w:rsidR="45ED7A68"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45ED7A68"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45ED7A68" w:rsidRPr="00D44D33">
        <w:rPr>
          <w:rFonts w:ascii="Times New Roman" w:eastAsia="Times New Roman" w:hAnsi="Times New Roman" w:cs="Times New Roman"/>
          <w:sz w:val="24"/>
          <w:szCs w:val="24"/>
        </w:rPr>
        <w:t>otrzymanego</w:t>
      </w:r>
      <w:r w:rsidR="00970B2E" w:rsidRPr="00D44D33">
        <w:rPr>
          <w:rFonts w:ascii="Times New Roman" w:eastAsia="Times New Roman" w:hAnsi="Times New Roman" w:cs="Times New Roman"/>
          <w:sz w:val="24"/>
          <w:szCs w:val="24"/>
        </w:rPr>
        <w:t xml:space="preserve"> </w:t>
      </w:r>
      <w:r w:rsidR="45ED7A68" w:rsidRPr="00D44D33">
        <w:rPr>
          <w:rFonts w:ascii="Times New Roman" w:eastAsia="Times New Roman" w:hAnsi="Times New Roman" w:cs="Times New Roman"/>
          <w:sz w:val="24"/>
          <w:szCs w:val="24"/>
        </w:rPr>
        <w:t>kodu</w:t>
      </w:r>
      <w:r w:rsidR="00970B2E" w:rsidRPr="00D44D33">
        <w:rPr>
          <w:rFonts w:ascii="Times New Roman" w:eastAsia="Times New Roman" w:hAnsi="Times New Roman" w:cs="Times New Roman"/>
          <w:sz w:val="24"/>
          <w:szCs w:val="24"/>
        </w:rPr>
        <w:t xml:space="preserve"> </w:t>
      </w:r>
      <w:r w:rsidR="45ED7A68" w:rsidRPr="00D44D33">
        <w:rPr>
          <w:rFonts w:ascii="Times New Roman" w:eastAsia="Times New Roman" w:hAnsi="Times New Roman" w:cs="Times New Roman"/>
          <w:sz w:val="24"/>
          <w:szCs w:val="24"/>
        </w:rPr>
        <w:t>weryfikacyjnego.</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przypadku</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subskrypcji</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uwierzytelnienie</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dotyczyć</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więcej</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jednego</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dodatkowego</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obciążenia</w:t>
      </w:r>
      <w:r w:rsidR="00970B2E" w:rsidRPr="00D44D33">
        <w:rPr>
          <w:rFonts w:ascii="Times New Roman" w:eastAsia="Times New Roman" w:hAnsi="Times New Roman" w:cs="Times New Roman"/>
          <w:sz w:val="24"/>
          <w:szCs w:val="24"/>
        </w:rPr>
        <w:t xml:space="preserve"> </w:t>
      </w:r>
      <w:r w:rsidR="42E9FE28" w:rsidRPr="00D44D33">
        <w:rPr>
          <w:rFonts w:ascii="Times New Roman" w:eastAsia="Times New Roman" w:hAnsi="Times New Roman" w:cs="Times New Roman"/>
          <w:sz w:val="24"/>
          <w:szCs w:val="24"/>
        </w:rPr>
        <w:t>rachunku.</w:t>
      </w:r>
      <w:r w:rsidR="00970B2E" w:rsidRPr="00D44D33">
        <w:rPr>
          <w:rFonts w:ascii="Times New Roman" w:eastAsia="Times New Roman" w:hAnsi="Times New Roman" w:cs="Times New Roman"/>
          <w:sz w:val="24"/>
          <w:szCs w:val="24"/>
        </w:rPr>
        <w:t xml:space="preserve"> </w:t>
      </w:r>
      <w:r w:rsidR="001A60CB"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bezpłatn</w:t>
      </w:r>
      <w:r w:rsidR="0046748A"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skuteczn</w:t>
      </w:r>
      <w:r w:rsidR="0046748A"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natychmiastow</w:t>
      </w:r>
      <w:r w:rsidR="0046748A" w:rsidRPr="00D44D33">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0046748A" w:rsidRPr="00D44D33">
        <w:rPr>
          <w:rFonts w:ascii="Times New Roman" w:eastAsiaTheme="minorEastAsia" w:hAnsi="Times New Roman" w:cs="Times New Roman"/>
          <w:sz w:val="24"/>
          <w:szCs w:val="24"/>
        </w:rPr>
        <w:t>rezygnację</w:t>
      </w:r>
      <w:r w:rsidR="00970B2E" w:rsidRPr="00D44D33">
        <w:rPr>
          <w:rFonts w:ascii="Times New Roman" w:eastAsiaTheme="minorEastAsia" w:hAnsi="Times New Roman" w:cs="Times New Roman"/>
          <w:sz w:val="24"/>
          <w:szCs w:val="24"/>
        </w:rPr>
        <w:t xml:space="preserve"> </w:t>
      </w:r>
      <w:r w:rsidR="00A24D7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24D71" w:rsidRPr="00D44D33">
        <w:rPr>
          <w:rFonts w:ascii="Times New Roman" w:eastAsiaTheme="minorEastAsia" w:hAnsi="Times New Roman" w:cs="Times New Roman"/>
          <w:sz w:val="24"/>
          <w:szCs w:val="24"/>
        </w:rPr>
        <w:t>konkretnej</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rachunku.</w:t>
      </w:r>
    </w:p>
    <w:p w14:paraId="6B7D9F8B" w14:textId="750C7616" w:rsidR="00870745" w:rsidRPr="00D44D33" w:rsidRDefault="0B9150D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223B5" w:rsidRPr="00D44D33">
        <w:rPr>
          <w:rFonts w:ascii="Times New Roman" w:eastAsiaTheme="minorEastAsia" w:hAnsi="Times New Roman" w:cs="Times New Roman"/>
          <w:b/>
          <w:bCs/>
          <w:sz w:val="24"/>
          <w:szCs w:val="24"/>
        </w:rPr>
        <w:t>346</w:t>
      </w:r>
      <w:r w:rsidR="00970B2E" w:rsidRPr="00D44D33">
        <w:rPr>
          <w:rFonts w:ascii="Times New Roman" w:eastAsiaTheme="minorEastAsia" w:hAnsi="Times New Roman" w:cs="Times New Roman"/>
          <w:b/>
          <w:bCs/>
          <w:sz w:val="24"/>
          <w:szCs w:val="24"/>
        </w:rPr>
        <w:t xml:space="preserve"> </w:t>
      </w:r>
    </w:p>
    <w:p w14:paraId="75C2D309" w14:textId="4D5E91EE" w:rsidR="00221330" w:rsidRPr="00D44D33" w:rsidRDefault="0087074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W</w:t>
      </w:r>
      <w:r w:rsidR="566EAACD" w:rsidRPr="00D44D33">
        <w:rPr>
          <w:rFonts w:ascii="Times New Roman" w:eastAsiaTheme="minorEastAsia" w:hAnsi="Times New Roman" w:cs="Times New Roman"/>
          <w:b/>
          <w:bCs/>
          <w:sz w:val="24"/>
          <w:szCs w:val="24"/>
        </w:rPr>
        <w:t>ykaz</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wykonanych</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4E26F30F" w14:textId="7D7C855C" w:rsidR="00221330" w:rsidRPr="00D44D33" w:rsidRDefault="0087074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9223B5" w:rsidRPr="00D44D33">
        <w:rPr>
          <w:rFonts w:ascii="Times New Roman" w:eastAsiaTheme="minorEastAsia" w:hAnsi="Times New Roman" w:cs="Times New Roman"/>
          <w:sz w:val="24"/>
          <w:szCs w:val="24"/>
        </w:rPr>
        <w:t>346</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załącznika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VI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C62AAB9"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47476AC7" w14:textId="67C355A2"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nieodpłatne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fakturą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odpowiadającej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p>
    <w:p w14:paraId="19D83674" w14:textId="2D1522B8" w:rsidR="00221330" w:rsidRPr="00D44D33" w:rsidRDefault="0087074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przedpłaconej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świadczonej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ruchomej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odmiennie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postpaid,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udostępnienie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kontaktowych.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wykonanej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złożeniu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Pierwszy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doręczany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kolejny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miesiąca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kalendarzowego.</w:t>
      </w:r>
      <w:r w:rsidR="00970B2E" w:rsidRPr="00D44D33">
        <w:rPr>
          <w:rFonts w:ascii="Times New Roman" w:eastAsiaTheme="minorEastAsia" w:hAnsi="Times New Roman" w:cs="Times New Roman"/>
          <w:sz w:val="24"/>
          <w:szCs w:val="24"/>
        </w:rPr>
        <w:t xml:space="preserve"> </w:t>
      </w:r>
    </w:p>
    <w:p w14:paraId="16ADB1AC" w14:textId="1EE1AFE8" w:rsidR="001A60CB" w:rsidRPr="00D44D33" w:rsidRDefault="0087074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uwzględniania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usługach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wykorzystywanego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zamieszczony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pouczenia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zablokowania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dodatkowym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świadczeniem.</w:t>
      </w:r>
    </w:p>
    <w:p w14:paraId="2085C96F" w14:textId="0B85C7B0" w:rsidR="001A60CB" w:rsidRPr="00D44D33" w:rsidRDefault="006547E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kosztach</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nabywanych</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F07FD5"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zamieszcza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fakturze</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nabytych</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poszczególnych</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nabywanych</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towarów</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fakturze</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wskazana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nazwa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firma</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nabył</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towary</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1A60CB" w:rsidRPr="00D44D33">
        <w:rPr>
          <w:rFonts w:ascii="Times New Roman" w:eastAsiaTheme="minorEastAsia" w:hAnsi="Times New Roman" w:cs="Times New Roman"/>
          <w:sz w:val="24"/>
          <w:szCs w:val="24"/>
        </w:rPr>
        <w:t>usługi.</w:t>
      </w:r>
    </w:p>
    <w:p w14:paraId="0DCF0B87" w14:textId="63F82C64" w:rsidR="00870745" w:rsidRPr="00D44D33" w:rsidRDefault="7BF3B57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223B5" w:rsidRPr="00D44D33">
        <w:rPr>
          <w:rFonts w:ascii="Times New Roman" w:eastAsiaTheme="minorEastAsia" w:hAnsi="Times New Roman" w:cs="Times New Roman"/>
          <w:b/>
          <w:bCs/>
          <w:sz w:val="24"/>
          <w:szCs w:val="24"/>
        </w:rPr>
        <w:t>347</w:t>
      </w:r>
    </w:p>
    <w:p w14:paraId="478D78C5" w14:textId="40E33B72" w:rsidR="00221330" w:rsidRPr="00D44D33" w:rsidRDefault="0087074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S</w:t>
      </w:r>
      <w:r w:rsidR="566EAACD" w:rsidRPr="00D44D33">
        <w:rPr>
          <w:rFonts w:ascii="Times New Roman" w:eastAsiaTheme="minorEastAsia" w:hAnsi="Times New Roman" w:cs="Times New Roman"/>
          <w:b/>
          <w:bCs/>
          <w:sz w:val="24"/>
          <w:szCs w:val="24"/>
        </w:rPr>
        <w:t>zczegółowy</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wykaz</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wykonanych</w:t>
      </w:r>
      <w:r w:rsidR="00970B2E" w:rsidRPr="00D44D33">
        <w:rPr>
          <w:rFonts w:ascii="Times New Roman" w:eastAsiaTheme="minorEastAsia" w:hAnsi="Times New Roman" w:cs="Times New Roman"/>
          <w:b/>
          <w:bCs/>
          <w:sz w:val="24"/>
          <w:szCs w:val="24"/>
        </w:rPr>
        <w:t xml:space="preserve"> </w:t>
      </w:r>
      <w:r w:rsidR="566EAACD" w:rsidRPr="00D44D33">
        <w:rPr>
          <w:rFonts w:ascii="Times New Roman" w:eastAsiaTheme="minorEastAsia" w:hAnsi="Times New Roman" w:cs="Times New Roman"/>
          <w:b/>
          <w:bCs/>
          <w:sz w:val="24"/>
          <w:szCs w:val="24"/>
        </w:rPr>
        <w:t>usług</w:t>
      </w:r>
    </w:p>
    <w:p w14:paraId="195F086B" w14:textId="4AA82223" w:rsidR="00221330" w:rsidRPr="00D44D33" w:rsidRDefault="0087074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w:t>
      </w:r>
      <w:r w:rsidR="566EAACD" w:rsidRPr="00D44D33">
        <w:rPr>
          <w:rFonts w:ascii="Times New Roman" w:eastAsiaTheme="minorEastAsia" w:hAnsi="Times New Roman" w:cs="Times New Roman"/>
          <w:sz w:val="24"/>
          <w:szCs w:val="24"/>
        </w:rPr>
        <w:t>rt.</w:t>
      </w:r>
      <w:r w:rsidR="00970B2E" w:rsidRPr="00D44D33">
        <w:rPr>
          <w:rFonts w:ascii="Times New Roman" w:eastAsiaTheme="minorEastAsia" w:hAnsi="Times New Roman" w:cs="Times New Roman"/>
          <w:sz w:val="24"/>
          <w:szCs w:val="24"/>
        </w:rPr>
        <w:t xml:space="preserve"> </w:t>
      </w:r>
      <w:r w:rsidR="009223B5" w:rsidRPr="00D44D33">
        <w:rPr>
          <w:rFonts w:ascii="Times New Roman" w:eastAsiaTheme="minorEastAsia" w:hAnsi="Times New Roman" w:cs="Times New Roman"/>
          <w:sz w:val="24"/>
          <w:szCs w:val="24"/>
        </w:rPr>
        <w:t>347</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korzystającego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szczegółowego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załącznika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VI</w:t>
      </w:r>
      <w:r w:rsidRPr="00D44D33">
        <w:rPr>
          <w:rFonts w:ascii="Times New Roman" w:eastAsiaTheme="minorEastAsia" w:hAnsi="Times New Roman" w:cs="Times New Roman"/>
          <w:sz w:val="24"/>
          <w:szCs w:val="24"/>
        </w:rPr>
        <w:t xml:space="preserve"> EKŁE</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obowiązującego</w:t>
      </w:r>
      <w:r w:rsidR="00970B2E" w:rsidRPr="00D44D33">
        <w:rPr>
          <w:rFonts w:ascii="Times New Roman" w:eastAsiaTheme="minorEastAsia" w:hAnsi="Times New Roman" w:cs="Times New Roman"/>
          <w:sz w:val="24"/>
          <w:szCs w:val="24"/>
        </w:rPr>
        <w:t xml:space="preserve"> </w:t>
      </w:r>
      <w:r w:rsidR="4A671990"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przeciwieństwie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podstawowego,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432FA" w:rsidRPr="00D44D33">
        <w:rPr>
          <w:rFonts w:ascii="Times New Roman" w:eastAsiaTheme="minorEastAsia" w:hAnsi="Times New Roman" w:cs="Times New Roman"/>
          <w:sz w:val="24"/>
          <w:szCs w:val="24"/>
        </w:rPr>
        <w:t>346</w:t>
      </w:r>
      <w:r w:rsidR="566EAAC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doręczenie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szczegółowego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pobierana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opłata</w:t>
      </w:r>
      <w:r w:rsidR="006126D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Szczegółowy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numerze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wywoływanym,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dacie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godzinie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trwania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wyszczególnieniem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brutto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płatne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usługi.</w:t>
      </w:r>
    </w:p>
    <w:p w14:paraId="6DD2A518" w14:textId="3F166F9A" w:rsidR="00221330" w:rsidRPr="00D44D33" w:rsidRDefault="008E6A9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czasowy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szczegółowego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jakiego</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postpaid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liczony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okresów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rozliczeniowych,</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miesiąca.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rozróżnieniem</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postpaid</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66EAACD"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p>
    <w:p w14:paraId="45147AB6" w14:textId="6FE05B6C"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wstecznym).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Maksymalny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postpaid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prepaid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p>
    <w:p w14:paraId="3DB46EA9" w14:textId="0D203CF1" w:rsidR="00221330" w:rsidRPr="00D44D33" w:rsidRDefault="566EAACD"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9223B5" w:rsidRPr="00D44D33">
        <w:rPr>
          <w:rFonts w:ascii="Times New Roman" w:eastAsiaTheme="minorEastAsia" w:hAnsi="Times New Roman" w:cs="Times New Roman"/>
          <w:b/>
          <w:bCs/>
          <w:sz w:val="24"/>
          <w:szCs w:val="24"/>
        </w:rPr>
        <w:t>348</w:t>
      </w:r>
    </w:p>
    <w:p w14:paraId="4E061B5E" w14:textId="32AF0EC7" w:rsidR="00221330" w:rsidRPr="00D44D33" w:rsidRDefault="566EAAC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223B5" w:rsidRPr="00D44D33">
        <w:rPr>
          <w:rFonts w:ascii="Times New Roman" w:eastAsiaTheme="minorEastAsia" w:hAnsi="Times New Roman" w:cs="Times New Roman"/>
          <w:sz w:val="24"/>
          <w:szCs w:val="24"/>
        </w:rPr>
        <w:t>348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przesądza,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zlokalizowanych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Przedmiotowa</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F5303AC" w:rsidRPr="00D44D33">
        <w:rPr>
          <w:rFonts w:ascii="Times New Roman" w:eastAsiaTheme="minorEastAsia" w:hAnsi="Times New Roman" w:cs="Times New Roman"/>
          <w:sz w:val="24"/>
          <w:szCs w:val="24"/>
        </w:rPr>
        <w:t>Pt.</w:t>
      </w:r>
    </w:p>
    <w:p w14:paraId="5B54B40C" w14:textId="00D6B2C7" w:rsidR="00221330" w:rsidRPr="00D44D33" w:rsidRDefault="566EAACD"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9223B5" w:rsidRPr="00D44D33">
        <w:rPr>
          <w:rFonts w:ascii="Times New Roman" w:eastAsiaTheme="minorEastAsia" w:hAnsi="Times New Roman" w:cs="Times New Roman"/>
          <w:b/>
          <w:bCs/>
          <w:sz w:val="24"/>
          <w:szCs w:val="24"/>
        </w:rPr>
        <w:t>349</w:t>
      </w:r>
    </w:p>
    <w:p w14:paraId="27F9E67C" w14:textId="476A25C0" w:rsidR="00696205" w:rsidRPr="00D44D33" w:rsidRDefault="566EAACD"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9223B5" w:rsidRPr="00D44D33">
        <w:rPr>
          <w:rFonts w:ascii="Times New Roman" w:eastAsiaTheme="minorEastAsia" w:hAnsi="Times New Roman" w:cs="Times New Roman"/>
          <w:sz w:val="24"/>
          <w:szCs w:val="24"/>
        </w:rPr>
        <w:t>349</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wybranej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AD4E47" w:rsidRPr="00D44D33">
        <w:rPr>
          <w:rFonts w:ascii="Times New Roman" w:eastAsia="Times New Roman" w:hAnsi="Times New Roman" w:cs="Times New Roman"/>
          <w:sz w:val="24"/>
          <w:szCs w:val="24"/>
        </w:rPr>
        <w:t>Kwestia</w:t>
      </w:r>
      <w:r w:rsidR="00970B2E" w:rsidRPr="00D44D33">
        <w:rPr>
          <w:rFonts w:ascii="Times New Roman" w:eastAsia="Times New Roman" w:hAnsi="Times New Roman" w:cs="Times New Roman"/>
          <w:sz w:val="24"/>
          <w:szCs w:val="24"/>
        </w:rPr>
        <w:t xml:space="preserve"> </w:t>
      </w:r>
      <w:r w:rsidR="00AD4E47" w:rsidRPr="00D44D33">
        <w:rPr>
          <w:rFonts w:ascii="Times New Roman" w:eastAsia="Times New Roman" w:hAnsi="Times New Roman" w:cs="Times New Roman"/>
          <w:sz w:val="24"/>
          <w:szCs w:val="24"/>
        </w:rPr>
        <w:t>ta</w:t>
      </w:r>
      <w:r w:rsidR="00970B2E" w:rsidRPr="00D44D33">
        <w:rPr>
          <w:rFonts w:ascii="Times New Roman" w:eastAsia="Times New Roman" w:hAnsi="Times New Roman" w:cs="Times New Roman"/>
          <w:sz w:val="24"/>
          <w:szCs w:val="24"/>
        </w:rPr>
        <w:t xml:space="preserve"> </w:t>
      </w:r>
      <w:r w:rsidR="1F0BDD64"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1F0BDD64" w:rsidRPr="00D44D33">
        <w:rPr>
          <w:rFonts w:ascii="Times New Roman" w:eastAsia="Times New Roman" w:hAnsi="Times New Roman" w:cs="Times New Roman"/>
          <w:sz w:val="24"/>
          <w:szCs w:val="24"/>
        </w:rPr>
        <w:t>była</w:t>
      </w:r>
      <w:r w:rsidR="00970B2E" w:rsidRPr="00D44D33">
        <w:rPr>
          <w:rFonts w:ascii="Times New Roman" w:eastAsia="Times New Roman" w:hAnsi="Times New Roman" w:cs="Times New Roman"/>
          <w:sz w:val="24"/>
          <w:szCs w:val="24"/>
        </w:rPr>
        <w:t xml:space="preserve"> </w:t>
      </w:r>
      <w:r w:rsidR="1F0BDD64" w:rsidRPr="00D44D33">
        <w:rPr>
          <w:rFonts w:ascii="Times New Roman" w:eastAsia="Times New Roman" w:hAnsi="Times New Roman" w:cs="Times New Roman"/>
          <w:sz w:val="24"/>
          <w:szCs w:val="24"/>
        </w:rPr>
        <w:t>dotychczas</w:t>
      </w:r>
      <w:r w:rsidR="00970B2E" w:rsidRPr="00D44D33">
        <w:rPr>
          <w:rFonts w:ascii="Times New Roman" w:eastAsia="Times New Roman" w:hAnsi="Times New Roman" w:cs="Times New Roman"/>
          <w:sz w:val="24"/>
          <w:szCs w:val="24"/>
        </w:rPr>
        <w:t xml:space="preserve"> </w:t>
      </w:r>
      <w:r w:rsidR="1F0BDD64" w:rsidRPr="00D44D33">
        <w:rPr>
          <w:rFonts w:ascii="Times New Roman" w:eastAsia="Times New Roman" w:hAnsi="Times New Roman" w:cs="Times New Roman"/>
          <w:sz w:val="24"/>
          <w:szCs w:val="24"/>
        </w:rPr>
        <w:t>regulowana</w:t>
      </w:r>
      <w:r w:rsidR="00970B2E" w:rsidRPr="00D44D33">
        <w:rPr>
          <w:rFonts w:ascii="Times New Roman" w:eastAsia="Times New Roman" w:hAnsi="Times New Roman" w:cs="Times New Roman"/>
          <w:sz w:val="24"/>
          <w:szCs w:val="24"/>
        </w:rPr>
        <w:t xml:space="preserve"> </w:t>
      </w:r>
      <w:r w:rsidR="1F0BDD64"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1F0BDD64" w:rsidRPr="00D44D33">
        <w:rPr>
          <w:rFonts w:ascii="Times New Roman" w:eastAsia="Times New Roman" w:hAnsi="Times New Roman" w:cs="Times New Roman"/>
          <w:sz w:val="24"/>
          <w:szCs w:val="24"/>
        </w:rPr>
        <w:t>Pt.</w:t>
      </w:r>
      <w:r w:rsidR="00970B2E" w:rsidRPr="00D44D33">
        <w:rPr>
          <w:rFonts w:ascii="Times New Roman" w:eastAsia="Times New Roman" w:hAnsi="Times New Roman" w:cs="Times New Roman"/>
          <w:sz w:val="24"/>
          <w:szCs w:val="24"/>
        </w:rPr>
        <w:t xml:space="preserve"> </w:t>
      </w:r>
    </w:p>
    <w:p w14:paraId="673F401B" w14:textId="5AC433BF" w:rsidR="0036212F" w:rsidRPr="00D44D33" w:rsidRDefault="005042E8" w:rsidP="00D44D33">
      <w:pPr>
        <w:spacing w:before="120" w:after="120" w:line="360" w:lineRule="auto"/>
        <w:jc w:val="center"/>
        <w:rPr>
          <w:rFonts w:ascii="Times New Roman" w:hAnsi="Times New Roman" w:cs="Times New Roman"/>
          <w:b/>
          <w:sz w:val="24"/>
          <w:szCs w:val="24"/>
        </w:rPr>
      </w:pPr>
      <w:r w:rsidRPr="00D44D33">
        <w:rPr>
          <w:rFonts w:ascii="Times New Roman" w:hAnsi="Times New Roman" w:cs="Times New Roman"/>
          <w:b/>
          <w:sz w:val="24"/>
          <w:szCs w:val="24"/>
        </w:rPr>
        <w:t>R</w:t>
      </w:r>
      <w:r w:rsidR="00754575" w:rsidRPr="00D44D33">
        <w:rPr>
          <w:rFonts w:ascii="Times New Roman" w:hAnsi="Times New Roman" w:cs="Times New Roman"/>
          <w:b/>
          <w:sz w:val="24"/>
          <w:szCs w:val="24"/>
        </w:rPr>
        <w:t>ozdział</w:t>
      </w:r>
      <w:r w:rsidR="00970B2E" w:rsidRPr="00D44D33">
        <w:rPr>
          <w:rFonts w:ascii="Times New Roman" w:hAnsi="Times New Roman" w:cs="Times New Roman"/>
          <w:b/>
          <w:sz w:val="24"/>
          <w:szCs w:val="24"/>
        </w:rPr>
        <w:t xml:space="preserve"> </w:t>
      </w:r>
      <w:r w:rsidR="002D0712" w:rsidRPr="00D44D33">
        <w:rPr>
          <w:rFonts w:ascii="Times New Roman" w:hAnsi="Times New Roman" w:cs="Times New Roman"/>
          <w:b/>
          <w:sz w:val="24"/>
          <w:szCs w:val="24"/>
        </w:rPr>
        <w:t>3</w:t>
      </w:r>
    </w:p>
    <w:p w14:paraId="390BE0F0" w14:textId="008B3490" w:rsidR="005042E8" w:rsidRPr="00D44D33" w:rsidRDefault="005042E8"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hAnsi="Times New Roman" w:cs="Times New Roman"/>
          <w:b/>
          <w:sz w:val="24"/>
          <w:szCs w:val="24"/>
        </w:rPr>
        <w:t>Usługa</w:t>
      </w:r>
      <w:r w:rsidR="00970B2E" w:rsidRPr="00D44D33">
        <w:rPr>
          <w:rFonts w:ascii="Times New Roman" w:hAnsi="Times New Roman" w:cs="Times New Roman"/>
          <w:b/>
          <w:sz w:val="24"/>
          <w:szCs w:val="24"/>
        </w:rPr>
        <w:t xml:space="preserve"> </w:t>
      </w:r>
      <w:r w:rsidRPr="00D44D33">
        <w:rPr>
          <w:rFonts w:ascii="Times New Roman" w:hAnsi="Times New Roman" w:cs="Times New Roman"/>
          <w:b/>
          <w:sz w:val="24"/>
          <w:szCs w:val="24"/>
        </w:rPr>
        <w:t>powszechna</w:t>
      </w:r>
    </w:p>
    <w:p w14:paraId="6FF640C2" w14:textId="026C0440" w:rsidR="008E6A9F" w:rsidRPr="00D44D33" w:rsidRDefault="7A4C35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9223B5" w:rsidRPr="00D44D33">
        <w:rPr>
          <w:rFonts w:ascii="Times New Roman" w:eastAsiaTheme="minorEastAsia" w:hAnsi="Times New Roman" w:cs="Times New Roman"/>
          <w:b/>
          <w:bCs/>
          <w:sz w:val="24"/>
          <w:szCs w:val="24"/>
        </w:rPr>
        <w:t>350</w:t>
      </w:r>
      <w:r w:rsidR="00970B2E" w:rsidRPr="00D44D33">
        <w:rPr>
          <w:rFonts w:ascii="Times New Roman" w:eastAsiaTheme="minorEastAsia" w:hAnsi="Times New Roman" w:cs="Times New Roman"/>
          <w:b/>
          <w:bCs/>
          <w:sz w:val="24"/>
          <w:szCs w:val="24"/>
        </w:rPr>
        <w:t xml:space="preserve"> </w:t>
      </w:r>
    </w:p>
    <w:p w14:paraId="17C13261" w14:textId="551F44BE" w:rsidR="00805650" w:rsidRPr="00D44D33" w:rsidRDefault="008E6A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U</w:t>
      </w:r>
      <w:r w:rsidR="00805650" w:rsidRPr="00D44D33">
        <w:rPr>
          <w:rFonts w:ascii="Times New Roman" w:eastAsiaTheme="minorEastAsia" w:hAnsi="Times New Roman" w:cs="Times New Roman"/>
          <w:b/>
          <w:bCs/>
          <w:sz w:val="24"/>
          <w:szCs w:val="24"/>
        </w:rPr>
        <w:t>sługa</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powszechna</w:t>
      </w:r>
      <w:r w:rsidR="0036212F" w:rsidRPr="00D44D33">
        <w:rPr>
          <w:rFonts w:ascii="Times New Roman" w:eastAsiaTheme="minorEastAsia" w:hAnsi="Times New Roman" w:cs="Times New Roman"/>
          <w:b/>
          <w:bCs/>
          <w:sz w:val="24"/>
          <w:szCs w:val="24"/>
        </w:rPr>
        <w:t xml:space="preserve"> </w:t>
      </w:r>
      <w:r w:rsidR="0036212F"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zakres</w:t>
      </w:r>
    </w:p>
    <w:p w14:paraId="69B668E2" w14:textId="18850543" w:rsidR="00805650" w:rsidRPr="00D44D33" w:rsidRDefault="008E6A9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E432FA" w:rsidRPr="00D44D33">
        <w:rPr>
          <w:rFonts w:ascii="Times New Roman" w:eastAsiaTheme="minorEastAsia" w:hAnsi="Times New Roman" w:cs="Times New Roman"/>
          <w:sz w:val="24"/>
          <w:szCs w:val="24"/>
        </w:rPr>
        <w:t xml:space="preserve">350 </w:t>
      </w:r>
      <w:r w:rsidR="00805650" w:rsidRPr="00D44D33">
        <w:rPr>
          <w:rFonts w:ascii="Times New Roman" w:eastAsiaTheme="minorEastAsia" w:hAnsi="Times New Roman" w:cs="Times New Roman"/>
          <w:sz w:val="24"/>
          <w:szCs w:val="24"/>
        </w:rPr>
        <w:t>definiuje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84</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zestaw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kluczowych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widzenia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adekwatnego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4AC1377"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64AC1377"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p>
    <w:p w14:paraId="15E2A868" w14:textId="041B2C1D"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fundament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różnorodne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masowo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547EC" w:rsidRPr="00D44D33">
        <w:rPr>
          <w:rFonts w:ascii="Times New Roman" w:eastAsiaTheme="minorEastAsia" w:hAnsi="Times New Roman" w:cs="Times New Roman"/>
          <w:sz w:val="24"/>
          <w:szCs w:val="24"/>
        </w:rPr>
        <w:t>różnego</w:t>
      </w:r>
      <w:r w:rsidR="00970B2E" w:rsidRPr="00D44D33">
        <w:rPr>
          <w:rFonts w:ascii="Times New Roman" w:eastAsiaTheme="minorEastAsia" w:hAnsi="Times New Roman" w:cs="Times New Roman"/>
          <w:sz w:val="24"/>
          <w:szCs w:val="24"/>
        </w:rPr>
        <w:t xml:space="preserve"> </w:t>
      </w:r>
      <w:r w:rsidR="006547EC" w:rsidRPr="00D44D33">
        <w:rPr>
          <w:rFonts w:ascii="Times New Roman" w:eastAsiaTheme="minorEastAsia" w:hAnsi="Times New Roman" w:cs="Times New Roman"/>
          <w:sz w:val="24"/>
          <w:szCs w:val="24"/>
        </w:rPr>
        <w:t>rodzaju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p>
    <w:p w14:paraId="33634C63" w14:textId="11B9CCCD"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adekwatnego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420EA69"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2420EA69"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2420EA69"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rozróżnienie</w:t>
      </w:r>
      <w:r w:rsidR="00970B2E" w:rsidRPr="00D44D33">
        <w:rPr>
          <w:rFonts w:ascii="Times New Roman" w:eastAsiaTheme="minorEastAsia" w:hAnsi="Times New Roman" w:cs="Times New Roman"/>
          <w:sz w:val="24"/>
          <w:szCs w:val="24"/>
        </w:rPr>
        <w:t xml:space="preserve"> </w:t>
      </w:r>
      <w:r w:rsidR="00BB6A86" w:rsidRPr="00D44D33">
        <w:rPr>
          <w:rFonts w:ascii="Times New Roman" w:eastAsiaTheme="minorEastAsia" w:hAnsi="Times New Roman" w:cs="Times New Roman"/>
          <w:sz w:val="24"/>
          <w:szCs w:val="24"/>
        </w:rPr>
        <w:t>podmiotowe</w:t>
      </w:r>
      <w:r w:rsidR="00970B2E" w:rsidRPr="00D44D33">
        <w:rPr>
          <w:rFonts w:ascii="Times New Roman" w:eastAsiaTheme="minorEastAsia" w:hAnsi="Times New Roman" w:cs="Times New Roman"/>
          <w:sz w:val="24"/>
          <w:szCs w:val="24"/>
        </w:rPr>
        <w:t xml:space="preserve"> </w:t>
      </w:r>
      <w:r w:rsidR="00BB6A8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B6A86" w:rsidRPr="00D44D33">
        <w:rPr>
          <w:rFonts w:ascii="Times New Roman" w:eastAsiaTheme="minorEastAsia" w:hAnsi="Times New Roman" w:cs="Times New Roman"/>
          <w:sz w:val="24"/>
          <w:szCs w:val="24"/>
        </w:rPr>
        <w:t>konsekwencją</w:t>
      </w:r>
      <w:r w:rsidR="00970B2E" w:rsidRPr="00D44D33">
        <w:rPr>
          <w:rFonts w:ascii="Times New Roman" w:eastAsiaTheme="minorEastAsia" w:hAnsi="Times New Roman" w:cs="Times New Roman"/>
          <w:sz w:val="24"/>
          <w:szCs w:val="24"/>
        </w:rPr>
        <w:t xml:space="preserve"> </w:t>
      </w:r>
      <w:r w:rsidR="00BB6A86" w:rsidRPr="00D44D33">
        <w:rPr>
          <w:rFonts w:ascii="Times New Roman" w:eastAsiaTheme="minorEastAsia" w:hAnsi="Times New Roman" w:cs="Times New Roman"/>
          <w:sz w:val="24"/>
          <w:szCs w:val="24"/>
        </w:rPr>
        <w:t>prze</w:t>
      </w:r>
      <w:r w:rsidRPr="00D44D33">
        <w:rPr>
          <w:rFonts w:ascii="Times New Roman" w:eastAsiaTheme="minorEastAsia" w:hAnsi="Times New Roman" w:cs="Times New Roman"/>
          <w:sz w:val="24"/>
          <w:szCs w:val="24"/>
        </w:rPr>
        <w:t>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wchodzące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dowolnej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bezprzewodowej)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poszanowaniem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neutralności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technologicznej.</w:t>
      </w:r>
      <w:r w:rsidR="00970B2E" w:rsidRPr="00D44D33">
        <w:rPr>
          <w:rFonts w:ascii="Times New Roman" w:eastAsiaTheme="minorEastAsia" w:hAnsi="Times New Roman" w:cs="Times New Roman"/>
          <w:sz w:val="24"/>
          <w:szCs w:val="24"/>
        </w:rPr>
        <w:t xml:space="preserve"> </w:t>
      </w:r>
    </w:p>
    <w:p w14:paraId="03764B0F" w14:textId="35B1E306"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Definiując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adekwatny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adekwatnego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aplikacje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bieżących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codziennego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zakupy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poszukiwanie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bankowość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elektroniczna.</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różni</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3DE94A5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DE94A57" w:rsidRPr="00D44D33">
        <w:rPr>
          <w:rFonts w:ascii="Times New Roman" w:eastAsiaTheme="minorEastAsia" w:hAnsi="Times New Roman" w:cs="Times New Roman"/>
          <w:sz w:val="24"/>
          <w:szCs w:val="24"/>
        </w:rPr>
        <w:t>z</w:t>
      </w:r>
      <w:r w:rsidR="1FDF424E" w:rsidRPr="00D44D33">
        <w:rPr>
          <w:rFonts w:ascii="Times New Roman" w:eastAsiaTheme="minorEastAsia" w:hAnsi="Times New Roman" w:cs="Times New Roman"/>
          <w:sz w:val="24"/>
          <w:szCs w:val="24"/>
        </w:rPr>
        <w:t>akresu</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wyłączone</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znaczenie</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1FDF424E"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D49D3B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D49D3B1"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0D49D3B1" w:rsidRPr="00D44D33">
        <w:rPr>
          <w:rFonts w:ascii="Times New Roman" w:eastAsiaTheme="minorEastAsia" w:hAnsi="Times New Roman" w:cs="Times New Roman"/>
          <w:sz w:val="24"/>
          <w:szCs w:val="24"/>
        </w:rPr>
        <w:t>marginalne</w:t>
      </w:r>
      <w:r w:rsidR="00970B2E" w:rsidRPr="00D44D33">
        <w:rPr>
          <w:rFonts w:ascii="Times New Roman" w:eastAsiaTheme="minorEastAsia" w:hAnsi="Times New Roman" w:cs="Times New Roman"/>
          <w:sz w:val="24"/>
          <w:szCs w:val="24"/>
        </w:rPr>
        <w:t xml:space="preserve"> </w:t>
      </w:r>
      <w:r w:rsidR="0D49D3B1"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numerach,</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ogólnokrajowego</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spisu</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aparatów</w:t>
      </w:r>
      <w:r w:rsidR="00970B2E" w:rsidRPr="00D44D33">
        <w:rPr>
          <w:rFonts w:ascii="Times New Roman" w:eastAsiaTheme="minorEastAsia" w:hAnsi="Times New Roman" w:cs="Times New Roman"/>
          <w:sz w:val="24"/>
          <w:szCs w:val="24"/>
        </w:rPr>
        <w:t xml:space="preserve"> </w:t>
      </w:r>
      <w:r w:rsidR="0546555A" w:rsidRPr="00D44D33">
        <w:rPr>
          <w:rFonts w:ascii="Times New Roman" w:eastAsiaTheme="minorEastAsia" w:hAnsi="Times New Roman" w:cs="Times New Roman"/>
          <w:sz w:val="24"/>
          <w:szCs w:val="24"/>
        </w:rPr>
        <w:t>publicznych.</w:t>
      </w:r>
    </w:p>
    <w:p w14:paraId="6C2A30CC" w14:textId="0733E4F7"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gwarantują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preferencjami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B651A4E"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0B651A4E"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zobligowany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2A573FD2"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2A573FD2"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odsyłając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4099B"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jednostronnego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dodatkowych,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4E478DA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zamówionej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podstawowej.</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interesów</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dalej</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idące</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44906CC7" w:rsidRPr="00D44D33">
        <w:rPr>
          <w:rFonts w:ascii="Times New Roman" w:eastAsiaTheme="minorEastAsia" w:hAnsi="Times New Roman" w:cs="Times New Roman"/>
          <w:sz w:val="24"/>
          <w:szCs w:val="24"/>
        </w:rPr>
        <w:t>a</w:t>
      </w:r>
      <w:r w:rsidR="5786FA94"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5786FA94"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5786FA9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786FA9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786FA94"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7FFD8980" w:rsidRPr="00D44D33">
        <w:rPr>
          <w:rFonts w:ascii="Times New Roman" w:eastAsiaTheme="minorEastAsia" w:hAnsi="Times New Roman" w:cs="Times New Roman"/>
          <w:sz w:val="24"/>
          <w:szCs w:val="24"/>
        </w:rPr>
        <w:t>warunkować</w:t>
      </w:r>
      <w:r w:rsidR="00970B2E" w:rsidRPr="00D44D33">
        <w:rPr>
          <w:rFonts w:ascii="Times New Roman" w:eastAsiaTheme="minorEastAsia" w:hAnsi="Times New Roman" w:cs="Times New Roman"/>
          <w:sz w:val="24"/>
          <w:szCs w:val="24"/>
        </w:rPr>
        <w:t xml:space="preserve"> </w:t>
      </w:r>
      <w:r w:rsidR="7FFD898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1FB3035F"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1FB3035F"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7FFD898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6EF48C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6EF48CE"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7FFD8980" w:rsidRPr="00D44D33">
        <w:rPr>
          <w:rFonts w:ascii="Times New Roman" w:eastAsiaTheme="minorEastAsia" w:hAnsi="Times New Roman" w:cs="Times New Roman"/>
          <w:sz w:val="24"/>
          <w:szCs w:val="24"/>
        </w:rPr>
        <w:t>nab</w:t>
      </w:r>
      <w:r w:rsidR="73DC4610" w:rsidRPr="00D44D33">
        <w:rPr>
          <w:rFonts w:ascii="Times New Roman" w:eastAsiaTheme="minorEastAsia" w:hAnsi="Times New Roman" w:cs="Times New Roman"/>
          <w:sz w:val="24"/>
          <w:szCs w:val="24"/>
        </w:rPr>
        <w:t>ycie</w:t>
      </w:r>
      <w:r w:rsidR="5C804C63"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innej</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oferty</w:t>
      </w:r>
      <w:r w:rsidR="00970B2E" w:rsidRPr="00D44D33">
        <w:rPr>
          <w:rFonts w:ascii="Times New Roman" w:eastAsiaTheme="minorEastAsia" w:hAnsi="Times New Roman" w:cs="Times New Roman"/>
          <w:sz w:val="24"/>
          <w:szCs w:val="24"/>
        </w:rPr>
        <w:t xml:space="preserve"> </w:t>
      </w:r>
      <w:r w:rsidR="73DC4610" w:rsidRPr="00D44D33">
        <w:rPr>
          <w:rFonts w:ascii="Times New Roman" w:eastAsiaTheme="minorEastAsia" w:hAnsi="Times New Roman" w:cs="Times New Roman"/>
          <w:sz w:val="24"/>
          <w:szCs w:val="24"/>
        </w:rPr>
        <w:t>wiązanej.</w:t>
      </w:r>
    </w:p>
    <w:p w14:paraId="1622CBB2" w14:textId="59F0D28D" w:rsidR="008E6A9F" w:rsidRPr="00D44D33" w:rsidRDefault="7F5B4CF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4099B" w:rsidRPr="00D44D33">
        <w:rPr>
          <w:rFonts w:ascii="Times New Roman" w:eastAsiaTheme="minorEastAsia" w:hAnsi="Times New Roman" w:cs="Times New Roman"/>
          <w:b/>
          <w:bCs/>
          <w:sz w:val="24"/>
          <w:szCs w:val="24"/>
        </w:rPr>
        <w:t>351</w:t>
      </w:r>
    </w:p>
    <w:p w14:paraId="299F04B6" w14:textId="4FED2608" w:rsidR="009B17D0" w:rsidRPr="00D44D33" w:rsidRDefault="008E6A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w:t>
      </w:r>
      <w:r w:rsidR="00B05BF0" w:rsidRPr="00D44D33">
        <w:rPr>
          <w:rFonts w:ascii="Times New Roman" w:eastAsiaTheme="minorEastAsia" w:hAnsi="Times New Roman" w:cs="Times New Roman"/>
          <w:b/>
          <w:bCs/>
          <w:sz w:val="24"/>
          <w:szCs w:val="24"/>
        </w:rPr>
        <w:t>elegacja</w:t>
      </w:r>
      <w:r w:rsidR="00970B2E" w:rsidRPr="00D44D33">
        <w:rPr>
          <w:rFonts w:ascii="Times New Roman" w:eastAsiaTheme="minorEastAsia" w:hAnsi="Times New Roman" w:cs="Times New Roman"/>
          <w:b/>
          <w:bCs/>
          <w:sz w:val="24"/>
          <w:szCs w:val="24"/>
        </w:rPr>
        <w:t xml:space="preserve"> </w:t>
      </w:r>
      <w:r w:rsidR="00B05BF0" w:rsidRPr="00D44D33">
        <w:rPr>
          <w:rFonts w:ascii="Times New Roman" w:eastAsiaTheme="minorEastAsia" w:hAnsi="Times New Roman" w:cs="Times New Roman"/>
          <w:b/>
          <w:bCs/>
          <w:sz w:val="24"/>
          <w:szCs w:val="24"/>
        </w:rPr>
        <w:t>ustawowa</w:t>
      </w:r>
    </w:p>
    <w:p w14:paraId="548484AB" w14:textId="3AF834B0" w:rsidR="009F6CE6" w:rsidRPr="00D44D33" w:rsidRDefault="008E6A9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24099B" w:rsidRPr="00D44D33">
        <w:rPr>
          <w:rFonts w:ascii="Times New Roman" w:eastAsiaTheme="minorEastAsia" w:hAnsi="Times New Roman" w:cs="Times New Roman"/>
          <w:sz w:val="24"/>
          <w:szCs w:val="24"/>
        </w:rPr>
        <w:t>351</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delegacj</w:t>
      </w:r>
      <w:r w:rsidR="00211DA7"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określenia,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0C4611" w:rsidRPr="00D44D33">
        <w:rPr>
          <w:rFonts w:ascii="Times New Roman" w:eastAsiaTheme="minorEastAsia" w:hAnsi="Times New Roman" w:cs="Times New Roman"/>
          <w:sz w:val="24"/>
          <w:szCs w:val="24"/>
        </w:rPr>
        <w:t>minimalnej</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wymaganej</w:t>
      </w:r>
      <w:r w:rsidR="00970B2E" w:rsidRPr="00D44D33">
        <w:rPr>
          <w:rFonts w:ascii="Times New Roman" w:eastAsiaTheme="minorEastAsia" w:hAnsi="Times New Roman" w:cs="Times New Roman"/>
          <w:sz w:val="24"/>
          <w:szCs w:val="24"/>
        </w:rPr>
        <w:t xml:space="preserve"> </w:t>
      </w:r>
      <w:r w:rsidR="000C4611" w:rsidRPr="00D44D33">
        <w:rPr>
          <w:rFonts w:ascii="Times New Roman" w:eastAsiaTheme="minorEastAsia" w:hAnsi="Times New Roman" w:cs="Times New Roman"/>
          <w:sz w:val="24"/>
          <w:szCs w:val="24"/>
        </w:rPr>
        <w:t>przepustowości</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łącza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adekwatnego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0BD5A4D" w:rsidRPr="00D44D33">
        <w:rPr>
          <w:rFonts w:ascii="Times New Roman" w:eastAsiaTheme="minorEastAsia" w:hAnsi="Times New Roman" w:cs="Times New Roman"/>
          <w:sz w:val="24"/>
          <w:szCs w:val="24"/>
        </w:rPr>
        <w:t>uwzględniając</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życiu</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społecznym</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gospodarczym</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aplikacji,</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4099B" w:rsidRPr="00D44D33">
        <w:rPr>
          <w:rFonts w:ascii="Times New Roman" w:eastAsiaTheme="minorEastAsia" w:hAnsi="Times New Roman" w:cs="Times New Roman"/>
          <w:sz w:val="24"/>
          <w:szCs w:val="24"/>
        </w:rPr>
        <w:t>350</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9F6CE6" w:rsidRPr="00D44D33">
        <w:rPr>
          <w:rFonts w:ascii="Times New Roman" w:eastAsiaTheme="minorEastAsia" w:hAnsi="Times New Roman" w:cs="Times New Roman"/>
          <w:sz w:val="24"/>
          <w:szCs w:val="24"/>
        </w:rPr>
        <w:t>2.</w:t>
      </w:r>
    </w:p>
    <w:p w14:paraId="3829A215" w14:textId="004CC949" w:rsidR="008E6A9F" w:rsidRPr="00D44D33" w:rsidRDefault="287EED8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D602C" w:rsidRPr="00D44D33">
        <w:rPr>
          <w:rFonts w:ascii="Times New Roman" w:eastAsiaTheme="minorEastAsia" w:hAnsi="Times New Roman" w:cs="Times New Roman"/>
          <w:b/>
          <w:bCs/>
          <w:sz w:val="24"/>
          <w:szCs w:val="24"/>
        </w:rPr>
        <w:t>352</w:t>
      </w:r>
    </w:p>
    <w:p w14:paraId="7AE28A0E" w14:textId="303BC9F6" w:rsidR="19B20717" w:rsidRPr="00D44D33" w:rsidRDefault="008E6A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w:t>
      </w:r>
      <w:r w:rsidR="19B20717" w:rsidRPr="00D44D33">
        <w:rPr>
          <w:rFonts w:ascii="Times New Roman" w:eastAsiaTheme="minorEastAsia" w:hAnsi="Times New Roman" w:cs="Times New Roman"/>
          <w:b/>
          <w:bCs/>
          <w:sz w:val="24"/>
          <w:szCs w:val="24"/>
        </w:rPr>
        <w:t>ostępność</w:t>
      </w:r>
      <w:r w:rsidR="00970B2E" w:rsidRPr="00D44D33">
        <w:rPr>
          <w:rFonts w:ascii="Times New Roman" w:eastAsiaTheme="minorEastAsia" w:hAnsi="Times New Roman" w:cs="Times New Roman"/>
          <w:b/>
          <w:bCs/>
          <w:sz w:val="24"/>
          <w:szCs w:val="24"/>
        </w:rPr>
        <w:t xml:space="preserve"> </w:t>
      </w:r>
      <w:r w:rsidR="19B20717"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19B20717" w:rsidRPr="00D44D33">
        <w:rPr>
          <w:rFonts w:ascii="Times New Roman" w:eastAsiaTheme="minorEastAsia" w:hAnsi="Times New Roman" w:cs="Times New Roman"/>
          <w:b/>
          <w:bCs/>
          <w:sz w:val="24"/>
          <w:szCs w:val="24"/>
        </w:rPr>
        <w:t>powszechnej</w:t>
      </w:r>
    </w:p>
    <w:p w14:paraId="5FD7378A" w14:textId="2950637C" w:rsidR="19B20717" w:rsidRPr="00D44D33" w:rsidRDefault="008E6A9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w:t>
      </w:r>
      <w:r w:rsidR="5E0C3E4B"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54F7B967"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54F7B967"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54F7B96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4F7B967" w:rsidRPr="00D44D33">
        <w:rPr>
          <w:rFonts w:ascii="Times New Roman" w:eastAsiaTheme="minorEastAsia" w:hAnsi="Times New Roman" w:cs="Times New Roman"/>
          <w:sz w:val="24"/>
          <w:szCs w:val="24"/>
        </w:rPr>
        <w:t>86</w:t>
      </w:r>
      <w:r w:rsidR="00970B2E" w:rsidRPr="00D44D33">
        <w:rPr>
          <w:rFonts w:ascii="Times New Roman" w:eastAsiaTheme="minorEastAsia" w:hAnsi="Times New Roman" w:cs="Times New Roman"/>
          <w:sz w:val="24"/>
          <w:szCs w:val="24"/>
        </w:rPr>
        <w:t xml:space="preserve"> </w:t>
      </w:r>
      <w:r w:rsidR="54F7B967"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powszechnej</w:t>
      </w:r>
      <w:r w:rsidR="4B78224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wyznaczania</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zobowiązanego</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B782246" w:rsidRPr="00D44D33">
        <w:rPr>
          <w:rFonts w:ascii="Times New Roman" w:eastAsiaTheme="minorEastAsia" w:hAnsi="Times New Roman" w:cs="Times New Roman"/>
          <w:sz w:val="24"/>
          <w:szCs w:val="24"/>
        </w:rPr>
        <w:t>św</w:t>
      </w:r>
      <w:r w:rsidR="6BB7107C" w:rsidRPr="00D44D33">
        <w:rPr>
          <w:rFonts w:ascii="Times New Roman" w:eastAsiaTheme="minorEastAsia" w:hAnsi="Times New Roman" w:cs="Times New Roman"/>
          <w:sz w:val="24"/>
          <w:szCs w:val="24"/>
        </w:rPr>
        <w:t>iadczenia</w:t>
      </w:r>
      <w:r w:rsidR="00970B2E" w:rsidRPr="00D44D33">
        <w:rPr>
          <w:rFonts w:ascii="Times New Roman" w:eastAsiaTheme="minorEastAsia" w:hAnsi="Times New Roman" w:cs="Times New Roman"/>
          <w:sz w:val="24"/>
          <w:szCs w:val="24"/>
        </w:rPr>
        <w:t xml:space="preserve"> </w:t>
      </w:r>
      <w:r w:rsidR="6BB7107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6BB7107C"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4EDF51BE" w:rsidRPr="00D44D33">
        <w:rPr>
          <w:rFonts w:ascii="Times New Roman" w:eastAsiaTheme="minorEastAsia" w:hAnsi="Times New Roman" w:cs="Times New Roman"/>
          <w:sz w:val="24"/>
          <w:szCs w:val="24"/>
        </w:rPr>
        <w:t>pr</w:t>
      </w:r>
      <w:r w:rsidR="28C3C90D" w:rsidRPr="00D44D33">
        <w:rPr>
          <w:rFonts w:ascii="Times New Roman" w:eastAsiaTheme="minorEastAsia" w:hAnsi="Times New Roman" w:cs="Times New Roman"/>
          <w:sz w:val="24"/>
          <w:szCs w:val="24"/>
        </w:rPr>
        <w:t>zewidują</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zbliżone</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28C3C90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5E7A9E18" w14:textId="378B7945" w:rsidR="19B20717" w:rsidRPr="00D44D33" w:rsidRDefault="1678A93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BA15C66"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6C7C7474" w:rsidRPr="00D44D33">
        <w:rPr>
          <w:rFonts w:ascii="Times New Roman" w:eastAsiaTheme="minorEastAsia" w:hAnsi="Times New Roman" w:cs="Times New Roman"/>
          <w:sz w:val="24"/>
          <w:szCs w:val="24"/>
        </w:rPr>
        <w:t>artykułem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dokonuje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352</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odniesienia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procesie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aktualny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chwilę</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przyszły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planowane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inwestycje.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podejście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pozwoli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uwzględnienie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przyszłych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poprawę</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geograficznym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kraju.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w:t>
      </w:r>
      <w:r w:rsidR="7F52541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F52541A" w:rsidRPr="00D44D33">
        <w:rPr>
          <w:rFonts w:ascii="Times New Roman" w:eastAsiaTheme="minorEastAsia" w:hAnsi="Times New Roman" w:cs="Times New Roman"/>
          <w:sz w:val="24"/>
          <w:szCs w:val="24"/>
        </w:rPr>
        <w:t>przeprowadzeniu</w:t>
      </w:r>
      <w:r w:rsidR="00970B2E" w:rsidRPr="00D44D33">
        <w:rPr>
          <w:rFonts w:ascii="Times New Roman" w:eastAsiaTheme="minorEastAsia" w:hAnsi="Times New Roman" w:cs="Times New Roman"/>
          <w:sz w:val="24"/>
          <w:szCs w:val="24"/>
        </w:rPr>
        <w:t xml:space="preserve"> </w:t>
      </w:r>
      <w:r w:rsidR="7F52541A"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7F52541A" w:rsidRPr="00D44D33">
        <w:rPr>
          <w:rFonts w:ascii="Times New Roman" w:eastAsiaTheme="minorEastAsia" w:hAnsi="Times New Roman" w:cs="Times New Roman"/>
          <w:sz w:val="24"/>
          <w:szCs w:val="24"/>
        </w:rPr>
        <w:t>P</w:t>
      </w:r>
      <w:r w:rsidR="5E605B80" w:rsidRPr="00D44D33">
        <w:rPr>
          <w:rFonts w:ascii="Times New Roman" w:eastAsiaTheme="minorEastAsia" w:hAnsi="Times New Roman" w:cs="Times New Roman"/>
          <w:sz w:val="24"/>
          <w:szCs w:val="24"/>
        </w:rPr>
        <w:t>rezes</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zobligowany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skonsultowania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zainteresowanymi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podmiotami.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odpowiedniej</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którejkolwiek</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składających</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powszechną</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355</w:t>
      </w:r>
      <w:r w:rsidR="5E605B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przedmiocie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określany</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ustawie</w:t>
      </w:r>
      <w:r w:rsidR="12E27CB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2E27CB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2E27CB4"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12E27CB4"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12E27CB4"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0036212F" w:rsidRPr="00D44D33">
        <w:rPr>
          <w:rFonts w:ascii="Times New Roman" w:eastAsiaTheme="minorEastAsia" w:hAnsi="Times New Roman" w:cs="Times New Roman"/>
          <w:sz w:val="24"/>
          <w:szCs w:val="24"/>
        </w:rPr>
        <w:t>„</w:t>
      </w:r>
      <w:r w:rsidR="5E605B8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E605B80" w:rsidRPr="00D44D33">
        <w:rPr>
          <w:rFonts w:ascii="Times New Roman" w:eastAsiaTheme="minorEastAsia" w:hAnsi="Times New Roman" w:cs="Times New Roman"/>
          <w:sz w:val="24"/>
          <w:szCs w:val="24"/>
        </w:rPr>
        <w:t>usługi</w:t>
      </w:r>
      <w:r w:rsidR="7D9660A5" w:rsidRPr="00D44D33">
        <w:rPr>
          <w:rFonts w:ascii="Times New Roman" w:eastAsiaTheme="minorEastAsia" w:hAnsi="Times New Roman" w:cs="Times New Roman"/>
          <w:sz w:val="24"/>
          <w:szCs w:val="24"/>
        </w:rPr>
        <w:t>”</w:t>
      </w:r>
      <w:r w:rsidR="5E605B8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1E4A5FBB" w14:textId="414E7EBF" w:rsidR="008E6A9F" w:rsidRPr="00D44D33" w:rsidRDefault="3E05AE4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D602C" w:rsidRPr="00D44D33">
        <w:rPr>
          <w:rFonts w:ascii="Times New Roman" w:eastAsiaTheme="minorEastAsia" w:hAnsi="Times New Roman" w:cs="Times New Roman"/>
          <w:b/>
          <w:bCs/>
          <w:sz w:val="24"/>
          <w:szCs w:val="24"/>
        </w:rPr>
        <w:t>353</w:t>
      </w:r>
      <w:r w:rsidR="00970B2E" w:rsidRPr="00D44D33">
        <w:rPr>
          <w:rFonts w:ascii="Times New Roman" w:eastAsiaTheme="minorEastAsia" w:hAnsi="Times New Roman" w:cs="Times New Roman"/>
          <w:b/>
          <w:bCs/>
          <w:sz w:val="24"/>
          <w:szCs w:val="24"/>
        </w:rPr>
        <w:t xml:space="preserve"> </w:t>
      </w:r>
      <w:r w:rsidR="0036212F" w:rsidRPr="00D44D33">
        <w:rPr>
          <w:rFonts w:ascii="Times New Roman" w:eastAsiaTheme="minorEastAsia" w:hAnsi="Times New Roman" w:cs="Times New Roman"/>
          <w:b/>
          <w:sz w:val="24"/>
          <w:szCs w:val="24"/>
        </w:rPr>
        <w:t>–</w:t>
      </w:r>
    </w:p>
    <w:p w14:paraId="210FED51" w14:textId="26474A59" w:rsidR="00805650" w:rsidRPr="00D44D33" w:rsidRDefault="008E6A9F"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P</w:t>
      </w:r>
      <w:r w:rsidR="746DA444" w:rsidRPr="00D44D33">
        <w:rPr>
          <w:rFonts w:ascii="Times New Roman" w:eastAsiaTheme="minorEastAsia" w:hAnsi="Times New Roman" w:cs="Times New Roman"/>
          <w:b/>
          <w:bCs/>
          <w:sz w:val="24"/>
          <w:szCs w:val="24"/>
        </w:rPr>
        <w:t>rzystępność</w:t>
      </w:r>
      <w:r w:rsidR="00970B2E" w:rsidRPr="00D44D33">
        <w:rPr>
          <w:rFonts w:ascii="Times New Roman" w:eastAsiaTheme="minorEastAsia" w:hAnsi="Times New Roman" w:cs="Times New Roman"/>
          <w:b/>
          <w:bCs/>
          <w:sz w:val="24"/>
          <w:szCs w:val="24"/>
        </w:rPr>
        <w:t xml:space="preserve"> </w:t>
      </w:r>
      <w:r w:rsidR="746DA444" w:rsidRPr="00D44D33">
        <w:rPr>
          <w:rFonts w:ascii="Times New Roman" w:eastAsiaTheme="minorEastAsia" w:hAnsi="Times New Roman" w:cs="Times New Roman"/>
          <w:b/>
          <w:bCs/>
          <w:sz w:val="24"/>
          <w:szCs w:val="24"/>
        </w:rPr>
        <w:t>cenowa</w:t>
      </w:r>
      <w:r w:rsidR="00970B2E" w:rsidRPr="00D44D33">
        <w:rPr>
          <w:rFonts w:ascii="Times New Roman" w:eastAsiaTheme="minorEastAsia" w:hAnsi="Times New Roman" w:cs="Times New Roman"/>
          <w:b/>
          <w:bCs/>
          <w:sz w:val="24"/>
          <w:szCs w:val="24"/>
        </w:rPr>
        <w:t xml:space="preserve"> </w:t>
      </w:r>
      <w:r w:rsidR="746DA444"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746DA444" w:rsidRPr="00D44D33">
        <w:rPr>
          <w:rFonts w:ascii="Times New Roman" w:eastAsiaTheme="minorEastAsia" w:hAnsi="Times New Roman" w:cs="Times New Roman"/>
          <w:b/>
          <w:bCs/>
          <w:sz w:val="24"/>
          <w:szCs w:val="24"/>
        </w:rPr>
        <w:t>powszechnej</w:t>
      </w:r>
    </w:p>
    <w:p w14:paraId="7B0FF3CB" w14:textId="5AACEE5F" w:rsidR="00805650" w:rsidRPr="00D44D33" w:rsidRDefault="4F99F75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F322AFF"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0F322AFF"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F322AF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F322AFF" w:rsidRPr="00D44D33">
        <w:rPr>
          <w:rFonts w:ascii="Times New Roman" w:eastAsiaTheme="minorEastAsia" w:hAnsi="Times New Roman" w:cs="Times New Roman"/>
          <w:sz w:val="24"/>
          <w:szCs w:val="24"/>
        </w:rPr>
        <w:t>85</w:t>
      </w:r>
      <w:r w:rsidR="00970B2E" w:rsidRPr="00D44D33">
        <w:rPr>
          <w:rFonts w:ascii="Times New Roman" w:eastAsiaTheme="minorEastAsia" w:hAnsi="Times New Roman" w:cs="Times New Roman"/>
          <w:sz w:val="24"/>
          <w:szCs w:val="24"/>
        </w:rPr>
        <w:t xml:space="preserve"> </w:t>
      </w:r>
      <w:r w:rsidR="0F322AFF"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F322AFF"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kładą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nacisk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odróżnieniu</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różnicują</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1D9570F5" w:rsidRPr="00D44D33">
        <w:rPr>
          <w:rFonts w:ascii="Times New Roman" w:eastAsiaTheme="minorEastAsia" w:hAnsi="Times New Roman" w:cs="Times New Roman"/>
          <w:sz w:val="24"/>
          <w:szCs w:val="24"/>
        </w:rPr>
        <w:t>c</w:t>
      </w:r>
      <w:r w:rsidR="2E6FB5F4" w:rsidRPr="00D44D33">
        <w:rPr>
          <w:rFonts w:ascii="Times New Roman" w:eastAsiaTheme="minorEastAsia" w:hAnsi="Times New Roman" w:cs="Times New Roman"/>
          <w:sz w:val="24"/>
          <w:szCs w:val="24"/>
        </w:rPr>
        <w:t>enowej</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2E6FB5F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7D6BF057" w:rsidRPr="00D44D33">
        <w:rPr>
          <w:rFonts w:ascii="Times New Roman" w:eastAsiaTheme="minorEastAsia" w:hAnsi="Times New Roman" w:cs="Times New Roman"/>
          <w:sz w:val="24"/>
          <w:szCs w:val="24"/>
        </w:rPr>
        <w:t>przystępność</w:t>
      </w:r>
      <w:r w:rsidR="00970B2E" w:rsidRPr="00D44D33">
        <w:rPr>
          <w:rFonts w:ascii="Times New Roman" w:eastAsiaTheme="minorEastAsia" w:hAnsi="Times New Roman" w:cs="Times New Roman"/>
          <w:sz w:val="24"/>
          <w:szCs w:val="24"/>
        </w:rPr>
        <w:t xml:space="preserve"> </w:t>
      </w:r>
      <w:r w:rsidR="7D6BF057" w:rsidRPr="00D44D33">
        <w:rPr>
          <w:rFonts w:ascii="Times New Roman" w:eastAsiaTheme="minorEastAsia" w:hAnsi="Times New Roman" w:cs="Times New Roman"/>
          <w:sz w:val="24"/>
          <w:szCs w:val="24"/>
        </w:rPr>
        <w:t>cenowa</w:t>
      </w:r>
      <w:r w:rsidR="00970B2E" w:rsidRPr="00D44D33">
        <w:rPr>
          <w:rFonts w:ascii="Times New Roman" w:eastAsiaTheme="minorEastAsia" w:hAnsi="Times New Roman" w:cs="Times New Roman"/>
          <w:sz w:val="24"/>
          <w:szCs w:val="24"/>
        </w:rPr>
        <w:t xml:space="preserve"> </w:t>
      </w:r>
      <w:r w:rsidR="7D6BF057"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7D6BF057"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7D6BF057"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7D6BF057"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Punktem</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odniesienia</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oceny</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grupy</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niskich</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dochodach</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5373EF51" w:rsidRPr="00D44D33">
        <w:rPr>
          <w:rFonts w:ascii="Times New Roman" w:eastAsiaTheme="minorEastAsia" w:hAnsi="Times New Roman" w:cs="Times New Roman"/>
          <w:sz w:val="24"/>
          <w:szCs w:val="24"/>
        </w:rPr>
        <w:t>potrze</w:t>
      </w:r>
      <w:r w:rsidR="1E0BBD31" w:rsidRPr="00D44D33">
        <w:rPr>
          <w:rFonts w:ascii="Times New Roman" w:eastAsiaTheme="minorEastAsia" w:hAnsi="Times New Roman" w:cs="Times New Roman"/>
          <w:sz w:val="24"/>
          <w:szCs w:val="24"/>
        </w:rPr>
        <w:t>bach</w:t>
      </w:r>
      <w:r w:rsidR="00970B2E" w:rsidRPr="00D44D33">
        <w:rPr>
          <w:rFonts w:ascii="Times New Roman" w:eastAsiaTheme="minorEastAsia" w:hAnsi="Times New Roman" w:cs="Times New Roman"/>
          <w:sz w:val="24"/>
          <w:szCs w:val="24"/>
        </w:rPr>
        <w:t xml:space="preserve"> </w:t>
      </w:r>
      <w:r w:rsidR="1E0BBD31" w:rsidRPr="00D44D33">
        <w:rPr>
          <w:rFonts w:ascii="Times New Roman" w:eastAsiaTheme="minorEastAsia" w:hAnsi="Times New Roman" w:cs="Times New Roman"/>
          <w:sz w:val="24"/>
          <w:szCs w:val="24"/>
        </w:rPr>
        <w:t>społecznych</w:t>
      </w:r>
      <w:r w:rsidR="00970B2E" w:rsidRPr="00D44D33">
        <w:rPr>
          <w:rFonts w:ascii="Times New Roman" w:eastAsiaTheme="minorEastAsia" w:hAnsi="Times New Roman" w:cs="Times New Roman"/>
          <w:sz w:val="24"/>
          <w:szCs w:val="24"/>
        </w:rPr>
        <w:t xml:space="preserve"> </w:t>
      </w:r>
      <w:r w:rsidR="1E0BBD31"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36CF1560" w:rsidRPr="00D44D33">
        <w:rPr>
          <w:rFonts w:ascii="Times New Roman" w:eastAsiaTheme="minorEastAsia" w:hAnsi="Times New Roman" w:cs="Times New Roman"/>
          <w:sz w:val="24"/>
          <w:szCs w:val="24"/>
        </w:rPr>
        <w:t>o</w:t>
      </w:r>
      <w:r w:rsidR="1E0BBD31" w:rsidRPr="00D44D33">
        <w:rPr>
          <w:rFonts w:ascii="Times New Roman" w:eastAsiaTheme="minorEastAsia" w:hAnsi="Times New Roman" w:cs="Times New Roman"/>
          <w:sz w:val="24"/>
          <w:szCs w:val="24"/>
        </w:rPr>
        <w:t>soby</w:t>
      </w:r>
      <w:r w:rsidR="00970B2E" w:rsidRPr="00D44D33">
        <w:rPr>
          <w:rFonts w:ascii="Times New Roman" w:eastAsiaTheme="minorEastAsia" w:hAnsi="Times New Roman" w:cs="Times New Roman"/>
          <w:sz w:val="24"/>
          <w:szCs w:val="24"/>
        </w:rPr>
        <w:t xml:space="preserve"> </w:t>
      </w:r>
      <w:r w:rsidR="1E0BBD3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E0BBD31" w:rsidRPr="00D44D33">
        <w:rPr>
          <w:rFonts w:ascii="Times New Roman" w:eastAsiaTheme="minorEastAsia" w:hAnsi="Times New Roman" w:cs="Times New Roman"/>
          <w:sz w:val="24"/>
          <w:szCs w:val="24"/>
        </w:rPr>
        <w:t>niep</w:t>
      </w:r>
      <w:r w:rsidR="79974572" w:rsidRPr="00D44D33">
        <w:rPr>
          <w:rFonts w:ascii="Times New Roman" w:eastAsiaTheme="minorEastAsia" w:hAnsi="Times New Roman" w:cs="Times New Roman"/>
          <w:sz w:val="24"/>
          <w:szCs w:val="24"/>
        </w:rPr>
        <w:t>e</w:t>
      </w:r>
      <w:r w:rsidR="1E0BBD31" w:rsidRPr="00D44D33">
        <w:rPr>
          <w:rFonts w:ascii="Times New Roman" w:eastAsiaTheme="minorEastAsia" w:hAnsi="Times New Roman" w:cs="Times New Roman"/>
          <w:sz w:val="24"/>
          <w:szCs w:val="24"/>
        </w:rPr>
        <w:t>ł</w:t>
      </w:r>
      <w:r w:rsidR="00D21A2D" w:rsidRPr="00D44D33">
        <w:rPr>
          <w:rFonts w:ascii="Times New Roman" w:eastAsiaTheme="minorEastAsia" w:hAnsi="Times New Roman" w:cs="Times New Roman"/>
          <w:sz w:val="24"/>
          <w:szCs w:val="24"/>
        </w:rPr>
        <w:t>n</w:t>
      </w:r>
      <w:r w:rsidR="1E0BBD31" w:rsidRPr="00D44D33">
        <w:rPr>
          <w:rFonts w:ascii="Times New Roman" w:eastAsiaTheme="minorEastAsia" w:hAnsi="Times New Roman" w:cs="Times New Roman"/>
          <w:sz w:val="24"/>
          <w:szCs w:val="24"/>
        </w:rPr>
        <w:t>osprawnościami,</w:t>
      </w:r>
      <w:r w:rsidR="00970B2E" w:rsidRPr="00D44D33">
        <w:rPr>
          <w:rFonts w:ascii="Times New Roman" w:eastAsiaTheme="minorEastAsia" w:hAnsi="Times New Roman" w:cs="Times New Roman"/>
          <w:sz w:val="24"/>
          <w:szCs w:val="24"/>
        </w:rPr>
        <w:t xml:space="preserve"> </w:t>
      </w:r>
      <w:r w:rsidR="78BC2C39"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78BC2C39" w:rsidRPr="00D44D33">
        <w:rPr>
          <w:rFonts w:ascii="Times New Roman" w:eastAsiaTheme="minorEastAsia" w:hAnsi="Times New Roman" w:cs="Times New Roman"/>
          <w:sz w:val="24"/>
          <w:szCs w:val="24"/>
        </w:rPr>
        <w:t>starsze</w:t>
      </w:r>
      <w:r w:rsidR="00970B2E" w:rsidRPr="00D44D33">
        <w:rPr>
          <w:rFonts w:ascii="Times New Roman" w:eastAsiaTheme="minorEastAsia" w:hAnsi="Times New Roman" w:cs="Times New Roman"/>
          <w:sz w:val="24"/>
          <w:szCs w:val="24"/>
        </w:rPr>
        <w:t xml:space="preserve"> </w:t>
      </w:r>
      <w:r w:rsidR="78BC2C3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78BC2C39" w:rsidRPr="00D44D33">
        <w:rPr>
          <w:rFonts w:ascii="Times New Roman" w:eastAsiaTheme="minorEastAsia" w:hAnsi="Times New Roman" w:cs="Times New Roman"/>
          <w:sz w:val="24"/>
          <w:szCs w:val="24"/>
        </w:rPr>
        <w:t>zamieszkujące</w:t>
      </w:r>
      <w:r w:rsidR="00970B2E" w:rsidRPr="00D44D33">
        <w:rPr>
          <w:rFonts w:ascii="Times New Roman" w:eastAsiaTheme="minorEastAsia" w:hAnsi="Times New Roman" w:cs="Times New Roman"/>
          <w:sz w:val="24"/>
          <w:szCs w:val="24"/>
        </w:rPr>
        <w:t xml:space="preserve"> </w:t>
      </w:r>
      <w:r w:rsidR="78BC2C39" w:rsidRPr="00D44D33">
        <w:rPr>
          <w:rFonts w:ascii="Times New Roman" w:eastAsiaTheme="minorEastAsia" w:hAnsi="Times New Roman" w:cs="Times New Roman"/>
          <w:sz w:val="24"/>
          <w:szCs w:val="24"/>
        </w:rPr>
        <w:t>obszary</w:t>
      </w:r>
      <w:r w:rsidR="00970B2E" w:rsidRPr="00D44D33">
        <w:rPr>
          <w:rFonts w:ascii="Times New Roman" w:eastAsiaTheme="minorEastAsia" w:hAnsi="Times New Roman" w:cs="Times New Roman"/>
          <w:sz w:val="24"/>
          <w:szCs w:val="24"/>
        </w:rPr>
        <w:t xml:space="preserve"> </w:t>
      </w:r>
      <w:r w:rsidR="78BC2C39" w:rsidRPr="00D44D33">
        <w:rPr>
          <w:rFonts w:ascii="Times New Roman" w:eastAsiaTheme="minorEastAsia" w:hAnsi="Times New Roman" w:cs="Times New Roman"/>
          <w:sz w:val="24"/>
          <w:szCs w:val="24"/>
        </w:rPr>
        <w:t>wiejskie</w:t>
      </w:r>
      <w:r w:rsidR="1E0BBD3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2E08BBDE" w14:textId="5C7E25AA" w:rsidR="00805650" w:rsidRPr="00D44D33" w:rsidRDefault="102DC13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558368B" w:rsidRPr="00D44D33">
        <w:rPr>
          <w:rFonts w:ascii="Times New Roman" w:eastAsiaTheme="minorEastAsia" w:hAnsi="Times New Roman" w:cs="Times New Roman"/>
          <w:sz w:val="24"/>
          <w:szCs w:val="24"/>
        </w:rPr>
        <w:t>godnie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353</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analizuje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detaliczne</w:t>
      </w:r>
      <w:r w:rsidR="00970B2E" w:rsidRPr="00D44D33">
        <w:rPr>
          <w:rFonts w:ascii="Times New Roman" w:eastAsiaTheme="minorEastAsia" w:hAnsi="Times New Roman" w:cs="Times New Roman"/>
          <w:sz w:val="24"/>
          <w:szCs w:val="24"/>
        </w:rPr>
        <w:t xml:space="preserve"> </w:t>
      </w:r>
      <w:r w:rsidR="1F8E3207"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1F8E3207"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adekwatnego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szerokopasmowego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dochodów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konsumentów</w:t>
      </w:r>
      <w:r w:rsidR="00864B3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minimalnego</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wynagrodzenia</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864B32" w:rsidRPr="00D44D33">
        <w:rPr>
          <w:rFonts w:ascii="Times New Roman" w:eastAsiaTheme="minorEastAsia" w:hAnsi="Times New Roman" w:cs="Times New Roman"/>
          <w:sz w:val="24"/>
          <w:szCs w:val="24"/>
        </w:rPr>
        <w:t>pracę</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ocena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poziomie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dostępnym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rezultacie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oferowany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zwykłe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komercyjne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obejmujący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podstawowy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niższym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abonamencie.</w:t>
      </w:r>
      <w:r w:rsidR="00970B2E" w:rsidRPr="00D44D33">
        <w:rPr>
          <w:rFonts w:ascii="Times New Roman" w:eastAsiaTheme="minorEastAsia" w:hAnsi="Times New Roman" w:cs="Times New Roman"/>
          <w:sz w:val="24"/>
          <w:szCs w:val="24"/>
        </w:rPr>
        <w:t xml:space="preserve"> </w:t>
      </w:r>
    </w:p>
    <w:p w14:paraId="201BF6B6" w14:textId="6E4E1B01" w:rsidR="00805650" w:rsidRPr="00D44D33" w:rsidRDefault="2ABA945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w:t>
      </w:r>
      <w:r w:rsidR="4405D000" w:rsidRPr="00D44D33">
        <w:rPr>
          <w:rFonts w:ascii="Times New Roman" w:eastAsiaTheme="minorEastAsia" w:hAnsi="Times New Roman" w:cs="Times New Roman"/>
          <w:sz w:val="24"/>
          <w:szCs w:val="24"/>
        </w:rPr>
        <w:t>ązku</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405D000"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3D7C1706"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3D7C170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D7C1706" w:rsidRPr="00D44D33">
        <w:rPr>
          <w:rFonts w:ascii="Times New Roman" w:eastAsiaTheme="minorEastAsia" w:hAnsi="Times New Roman" w:cs="Times New Roman"/>
          <w:sz w:val="24"/>
          <w:szCs w:val="24"/>
        </w:rPr>
        <w:t>projektowanymi</w:t>
      </w:r>
      <w:r w:rsidR="00970B2E" w:rsidRPr="00D44D33">
        <w:rPr>
          <w:rFonts w:ascii="Times New Roman" w:eastAsiaTheme="minorEastAsia" w:hAnsi="Times New Roman" w:cs="Times New Roman"/>
          <w:sz w:val="24"/>
          <w:szCs w:val="24"/>
        </w:rPr>
        <w:t xml:space="preserve"> </w:t>
      </w:r>
      <w:r w:rsidR="3D7C1706" w:rsidRPr="00D44D33">
        <w:rPr>
          <w:rFonts w:ascii="Times New Roman" w:eastAsiaTheme="minorEastAsia" w:hAnsi="Times New Roman" w:cs="Times New Roman"/>
          <w:sz w:val="24"/>
          <w:szCs w:val="24"/>
        </w:rPr>
        <w:t>przepisami</w:t>
      </w:r>
      <w:r w:rsidR="7C1A7A0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7C1706" w:rsidRPr="00D44D33">
        <w:rPr>
          <w:rFonts w:ascii="Times New Roman" w:eastAsiaTheme="minorEastAsia" w:hAnsi="Times New Roman" w:cs="Times New Roman"/>
          <w:sz w:val="24"/>
          <w:szCs w:val="24"/>
        </w:rPr>
        <w:t>j</w:t>
      </w:r>
      <w:r w:rsidR="57D6516C" w:rsidRPr="00D44D33">
        <w:rPr>
          <w:rFonts w:ascii="Times New Roman" w:eastAsiaTheme="minorEastAsia" w:hAnsi="Times New Roman" w:cs="Times New Roman"/>
          <w:sz w:val="24"/>
          <w:szCs w:val="24"/>
        </w:rPr>
        <w:t>eżeli</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analiza</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wykazała,</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57D6516C"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1F68C45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F68C452" w:rsidRPr="00D44D33">
        <w:rPr>
          <w:rFonts w:ascii="Times New Roman" w:eastAsiaTheme="minorEastAsia" w:hAnsi="Times New Roman" w:cs="Times New Roman"/>
          <w:sz w:val="24"/>
          <w:szCs w:val="24"/>
        </w:rPr>
        <w:t>niskich</w:t>
      </w:r>
      <w:r w:rsidR="00970B2E" w:rsidRPr="00D44D33">
        <w:rPr>
          <w:rFonts w:ascii="Times New Roman" w:eastAsiaTheme="minorEastAsia" w:hAnsi="Times New Roman" w:cs="Times New Roman"/>
          <w:sz w:val="24"/>
          <w:szCs w:val="24"/>
        </w:rPr>
        <w:t xml:space="preserve"> </w:t>
      </w:r>
      <w:r w:rsidR="1F68C452" w:rsidRPr="00D44D33">
        <w:rPr>
          <w:rFonts w:ascii="Times New Roman" w:eastAsiaTheme="minorEastAsia" w:hAnsi="Times New Roman" w:cs="Times New Roman"/>
          <w:sz w:val="24"/>
          <w:szCs w:val="24"/>
        </w:rPr>
        <w:t>dochodach</w:t>
      </w:r>
      <w:r w:rsidR="00970B2E" w:rsidRPr="00D44D33">
        <w:rPr>
          <w:rFonts w:ascii="Times New Roman" w:eastAsiaTheme="minorEastAsia" w:hAnsi="Times New Roman" w:cs="Times New Roman"/>
          <w:sz w:val="24"/>
          <w:szCs w:val="24"/>
        </w:rPr>
        <w:t xml:space="preserve"> </w:t>
      </w:r>
      <w:r w:rsidR="1F68C452"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F68C452"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1F68C452" w:rsidRPr="00D44D33">
        <w:rPr>
          <w:rFonts w:ascii="Times New Roman" w:eastAsiaTheme="minorEastAsia" w:hAnsi="Times New Roman" w:cs="Times New Roman"/>
          <w:sz w:val="24"/>
          <w:szCs w:val="24"/>
        </w:rPr>
        <w:t>potrzebach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analizuje</w:t>
      </w:r>
      <w:r w:rsidR="00371EEA">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obciążenia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finansowego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samego</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UKE</w:t>
      </w:r>
      <w:r w:rsidR="0558368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Wyniki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konsultowane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zainteresowanymi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podmiotami.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Dalsze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ściśle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uzależnione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przypadku</w:t>
      </w:r>
      <w:r w:rsidR="0DDAFF4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wykazane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detaliczne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którejkolwiek</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przystępne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uniemożliwiają</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niskich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dochodach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potrzebach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społecznych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niepełnosprawnościami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zamieszkujące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tereny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ograniczonej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cenowych.</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Ustalając</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adresatów</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bierze</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417A95C2"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przedmiotowego</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obciążenia</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wchodzące</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7D251E4"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zależności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AEAC6B9"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6E4B6E7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świadczących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350</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stwierdza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zaistnienia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obciążenia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wybranych</w:t>
      </w:r>
      <w:r w:rsidR="00970B2E" w:rsidRPr="00D44D33">
        <w:rPr>
          <w:rFonts w:ascii="Times New Roman" w:eastAsiaTheme="minorEastAsia" w:hAnsi="Times New Roman" w:cs="Times New Roman"/>
          <w:sz w:val="24"/>
          <w:szCs w:val="24"/>
        </w:rPr>
        <w:t xml:space="preserve"> </w:t>
      </w:r>
      <w:r w:rsidR="58FBE41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8FBE41F"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58FBE41F"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zaistnienia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przesłanki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nadmiernego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obciążenia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97450" w:rsidRPr="00D44D33">
        <w:rPr>
          <w:rFonts w:ascii="Times New Roman" w:eastAsiaTheme="minorEastAsia" w:hAnsi="Times New Roman" w:cs="Times New Roman"/>
          <w:sz w:val="24"/>
          <w:szCs w:val="24"/>
        </w:rPr>
        <w:t>UKE</w:t>
      </w:r>
      <w:r w:rsidR="0558368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pełnego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jednej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nakładające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dodatkowo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zobowiązać</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adresata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jednolitych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geograficznym,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objęta</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pakietem</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558368B" w:rsidRPr="00D44D33">
        <w:rPr>
          <w:rFonts w:ascii="Times New Roman" w:eastAsiaTheme="minorEastAsia" w:hAnsi="Times New Roman" w:cs="Times New Roman"/>
          <w:sz w:val="24"/>
          <w:szCs w:val="24"/>
        </w:rPr>
        <w:t>świadczona.</w:t>
      </w:r>
      <w:r w:rsidR="00970B2E" w:rsidRPr="00D44D33">
        <w:rPr>
          <w:rFonts w:ascii="Times New Roman" w:eastAsiaTheme="minorEastAsia" w:hAnsi="Times New Roman" w:cs="Times New Roman"/>
          <w:sz w:val="24"/>
          <w:szCs w:val="24"/>
        </w:rPr>
        <w:t xml:space="preserve"> </w:t>
      </w:r>
    </w:p>
    <w:p w14:paraId="3B95AC21" w14:textId="3CB95A21" w:rsidR="008E6A9F" w:rsidRPr="00D44D33" w:rsidRDefault="0B71D24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D602C" w:rsidRPr="00D44D33">
        <w:rPr>
          <w:rFonts w:ascii="Times New Roman" w:eastAsiaTheme="minorEastAsia" w:hAnsi="Times New Roman" w:cs="Times New Roman"/>
          <w:b/>
          <w:bCs/>
          <w:sz w:val="24"/>
          <w:szCs w:val="24"/>
        </w:rPr>
        <w:t>354</w:t>
      </w:r>
    </w:p>
    <w:p w14:paraId="6BD46D65" w14:textId="77F93594" w:rsidR="0B71D24F" w:rsidRPr="00D44D33" w:rsidRDefault="008E6A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B05BF0" w:rsidRPr="00D44D33">
        <w:rPr>
          <w:rFonts w:ascii="Times New Roman" w:eastAsiaTheme="minorEastAsia" w:hAnsi="Times New Roman" w:cs="Times New Roman"/>
          <w:b/>
          <w:bCs/>
          <w:sz w:val="24"/>
          <w:szCs w:val="24"/>
        </w:rPr>
        <w:t>rzedsiębiorca</w:t>
      </w:r>
      <w:r w:rsidR="00970B2E" w:rsidRPr="00D44D33">
        <w:rPr>
          <w:rFonts w:ascii="Times New Roman" w:eastAsiaTheme="minorEastAsia" w:hAnsi="Times New Roman" w:cs="Times New Roman"/>
          <w:b/>
          <w:bCs/>
          <w:sz w:val="24"/>
          <w:szCs w:val="24"/>
        </w:rPr>
        <w:t xml:space="preserve"> </w:t>
      </w:r>
      <w:r w:rsidR="00B05BF0" w:rsidRPr="00D44D33">
        <w:rPr>
          <w:rFonts w:ascii="Times New Roman" w:eastAsiaTheme="minorEastAsia" w:hAnsi="Times New Roman" w:cs="Times New Roman"/>
          <w:b/>
          <w:bCs/>
          <w:sz w:val="24"/>
          <w:szCs w:val="24"/>
        </w:rPr>
        <w:t>wyznaczony</w:t>
      </w:r>
    </w:p>
    <w:p w14:paraId="4F75AE42" w14:textId="01085FD9" w:rsidR="0B71D24F" w:rsidRPr="00D44D33" w:rsidRDefault="0B71D24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wyznaczonego.</w:t>
      </w:r>
    </w:p>
    <w:p w14:paraId="69C64E03" w14:textId="7216E5A3" w:rsidR="008E6A9F" w:rsidRPr="00D44D33" w:rsidRDefault="657E505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D602C" w:rsidRPr="00D44D33">
        <w:rPr>
          <w:rFonts w:ascii="Times New Roman" w:eastAsiaTheme="minorEastAsia" w:hAnsi="Times New Roman" w:cs="Times New Roman"/>
          <w:b/>
          <w:bCs/>
          <w:sz w:val="24"/>
          <w:szCs w:val="24"/>
        </w:rPr>
        <w:t>355</w:t>
      </w:r>
      <w:r w:rsidR="00970B2E" w:rsidRPr="00D44D33">
        <w:rPr>
          <w:rFonts w:ascii="Times New Roman" w:eastAsiaTheme="minorEastAsia" w:hAnsi="Times New Roman" w:cs="Times New Roman"/>
          <w:b/>
          <w:bCs/>
          <w:sz w:val="24"/>
          <w:szCs w:val="24"/>
        </w:rPr>
        <w:t xml:space="preserve"> </w:t>
      </w:r>
    </w:p>
    <w:p w14:paraId="70AAE979" w14:textId="77ABC46B" w:rsidR="00805650" w:rsidRPr="00D44D33" w:rsidRDefault="008E6A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K</w:t>
      </w:r>
      <w:r w:rsidR="477CBA7C" w:rsidRPr="00D44D33">
        <w:rPr>
          <w:rFonts w:ascii="Times New Roman" w:eastAsiaTheme="minorEastAsia" w:hAnsi="Times New Roman" w:cs="Times New Roman"/>
          <w:b/>
          <w:bCs/>
          <w:sz w:val="24"/>
          <w:szCs w:val="24"/>
        </w:rPr>
        <w:t>onkurs</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na</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przedsiębiorcę</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wyznaczonego</w:t>
      </w:r>
    </w:p>
    <w:p w14:paraId="67CBBC71" w14:textId="173A883C" w:rsidR="00805650" w:rsidRPr="00D44D33" w:rsidRDefault="09FAA91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w:t>
      </w:r>
      <w:r w:rsidR="62132DEA"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w:t>
      </w:r>
      <w:r w:rsidR="181462D5"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w:t>
      </w:r>
      <w:r w:rsidR="55651FD3"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nadmierne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obciążenie,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ogłasza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8F176F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8F176F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8F176FC"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38F176FC"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BA35A25"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0BA35A2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BA35A25"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BA35A25"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BA35A2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trybie</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pozakonkursowym,</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5B65A5E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356</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wyłaniania</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pozostają,</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tożsame</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wynikającymi</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10C53651" w:rsidRPr="00D44D33">
        <w:rPr>
          <w:rFonts w:ascii="Times New Roman" w:eastAsiaTheme="minorEastAsia" w:hAnsi="Times New Roman" w:cs="Times New Roman"/>
          <w:sz w:val="24"/>
          <w:szCs w:val="24"/>
        </w:rPr>
        <w:t>kolejności</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zasadzie</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dobrowolności</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brać</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udział</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ogłaszanym</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konkursie.</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74A82CC9" w:rsidRPr="00D44D33">
        <w:rPr>
          <w:rFonts w:ascii="Times New Roman" w:eastAsiaTheme="minorEastAsia" w:hAnsi="Times New Roman" w:cs="Times New Roman"/>
          <w:sz w:val="24"/>
          <w:szCs w:val="24"/>
        </w:rPr>
        <w:t>trybie</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dojdzie</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wyznaczenia</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wyznacza</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procedurą</w:t>
      </w:r>
      <w:r w:rsidR="00970B2E" w:rsidRPr="00D44D33">
        <w:rPr>
          <w:rFonts w:ascii="Times New Roman" w:eastAsiaTheme="minorEastAsia" w:hAnsi="Times New Roman" w:cs="Times New Roman"/>
          <w:sz w:val="24"/>
          <w:szCs w:val="24"/>
        </w:rPr>
        <w:t xml:space="preserve"> </w:t>
      </w:r>
      <w:r w:rsidR="6AC6B1D8" w:rsidRPr="00D44D33">
        <w:rPr>
          <w:rFonts w:ascii="Times New Roman" w:eastAsiaTheme="minorEastAsia" w:hAnsi="Times New Roman" w:cs="Times New Roman"/>
          <w:sz w:val="24"/>
          <w:szCs w:val="24"/>
        </w:rPr>
        <w:t>konkursową.</w:t>
      </w:r>
      <w:r w:rsidR="00970B2E" w:rsidRPr="00D44D33">
        <w:rPr>
          <w:rFonts w:ascii="Times New Roman" w:eastAsiaTheme="minorEastAsia" w:hAnsi="Times New Roman" w:cs="Times New Roman"/>
          <w:sz w:val="24"/>
          <w:szCs w:val="24"/>
        </w:rPr>
        <w:t xml:space="preserve"> </w:t>
      </w:r>
    </w:p>
    <w:p w14:paraId="710A79C7" w14:textId="7BD5134B" w:rsidR="00717D12" w:rsidRPr="00D44D33" w:rsidRDefault="477CBA7C"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zniekształceń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obligatoryjne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717D12" w:rsidRPr="00D44D33">
        <w:rPr>
          <w:rFonts w:ascii="Times New Roman" w:eastAsiaTheme="minorEastAsia" w:hAnsi="Times New Roman" w:cs="Times New Roman"/>
          <w:bCs/>
          <w:sz w:val="24"/>
          <w:szCs w:val="24"/>
        </w:rPr>
        <w:t xml:space="preserve">Zgodnie z ust. 4 przedsiębiorca składa w konkursie ofertę zawierającą informacje, o których mowa w ogłoszeniu o konkursie wraz z wymaganymi dokumentami. </w:t>
      </w:r>
    </w:p>
    <w:p w14:paraId="0E093410" w14:textId="73748E4E" w:rsidR="00805650" w:rsidRPr="00D44D33" w:rsidRDefault="00B05BF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przeprowadzenia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postępowania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konkursowego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Prezes</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UKE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powołuje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Komisję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konkursową</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składającą</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się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pracowników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UKE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posiadających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wiedzę</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i</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doświadczenie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niezbędne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przeprowadzenia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konkursu.</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Komisja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dokonuje</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badania</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ofert</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dwóch</w:t>
      </w:r>
      <w:r w:rsidR="00970B2E" w:rsidRPr="00D44D33">
        <w:rPr>
          <w:rFonts w:ascii="Times New Roman" w:eastAsiaTheme="minorEastAsia" w:hAnsi="Times New Roman" w:cs="Times New Roman"/>
          <w:bCs/>
          <w:sz w:val="24"/>
          <w:szCs w:val="24"/>
        </w:rPr>
        <w:t xml:space="preserve"> </w:t>
      </w:r>
      <w:r w:rsidRPr="00D44D33">
        <w:rPr>
          <w:rFonts w:ascii="Times New Roman" w:eastAsiaTheme="minorEastAsia" w:hAnsi="Times New Roman" w:cs="Times New Roman"/>
          <w:bCs/>
          <w:sz w:val="24"/>
          <w:szCs w:val="24"/>
        </w:rPr>
        <w:t>etapach.</w:t>
      </w:r>
      <w:r w:rsidR="00970B2E" w:rsidRPr="00D44D33">
        <w:rPr>
          <w:rFonts w:ascii="Times New Roman" w:eastAsiaTheme="minorEastAsia" w:hAnsi="Times New Roman" w:cs="Times New Roman"/>
          <w:bCs/>
          <w:sz w:val="24"/>
          <w:szCs w:val="24"/>
        </w:rPr>
        <w:t xml:space="preserve"> </w:t>
      </w:r>
      <w:r w:rsidR="477CBA7C" w:rsidRPr="00D44D33">
        <w:rPr>
          <w:rFonts w:ascii="Times New Roman" w:eastAsiaTheme="minorEastAsia" w:hAnsi="Times New Roman" w:cs="Times New Roman"/>
          <w:sz w:val="24"/>
          <w:szCs w:val="24"/>
        </w:rPr>
        <w:t>Kryteriami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wyboru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najniższy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prognozowany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koszt</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zdolność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ekonomiczna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techniczna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Wyznaczenie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ogłoszenia,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dokumentacji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określany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akcie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wykonawczym</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wydanym</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E4B4B" w:rsidRPr="00D44D33">
        <w:rPr>
          <w:rFonts w:ascii="Times New Roman" w:eastAsiaTheme="minorEastAsia" w:hAnsi="Times New Roman" w:cs="Times New Roman"/>
          <w:sz w:val="24"/>
          <w:szCs w:val="24"/>
        </w:rPr>
        <w:t>9</w:t>
      </w:r>
      <w:r w:rsidR="477CBA7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121F0AB4" w14:textId="59A4164D" w:rsidR="123AA909" w:rsidRPr="00D44D33" w:rsidRDefault="123AA90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w:t>
      </w:r>
      <w:r w:rsidR="65AACCE4" w:rsidRPr="00D44D33">
        <w:rPr>
          <w:rFonts w:ascii="Times New Roman" w:eastAsiaTheme="minorEastAsia" w:hAnsi="Times New Roman" w:cs="Times New Roman"/>
          <w:sz w:val="24"/>
          <w:szCs w:val="24"/>
        </w:rPr>
        <w:t>ę</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mierze</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powtarzają</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65AACCE4"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7AFEA88B" w:rsidRPr="00D44D33">
        <w:rPr>
          <w:rFonts w:ascii="Times New Roman" w:eastAsiaTheme="minorEastAsia" w:hAnsi="Times New Roman" w:cs="Times New Roman"/>
          <w:sz w:val="24"/>
          <w:szCs w:val="24"/>
        </w:rPr>
        <w:t>j</w:t>
      </w:r>
      <w:r w:rsidR="65AACCE4" w:rsidRPr="00D44D33">
        <w:rPr>
          <w:rFonts w:ascii="Times New Roman" w:eastAsiaTheme="minorEastAsia" w:hAnsi="Times New Roman" w:cs="Times New Roman"/>
          <w:sz w:val="24"/>
          <w:szCs w:val="24"/>
        </w:rPr>
        <w:t>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139B3C54" w14:textId="59843C59" w:rsidR="008E6A9F" w:rsidRPr="00D44D33" w:rsidRDefault="13E9547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2D602C" w:rsidRPr="00D44D33">
        <w:rPr>
          <w:rFonts w:ascii="Times New Roman" w:eastAsiaTheme="minorEastAsia" w:hAnsi="Times New Roman" w:cs="Times New Roman"/>
          <w:b/>
          <w:bCs/>
          <w:sz w:val="24"/>
          <w:szCs w:val="24"/>
        </w:rPr>
        <w:t>356</w:t>
      </w:r>
      <w:r w:rsidR="0036212F" w:rsidRPr="00D44D33">
        <w:rPr>
          <w:rFonts w:ascii="Times New Roman" w:eastAsiaTheme="minorEastAsia" w:hAnsi="Times New Roman" w:cs="Times New Roman"/>
          <w:b/>
          <w:sz w:val="24"/>
          <w:szCs w:val="24"/>
        </w:rPr>
        <w:t>–</w:t>
      </w:r>
      <w:r w:rsidR="002D602C" w:rsidRPr="00D44D33">
        <w:rPr>
          <w:rFonts w:ascii="Times New Roman" w:eastAsiaTheme="minorEastAsia" w:hAnsi="Times New Roman" w:cs="Times New Roman"/>
          <w:b/>
          <w:bCs/>
          <w:sz w:val="24"/>
          <w:szCs w:val="24"/>
        </w:rPr>
        <w:t>358</w:t>
      </w:r>
      <w:r w:rsidR="00970B2E" w:rsidRPr="00D44D33">
        <w:rPr>
          <w:rFonts w:ascii="Times New Roman" w:eastAsiaTheme="minorEastAsia" w:hAnsi="Times New Roman" w:cs="Times New Roman"/>
          <w:b/>
          <w:bCs/>
          <w:sz w:val="24"/>
          <w:szCs w:val="24"/>
        </w:rPr>
        <w:t xml:space="preserve"> </w:t>
      </w:r>
    </w:p>
    <w:p w14:paraId="4BEA5A68" w14:textId="4C87B6CC" w:rsidR="00805650" w:rsidRPr="00D44D33" w:rsidRDefault="008E6A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W</w:t>
      </w:r>
      <w:r w:rsidR="09FAA91C" w:rsidRPr="00D44D33">
        <w:rPr>
          <w:rFonts w:ascii="Times New Roman" w:eastAsiaTheme="minorEastAsia" w:hAnsi="Times New Roman" w:cs="Times New Roman"/>
          <w:b/>
          <w:bCs/>
          <w:sz w:val="24"/>
          <w:szCs w:val="24"/>
        </w:rPr>
        <w:t>yznaczenie</w:t>
      </w:r>
      <w:r w:rsidR="00970B2E" w:rsidRPr="00D44D33">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przedsiębiorcy</w:t>
      </w:r>
    </w:p>
    <w:p w14:paraId="789B1867" w14:textId="3D1CAFEC" w:rsidR="00805650" w:rsidRPr="00D44D33" w:rsidRDefault="477CBA7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przystępności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zakończył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356</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przystąpił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żaden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rękojmi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zaistnienia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nieuzasadnionych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obciążeń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p>
    <w:p w14:paraId="71041257" w14:textId="4B9C06B9" w:rsidR="00805650" w:rsidRPr="00D44D33" w:rsidRDefault="477CBA7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2D602C" w:rsidRPr="00D44D33">
        <w:rPr>
          <w:rFonts w:ascii="Times New Roman" w:eastAsiaTheme="minorEastAsia" w:hAnsi="Times New Roman" w:cs="Times New Roman"/>
          <w:sz w:val="24"/>
          <w:szCs w:val="24"/>
        </w:rPr>
        <w:t>358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371EEA">
        <w:rPr>
          <w:rFonts w:ascii="Times New Roman" w:eastAsiaTheme="minorEastAsia" w:hAnsi="Times New Roman" w:cs="Times New Roman"/>
          <w:sz w:val="24"/>
          <w:szCs w:val="24"/>
        </w:rPr>
        <w:t xml:space="preserve"> </w:t>
      </w:r>
    </w:p>
    <w:p w14:paraId="68CA6C1E" w14:textId="38A29CA5" w:rsidR="0036212F" w:rsidRPr="00D44D33" w:rsidRDefault="00A84753" w:rsidP="00D44D33">
      <w:pPr>
        <w:pStyle w:val="USTustnpkodeksu"/>
        <w:ind w:firstLine="0"/>
        <w:rPr>
          <w:rFonts w:ascii="Times New Roman" w:hAnsi="Times New Roman" w:cs="Times New Roman"/>
          <w:szCs w:val="24"/>
        </w:rPr>
      </w:pP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358</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w:t>
      </w:r>
      <w:r w:rsidR="00970B2E" w:rsidRPr="00D44D33">
        <w:rPr>
          <w:rFonts w:ascii="Times New Roman" w:hAnsi="Times New Roman" w:cs="Times New Roman"/>
          <w:szCs w:val="24"/>
        </w:rPr>
        <w:t xml:space="preserve"> </w:t>
      </w:r>
      <w:r w:rsidRPr="00D44D33">
        <w:rPr>
          <w:rFonts w:ascii="Times New Roman" w:hAnsi="Times New Roman" w:cs="Times New Roman"/>
          <w:szCs w:val="24"/>
        </w:rPr>
        <w:t>3</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wynika</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bezpośrednio</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Style w:val="Ppogrubienie"/>
          <w:rFonts w:ascii="Times New Roman" w:hAnsi="Times New Roman" w:cs="Times New Roman"/>
          <w:b w:val="0"/>
          <w:bCs w:val="0"/>
          <w:szCs w:val="24"/>
        </w:rPr>
        <w:t xml:space="preserve"> </w:t>
      </w:r>
      <w:r w:rsidRPr="00D44D33">
        <w:rPr>
          <w:rStyle w:val="Ppogrubienie"/>
          <w:rFonts w:ascii="Times New Roman" w:hAnsi="Times New Roman" w:cs="Times New Roman"/>
          <w:b w:val="0"/>
          <w:bCs w:val="0"/>
          <w:szCs w:val="24"/>
        </w:rPr>
        <w:t>366</w:t>
      </w:r>
      <w:r w:rsidR="00970B2E" w:rsidRPr="00D44D33">
        <w:rPr>
          <w:rStyle w:val="Ppogrubienie"/>
          <w:rFonts w:ascii="Times New Roman" w:hAnsi="Times New Roman" w:cs="Times New Roman"/>
          <w:b w:val="0"/>
          <w:bCs w:val="0"/>
          <w:szCs w:val="24"/>
        </w:rPr>
        <w:t xml:space="preserve"> </w:t>
      </w:r>
      <w:r w:rsidRPr="00D44D33">
        <w:rPr>
          <w:rStyle w:val="Ppogrubienie"/>
          <w:rFonts w:ascii="Times New Roman" w:hAnsi="Times New Roman" w:cs="Times New Roman"/>
          <w:b w:val="0"/>
          <w:bCs w:val="0"/>
          <w:szCs w:val="24"/>
        </w:rPr>
        <w:t>Pke</w:t>
      </w:r>
      <w:r w:rsidR="00970B2E" w:rsidRPr="00D44D33">
        <w:rPr>
          <w:rStyle w:val="Ppogrubienie"/>
          <w:rFonts w:ascii="Times New Roman" w:hAnsi="Times New Roman" w:cs="Times New Roman"/>
          <w:b w:val="0"/>
          <w:bCs w:val="0"/>
          <w:szCs w:val="24"/>
        </w:rPr>
        <w:t xml:space="preserve"> </w:t>
      </w:r>
      <w:r w:rsidR="003F312E" w:rsidRPr="00D44D33">
        <w:rPr>
          <w:rStyle w:val="Ppogrubienie"/>
          <w:rFonts w:ascii="Times New Roman" w:hAnsi="Times New Roman" w:cs="Times New Roman"/>
          <w:b w:val="0"/>
          <w:bCs w:val="0"/>
          <w:szCs w:val="24"/>
        </w:rPr>
        <w:t>ust.</w:t>
      </w:r>
      <w:r w:rsidR="00970B2E" w:rsidRPr="00D44D33">
        <w:rPr>
          <w:rStyle w:val="Ppogrubienie"/>
          <w:rFonts w:ascii="Times New Roman" w:hAnsi="Times New Roman" w:cs="Times New Roman"/>
          <w:b w:val="0"/>
          <w:bCs w:val="0"/>
          <w:szCs w:val="24"/>
        </w:rPr>
        <w:t xml:space="preserve"> </w:t>
      </w:r>
      <w:r w:rsidR="003F312E" w:rsidRPr="00D44D33">
        <w:rPr>
          <w:rStyle w:val="Ppogrubienie"/>
          <w:rFonts w:ascii="Times New Roman" w:hAnsi="Times New Roman" w:cs="Times New Roman"/>
          <w:b w:val="0"/>
          <w:bCs w:val="0"/>
          <w:szCs w:val="24"/>
        </w:rPr>
        <w:t>1</w:t>
      </w:r>
      <w:r w:rsidRPr="00D44D33">
        <w:rPr>
          <w:rStyle w:val="Ppogrubienie"/>
          <w:rFonts w:ascii="Times New Roman" w:hAnsi="Times New Roman" w:cs="Times New Roman"/>
          <w:b w:val="0"/>
          <w:bCs w:val="0"/>
          <w:szCs w:val="24"/>
        </w:rPr>
        <w:t>,</w:t>
      </w:r>
      <w:r w:rsidR="00970B2E" w:rsidRPr="00D44D33">
        <w:rPr>
          <w:rStyle w:val="Ppogrubienie"/>
          <w:rFonts w:ascii="Times New Roman" w:hAnsi="Times New Roman" w:cs="Times New Roman"/>
          <w:szCs w:val="24"/>
        </w:rPr>
        <w:t xml:space="preserve"> </w:t>
      </w:r>
      <w:r w:rsidRPr="00D44D33">
        <w:rPr>
          <w:rStyle w:val="Ppogrubienie"/>
          <w:rFonts w:ascii="Times New Roman" w:hAnsi="Times New Roman" w:cs="Times New Roman"/>
          <w:b w:val="0"/>
          <w:szCs w:val="24"/>
        </w:rPr>
        <w:t>zgodnie</w:t>
      </w:r>
      <w:r w:rsidR="00970B2E" w:rsidRPr="00D44D33">
        <w:rPr>
          <w:rStyle w:val="Ppogrubienie"/>
          <w:rFonts w:ascii="Times New Roman" w:hAnsi="Times New Roman" w:cs="Times New Roman"/>
          <w:b w:val="0"/>
          <w:szCs w:val="24"/>
        </w:rPr>
        <w:t xml:space="preserve"> </w:t>
      </w:r>
      <w:r w:rsidRPr="00D44D33">
        <w:rPr>
          <w:rStyle w:val="Ppogrubienie"/>
          <w:rFonts w:ascii="Times New Roman" w:hAnsi="Times New Roman" w:cs="Times New Roman"/>
          <w:b w:val="0"/>
          <w:szCs w:val="24"/>
        </w:rPr>
        <w:t>z</w:t>
      </w:r>
      <w:r w:rsidR="00970B2E" w:rsidRPr="00D44D33">
        <w:rPr>
          <w:rStyle w:val="Ppogrubienie"/>
          <w:rFonts w:ascii="Times New Roman" w:hAnsi="Times New Roman" w:cs="Times New Roman"/>
          <w:szCs w:val="24"/>
        </w:rPr>
        <w:t xml:space="preserve"> </w:t>
      </w:r>
      <w:r w:rsidRPr="00D44D33">
        <w:rPr>
          <w:rStyle w:val="Ppogrubienie"/>
          <w:rFonts w:ascii="Times New Roman" w:hAnsi="Times New Roman" w:cs="Times New Roman"/>
          <w:b w:val="0"/>
          <w:szCs w:val="24"/>
        </w:rPr>
        <w:t>którym</w:t>
      </w:r>
      <w:r w:rsidR="00970B2E" w:rsidRPr="00D44D33">
        <w:rPr>
          <w:rStyle w:val="Ppogrubienie"/>
          <w:rFonts w:ascii="Times New Roman" w:hAnsi="Times New Roman" w:cs="Times New Roman"/>
          <w:b w:val="0"/>
          <w:szCs w:val="24"/>
        </w:rPr>
        <w:t xml:space="preserve"> </w:t>
      </w:r>
      <w:r w:rsidRPr="00D44D33">
        <w:rPr>
          <w:rFonts w:ascii="Times New Roman" w:hAnsi="Times New Roman" w:cs="Times New Roman"/>
          <w:szCs w:val="24"/>
        </w:rPr>
        <w:t>przedsiębiorcy</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(czyli</w:t>
      </w:r>
      <w:r w:rsidR="00970B2E" w:rsidRPr="00D44D33">
        <w:rPr>
          <w:rFonts w:ascii="Times New Roman" w:hAnsi="Times New Roman" w:cs="Times New Roman"/>
          <w:szCs w:val="24"/>
        </w:rPr>
        <w:t xml:space="preserve"> </w:t>
      </w:r>
      <w:r w:rsidRPr="00D44D33">
        <w:rPr>
          <w:rFonts w:ascii="Times New Roman" w:hAnsi="Times New Roman" w:cs="Times New Roman"/>
          <w:szCs w:val="24"/>
        </w:rPr>
        <w:t>także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podmioty</w:t>
      </w:r>
      <w:r w:rsidR="00970B2E" w:rsidRPr="00D44D33">
        <w:rPr>
          <w:rFonts w:ascii="Times New Roman" w:hAnsi="Times New Roman" w:cs="Times New Roman"/>
          <w:szCs w:val="24"/>
        </w:rPr>
        <w:t xml:space="preserve"> </w:t>
      </w:r>
      <w:r w:rsidRPr="00D44D33">
        <w:rPr>
          <w:rFonts w:ascii="Times New Roman" w:hAnsi="Times New Roman" w:cs="Times New Roman"/>
          <w:szCs w:val="24"/>
        </w:rPr>
        <w:t>świadczące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publicznie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dostępną</w:t>
      </w:r>
      <w:r w:rsidR="00970B2E" w:rsidRPr="00D44D33">
        <w:rPr>
          <w:rFonts w:ascii="Times New Roman" w:hAnsi="Times New Roman" w:cs="Times New Roman"/>
          <w:szCs w:val="24"/>
        </w:rPr>
        <w:t xml:space="preserve"> </w:t>
      </w:r>
      <w:r w:rsidRPr="00D44D33">
        <w:rPr>
          <w:rFonts w:ascii="Times New Roman" w:hAnsi="Times New Roman" w:cs="Times New Roman"/>
          <w:szCs w:val="24"/>
        </w:rPr>
        <w:t>usługę</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interpersonalnej</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niewykorzystującej</w:t>
      </w:r>
      <w:r w:rsidR="00970B2E" w:rsidRPr="00D44D33">
        <w:rPr>
          <w:rFonts w:ascii="Times New Roman" w:hAnsi="Times New Roman" w:cs="Times New Roman"/>
          <w:szCs w:val="24"/>
        </w:rPr>
        <w:t xml:space="preserve"> </w:t>
      </w:r>
      <w:r w:rsidRPr="00D44D33">
        <w:rPr>
          <w:rFonts w:ascii="Times New Roman" w:hAnsi="Times New Roman" w:cs="Times New Roman"/>
          <w:szCs w:val="24"/>
        </w:rPr>
        <w:t>numerów),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po</w:t>
      </w:r>
      <w:r w:rsidR="00970B2E" w:rsidRPr="00D44D33">
        <w:rPr>
          <w:rFonts w:ascii="Times New Roman" w:hAnsi="Times New Roman" w:cs="Times New Roman"/>
          <w:szCs w:val="24"/>
        </w:rPr>
        <w:t xml:space="preserve"> </w:t>
      </w:r>
      <w:r w:rsidRPr="00D44D33">
        <w:rPr>
          <w:rFonts w:ascii="Times New Roman" w:hAnsi="Times New Roman" w:cs="Times New Roman"/>
          <w:szCs w:val="24"/>
        </w:rPr>
        <w:t>spełnieniu</w:t>
      </w:r>
      <w:r w:rsidR="00970B2E" w:rsidRPr="00D44D33">
        <w:rPr>
          <w:rFonts w:ascii="Times New Roman" w:hAnsi="Times New Roman" w:cs="Times New Roman"/>
          <w:szCs w:val="24"/>
        </w:rPr>
        <w:t xml:space="preserve"> </w:t>
      </w:r>
      <w:r w:rsidRPr="00D44D33">
        <w:rPr>
          <w:rFonts w:ascii="Times New Roman" w:hAnsi="Times New Roman" w:cs="Times New Roman"/>
          <w:szCs w:val="24"/>
        </w:rPr>
        <w:t>wymogu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przychodowego,</w:t>
      </w:r>
      <w:r w:rsidR="00970B2E" w:rsidRPr="00D44D33">
        <w:rPr>
          <w:rFonts w:ascii="Times New Roman" w:hAnsi="Times New Roman" w:cs="Times New Roman"/>
          <w:szCs w:val="24"/>
        </w:rPr>
        <w:t xml:space="preserve"> </w:t>
      </w:r>
      <w:r w:rsidR="003F312E" w:rsidRPr="00D44D33">
        <w:rPr>
          <w:rFonts w:ascii="Times New Roman" w:hAnsi="Times New Roman" w:cs="Times New Roman"/>
          <w:szCs w:val="24"/>
        </w:rPr>
        <w:t>będą</w:t>
      </w:r>
      <w:r w:rsidR="00970B2E" w:rsidRPr="00D44D33">
        <w:rPr>
          <w:rFonts w:ascii="Times New Roman" w:hAnsi="Times New Roman" w:cs="Times New Roman"/>
          <w:szCs w:val="24"/>
        </w:rPr>
        <w:t xml:space="preserve"> </w:t>
      </w:r>
      <w:r w:rsidR="003F312E" w:rsidRPr="00D44D33">
        <w:rPr>
          <w:rFonts w:ascii="Times New Roman" w:hAnsi="Times New Roman" w:cs="Times New Roman"/>
          <w:szCs w:val="24"/>
        </w:rPr>
        <w:t>z</w:t>
      </w:r>
      <w:r w:rsidRPr="00D44D33">
        <w:rPr>
          <w:rFonts w:ascii="Times New Roman" w:hAnsi="Times New Roman" w:cs="Times New Roman"/>
          <w:szCs w:val="24"/>
        </w:rPr>
        <w:t>obowiązani</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udziału</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pokryciu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dopłaty</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poniesionego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przedsiębiorcę</w:t>
      </w:r>
      <w:r w:rsidR="00970B2E" w:rsidRPr="00D44D33">
        <w:rPr>
          <w:rFonts w:ascii="Times New Roman" w:hAnsi="Times New Roman" w:cs="Times New Roman"/>
          <w:szCs w:val="24"/>
        </w:rPr>
        <w:t xml:space="preserve"> </w:t>
      </w:r>
      <w:r w:rsidRPr="00D44D33">
        <w:rPr>
          <w:rFonts w:ascii="Times New Roman" w:hAnsi="Times New Roman" w:cs="Times New Roman"/>
          <w:szCs w:val="24"/>
        </w:rPr>
        <w:t>wyznaczonego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kosztu</w:t>
      </w:r>
      <w:r w:rsidR="00970B2E" w:rsidRPr="00D44D33">
        <w:rPr>
          <w:rFonts w:ascii="Times New Roman" w:hAnsi="Times New Roman" w:cs="Times New Roman"/>
          <w:szCs w:val="24"/>
        </w:rPr>
        <w:t xml:space="preserve"> </w:t>
      </w:r>
      <w:r w:rsidRPr="00D44D33">
        <w:rPr>
          <w:rFonts w:ascii="Times New Roman" w:hAnsi="Times New Roman" w:cs="Times New Roman"/>
          <w:szCs w:val="24"/>
        </w:rPr>
        <w:t>netto.</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Aby</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rozliczyć</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dopłatę,</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pierwszej</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kolejności</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musi</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posiadać</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informacje</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które</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podmioty</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świadczą</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publicznie</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dostępną</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usługę</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interpersonalnej</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niewykorzystującej</w:t>
      </w:r>
      <w:r w:rsidR="00970B2E" w:rsidRPr="00D44D33">
        <w:rPr>
          <w:rFonts w:ascii="Times New Roman" w:hAnsi="Times New Roman" w:cs="Times New Roman"/>
          <w:szCs w:val="24"/>
        </w:rPr>
        <w:t xml:space="preserve"> </w:t>
      </w:r>
      <w:r w:rsidR="00FA6495" w:rsidRPr="00D44D33">
        <w:rPr>
          <w:rFonts w:ascii="Times New Roman" w:hAnsi="Times New Roman" w:cs="Times New Roman"/>
          <w:szCs w:val="24"/>
        </w:rPr>
        <w:t>numerów.</w:t>
      </w:r>
    </w:p>
    <w:p w14:paraId="5B78A0D0" w14:textId="76302E73" w:rsidR="00A84753" w:rsidRPr="00D44D33" w:rsidRDefault="00A84753" w:rsidP="00D44D33">
      <w:pPr>
        <w:spacing w:before="120" w:after="0" w:line="360" w:lineRule="auto"/>
        <w:jc w:val="both"/>
        <w:rPr>
          <w:rFonts w:ascii="Times New Roman" w:hAnsi="Times New Roman" w:cs="Times New Roman"/>
          <w:sz w:val="24"/>
          <w:szCs w:val="24"/>
        </w:rPr>
      </w:pP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zapewnienia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Prezesowi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zakresie</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proponuje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aby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świadczące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publicznie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dostępną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usługę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interpersonalnej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niewykorzystującej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numerów,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mają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rejestracji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RPT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sprawozdawczości,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jedynie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informowały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fakcie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świadczenia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usługi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wyłącznie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okresie,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przedsiębiorca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wyznaczony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realizuje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zakresie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usługi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powszechnej,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zatem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latach,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powstać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dopłaty.</w:t>
      </w:r>
    </w:p>
    <w:p w14:paraId="12577FAE" w14:textId="54B73130" w:rsidR="00A84753" w:rsidRPr="00D44D33" w:rsidRDefault="0093458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naruszeń</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związanych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udzieleniem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informacji,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AA7EAC"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mógł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nałożyć</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świadczące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publicznie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dostępną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usługę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interpersonalnej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niewykorzystującej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numerów,</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karę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86C51" w:rsidRPr="00D44D33">
        <w:rPr>
          <w:rFonts w:ascii="Times New Roman" w:eastAsiaTheme="minorEastAsia" w:hAnsi="Times New Roman" w:cs="Times New Roman"/>
          <w:sz w:val="24"/>
          <w:szCs w:val="24"/>
        </w:rPr>
        <w:t xml:space="preserve">439 </w:t>
      </w:r>
      <w:r w:rsidRPr="00D44D33">
        <w:rPr>
          <w:rFonts w:ascii="Times New Roman" w:eastAsiaTheme="minorEastAsia" w:hAnsi="Times New Roman" w:cs="Times New Roman"/>
          <w:sz w:val="24"/>
          <w:szCs w:val="24"/>
        </w:rPr>
        <w:t>ust.</w:t>
      </w:r>
      <w:r w:rsidR="00386C51"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00AA7EAC"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00AA7EAC"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AA7EA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w:t>
      </w:r>
      <w:r w:rsidR="00AA7EAC" w:rsidRPr="00D44D33">
        <w:rPr>
          <w:rFonts w:ascii="Times New Roman" w:eastAsiaTheme="minorEastAsia" w:hAnsi="Times New Roman" w:cs="Times New Roman"/>
          <w:sz w:val="24"/>
          <w:szCs w:val="24"/>
        </w:rPr>
        <w: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w:t>
      </w:r>
      <w:r w:rsidR="00AA7EAC" w:rsidRPr="00D44D33">
        <w:rPr>
          <w:rFonts w:ascii="Times New Roman" w:eastAsiaTheme="minorEastAsia" w:hAnsi="Times New Roman" w:cs="Times New Roman"/>
          <w:sz w:val="24"/>
          <w:szCs w:val="24"/>
        </w:rPr>
        <w:t>mi</w:t>
      </w:r>
      <w:r w:rsidRPr="00D44D33">
        <w:rPr>
          <w:rFonts w:ascii="Times New Roman" w:eastAsiaTheme="minorEastAsia" w:hAnsi="Times New Roman" w:cs="Times New Roman"/>
          <w:sz w:val="24"/>
          <w:szCs w:val="24"/>
        </w:rPr>
        <w:t>.</w:t>
      </w:r>
    </w:p>
    <w:p w14:paraId="24DEBFB0" w14:textId="71CD5161" w:rsidR="007C7E56" w:rsidRPr="00D44D33" w:rsidRDefault="6950D893"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359</w:t>
      </w:r>
      <w:r w:rsidR="0036212F" w:rsidRPr="00D44D33">
        <w:rPr>
          <w:rFonts w:ascii="Times New Roman" w:eastAsiaTheme="minorEastAsia" w:hAnsi="Times New Roman" w:cs="Times New Roman"/>
          <w:b/>
          <w:sz w:val="24"/>
          <w:szCs w:val="24"/>
        </w:rPr>
        <w:t>–</w:t>
      </w:r>
      <w:r w:rsidR="0039356C" w:rsidRPr="00D44D33">
        <w:rPr>
          <w:rFonts w:ascii="Times New Roman" w:eastAsiaTheme="minorEastAsia" w:hAnsi="Times New Roman" w:cs="Times New Roman"/>
          <w:b/>
          <w:bCs/>
          <w:sz w:val="24"/>
          <w:szCs w:val="24"/>
        </w:rPr>
        <w:t>362</w:t>
      </w:r>
    </w:p>
    <w:p w14:paraId="4440753D" w14:textId="092A7CE7" w:rsidR="00805650" w:rsidRPr="00D44D33" w:rsidRDefault="007C7E5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09FAA91C" w:rsidRPr="00D44D33">
        <w:rPr>
          <w:rFonts w:ascii="Times New Roman" w:eastAsiaTheme="minorEastAsia" w:hAnsi="Times New Roman" w:cs="Times New Roman"/>
          <w:b/>
          <w:bCs/>
          <w:sz w:val="24"/>
          <w:szCs w:val="24"/>
        </w:rPr>
        <w:t>bowiązki</w:t>
      </w:r>
      <w:r w:rsidR="00970B2E" w:rsidRPr="00D44D33">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dotyczące</w:t>
      </w:r>
      <w:r w:rsidR="00970B2E" w:rsidRPr="00D44D33">
        <w:rPr>
          <w:rFonts w:ascii="Times New Roman" w:eastAsiaTheme="minorEastAsia" w:hAnsi="Times New Roman" w:cs="Times New Roman"/>
          <w:b/>
          <w:bCs/>
          <w:sz w:val="24"/>
          <w:szCs w:val="24"/>
        </w:rPr>
        <w:t xml:space="preserve"> </w:t>
      </w:r>
      <w:r w:rsidR="6C92B18C" w:rsidRPr="00D44D33">
        <w:rPr>
          <w:rFonts w:ascii="Times New Roman" w:eastAsiaTheme="minorEastAsia" w:hAnsi="Times New Roman" w:cs="Times New Roman"/>
          <w:b/>
          <w:bCs/>
          <w:sz w:val="24"/>
          <w:szCs w:val="24"/>
        </w:rPr>
        <w:t>określania</w:t>
      </w:r>
      <w:r w:rsidR="00970B2E" w:rsidRPr="00D44D33">
        <w:rPr>
          <w:rFonts w:ascii="Times New Roman" w:eastAsiaTheme="minorEastAsia" w:hAnsi="Times New Roman" w:cs="Times New Roman"/>
          <w:b/>
          <w:bCs/>
          <w:sz w:val="24"/>
          <w:szCs w:val="24"/>
        </w:rPr>
        <w:t xml:space="preserve"> </w:t>
      </w:r>
      <w:r w:rsidR="6C92B18C" w:rsidRPr="00D44D33">
        <w:rPr>
          <w:rFonts w:ascii="Times New Roman" w:eastAsiaTheme="minorEastAsia" w:hAnsi="Times New Roman" w:cs="Times New Roman"/>
          <w:b/>
          <w:bCs/>
          <w:sz w:val="24"/>
          <w:szCs w:val="24"/>
        </w:rPr>
        <w:t>warunków</w:t>
      </w:r>
      <w:r w:rsidR="00970B2E" w:rsidRPr="00D44D33">
        <w:rPr>
          <w:rFonts w:ascii="Times New Roman" w:eastAsiaTheme="minorEastAsia" w:hAnsi="Times New Roman" w:cs="Times New Roman"/>
          <w:b/>
          <w:bCs/>
          <w:sz w:val="24"/>
          <w:szCs w:val="24"/>
        </w:rPr>
        <w:t xml:space="preserve"> </w:t>
      </w:r>
      <w:r w:rsidR="6C92B18C" w:rsidRPr="00D44D33">
        <w:rPr>
          <w:rFonts w:ascii="Times New Roman" w:eastAsiaTheme="minorEastAsia" w:hAnsi="Times New Roman" w:cs="Times New Roman"/>
          <w:b/>
          <w:bCs/>
          <w:sz w:val="24"/>
          <w:szCs w:val="24"/>
        </w:rPr>
        <w:t>świadczenia</w:t>
      </w:r>
      <w:r w:rsidR="00970B2E" w:rsidRPr="00D44D33">
        <w:rPr>
          <w:rFonts w:ascii="Times New Roman" w:eastAsiaTheme="minorEastAsia" w:hAnsi="Times New Roman" w:cs="Times New Roman"/>
          <w:b/>
          <w:bCs/>
          <w:sz w:val="24"/>
          <w:szCs w:val="24"/>
        </w:rPr>
        <w:t xml:space="preserve"> </w:t>
      </w:r>
      <w:r w:rsidR="6C92B18C" w:rsidRPr="00D44D33">
        <w:rPr>
          <w:rFonts w:ascii="Times New Roman" w:eastAsiaTheme="minorEastAsia" w:hAnsi="Times New Roman" w:cs="Times New Roman"/>
          <w:b/>
          <w:bCs/>
          <w:sz w:val="24"/>
          <w:szCs w:val="24"/>
        </w:rPr>
        <w:t>usług</w:t>
      </w:r>
      <w:r w:rsidR="00371EEA">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składających</w:t>
      </w:r>
      <w:r w:rsidR="00970B2E" w:rsidRPr="00D44D33">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się</w:t>
      </w:r>
      <w:r w:rsidR="00970B2E" w:rsidRPr="00D44D33">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na</w:t>
      </w:r>
      <w:r w:rsidR="00970B2E" w:rsidRPr="00D44D33">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usługę</w:t>
      </w:r>
      <w:r w:rsidR="00970B2E" w:rsidRPr="00D44D33">
        <w:rPr>
          <w:rFonts w:ascii="Times New Roman" w:eastAsiaTheme="minorEastAsia" w:hAnsi="Times New Roman" w:cs="Times New Roman"/>
          <w:b/>
          <w:bCs/>
          <w:sz w:val="24"/>
          <w:szCs w:val="24"/>
        </w:rPr>
        <w:t xml:space="preserve"> </w:t>
      </w:r>
      <w:r w:rsidR="09FAA91C" w:rsidRPr="00D44D33">
        <w:rPr>
          <w:rFonts w:ascii="Times New Roman" w:eastAsiaTheme="minorEastAsia" w:hAnsi="Times New Roman" w:cs="Times New Roman"/>
          <w:b/>
          <w:bCs/>
          <w:sz w:val="24"/>
          <w:szCs w:val="24"/>
        </w:rPr>
        <w:t>powszechną</w:t>
      </w:r>
    </w:p>
    <w:p w14:paraId="77DE72B5" w14:textId="25191AA0" w:rsidR="001A032F" w:rsidRPr="00D44D33" w:rsidRDefault="09FAA91C"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359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wejściu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65C1662C" w:rsidRPr="00D44D33">
        <w:rPr>
          <w:rFonts w:ascii="Times New Roman" w:eastAsia="Times" w:hAnsi="Times New Roman" w:cs="Times New Roman"/>
          <w:sz w:val="24"/>
          <w:szCs w:val="24"/>
        </w:rPr>
        <w:t>informacji</w:t>
      </w:r>
      <w:r w:rsidR="00970B2E" w:rsidRPr="00D44D33">
        <w:rPr>
          <w:rFonts w:ascii="Times New Roman" w:eastAsia="Times" w:hAnsi="Times New Roman" w:cs="Times New Roman"/>
          <w:sz w:val="24"/>
          <w:szCs w:val="24"/>
        </w:rPr>
        <w:t xml:space="preserve"> </w:t>
      </w:r>
      <w:r w:rsidR="65C1662C" w:rsidRPr="00D44D33">
        <w:rPr>
          <w:rFonts w:ascii="Times New Roman" w:eastAsia="Times" w:hAnsi="Times New Roman" w:cs="Times New Roman"/>
          <w:sz w:val="24"/>
          <w:szCs w:val="24"/>
        </w:rPr>
        <w:t>przedumownych</w:t>
      </w:r>
      <w:r w:rsidR="00970B2E" w:rsidRPr="00D44D33">
        <w:rPr>
          <w:rFonts w:ascii="Times New Roman" w:eastAsia="Times" w:hAnsi="Times New Roman" w:cs="Times New Roman"/>
          <w:sz w:val="24"/>
          <w:szCs w:val="24"/>
        </w:rPr>
        <w:t xml:space="preserve"> </w:t>
      </w:r>
      <w:r w:rsidR="65C1662C"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65C1662C" w:rsidRPr="00D44D33">
        <w:rPr>
          <w:rFonts w:ascii="Times New Roman" w:eastAsia="Times" w:hAnsi="Times New Roman" w:cs="Times New Roman"/>
          <w:sz w:val="24"/>
          <w:szCs w:val="24"/>
        </w:rPr>
        <w:t>zakresie</w:t>
      </w:r>
      <w:r w:rsidR="00970B2E" w:rsidRPr="00D44D33">
        <w:rPr>
          <w:rFonts w:ascii="Times New Roman" w:eastAsia="Times" w:hAnsi="Times New Roman" w:cs="Times New Roman"/>
          <w:sz w:val="24"/>
          <w:szCs w:val="24"/>
        </w:rPr>
        <w:t xml:space="preserve"> </w:t>
      </w:r>
      <w:r w:rsidR="65C1662C" w:rsidRPr="00D44D33">
        <w:rPr>
          <w:rFonts w:ascii="Times New Roman" w:eastAsia="Times" w:hAnsi="Times New Roman" w:cs="Times New Roman"/>
          <w:sz w:val="24"/>
          <w:szCs w:val="24"/>
        </w:rPr>
        <w:t>cen</w:t>
      </w:r>
      <w:r w:rsidR="00970B2E" w:rsidRPr="00D44D33">
        <w:rPr>
          <w:rFonts w:ascii="Times New Roman" w:eastAsia="Times" w:hAnsi="Times New Roman" w:cs="Times New Roman"/>
          <w:sz w:val="24"/>
          <w:szCs w:val="24"/>
        </w:rPr>
        <w:t xml:space="preserve"> </w:t>
      </w:r>
      <w:r w:rsidR="65C1662C"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65C1662C" w:rsidRPr="00D44D33">
        <w:rPr>
          <w:rFonts w:ascii="Times New Roman" w:eastAsia="Times" w:hAnsi="Times New Roman" w:cs="Times New Roman"/>
          <w:sz w:val="24"/>
          <w:szCs w:val="24"/>
        </w:rPr>
        <w:t>opłat</w:t>
      </w:r>
      <w:r w:rsidR="00371EEA">
        <w:rPr>
          <w:rFonts w:ascii="Times New Roman" w:eastAsia="Times New Roman"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wejściem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06ADD43" w:rsidRPr="00D44D33">
        <w:rPr>
          <w:rFonts w:ascii="Times New Roman" w:eastAsia="Times" w:hAnsi="Times New Roman" w:cs="Times New Roman"/>
          <w:sz w:val="24"/>
          <w:szCs w:val="24"/>
        </w:rPr>
        <w:t>informacji</w:t>
      </w:r>
      <w:r w:rsidR="00970B2E" w:rsidRPr="00D44D33">
        <w:rPr>
          <w:rFonts w:ascii="Times New Roman" w:eastAsia="Times" w:hAnsi="Times New Roman" w:cs="Times New Roman"/>
          <w:sz w:val="24"/>
          <w:szCs w:val="24"/>
        </w:rPr>
        <w:t xml:space="preserve"> </w:t>
      </w:r>
      <w:r w:rsidR="106ADD43" w:rsidRPr="00D44D33">
        <w:rPr>
          <w:rFonts w:ascii="Times New Roman" w:eastAsia="Times" w:hAnsi="Times New Roman" w:cs="Times New Roman"/>
          <w:sz w:val="24"/>
          <w:szCs w:val="24"/>
        </w:rPr>
        <w:t>przedumownych</w:t>
      </w:r>
      <w:r w:rsidR="00970B2E" w:rsidRPr="00D44D33">
        <w:rPr>
          <w:rFonts w:ascii="Times New Roman" w:eastAsia="Times" w:hAnsi="Times New Roman" w:cs="Times New Roman"/>
          <w:sz w:val="24"/>
          <w:szCs w:val="24"/>
        </w:rPr>
        <w:t xml:space="preserve"> </w:t>
      </w:r>
      <w:r w:rsidR="106ADD43"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106ADD43" w:rsidRPr="00D44D33">
        <w:rPr>
          <w:rFonts w:ascii="Times New Roman" w:eastAsia="Times" w:hAnsi="Times New Roman" w:cs="Times New Roman"/>
          <w:sz w:val="24"/>
          <w:szCs w:val="24"/>
        </w:rPr>
        <w:t>zakresie</w:t>
      </w:r>
      <w:r w:rsidR="00970B2E" w:rsidRPr="00D44D33">
        <w:rPr>
          <w:rFonts w:ascii="Times New Roman" w:eastAsia="Times" w:hAnsi="Times New Roman" w:cs="Times New Roman"/>
          <w:sz w:val="24"/>
          <w:szCs w:val="24"/>
        </w:rPr>
        <w:t xml:space="preserve"> </w:t>
      </w:r>
      <w:r w:rsidR="106ADD43" w:rsidRPr="00D44D33">
        <w:rPr>
          <w:rFonts w:ascii="Times New Roman" w:eastAsia="Times" w:hAnsi="Times New Roman" w:cs="Times New Roman"/>
          <w:sz w:val="24"/>
          <w:szCs w:val="24"/>
        </w:rPr>
        <w:t>cen</w:t>
      </w:r>
      <w:r w:rsidR="00970B2E" w:rsidRPr="00D44D33">
        <w:rPr>
          <w:rFonts w:ascii="Times New Roman" w:eastAsia="Times" w:hAnsi="Times New Roman" w:cs="Times New Roman"/>
          <w:sz w:val="24"/>
          <w:szCs w:val="24"/>
        </w:rPr>
        <w:t xml:space="preserve"> </w:t>
      </w:r>
      <w:r w:rsidR="106ADD43"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106ADD43" w:rsidRPr="00D44D33">
        <w:rPr>
          <w:rFonts w:ascii="Times New Roman" w:eastAsia="Times" w:hAnsi="Times New Roman" w:cs="Times New Roman"/>
          <w:sz w:val="24"/>
          <w:szCs w:val="24"/>
        </w:rPr>
        <w:t>opłat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dokładne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miejsce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wiąże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630C9412" w:rsidRPr="00D44D33">
        <w:rPr>
          <w:rFonts w:ascii="Times New Roman" w:eastAsia="Times" w:hAnsi="Times New Roman" w:cs="Times New Roman"/>
          <w:sz w:val="24"/>
          <w:szCs w:val="24"/>
        </w:rPr>
        <w:t>informacji</w:t>
      </w:r>
      <w:r w:rsidR="00970B2E" w:rsidRPr="00D44D33">
        <w:rPr>
          <w:rFonts w:ascii="Times New Roman" w:eastAsia="Times" w:hAnsi="Times New Roman" w:cs="Times New Roman"/>
          <w:sz w:val="24"/>
          <w:szCs w:val="24"/>
        </w:rPr>
        <w:t xml:space="preserve"> </w:t>
      </w:r>
      <w:r w:rsidR="630C9412" w:rsidRPr="00D44D33">
        <w:rPr>
          <w:rFonts w:ascii="Times New Roman" w:eastAsia="Times" w:hAnsi="Times New Roman" w:cs="Times New Roman"/>
          <w:sz w:val="24"/>
          <w:szCs w:val="24"/>
        </w:rPr>
        <w:t>przedumownych</w:t>
      </w:r>
      <w:r w:rsidR="00970B2E" w:rsidRPr="00D44D33">
        <w:rPr>
          <w:rFonts w:ascii="Times New Roman" w:eastAsia="Times" w:hAnsi="Times New Roman" w:cs="Times New Roman"/>
          <w:sz w:val="24"/>
          <w:szCs w:val="24"/>
        </w:rPr>
        <w:t xml:space="preserve"> </w:t>
      </w:r>
      <w:r w:rsidR="630C9412"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630C9412" w:rsidRPr="00D44D33">
        <w:rPr>
          <w:rFonts w:ascii="Times New Roman" w:eastAsia="Times" w:hAnsi="Times New Roman" w:cs="Times New Roman"/>
          <w:sz w:val="24"/>
          <w:szCs w:val="24"/>
        </w:rPr>
        <w:t>zakresie</w:t>
      </w:r>
      <w:r w:rsidR="00970B2E" w:rsidRPr="00D44D33">
        <w:rPr>
          <w:rFonts w:ascii="Times New Roman" w:eastAsia="Times" w:hAnsi="Times New Roman" w:cs="Times New Roman"/>
          <w:sz w:val="24"/>
          <w:szCs w:val="24"/>
        </w:rPr>
        <w:t xml:space="preserve"> </w:t>
      </w:r>
      <w:r w:rsidR="630C9412" w:rsidRPr="00D44D33">
        <w:rPr>
          <w:rFonts w:ascii="Times New Roman" w:eastAsia="Times" w:hAnsi="Times New Roman" w:cs="Times New Roman"/>
          <w:sz w:val="24"/>
          <w:szCs w:val="24"/>
        </w:rPr>
        <w:t>cen</w:t>
      </w:r>
      <w:r w:rsidR="00970B2E" w:rsidRPr="00D44D33">
        <w:rPr>
          <w:rFonts w:ascii="Times New Roman" w:eastAsia="Times" w:hAnsi="Times New Roman" w:cs="Times New Roman"/>
          <w:sz w:val="24"/>
          <w:szCs w:val="24"/>
        </w:rPr>
        <w:t xml:space="preserve"> </w:t>
      </w:r>
      <w:r w:rsidR="630C9412"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630C9412" w:rsidRPr="00D44D33">
        <w:rPr>
          <w:rFonts w:ascii="Times New Roman" w:eastAsia="Times" w:hAnsi="Times New Roman" w:cs="Times New Roman"/>
          <w:sz w:val="24"/>
          <w:szCs w:val="24"/>
        </w:rPr>
        <w:t>opłat</w:t>
      </w:r>
      <w:r w:rsidR="00371EEA">
        <w:rPr>
          <w:rFonts w:ascii="Times New Roman" w:eastAsia="Times New Roman"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F7BB7DB" w:rsidRPr="00D44D33">
        <w:rPr>
          <w:rFonts w:ascii="Times New Roman" w:eastAsia="Times" w:hAnsi="Times New Roman" w:cs="Times New Roman"/>
          <w:sz w:val="24"/>
          <w:szCs w:val="24"/>
        </w:rPr>
        <w:t>informacji</w:t>
      </w:r>
      <w:r w:rsidR="00970B2E" w:rsidRPr="00D44D33">
        <w:rPr>
          <w:rFonts w:ascii="Times New Roman" w:eastAsia="Times" w:hAnsi="Times New Roman" w:cs="Times New Roman"/>
          <w:sz w:val="24"/>
          <w:szCs w:val="24"/>
        </w:rPr>
        <w:t xml:space="preserve"> </w:t>
      </w:r>
      <w:r w:rsidR="0F7BB7DB" w:rsidRPr="00D44D33">
        <w:rPr>
          <w:rFonts w:ascii="Times New Roman" w:eastAsia="Times" w:hAnsi="Times New Roman" w:cs="Times New Roman"/>
          <w:sz w:val="24"/>
          <w:szCs w:val="24"/>
        </w:rPr>
        <w:t>przedumownych</w:t>
      </w:r>
      <w:r w:rsidR="00970B2E" w:rsidRPr="00D44D33">
        <w:rPr>
          <w:rFonts w:ascii="Times New Roman" w:eastAsia="Times" w:hAnsi="Times New Roman" w:cs="Times New Roman"/>
          <w:sz w:val="24"/>
          <w:szCs w:val="24"/>
        </w:rPr>
        <w:t xml:space="preserve"> </w:t>
      </w:r>
      <w:r w:rsidR="0F7BB7DB" w:rsidRPr="00D44D33">
        <w:rPr>
          <w:rFonts w:ascii="Times New Roman" w:eastAsia="Times" w:hAnsi="Times New Roman" w:cs="Times New Roman"/>
          <w:sz w:val="24"/>
          <w:szCs w:val="24"/>
        </w:rPr>
        <w:t>w</w:t>
      </w:r>
      <w:r w:rsidR="00970B2E" w:rsidRPr="00D44D33">
        <w:rPr>
          <w:rFonts w:ascii="Times New Roman" w:eastAsia="Times" w:hAnsi="Times New Roman" w:cs="Times New Roman"/>
          <w:sz w:val="24"/>
          <w:szCs w:val="24"/>
        </w:rPr>
        <w:t xml:space="preserve"> </w:t>
      </w:r>
      <w:r w:rsidR="0F7BB7DB" w:rsidRPr="00D44D33">
        <w:rPr>
          <w:rFonts w:ascii="Times New Roman" w:eastAsia="Times" w:hAnsi="Times New Roman" w:cs="Times New Roman"/>
          <w:sz w:val="24"/>
          <w:szCs w:val="24"/>
        </w:rPr>
        <w:t>zakresie</w:t>
      </w:r>
      <w:r w:rsidR="00970B2E" w:rsidRPr="00D44D33">
        <w:rPr>
          <w:rFonts w:ascii="Times New Roman" w:eastAsia="Times" w:hAnsi="Times New Roman" w:cs="Times New Roman"/>
          <w:sz w:val="24"/>
          <w:szCs w:val="24"/>
        </w:rPr>
        <w:t xml:space="preserve"> </w:t>
      </w:r>
      <w:r w:rsidR="0F7BB7DB" w:rsidRPr="00D44D33">
        <w:rPr>
          <w:rFonts w:ascii="Times New Roman" w:eastAsia="Times" w:hAnsi="Times New Roman" w:cs="Times New Roman"/>
          <w:sz w:val="24"/>
          <w:szCs w:val="24"/>
        </w:rPr>
        <w:t>cen</w:t>
      </w:r>
      <w:r w:rsidR="00970B2E" w:rsidRPr="00D44D33">
        <w:rPr>
          <w:rFonts w:ascii="Times New Roman" w:eastAsia="Times" w:hAnsi="Times New Roman" w:cs="Times New Roman"/>
          <w:sz w:val="24"/>
          <w:szCs w:val="24"/>
        </w:rPr>
        <w:t xml:space="preserve"> </w:t>
      </w:r>
      <w:r w:rsidR="0F7BB7DB" w:rsidRPr="00D44D33">
        <w:rPr>
          <w:rFonts w:ascii="Times New Roman" w:eastAsia="Times" w:hAnsi="Times New Roman" w:cs="Times New Roman"/>
          <w:sz w:val="24"/>
          <w:szCs w:val="24"/>
        </w:rPr>
        <w:t>i</w:t>
      </w:r>
      <w:r w:rsidR="00970B2E" w:rsidRPr="00D44D33">
        <w:rPr>
          <w:rFonts w:ascii="Times New Roman" w:eastAsia="Times" w:hAnsi="Times New Roman" w:cs="Times New Roman"/>
          <w:sz w:val="24"/>
          <w:szCs w:val="24"/>
        </w:rPr>
        <w:t xml:space="preserve"> </w:t>
      </w:r>
      <w:r w:rsidR="0F7BB7DB" w:rsidRPr="00D44D33">
        <w:rPr>
          <w:rFonts w:ascii="Times New Roman" w:eastAsia="Times" w:hAnsi="Times New Roman" w:cs="Times New Roman"/>
          <w:sz w:val="24"/>
          <w:szCs w:val="24"/>
        </w:rPr>
        <w:t>opłat</w:t>
      </w:r>
      <w:r w:rsidR="00371EEA">
        <w:rPr>
          <w:rFonts w:ascii="Times New Roman" w:eastAsia="Times New Roman"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ED534C"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00ED534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rygor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natychmiastowej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wykonalności.</w:t>
      </w:r>
      <w:r w:rsidR="00970B2E" w:rsidRPr="00D44D33">
        <w:rPr>
          <w:rFonts w:ascii="Times New Roman" w:eastAsiaTheme="minorEastAsia" w:hAnsi="Times New Roman" w:cs="Times New Roman"/>
          <w:sz w:val="24"/>
          <w:szCs w:val="24"/>
        </w:rPr>
        <w:t xml:space="preserve"> </w:t>
      </w:r>
    </w:p>
    <w:p w14:paraId="2BE389E2" w14:textId="31251401" w:rsidR="00805650" w:rsidRPr="00D44D33" w:rsidRDefault="001A032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360</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b/>
          <w:sz w:val="24"/>
          <w:szCs w:val="24"/>
          <w:lang w:eastAsia="pl-PL"/>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361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p>
    <w:p w14:paraId="532D6DF4" w14:textId="403CA57E" w:rsidR="001A032F" w:rsidRPr="00D44D33" w:rsidRDefault="001A032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362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Uzależnienie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nieracjonalnych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zagwarantowania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zwykłych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wglądu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potwierdzające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dochody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niepełnosprawności.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nieuzasadnionych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nieracjonalnych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p>
    <w:p w14:paraId="04E5B127" w14:textId="59B87364" w:rsidR="007C7E56" w:rsidRPr="00D44D33" w:rsidRDefault="75721C3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363</w:t>
      </w:r>
    </w:p>
    <w:p w14:paraId="7F95D8F6" w14:textId="7AC9EAD9" w:rsidR="00805650" w:rsidRPr="00D44D33" w:rsidRDefault="007C7E5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Z</w:t>
      </w:r>
      <w:r w:rsidR="477CBA7C" w:rsidRPr="00D44D33">
        <w:rPr>
          <w:rFonts w:ascii="Times New Roman" w:eastAsiaTheme="minorEastAsia" w:hAnsi="Times New Roman" w:cs="Times New Roman"/>
          <w:b/>
          <w:bCs/>
          <w:sz w:val="24"/>
          <w:szCs w:val="24"/>
        </w:rPr>
        <w:t>bycie</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środków</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majątkowych</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sieci</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dostępu</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przez</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przedsiębiorcę</w:t>
      </w:r>
      <w:r w:rsidR="00970B2E" w:rsidRPr="00D44D33">
        <w:rPr>
          <w:rFonts w:ascii="Times New Roman" w:eastAsiaTheme="minorEastAsia" w:hAnsi="Times New Roman" w:cs="Times New Roman"/>
          <w:b/>
          <w:bCs/>
          <w:sz w:val="24"/>
          <w:szCs w:val="24"/>
        </w:rPr>
        <w:t xml:space="preserve"> </w:t>
      </w:r>
      <w:r w:rsidR="477CBA7C" w:rsidRPr="00D44D33">
        <w:rPr>
          <w:rFonts w:ascii="Times New Roman" w:eastAsiaTheme="minorEastAsia" w:hAnsi="Times New Roman" w:cs="Times New Roman"/>
          <w:b/>
          <w:bCs/>
          <w:sz w:val="24"/>
          <w:szCs w:val="24"/>
        </w:rPr>
        <w:t>wyznaczonego</w:t>
      </w:r>
    </w:p>
    <w:p w14:paraId="32B14BC1" w14:textId="7B0BA615" w:rsidR="00805650" w:rsidRPr="00D44D33" w:rsidRDefault="007C7E5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363</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sytuację</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zbycia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majątkowych</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lokalnej</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znacznej</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odrębnego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zawiadomić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najpóźniej</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sześć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planowanym</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zbyciem,</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zbycia.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Powziąwszy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informację</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zbyciu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nałożyć,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uchylić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wpływ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zbycia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stan</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dostępności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jakości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planowane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realizowane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przedsięwzięcia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inwestycyjne,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zdolność</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477CBA7C" w:rsidRPr="00D44D33">
        <w:rPr>
          <w:rFonts w:ascii="Times New Roman" w:eastAsiaTheme="minorEastAsia" w:hAnsi="Times New Roman" w:cs="Times New Roman"/>
          <w:sz w:val="24"/>
          <w:szCs w:val="24"/>
        </w:rPr>
        <w:t>obszarze.</w:t>
      </w:r>
      <w:r w:rsidR="00371EEA">
        <w:rPr>
          <w:rFonts w:ascii="Times New Roman" w:eastAsiaTheme="minorEastAsia" w:hAnsi="Times New Roman" w:cs="Times New Roman"/>
          <w:sz w:val="24"/>
          <w:szCs w:val="24"/>
        </w:rPr>
        <w:t xml:space="preserve"> </w:t>
      </w:r>
    </w:p>
    <w:p w14:paraId="56B404A7" w14:textId="69E07F5B" w:rsidR="3D71DDF3" w:rsidRPr="00D44D33" w:rsidRDefault="007C7E5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Przepis </w:t>
      </w:r>
      <w:r w:rsidR="3D71DDF3"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86</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3D71DDF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tożsamy</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F37F08B" w:rsidRPr="00D44D33">
        <w:rPr>
          <w:rFonts w:ascii="Times New Roman" w:eastAsiaTheme="minorEastAsia" w:hAnsi="Times New Roman" w:cs="Times New Roman"/>
          <w:sz w:val="24"/>
          <w:szCs w:val="24"/>
        </w:rPr>
        <w:t>zakresie.</w:t>
      </w:r>
    </w:p>
    <w:p w14:paraId="09A134E1" w14:textId="2F8E266C" w:rsidR="007C7E56" w:rsidRPr="00D44D33" w:rsidRDefault="007C7E56" w:rsidP="00D44D33">
      <w:pPr>
        <w:spacing w:before="120" w:after="120" w:line="360" w:lineRule="auto"/>
        <w:jc w:val="center"/>
        <w:rPr>
          <w:rFonts w:ascii="Times New Roman" w:eastAsiaTheme="minorEastAsia" w:hAnsi="Times New Roman" w:cs="Times New Roman"/>
          <w:b/>
          <w:bCs/>
          <w:sz w:val="24"/>
          <w:szCs w:val="24"/>
        </w:rPr>
      </w:pPr>
      <w:bookmarkStart w:id="9" w:name="mip44758158"/>
      <w:bookmarkStart w:id="10" w:name="mip44758159"/>
      <w:bookmarkStart w:id="11" w:name="mip44758160"/>
      <w:bookmarkStart w:id="12" w:name="mip44758161"/>
      <w:bookmarkStart w:id="13" w:name="mip44758162"/>
      <w:bookmarkEnd w:id="9"/>
      <w:bookmarkEnd w:id="10"/>
      <w:bookmarkEnd w:id="11"/>
      <w:bookmarkEnd w:id="12"/>
      <w:bookmarkEnd w:id="13"/>
      <w:r w:rsidRPr="00D44D33">
        <w:rPr>
          <w:rFonts w:ascii="Times New Roman" w:eastAsiaTheme="minorEastAsia" w:hAnsi="Times New Roman" w:cs="Times New Roman"/>
          <w:b/>
          <w:bCs/>
          <w:sz w:val="24"/>
          <w:szCs w:val="24"/>
        </w:rPr>
        <w:t>Art. 364</w:t>
      </w:r>
      <w:r w:rsidRPr="00D44D33">
        <w:rPr>
          <w:rFonts w:ascii="Times New Roman" w:eastAsiaTheme="minorEastAsia" w:hAnsi="Times New Roman" w:cs="Times New Roman"/>
          <w:b/>
          <w:sz w:val="24"/>
          <w:szCs w:val="24"/>
        </w:rPr>
        <w:t>–</w:t>
      </w:r>
      <w:r w:rsidRPr="00D44D33">
        <w:rPr>
          <w:rFonts w:ascii="Times New Roman" w:eastAsiaTheme="minorEastAsia" w:hAnsi="Times New Roman" w:cs="Times New Roman"/>
          <w:b/>
          <w:bCs/>
          <w:sz w:val="24"/>
          <w:szCs w:val="24"/>
        </w:rPr>
        <w:t>368</w:t>
      </w:r>
    </w:p>
    <w:p w14:paraId="532356D4" w14:textId="306F8801" w:rsidR="00805650" w:rsidRPr="00D44D33" w:rsidRDefault="0080565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Dopłata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zakresie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realizacji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obowiązków</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dotyczących</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powszechnej</w:t>
      </w:r>
    </w:p>
    <w:p w14:paraId="0DC6ECE5" w14:textId="6B29DFE4" w:rsidR="6DFF40C5" w:rsidRPr="00D44D33" w:rsidRDefault="705C9EF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351B53" w:rsidRPr="00D44D33">
        <w:rPr>
          <w:rFonts w:ascii="Times New Roman" w:eastAsiaTheme="minorEastAsia" w:hAnsi="Times New Roman" w:cs="Times New Roman"/>
          <w:b/>
          <w:sz w:val="24"/>
          <w:szCs w:val="24"/>
        </w:rPr>
        <w:t>364</w:t>
      </w:r>
      <w:r w:rsidR="0036212F" w:rsidRPr="00D44D33">
        <w:rPr>
          <w:rFonts w:ascii="Times New Roman" w:eastAsiaTheme="minorEastAsia" w:hAnsi="Times New Roman" w:cs="Times New Roman"/>
          <w:b/>
          <w:sz w:val="24"/>
          <w:szCs w:val="24"/>
        </w:rPr>
        <w:t>–</w:t>
      </w:r>
      <w:r w:rsidR="00351B53" w:rsidRPr="00D44D33">
        <w:rPr>
          <w:rFonts w:ascii="Times New Roman" w:eastAsiaTheme="minorEastAsia" w:hAnsi="Times New Roman" w:cs="Times New Roman"/>
          <w:b/>
          <w:sz w:val="24"/>
          <w:szCs w:val="24"/>
        </w:rPr>
        <w:t>368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95</w:t>
      </w:r>
      <w:r w:rsidR="0036212F" w:rsidRPr="00D44D33">
        <w:rPr>
          <w:rFonts w:ascii="Times New Roman" w:eastAsiaTheme="minorEastAsia" w:hAnsi="Times New Roman" w:cs="Times New Roman"/>
          <w:b/>
          <w:sz w:val="24"/>
          <w:szCs w:val="24"/>
        </w:rPr>
        <w:t>–</w:t>
      </w:r>
      <w:r w:rsidRPr="00D44D33">
        <w:rPr>
          <w:rFonts w:ascii="Times New Roman" w:eastAsiaTheme="minorEastAsia" w:hAnsi="Times New Roman" w:cs="Times New Roman"/>
          <w:sz w:val="24"/>
          <w:szCs w:val="24"/>
        </w:rPr>
        <w:t>99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wynikającymi</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7BBCA43D"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9C197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9C1978" w:rsidRPr="00D44D33">
        <w:rPr>
          <w:rFonts w:ascii="Times New Roman" w:eastAsiaTheme="minorEastAsia" w:hAnsi="Times New Roman" w:cs="Times New Roman"/>
          <w:sz w:val="24"/>
          <w:szCs w:val="24"/>
        </w:rPr>
        <w:t>zmienionego</w:t>
      </w:r>
      <w:r w:rsidR="00970B2E" w:rsidRPr="00D44D33">
        <w:rPr>
          <w:rFonts w:ascii="Times New Roman" w:eastAsiaTheme="minorEastAsia" w:hAnsi="Times New Roman" w:cs="Times New Roman"/>
          <w:sz w:val="24"/>
          <w:szCs w:val="24"/>
        </w:rPr>
        <w:t xml:space="preserve"> </w:t>
      </w:r>
      <w:r w:rsidR="009C1978" w:rsidRPr="00D44D33">
        <w:rPr>
          <w:rFonts w:ascii="Times New Roman" w:eastAsiaTheme="minorEastAsia" w:hAnsi="Times New Roman" w:cs="Times New Roman"/>
          <w:sz w:val="24"/>
          <w:szCs w:val="24"/>
        </w:rPr>
        <w:t>kręgu</w:t>
      </w:r>
      <w:r w:rsidR="00970B2E" w:rsidRPr="00D44D33">
        <w:rPr>
          <w:rFonts w:ascii="Times New Roman" w:eastAsiaTheme="minorEastAsia" w:hAnsi="Times New Roman" w:cs="Times New Roman"/>
          <w:sz w:val="24"/>
          <w:szCs w:val="24"/>
        </w:rPr>
        <w:t xml:space="preserve"> </w:t>
      </w:r>
      <w:r w:rsidR="009C1978"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9C1978"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009C1978" w:rsidRPr="00D44D33">
        <w:rPr>
          <w:rFonts w:ascii="Times New Roman" w:hAnsi="Times New Roman" w:cs="Times New Roman"/>
          <w:sz w:val="24"/>
          <w:szCs w:val="24"/>
        </w:rPr>
        <w:t>obowiązek</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kosztów</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realizacji</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obowiązku</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świadczenia</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usługi</w:t>
      </w:r>
      <w:r w:rsidR="00970B2E" w:rsidRPr="00D44D33">
        <w:rPr>
          <w:rFonts w:ascii="Times New Roman" w:hAnsi="Times New Roman" w:cs="Times New Roman"/>
          <w:sz w:val="24"/>
          <w:szCs w:val="24"/>
        </w:rPr>
        <w:t xml:space="preserve"> </w:t>
      </w:r>
      <w:r w:rsidR="009C1978" w:rsidRPr="00D44D33">
        <w:rPr>
          <w:rFonts w:ascii="Times New Roman" w:hAnsi="Times New Roman" w:cs="Times New Roman"/>
          <w:sz w:val="24"/>
          <w:szCs w:val="24"/>
        </w:rPr>
        <w:t>powszechnej</w:t>
      </w:r>
      <w:r w:rsidR="7BBCA43D" w:rsidRPr="00D44D33">
        <w:rPr>
          <w:rFonts w:ascii="Times New Roman" w:eastAsiaTheme="minorEastAsia" w:hAnsi="Times New Roman" w:cs="Times New Roman"/>
          <w:sz w:val="24"/>
          <w:szCs w:val="24"/>
        </w:rPr>
        <w:t>.</w:t>
      </w:r>
    </w:p>
    <w:p w14:paraId="15EC60AE" w14:textId="77777777" w:rsidR="00E16D66" w:rsidRPr="00D44D33" w:rsidRDefault="00805650"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1B53" w:rsidRPr="00D44D33">
        <w:rPr>
          <w:rFonts w:ascii="Times New Roman" w:eastAsiaTheme="minorEastAsia" w:hAnsi="Times New Roman" w:cs="Times New Roman"/>
          <w:b/>
          <w:bCs/>
          <w:sz w:val="24"/>
          <w:szCs w:val="24"/>
        </w:rPr>
        <w:t>364</w:t>
      </w:r>
    </w:p>
    <w:p w14:paraId="237AB38F" w14:textId="0DB18DE8" w:rsidR="00805650" w:rsidRPr="00D44D33" w:rsidRDefault="00E16D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ustanowienie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dopłat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stanowiących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przyjęto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mechanizm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wspólnego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finansowania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Kalkulacja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uwzględniać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przychody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obowiązku</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bezpośrednio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00351B5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realizacją</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korzyści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pośrednie,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uzyskuje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923F09" w:rsidRPr="00D44D33">
        <w:rPr>
          <w:rFonts w:ascii="Times New Roman" w:eastAsiaTheme="minorEastAsia" w:hAnsi="Times New Roman" w:cs="Times New Roman"/>
          <w:sz w:val="24"/>
          <w:szCs w:val="24"/>
        </w:rPr>
        <w:t>realizacją</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Szczegółowe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właściwego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finansowania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89</w:t>
      </w:r>
      <w:r w:rsidR="0036212F" w:rsidRPr="00D44D33">
        <w:rPr>
          <w:rFonts w:ascii="Times New Roman" w:eastAsiaTheme="minorEastAsia" w:hAnsi="Times New Roman" w:cs="Times New Roman"/>
          <w:b/>
          <w:sz w:val="24"/>
          <w:szCs w:val="24"/>
        </w:rPr>
        <w:t>–</w:t>
      </w:r>
      <w:r w:rsidR="00805650" w:rsidRPr="00D44D33">
        <w:rPr>
          <w:rFonts w:ascii="Times New Roman" w:eastAsiaTheme="minorEastAsia" w:hAnsi="Times New Roman" w:cs="Times New Roman"/>
          <w:sz w:val="24"/>
          <w:szCs w:val="24"/>
        </w:rPr>
        <w:t>91</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081A7D" w:rsidRPr="00D44D33">
        <w:rPr>
          <w:rFonts w:ascii="Times New Roman" w:eastAsiaTheme="minorEastAsia" w:hAnsi="Times New Roman" w:cs="Times New Roman"/>
          <w:sz w:val="24"/>
          <w:szCs w:val="24"/>
        </w:rPr>
        <w:t>z</w:t>
      </w:r>
      <w:r w:rsidR="00805650" w:rsidRPr="00D44D33">
        <w:rPr>
          <w:rFonts w:ascii="Times New Roman" w:eastAsiaTheme="minorEastAsia" w:hAnsi="Times New Roman" w:cs="Times New Roman"/>
          <w:sz w:val="24"/>
          <w:szCs w:val="24"/>
        </w:rPr>
        <w:t>ałącznika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VII.</w:t>
      </w:r>
    </w:p>
    <w:p w14:paraId="260570FD" w14:textId="2056A735" w:rsidR="00AD1EC9" w:rsidRPr="00D44D33" w:rsidRDefault="00FD0BE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00AD1EC9"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działalności</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elektronicznej</w:t>
      </w:r>
      <w:r w:rsidRPr="00D44D33">
        <w:rPr>
          <w:rFonts w:ascii="Times New Roman" w:eastAsiaTheme="minorEastAsia" w:hAnsi="Times New Roman" w:cs="Times New Roman"/>
          <w:sz w:val="24"/>
          <w:szCs w:val="24"/>
        </w:rPr>
        <w:t>,</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który</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wyznacznikiem</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tego,</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dany</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przedsiębiorca</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elektronicznej</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zobligowany</w:t>
      </w:r>
      <w:r w:rsidR="00970B2E" w:rsidRPr="00D44D33">
        <w:rPr>
          <w:rFonts w:ascii="Times New Roman" w:hAnsi="Times New Roman" w:cs="Times New Roman"/>
          <w:sz w:val="24"/>
          <w:szCs w:val="24"/>
        </w:rPr>
        <w:t xml:space="preserve"> </w:t>
      </w:r>
      <w:r w:rsidR="00AD1EC9" w:rsidRPr="00D44D33">
        <w:rPr>
          <w:rFonts w:ascii="Times New Roman"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finansowania</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poniesionego</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AD1EC9" w:rsidRPr="00D44D33">
        <w:rPr>
          <w:rFonts w:ascii="Times New Roman" w:eastAsiaTheme="minorEastAsia" w:hAnsi="Times New Roman" w:cs="Times New Roman"/>
          <w:sz w:val="24"/>
          <w:szCs w:val="24"/>
        </w:rPr>
        <w:t>netto</w:t>
      </w:r>
      <w:r w:rsidR="0053058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zwiększając</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wynikającej</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530589" w:rsidRPr="00D44D33">
        <w:rPr>
          <w:rFonts w:ascii="Times New Roman" w:eastAsiaTheme="minorEastAsia" w:hAnsi="Times New Roman" w:cs="Times New Roman"/>
          <w:sz w:val="24"/>
          <w:szCs w:val="24"/>
        </w:rPr>
        <w:t>Pt</w:t>
      </w:r>
      <w:r w:rsidR="00AD1EC9" w:rsidRPr="00D44D33">
        <w:rPr>
          <w:rFonts w:ascii="Times New Roman" w:eastAsiaTheme="minorEastAsia" w:hAnsi="Times New Roman" w:cs="Times New Roman"/>
          <w:sz w:val="24"/>
          <w:szCs w:val="24"/>
        </w:rPr>
        <w:t>.</w:t>
      </w:r>
    </w:p>
    <w:p w14:paraId="6380AC93" w14:textId="661729A0" w:rsidR="00C06809" w:rsidRPr="00D44D33" w:rsidRDefault="00FD0BE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Zamiast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w:t>
      </w:r>
      <w:r w:rsidR="00C54A91"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r w:rsidR="00C54A91"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obliczał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stronie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BIP</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przeciętnego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wynagrodzenia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gospodarce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narodowej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poprzednim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kalendarzowym,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ogłaszanego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Głównego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Urzędu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Statystycznego</w:t>
      </w:r>
      <w:r w:rsidR="00970B2E" w:rsidRPr="00D44D33">
        <w:rPr>
          <w:rStyle w:val="Pogrubienie"/>
          <w:rFonts w:ascii="Times New Roman" w:hAnsi="Times New Roman" w:cs="Times New Roman"/>
          <w:sz w:val="24"/>
          <w:szCs w:val="24"/>
        </w:rPr>
        <w:t xml:space="preserve"> </w:t>
      </w:r>
      <w:r w:rsidRPr="00D44D33">
        <w:rPr>
          <w:rStyle w:val="Pogrubienie"/>
          <w:rFonts w:ascii="Times New Roman" w:hAnsi="Times New Roman" w:cs="Times New Roman"/>
          <w:b w:val="0"/>
          <w:bCs w:val="0"/>
          <w:sz w:val="24"/>
          <w:szCs w:val="24"/>
        </w:rPr>
        <w:t>na</w:t>
      </w:r>
      <w:r w:rsidR="00970B2E" w:rsidRPr="00D44D33">
        <w:rPr>
          <w:rStyle w:val="Pogrubienie"/>
          <w:rFonts w:ascii="Times New Roman" w:hAnsi="Times New Roman" w:cs="Times New Roman"/>
          <w:b w:val="0"/>
          <w:bCs w:val="0"/>
          <w:sz w:val="24"/>
          <w:szCs w:val="24"/>
        </w:rPr>
        <w:t xml:space="preserve"> </w:t>
      </w:r>
      <w:r w:rsidRPr="00D44D33">
        <w:rPr>
          <w:rStyle w:val="Pogrubienie"/>
          <w:rFonts w:ascii="Times New Roman" w:hAnsi="Times New Roman" w:cs="Times New Roman"/>
          <w:b w:val="0"/>
          <w:bCs w:val="0"/>
          <w:sz w:val="24"/>
          <w:szCs w:val="24"/>
        </w:rPr>
        <w:t>podstawie</w:t>
      </w:r>
      <w:r w:rsidR="00970B2E" w:rsidRPr="00D44D33">
        <w:rPr>
          <w:rFonts w:ascii="Times New Roman" w:hAnsi="Times New Roman" w:cs="Times New Roman"/>
          <w:b/>
          <w:bCs/>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20</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lit.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17</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grudnia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1998</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emeryturach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rentach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Funduszu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Ubezpieczeń</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Społecznych.</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Biorąc</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uwagę,</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przeciętne</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wynagrodzenie</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gospodarce</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narodowej</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2020</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wyniosło</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167,47</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zł,</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wysokość</w:t>
      </w:r>
      <w:r w:rsidR="00970B2E" w:rsidRPr="00D44D33">
        <w:rPr>
          <w:rFonts w:ascii="Times New Roman" w:hAnsi="Times New Roman" w:cs="Times New Roman"/>
          <w:sz w:val="24"/>
          <w:szCs w:val="24"/>
        </w:rPr>
        <w:t xml:space="preserve"> </w:t>
      </w:r>
      <w:r w:rsidR="00F95DF9"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00F95DF9"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00F95DF9"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działalności</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elektronicznej</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rok</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2020</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wyniosł</w:t>
      </w:r>
      <w:r w:rsidR="5D751B47" w:rsidRPr="00D44D33">
        <w:rPr>
          <w:rFonts w:ascii="Times New Roman" w:hAnsi="Times New Roman" w:cs="Times New Roman"/>
          <w:sz w:val="24"/>
          <w:szCs w:val="24"/>
        </w:rPr>
        <w:t>a</w:t>
      </w:r>
      <w:r w:rsidR="00F95DF9" w:rsidRPr="00D44D33">
        <w:rPr>
          <w:rFonts w:ascii="Times New Roman" w:hAnsi="Times New Roman" w:cs="Times New Roman"/>
          <w:sz w:val="24"/>
          <w:szCs w:val="24"/>
        </w:rPr>
        <w:t>by</w:t>
      </w:r>
      <w:r w:rsidR="00970B2E" w:rsidRPr="00D44D33">
        <w:rPr>
          <w:rFonts w:ascii="Times New Roman" w:hAnsi="Times New Roman" w:cs="Times New Roman"/>
          <w:sz w:val="24"/>
          <w:szCs w:val="24"/>
        </w:rPr>
        <w:t xml:space="preserve"> </w:t>
      </w:r>
      <w:r w:rsidR="00530589" w:rsidRPr="00D44D33">
        <w:rPr>
          <w:rFonts w:ascii="Times New Roman" w:hAnsi="Times New Roman" w:cs="Times New Roman"/>
          <w:sz w:val="24"/>
          <w:szCs w:val="24"/>
        </w:rPr>
        <w:t>20</w:t>
      </w:r>
      <w:r w:rsidR="00970B2E" w:rsidRPr="00D44D33">
        <w:rPr>
          <w:rFonts w:ascii="Times New Roman" w:hAnsi="Times New Roman" w:cs="Times New Roman"/>
          <w:sz w:val="24"/>
          <w:szCs w:val="24"/>
        </w:rPr>
        <w:t xml:space="preserve"> </w:t>
      </w:r>
      <w:r w:rsidR="00530589" w:rsidRPr="00D44D33">
        <w:rPr>
          <w:rFonts w:ascii="Times New Roman" w:hAnsi="Times New Roman" w:cs="Times New Roman"/>
          <w:sz w:val="24"/>
          <w:szCs w:val="24"/>
        </w:rPr>
        <w:t>669</w:t>
      </w:r>
      <w:r w:rsidR="00970B2E" w:rsidRPr="00D44D33">
        <w:rPr>
          <w:rFonts w:ascii="Times New Roman" w:hAnsi="Times New Roman" w:cs="Times New Roman"/>
          <w:sz w:val="24"/>
          <w:szCs w:val="24"/>
        </w:rPr>
        <w:t xml:space="preserve"> </w:t>
      </w:r>
      <w:r w:rsidR="00530589" w:rsidRPr="00D44D33">
        <w:rPr>
          <w:rFonts w:ascii="Times New Roman" w:hAnsi="Times New Roman" w:cs="Times New Roman"/>
          <w:sz w:val="24"/>
          <w:szCs w:val="24"/>
        </w:rPr>
        <w:t>880</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zł,</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czyli</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tylko</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przedsiębiorcy</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elektronicznej,</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których</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przychód</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działalności</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komunikacji</w:t>
      </w:r>
      <w:r w:rsidR="00970B2E" w:rsidRPr="00D44D33">
        <w:rPr>
          <w:rFonts w:ascii="Times New Roman" w:hAnsi="Times New Roman" w:cs="Times New Roman"/>
          <w:sz w:val="24"/>
          <w:szCs w:val="24"/>
        </w:rPr>
        <w:t xml:space="preserve"> </w:t>
      </w:r>
      <w:r w:rsidR="00F95DF9" w:rsidRPr="00D44D33">
        <w:rPr>
          <w:rFonts w:ascii="Times New Roman" w:hAnsi="Times New Roman" w:cs="Times New Roman"/>
          <w:sz w:val="24"/>
          <w:szCs w:val="24"/>
        </w:rPr>
        <w:t>elektronicznej</w:t>
      </w:r>
      <w:r w:rsidR="00970B2E" w:rsidRPr="00D44D33">
        <w:rPr>
          <w:rFonts w:ascii="Times New Roman" w:hAnsi="Times New Roman" w:cs="Times New Roman"/>
          <w:sz w:val="24"/>
          <w:szCs w:val="24"/>
        </w:rPr>
        <w:t xml:space="preserve"> </w:t>
      </w:r>
      <w:r w:rsidR="00356966"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56966"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00356966" w:rsidRPr="00D44D33">
        <w:rPr>
          <w:rFonts w:ascii="Times New Roman" w:hAnsi="Times New Roman" w:cs="Times New Roman"/>
          <w:sz w:val="24"/>
          <w:szCs w:val="24"/>
        </w:rPr>
        <w:t>2020</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przekroczyłby</w:t>
      </w:r>
      <w:r w:rsidR="00970B2E" w:rsidRPr="00D44D33">
        <w:rPr>
          <w:rFonts w:ascii="Times New Roman" w:hAnsi="Times New Roman" w:cs="Times New Roman"/>
          <w:sz w:val="24"/>
          <w:szCs w:val="24"/>
        </w:rPr>
        <w:t xml:space="preserve"> </w:t>
      </w:r>
      <w:r w:rsidR="00530589" w:rsidRPr="00D44D33">
        <w:rPr>
          <w:rFonts w:ascii="Times New Roman" w:hAnsi="Times New Roman" w:cs="Times New Roman"/>
          <w:sz w:val="24"/>
          <w:szCs w:val="24"/>
        </w:rPr>
        <w:t>20</w:t>
      </w:r>
      <w:r w:rsidR="00970B2E" w:rsidRPr="00D44D33">
        <w:rPr>
          <w:rFonts w:ascii="Times New Roman" w:hAnsi="Times New Roman" w:cs="Times New Roman"/>
          <w:sz w:val="24"/>
          <w:szCs w:val="24"/>
        </w:rPr>
        <w:t xml:space="preserve"> </w:t>
      </w:r>
      <w:r w:rsidR="00530589" w:rsidRPr="00D44D33">
        <w:rPr>
          <w:rFonts w:ascii="Times New Roman" w:hAnsi="Times New Roman" w:cs="Times New Roman"/>
          <w:sz w:val="24"/>
          <w:szCs w:val="24"/>
        </w:rPr>
        <w:t>669</w:t>
      </w:r>
      <w:r w:rsidR="00970B2E" w:rsidRPr="00D44D33">
        <w:rPr>
          <w:rFonts w:ascii="Times New Roman" w:hAnsi="Times New Roman" w:cs="Times New Roman"/>
          <w:sz w:val="24"/>
          <w:szCs w:val="24"/>
        </w:rPr>
        <w:t xml:space="preserve"> </w:t>
      </w:r>
      <w:r w:rsidR="00530589" w:rsidRPr="00D44D33">
        <w:rPr>
          <w:rFonts w:ascii="Times New Roman" w:hAnsi="Times New Roman" w:cs="Times New Roman"/>
          <w:sz w:val="24"/>
          <w:szCs w:val="24"/>
        </w:rPr>
        <w:t>880</w:t>
      </w:r>
      <w:r w:rsidR="00970B2E" w:rsidRPr="00D44D33">
        <w:rPr>
          <w:rFonts w:ascii="Times New Roman" w:hAnsi="Times New Roman" w:cs="Times New Roman"/>
          <w:sz w:val="24"/>
          <w:szCs w:val="24"/>
        </w:rPr>
        <w:t xml:space="preserve"> </w:t>
      </w:r>
      <w:r w:rsidR="00F90E60" w:rsidRPr="00D44D33">
        <w:rPr>
          <w:rFonts w:ascii="Times New Roman" w:hAnsi="Times New Roman" w:cs="Times New Roman"/>
          <w:sz w:val="24"/>
          <w:szCs w:val="24"/>
        </w:rPr>
        <w:t>zł</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byliby</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zobowiązani</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rok</w:t>
      </w:r>
      <w:r w:rsidR="00970B2E" w:rsidRPr="00D44D33">
        <w:rPr>
          <w:rFonts w:ascii="Times New Roman" w:hAnsi="Times New Roman" w:cs="Times New Roman"/>
          <w:sz w:val="24"/>
          <w:szCs w:val="24"/>
        </w:rPr>
        <w:t xml:space="preserve"> </w:t>
      </w:r>
      <w:r w:rsidR="00EB4493" w:rsidRPr="00D44D33">
        <w:rPr>
          <w:rFonts w:ascii="Times New Roman" w:hAnsi="Times New Roman" w:cs="Times New Roman"/>
          <w:sz w:val="24"/>
          <w:szCs w:val="24"/>
        </w:rPr>
        <w:t>2020.</w:t>
      </w:r>
    </w:p>
    <w:p w14:paraId="728A908A" w14:textId="1D56E841" w:rsidR="00E16D66" w:rsidRPr="00D44D33" w:rsidRDefault="00805650"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1B53" w:rsidRPr="00D44D33">
        <w:rPr>
          <w:rFonts w:ascii="Times New Roman" w:eastAsiaTheme="minorEastAsia" w:hAnsi="Times New Roman" w:cs="Times New Roman"/>
          <w:b/>
          <w:bCs/>
          <w:sz w:val="24"/>
          <w:szCs w:val="24"/>
        </w:rPr>
        <w:t>365</w:t>
      </w:r>
    </w:p>
    <w:p w14:paraId="3547286D" w14:textId="65DD892C" w:rsidR="00805650" w:rsidRPr="00D44D33" w:rsidRDefault="00E16D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w:t>
      </w:r>
      <w:r w:rsidR="00805650" w:rsidRPr="00D44D33">
        <w:rPr>
          <w:rFonts w:ascii="Times New Roman" w:eastAsiaTheme="minorEastAsia" w:hAnsi="Times New Roman" w:cs="Times New Roman"/>
          <w:sz w:val="24"/>
          <w:szCs w:val="24"/>
        </w:rPr>
        <w:t>rzedsiębiorca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związanego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objętej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złożyć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wniosek</w:t>
      </w:r>
      <w:r w:rsidR="00351B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m-cy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kalendarzowego,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przyznanie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poniesionego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Dopłata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przyznana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144DD20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realizacja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niesprawiedliwe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obciążenie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weryfikuje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kalkulacji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podstawie</w:t>
      </w:r>
      <w:r w:rsidR="00C447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dostarczonych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wyznaczonego</w:t>
      </w:r>
      <w:r w:rsidR="00C447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powołuje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biegłego</w:t>
      </w:r>
      <w:r w:rsidR="00970B2E" w:rsidRPr="00D44D33">
        <w:rPr>
          <w:rFonts w:ascii="Times New Roman" w:eastAsiaTheme="minorEastAsia" w:hAnsi="Times New Roman" w:cs="Times New Roman"/>
          <w:sz w:val="24"/>
          <w:szCs w:val="24"/>
        </w:rPr>
        <w:t xml:space="preserve"> </w:t>
      </w:r>
      <w:r w:rsidR="00416CA2" w:rsidRPr="00D44D33">
        <w:rPr>
          <w:rFonts w:ascii="Times New Roman" w:eastAsiaTheme="minorEastAsia" w:hAnsi="Times New Roman" w:cs="Times New Roman"/>
          <w:sz w:val="24"/>
          <w:szCs w:val="24"/>
        </w:rPr>
        <w:t>rewidenta</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w:t>
      </w:r>
      <w:r w:rsidR="006D1401" w:rsidRPr="00D44D33">
        <w:rPr>
          <w:rFonts w:ascii="Times New Roman" w:eastAsiaTheme="minorEastAsia" w:hAnsi="Times New Roman" w:cs="Times New Roman"/>
          <w:sz w:val="24"/>
          <w:szCs w:val="24"/>
        </w:rPr>
        <w:t>rzyznaje</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ustaloną</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kwotę</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dopłaty</w:t>
      </w:r>
      <w:r w:rsidR="6919D59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jeśli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zweryfikowany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nieuzasadnione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obciążeni</w:t>
      </w:r>
      <w:r w:rsidR="6B5F5139"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wyznaczonego.</w:t>
      </w:r>
    </w:p>
    <w:p w14:paraId="2A18D68A" w14:textId="77777777" w:rsidR="00E16D66" w:rsidRPr="00D44D33" w:rsidRDefault="00805650" w:rsidP="00D44D33">
      <w:pPr>
        <w:spacing w:after="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1B53" w:rsidRPr="00D44D33">
        <w:rPr>
          <w:rFonts w:ascii="Times New Roman" w:eastAsiaTheme="minorEastAsia" w:hAnsi="Times New Roman" w:cs="Times New Roman"/>
          <w:b/>
          <w:bCs/>
          <w:sz w:val="24"/>
          <w:szCs w:val="24"/>
        </w:rPr>
        <w:t>366</w:t>
      </w:r>
    </w:p>
    <w:p w14:paraId="3B62F9AC" w14:textId="18997AA1" w:rsidR="00FA6495" w:rsidRPr="00D44D33" w:rsidRDefault="00E16D66" w:rsidP="00D44D33">
      <w:pPr>
        <w:spacing w:after="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805650" w:rsidRPr="00D44D33">
        <w:rPr>
          <w:rFonts w:ascii="Times New Roman" w:eastAsiaTheme="minorEastAsia" w:hAnsi="Times New Roman" w:cs="Times New Roman"/>
          <w:sz w:val="24"/>
          <w:szCs w:val="24"/>
        </w:rPr>
        <w:t>godnie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finansowania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poniesionego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zobligowani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6362"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00246362" w:rsidRPr="00D44D33">
        <w:rPr>
          <w:rFonts w:ascii="Times New Roman" w:eastAsiaTheme="minorEastAsia" w:hAnsi="Times New Roman" w:cs="Times New Roman"/>
          <w:sz w:val="24"/>
          <w:szCs w:val="24"/>
        </w:rPr>
        <w:t>kalendarzowym</w:t>
      </w:r>
      <w:r w:rsidR="00970B2E" w:rsidRPr="00D44D33">
        <w:rPr>
          <w:rFonts w:ascii="Times New Roman" w:eastAsiaTheme="minorEastAsia" w:hAnsi="Times New Roman" w:cs="Times New Roman"/>
          <w:sz w:val="24"/>
          <w:szCs w:val="24"/>
        </w:rPr>
        <w:t xml:space="preserve"> </w:t>
      </w:r>
      <w:r w:rsidR="00246362"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246362"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246362"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246362" w:rsidRPr="00D44D33">
        <w:rPr>
          <w:rFonts w:ascii="Times New Roman" w:eastAsiaTheme="minorEastAsia" w:hAnsi="Times New Roman" w:cs="Times New Roman"/>
          <w:sz w:val="24"/>
          <w:szCs w:val="24"/>
        </w:rPr>
        <w:t>dopłata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przekroczy</w:t>
      </w:r>
      <w:r w:rsidR="00970B2E" w:rsidRPr="00D44D33">
        <w:rPr>
          <w:rFonts w:ascii="Times New Roman" w:eastAsiaTheme="minorEastAsia" w:hAnsi="Times New Roman" w:cs="Times New Roman"/>
          <w:sz w:val="24"/>
          <w:szCs w:val="24"/>
        </w:rPr>
        <w:t xml:space="preserve"> </w:t>
      </w:r>
      <w:r w:rsidR="00A60B41" w:rsidRPr="00D44D33">
        <w:rPr>
          <w:rFonts w:ascii="Times New Roman" w:hAnsi="Times New Roman" w:cs="Times New Roman"/>
          <w:sz w:val="24"/>
          <w:szCs w:val="24"/>
        </w:rPr>
        <w:t>próg,</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364</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6,</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obliczony</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kalendarzowego,</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który</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przysługuje</w:t>
      </w:r>
      <w:r w:rsidR="00970B2E" w:rsidRPr="00D44D33">
        <w:rPr>
          <w:rFonts w:ascii="Times New Roman" w:hAnsi="Times New Roman" w:cs="Times New Roman"/>
          <w:sz w:val="24"/>
          <w:szCs w:val="24"/>
        </w:rPr>
        <w:t xml:space="preserve"> </w:t>
      </w:r>
      <w:r w:rsidR="00A60B41" w:rsidRPr="00D44D33">
        <w:rPr>
          <w:rFonts w:ascii="Times New Roman" w:hAnsi="Times New Roman" w:cs="Times New Roman"/>
          <w:sz w:val="24"/>
          <w:szCs w:val="24"/>
        </w:rPr>
        <w:t>dopłata</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Określenie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progu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dochodowego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zwolnienie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skala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nieduża.</w:t>
      </w:r>
      <w:r w:rsidR="00970B2E" w:rsidRPr="00D44D33">
        <w:rPr>
          <w:rFonts w:ascii="Times New Roman" w:eastAsiaTheme="minorEastAsia" w:hAnsi="Times New Roman" w:cs="Times New Roman"/>
          <w:sz w:val="24"/>
          <w:szCs w:val="24"/>
        </w:rPr>
        <w:t xml:space="preserve"> </w:t>
      </w:r>
    </w:p>
    <w:p w14:paraId="05E6AF46" w14:textId="6F9DA896" w:rsidR="00805650" w:rsidRPr="00D44D33" w:rsidRDefault="00081A7D" w:rsidP="00D44D33">
      <w:pPr>
        <w:spacing w:after="0" w:line="360" w:lineRule="auto"/>
        <w:jc w:val="both"/>
        <w:rPr>
          <w:rFonts w:ascii="Times New Roman" w:hAnsi="Times New Roman" w:cs="Times New Roman"/>
          <w:sz w:val="24"/>
          <w:szCs w:val="24"/>
        </w:rPr>
      </w:pPr>
      <w:r w:rsidRPr="00D44D33">
        <w:rPr>
          <w:rFonts w:ascii="Times New Roman" w:hAnsi="Times New Roman" w:cs="Times New Roman"/>
          <w:sz w:val="24"/>
          <w:szCs w:val="24"/>
        </w:rPr>
        <w:t>Przepis u</w:t>
      </w:r>
      <w:r w:rsidR="00FA6495" w:rsidRPr="00D44D33">
        <w:rPr>
          <w:rFonts w:ascii="Times New Roman" w:hAnsi="Times New Roman" w:cs="Times New Roman"/>
          <w:sz w:val="24"/>
          <w:szCs w:val="24"/>
        </w:rPr>
        <w:t>st.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2</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uzupełnieniem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przepis</w:t>
      </w:r>
      <w:r w:rsidR="0014467A" w:rsidRPr="00D44D33">
        <w:rPr>
          <w:rFonts w:ascii="Times New Roman" w:hAnsi="Times New Roman" w:cs="Times New Roman"/>
          <w:sz w:val="24"/>
          <w:szCs w:val="24"/>
        </w:rPr>
        <w:t>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358,</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który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umożliwi</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Prezesowi</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przeprowadzenie</w:t>
      </w:r>
      <w:r w:rsidR="00970B2E" w:rsidRPr="00D44D33">
        <w:rPr>
          <w:rFonts w:ascii="Times New Roman" w:eastAsia="Calibri" w:hAnsi="Times New Roman" w:cs="Times New Roman"/>
          <w:sz w:val="24"/>
          <w:szCs w:val="24"/>
        </w:rPr>
        <w:t xml:space="preserve"> </w:t>
      </w:r>
      <w:r w:rsidR="00FA6495" w:rsidRPr="00D44D33">
        <w:rPr>
          <w:rFonts w:ascii="Times New Roman" w:eastAsia="Calibri" w:hAnsi="Times New Roman" w:cs="Times New Roman"/>
          <w:sz w:val="24"/>
          <w:szCs w:val="24"/>
        </w:rPr>
        <w:t>postępowania</w:t>
      </w:r>
      <w:r w:rsidR="00970B2E" w:rsidRPr="00D44D33">
        <w:rPr>
          <w:rFonts w:ascii="Times New Roman" w:eastAsia="Calibri" w:hAnsi="Times New Roman" w:cs="Times New Roman"/>
          <w:sz w:val="24"/>
          <w:szCs w:val="24"/>
        </w:rPr>
        <w:t xml:space="preserve"> </w:t>
      </w:r>
      <w:r w:rsidR="00FA6495" w:rsidRPr="00D44D33">
        <w:rPr>
          <w:rFonts w:ascii="Times New Roman" w:eastAsia="Calibri" w:hAnsi="Times New Roman" w:cs="Times New Roman"/>
          <w:sz w:val="24"/>
          <w:szCs w:val="24"/>
        </w:rPr>
        <w:t>konsultacyjnego</w:t>
      </w:r>
      <w:r w:rsidR="00970B2E" w:rsidRPr="00D44D33">
        <w:rPr>
          <w:rFonts w:ascii="Times New Roman" w:eastAsia="Calibri" w:hAnsi="Times New Roman" w:cs="Times New Roman"/>
          <w:sz w:val="24"/>
          <w:szCs w:val="24"/>
        </w:rPr>
        <w:t xml:space="preserve"> </w:t>
      </w:r>
      <w:r w:rsidR="00FA6495" w:rsidRPr="00D44D33">
        <w:rPr>
          <w:rFonts w:ascii="Times New Roman" w:eastAsia="Times New Roman" w:hAnsi="Times New Roman" w:cs="Times New Roman"/>
          <w:sz w:val="24"/>
          <w:szCs w:val="24"/>
        </w:rPr>
        <w:t>listy</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świadczących,</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poprzednim</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roku</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kalendarzowym,</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publicznie</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dostępną</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usługę</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interpersonalnej</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niewykorzystującej</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numerów,</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sporządzonej</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podmiotów,</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przekazanych</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podstawie</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358</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FA6495" w:rsidRPr="00D44D33">
        <w:rPr>
          <w:rFonts w:ascii="Times New Roman" w:eastAsia="Times New Roman" w:hAnsi="Times New Roman" w:cs="Times New Roman"/>
          <w:sz w:val="24"/>
          <w:szCs w:val="24"/>
        </w:rPr>
        <w:t>3.</w:t>
      </w:r>
      <w:r w:rsidR="00970B2E" w:rsidRPr="00D44D33">
        <w:rPr>
          <w:rFonts w:ascii="Times New Roman" w:eastAsia="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rozliczeniu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kluczowe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aby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lista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podmiotów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była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kompletna,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ponieważ</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podstawie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listy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zgodnie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19</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pozyskiwał</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podmiotów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dane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ich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przychodach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tytułu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świadczenia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przedmiotowych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usług.</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to</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niezbędne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ustalenia,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czy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podmioty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spełniają</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wymóg</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przychodowy,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określony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366</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następnie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uznania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ich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przedsiębiorców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obowiązanych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kolei</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prawidłowe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ustalenie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zakresu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podmiotowego</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postępowań</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dopłatowych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jest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warunkiem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niezbędnym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przeprowadzenia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procesu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rozliczenia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bez</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ryzyka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skutecznie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podnoszonych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zarzutów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zakresie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innych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przedsiębiorców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uczestniczących</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postępowaniu</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dopłatowym,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dot.</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m.in.</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uchylenia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FA6495" w:rsidRPr="00D44D33">
        <w:rPr>
          <w:rFonts w:ascii="Times New Roman" w:hAnsi="Times New Roman" w:cs="Times New Roman"/>
          <w:sz w:val="24"/>
          <w:szCs w:val="24"/>
        </w:rPr>
        <w:t>przedmiocie.</w:t>
      </w:r>
      <w:r w:rsidR="00970B2E" w:rsidRPr="00D44D33">
        <w:rPr>
          <w:rFonts w:ascii="Times New Roman" w:hAnsi="Times New Roman" w:cs="Times New Roman"/>
          <w:sz w:val="24"/>
          <w:szCs w:val="24"/>
        </w:rPr>
        <w:t xml:space="preserve"> </w:t>
      </w:r>
    </w:p>
    <w:p w14:paraId="67F23C46" w14:textId="77777777" w:rsidR="00E16D66" w:rsidRPr="00D44D33" w:rsidRDefault="0080565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1B53" w:rsidRPr="00D44D33">
        <w:rPr>
          <w:rFonts w:ascii="Times New Roman" w:eastAsiaTheme="minorEastAsia" w:hAnsi="Times New Roman" w:cs="Times New Roman"/>
          <w:b/>
          <w:bCs/>
          <w:sz w:val="24"/>
          <w:szCs w:val="24"/>
        </w:rPr>
        <w:t>367</w:t>
      </w:r>
    </w:p>
    <w:p w14:paraId="7DDEC374" w14:textId="0E598240" w:rsidR="009D5300" w:rsidRPr="00D44D33" w:rsidRDefault="00970B2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 xml:space="preserve"> </w:t>
      </w:r>
      <w:r w:rsidR="00E16D66" w:rsidRPr="00D44D33">
        <w:rPr>
          <w:rFonts w:ascii="Times New Roman" w:eastAsiaTheme="minorEastAsia" w:hAnsi="Times New Roman" w:cs="Times New Roman"/>
          <w:sz w:val="24"/>
          <w:szCs w:val="24"/>
        </w:rPr>
        <w:t>P</w:t>
      </w:r>
      <w:r w:rsidR="00805650" w:rsidRPr="00D44D33">
        <w:rPr>
          <w:rFonts w:ascii="Times New Roman" w:eastAsiaTheme="minorEastAsia" w:hAnsi="Times New Roman" w:cs="Times New Roman"/>
          <w:sz w:val="24"/>
          <w:szCs w:val="24"/>
        </w:rPr>
        <w:t>rojektowany</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przepis</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reguluje</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sposób</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pozyskiwania</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środków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finansowych</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celu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sfinansowania</w:t>
      </w:r>
      <w:r w:rsidRPr="00D44D33">
        <w:rPr>
          <w:rFonts w:ascii="Times New Roman" w:eastAsiaTheme="minorEastAsia" w:hAnsi="Times New Roman" w:cs="Times New Roman"/>
          <w:sz w:val="24"/>
          <w:szCs w:val="24"/>
        </w:rPr>
        <w:t xml:space="preserve"> </w:t>
      </w:r>
      <w:r w:rsidR="009D5300" w:rsidRPr="00D44D33">
        <w:rPr>
          <w:rFonts w:ascii="Times New Roman" w:eastAsiaTheme="minorEastAsia" w:hAnsi="Times New Roman" w:cs="Times New Roman"/>
          <w:sz w:val="24"/>
          <w:szCs w:val="24"/>
        </w:rPr>
        <w:t>dopłaty</w:t>
      </w:r>
      <w:r w:rsidR="0080565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C44753"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drodze</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decyzji</w:t>
      </w:r>
      <w:r w:rsidR="00C44753"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określa</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przedsiębiorców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obowiązanych</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udziału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finansowaniu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dopłaty</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związanej</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realizacją</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zakresie</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powszechnej</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oraz</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jednolity</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wskaźnik</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procentowy</w:t>
      </w:r>
      <w:r w:rsidRPr="00D44D33">
        <w:rPr>
          <w:rFonts w:ascii="Times New Roman" w:eastAsiaTheme="minorEastAsia" w:hAnsi="Times New Roman" w:cs="Times New Roman"/>
          <w:sz w:val="24"/>
          <w:szCs w:val="24"/>
        </w:rPr>
        <w:t xml:space="preserve"> </w:t>
      </w:r>
      <w:r w:rsidR="342C479A" w:rsidRPr="00D44D33">
        <w:rPr>
          <w:rFonts w:ascii="Times New Roman" w:eastAsiaTheme="minorEastAsia" w:hAnsi="Times New Roman" w:cs="Times New Roman"/>
          <w:sz w:val="24"/>
          <w:szCs w:val="24"/>
        </w:rPr>
        <w:t>ich</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udziału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finansowaniu</w:t>
      </w:r>
      <w:r w:rsidRPr="00D44D33">
        <w:rPr>
          <w:rFonts w:ascii="Times New Roman" w:eastAsiaTheme="minorEastAsia" w:hAnsi="Times New Roman" w:cs="Times New Roman"/>
          <w:sz w:val="24"/>
          <w:szCs w:val="24"/>
        </w:rPr>
        <w:t xml:space="preserve"> </w:t>
      </w:r>
      <w:r w:rsidR="160851C0" w:rsidRPr="00D44D33">
        <w:rPr>
          <w:rFonts w:ascii="Times New Roman" w:eastAsiaTheme="minorEastAsia" w:hAnsi="Times New Roman" w:cs="Times New Roman"/>
          <w:sz w:val="24"/>
          <w:szCs w:val="24"/>
        </w:rPr>
        <w:t>dopłat</w:t>
      </w:r>
      <w:r w:rsidR="7A22330E" w:rsidRPr="00D44D33">
        <w:rPr>
          <w:rFonts w:ascii="Times New Roman" w:eastAsiaTheme="minorEastAsia" w:hAnsi="Times New Roman" w:cs="Times New Roman"/>
          <w:sz w:val="24"/>
          <w:szCs w:val="24"/>
        </w:rPr>
        <w:t>y</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oraz</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sposób</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ustalenia</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kwoty</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udziału</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poszczególnych</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przedsiębiorców</w:t>
      </w:r>
      <w:r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pokryciu</w:t>
      </w:r>
      <w:r w:rsidRPr="00D44D33">
        <w:rPr>
          <w:rFonts w:ascii="Times New Roman" w:eastAsiaTheme="minorEastAsia" w:hAnsi="Times New Roman" w:cs="Times New Roman"/>
          <w:sz w:val="24"/>
          <w:szCs w:val="24"/>
        </w:rPr>
        <w:t xml:space="preserve"> </w:t>
      </w:r>
      <w:r w:rsidR="7A22330E" w:rsidRPr="00D44D33">
        <w:rPr>
          <w:rFonts w:ascii="Times New Roman" w:eastAsiaTheme="minorEastAsia" w:hAnsi="Times New Roman" w:cs="Times New Roman"/>
          <w:sz w:val="24"/>
          <w:szCs w:val="24"/>
        </w:rPr>
        <w:t>dopłaty</w:t>
      </w:r>
      <w:r w:rsidR="00805650"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Stronami</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prowadzonym</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Prezesa</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administracyjnym</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każdy</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przedsiębiorca</w:t>
      </w:r>
      <w:r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obowiązany</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Pr="00D44D33">
        <w:rPr>
          <w:rFonts w:ascii="Times New Roman" w:eastAsiaTheme="minorEastAsia" w:hAnsi="Times New Roman" w:cs="Times New Roman"/>
          <w:sz w:val="24"/>
          <w:szCs w:val="24"/>
        </w:rPr>
        <w:t xml:space="preserve"> </w:t>
      </w:r>
      <w:r w:rsidR="7CA947AC" w:rsidRPr="00D44D33">
        <w:rPr>
          <w:rFonts w:ascii="Times New Roman" w:eastAsiaTheme="minorEastAsia" w:hAnsi="Times New Roman" w:cs="Times New Roman"/>
          <w:sz w:val="24"/>
          <w:szCs w:val="24"/>
        </w:rPr>
        <w:t>udziału</w:t>
      </w:r>
      <w:r w:rsidRPr="00D44D33">
        <w:rPr>
          <w:rFonts w:ascii="Times New Roman" w:eastAsiaTheme="minorEastAsia" w:hAnsi="Times New Roman" w:cs="Times New Roman"/>
          <w:sz w:val="24"/>
          <w:szCs w:val="24"/>
        </w:rPr>
        <w:t xml:space="preserve"> </w:t>
      </w:r>
      <w:r w:rsidR="7CA947AC"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7CA947AC" w:rsidRPr="00D44D33">
        <w:rPr>
          <w:rFonts w:ascii="Times New Roman" w:eastAsiaTheme="minorEastAsia" w:hAnsi="Times New Roman" w:cs="Times New Roman"/>
          <w:sz w:val="24"/>
          <w:szCs w:val="24"/>
        </w:rPr>
        <w:t>finansowaniu</w:t>
      </w:r>
      <w:r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dopłaty.</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Mechanizm</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finansowania</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kosztu</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netto</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spełnia</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zapisan</w:t>
      </w:r>
      <w:r w:rsidR="2370D87D" w:rsidRPr="00D44D33">
        <w:rPr>
          <w:rFonts w:ascii="Times New Roman" w:eastAsiaTheme="minorEastAsia" w:hAnsi="Times New Roman" w:cs="Times New Roman"/>
          <w:sz w:val="24"/>
          <w:szCs w:val="24"/>
        </w:rPr>
        <w:t>e</w:t>
      </w:r>
      <w:r w:rsidRPr="00D44D33">
        <w:rPr>
          <w:rFonts w:ascii="Times New Roman" w:eastAsiaTheme="minorEastAsia" w:hAnsi="Times New Roman" w:cs="Times New Roman"/>
          <w:sz w:val="24"/>
          <w:szCs w:val="24"/>
        </w:rPr>
        <w:t xml:space="preserve"> </w:t>
      </w:r>
      <w:r w:rsidR="2370D87D"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2370D87D" w:rsidRPr="00D44D33">
        <w:rPr>
          <w:rFonts w:ascii="Times New Roman" w:eastAsiaTheme="minorEastAsia" w:hAnsi="Times New Roman" w:cs="Times New Roman"/>
          <w:sz w:val="24"/>
          <w:szCs w:val="24"/>
        </w:rPr>
        <w:t>art.</w:t>
      </w:r>
      <w:r w:rsidRPr="00D44D33">
        <w:rPr>
          <w:rFonts w:ascii="Times New Roman" w:eastAsiaTheme="minorEastAsia" w:hAnsi="Times New Roman" w:cs="Times New Roman"/>
          <w:sz w:val="24"/>
          <w:szCs w:val="24"/>
        </w:rPr>
        <w:t xml:space="preserve"> </w:t>
      </w:r>
      <w:r w:rsidR="2370D87D" w:rsidRPr="00D44D33">
        <w:rPr>
          <w:rFonts w:ascii="Times New Roman" w:eastAsiaTheme="minorEastAsia" w:hAnsi="Times New Roman" w:cs="Times New Roman"/>
          <w:sz w:val="24"/>
          <w:szCs w:val="24"/>
        </w:rPr>
        <w:t>90</w:t>
      </w:r>
      <w:r w:rsidRPr="00D44D33">
        <w:rPr>
          <w:rFonts w:ascii="Times New Roman" w:eastAsiaTheme="minorEastAsia" w:hAnsi="Times New Roman" w:cs="Times New Roman"/>
          <w:sz w:val="24"/>
          <w:szCs w:val="24"/>
        </w:rPr>
        <w:t xml:space="preserve"> </w:t>
      </w:r>
      <w:r w:rsidR="2370D87D" w:rsidRPr="00D44D33">
        <w:rPr>
          <w:rFonts w:ascii="Times New Roman" w:eastAsiaTheme="minorEastAsia" w:hAnsi="Times New Roman" w:cs="Times New Roman"/>
          <w:sz w:val="24"/>
          <w:szCs w:val="24"/>
        </w:rPr>
        <w:t>ust.2</w:t>
      </w:r>
      <w:r w:rsidRPr="00D44D33">
        <w:rPr>
          <w:rFonts w:ascii="Times New Roman" w:eastAsiaTheme="minorEastAsia" w:hAnsi="Times New Roman" w:cs="Times New Roman"/>
          <w:sz w:val="24"/>
          <w:szCs w:val="24"/>
        </w:rPr>
        <w:t xml:space="preserve"> </w:t>
      </w:r>
      <w:r w:rsidR="2370D87D" w:rsidRPr="00D44D33">
        <w:rPr>
          <w:rFonts w:ascii="Times New Roman" w:eastAsiaTheme="minorEastAsia" w:hAnsi="Times New Roman" w:cs="Times New Roman"/>
          <w:sz w:val="24"/>
          <w:szCs w:val="24"/>
        </w:rPr>
        <w:t>EKŁE</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zasady</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przejrzystości,</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jak</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najmniejszego</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zakłócania</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rynku,</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niedyskryminacji</w:t>
      </w:r>
      <w:r w:rsidRPr="00D44D33">
        <w:rPr>
          <w:rFonts w:ascii="Times New Roman" w:eastAsiaTheme="minorEastAsia" w:hAnsi="Times New Roman" w:cs="Times New Roman"/>
          <w:sz w:val="24"/>
          <w:szCs w:val="24"/>
        </w:rPr>
        <w:t xml:space="preserve"> </w:t>
      </w:r>
      <w:r w:rsidR="0E447643" w:rsidRPr="00D44D33">
        <w:rPr>
          <w:rFonts w:ascii="Times New Roman" w:eastAsiaTheme="minorEastAsia" w:hAnsi="Times New Roman" w:cs="Times New Roman"/>
          <w:sz w:val="24"/>
          <w:szCs w:val="24"/>
        </w:rPr>
        <w:t>i</w:t>
      </w:r>
      <w:r w:rsidRPr="00D44D33">
        <w:rPr>
          <w:rFonts w:ascii="Times New Roman" w:eastAsiaTheme="minorEastAsia" w:hAnsi="Times New Roman" w:cs="Times New Roman"/>
          <w:sz w:val="24"/>
          <w:szCs w:val="24"/>
        </w:rPr>
        <w:t xml:space="preserve"> </w:t>
      </w:r>
      <w:r w:rsidR="716F30D4" w:rsidRPr="00D44D33">
        <w:rPr>
          <w:rFonts w:ascii="Times New Roman" w:eastAsiaTheme="minorEastAsia" w:hAnsi="Times New Roman" w:cs="Times New Roman"/>
          <w:sz w:val="24"/>
          <w:szCs w:val="24"/>
        </w:rPr>
        <w:t>proporcjonalności</w:t>
      </w:r>
      <w:r w:rsidRPr="00D44D33">
        <w:rPr>
          <w:rFonts w:ascii="Times New Roman" w:eastAsiaTheme="minorEastAsia" w:hAnsi="Times New Roman" w:cs="Times New Roman"/>
          <w:sz w:val="24"/>
          <w:szCs w:val="24"/>
        </w:rPr>
        <w:t xml:space="preserve"> </w:t>
      </w:r>
      <w:r w:rsidR="716F30D4" w:rsidRPr="00D44D33">
        <w:rPr>
          <w:rFonts w:ascii="Times New Roman" w:eastAsiaTheme="minorEastAsia" w:hAnsi="Times New Roman" w:cs="Times New Roman"/>
          <w:sz w:val="24"/>
          <w:szCs w:val="24"/>
        </w:rPr>
        <w:t>m.in.</w:t>
      </w:r>
      <w:r w:rsidRPr="00D44D33">
        <w:rPr>
          <w:rFonts w:ascii="Times New Roman" w:eastAsiaTheme="minorEastAsia" w:hAnsi="Times New Roman" w:cs="Times New Roman"/>
          <w:sz w:val="24"/>
          <w:szCs w:val="24"/>
        </w:rPr>
        <w:t xml:space="preserve"> </w:t>
      </w:r>
      <w:r w:rsidR="716F30D4" w:rsidRPr="00D44D33">
        <w:rPr>
          <w:rFonts w:ascii="Times New Roman" w:eastAsiaTheme="minorEastAsia" w:hAnsi="Times New Roman" w:cs="Times New Roman"/>
          <w:sz w:val="24"/>
          <w:szCs w:val="24"/>
        </w:rPr>
        <w:t>przez</w:t>
      </w:r>
      <w:r w:rsidRPr="00D44D33">
        <w:rPr>
          <w:rFonts w:ascii="Times New Roman" w:eastAsiaTheme="minorEastAsia" w:hAnsi="Times New Roman" w:cs="Times New Roman"/>
          <w:sz w:val="24"/>
          <w:szCs w:val="24"/>
        </w:rPr>
        <w:t xml:space="preserve"> </w:t>
      </w:r>
      <w:r w:rsidR="73BD66C4" w:rsidRPr="00D44D33">
        <w:rPr>
          <w:rFonts w:ascii="Times New Roman" w:eastAsiaTheme="minorEastAsia" w:hAnsi="Times New Roman" w:cs="Times New Roman"/>
          <w:sz w:val="24"/>
          <w:szCs w:val="24"/>
        </w:rPr>
        <w:t>ograniczenie</w:t>
      </w:r>
      <w:r w:rsidRPr="00D44D33">
        <w:rPr>
          <w:rFonts w:ascii="Times New Roman" w:eastAsiaTheme="minorEastAsia" w:hAnsi="Times New Roman" w:cs="Times New Roman"/>
          <w:sz w:val="24"/>
          <w:szCs w:val="24"/>
        </w:rPr>
        <w:t xml:space="preserve"> </w:t>
      </w:r>
      <w:r w:rsidR="73BD66C4" w:rsidRPr="00D44D33">
        <w:rPr>
          <w:rFonts w:ascii="Times New Roman" w:eastAsiaTheme="minorEastAsia" w:hAnsi="Times New Roman" w:cs="Times New Roman"/>
          <w:sz w:val="24"/>
          <w:szCs w:val="24"/>
        </w:rPr>
        <w:t>wysokości</w:t>
      </w:r>
      <w:r w:rsidRPr="00D44D33">
        <w:rPr>
          <w:rFonts w:ascii="Times New Roman" w:eastAsiaTheme="minorEastAsia" w:hAnsi="Times New Roman" w:cs="Times New Roman"/>
          <w:sz w:val="24"/>
          <w:szCs w:val="24"/>
        </w:rPr>
        <w:t xml:space="preserve"> </w:t>
      </w:r>
      <w:r w:rsidR="73BD66C4" w:rsidRPr="00D44D33">
        <w:rPr>
          <w:rFonts w:ascii="Times New Roman" w:eastAsiaTheme="minorEastAsia" w:hAnsi="Times New Roman" w:cs="Times New Roman"/>
          <w:sz w:val="24"/>
          <w:szCs w:val="24"/>
        </w:rPr>
        <w:t>ud</w:t>
      </w:r>
      <w:r w:rsidR="73F83E63" w:rsidRPr="00D44D33">
        <w:rPr>
          <w:rFonts w:ascii="Times New Roman" w:eastAsiaTheme="minorEastAsia" w:hAnsi="Times New Roman" w:cs="Times New Roman"/>
          <w:sz w:val="24"/>
          <w:szCs w:val="24"/>
        </w:rPr>
        <w:t>ziału</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danego</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przedsiębiorcy</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pokryciu</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dopłaty</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czy</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zależność</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udziału</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danego</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przedsiębiorcy</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od</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jego</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przychodó</w:t>
      </w:r>
      <w:r w:rsidR="474610A8" w:rsidRPr="00D44D33">
        <w:rPr>
          <w:rFonts w:ascii="Times New Roman" w:eastAsiaTheme="minorEastAsia" w:hAnsi="Times New Roman" w:cs="Times New Roman"/>
          <w:sz w:val="24"/>
          <w:szCs w:val="24"/>
        </w:rPr>
        <w:t>w</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z</w:t>
      </w:r>
      <w:r w:rsidRPr="00D44D33">
        <w:rPr>
          <w:rFonts w:ascii="Times New Roman" w:eastAsiaTheme="minorEastAsia" w:hAnsi="Times New Roman" w:cs="Times New Roman"/>
          <w:sz w:val="24"/>
          <w:szCs w:val="24"/>
        </w:rPr>
        <w:t xml:space="preserve"> </w:t>
      </w:r>
      <w:r w:rsidR="73F83E63" w:rsidRPr="00D44D33">
        <w:rPr>
          <w:rFonts w:ascii="Times New Roman" w:eastAsiaTheme="minorEastAsia" w:hAnsi="Times New Roman" w:cs="Times New Roman"/>
          <w:sz w:val="24"/>
          <w:szCs w:val="24"/>
        </w:rPr>
        <w:t>działal</w:t>
      </w:r>
      <w:r w:rsidR="7BF14E28" w:rsidRPr="00D44D33">
        <w:rPr>
          <w:rFonts w:ascii="Times New Roman" w:eastAsiaTheme="minorEastAsia" w:hAnsi="Times New Roman" w:cs="Times New Roman"/>
          <w:sz w:val="24"/>
          <w:szCs w:val="24"/>
        </w:rPr>
        <w:t>ności</w:t>
      </w:r>
      <w:r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9D5300" w:rsidRPr="00D44D33">
        <w:rPr>
          <w:rFonts w:ascii="Times New Roman" w:eastAsiaTheme="minorEastAsia" w:hAnsi="Times New Roman" w:cs="Times New Roman"/>
          <w:sz w:val="24"/>
          <w:szCs w:val="24"/>
        </w:rPr>
        <w:t>.</w:t>
      </w:r>
    </w:p>
    <w:p w14:paraId="65FD2DBA" w14:textId="16C3F929" w:rsidR="3748E28E" w:rsidRPr="00D44D33" w:rsidRDefault="3748E28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pokryciu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iloczyn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jednolitego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wskaźnika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procentowego,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przekraczającej</w:t>
      </w:r>
      <w:r w:rsidR="00970B2E" w:rsidRPr="00D44D33">
        <w:rPr>
          <w:rFonts w:ascii="Times New Roman" w:eastAsiaTheme="minorEastAsia" w:hAnsi="Times New Roman" w:cs="Times New Roman"/>
          <w:sz w:val="24"/>
          <w:szCs w:val="24"/>
        </w:rPr>
        <w:t xml:space="preserve"> </w:t>
      </w:r>
      <w:r w:rsidR="00246362" w:rsidRPr="00D44D33">
        <w:rPr>
          <w:rFonts w:ascii="Times New Roman" w:hAnsi="Times New Roman" w:cs="Times New Roman"/>
          <w:sz w:val="24"/>
          <w:szCs w:val="24"/>
        </w:rPr>
        <w:t>próg,</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którym</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364</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6,</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obliczony</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kalendarzowego,</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za</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który</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przysługuje</w:t>
      </w:r>
      <w:r w:rsidR="00970B2E" w:rsidRPr="00D44D33">
        <w:rPr>
          <w:rFonts w:ascii="Times New Roman" w:hAnsi="Times New Roman" w:cs="Times New Roman"/>
          <w:sz w:val="24"/>
          <w:szCs w:val="24"/>
        </w:rPr>
        <w:t xml:space="preserve"> </w:t>
      </w:r>
      <w:r w:rsidR="00246362" w:rsidRPr="00D44D33">
        <w:rPr>
          <w:rFonts w:ascii="Times New Roman" w:hAnsi="Times New Roman" w:cs="Times New Roman"/>
          <w:sz w:val="24"/>
          <w:szCs w:val="24"/>
        </w:rPr>
        <w:t>dopłata.</w:t>
      </w:r>
      <w:r w:rsidR="3E7E1D4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E7E1D4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E7E1D4A"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3E7E1D4A" w:rsidRPr="00D44D33">
        <w:rPr>
          <w:rFonts w:ascii="Times New Roman" w:eastAsiaTheme="minorEastAsia" w:hAnsi="Times New Roman" w:cs="Times New Roman"/>
          <w:sz w:val="24"/>
          <w:szCs w:val="24"/>
        </w:rPr>
        <w:t>zasada</w:t>
      </w:r>
      <w:r w:rsidR="00970B2E" w:rsidRPr="00D44D33">
        <w:rPr>
          <w:rFonts w:ascii="Times New Roman" w:eastAsiaTheme="minorEastAsia" w:hAnsi="Times New Roman" w:cs="Times New Roman"/>
          <w:sz w:val="24"/>
          <w:szCs w:val="24"/>
        </w:rPr>
        <w:t xml:space="preserve"> </w:t>
      </w:r>
      <w:r w:rsidR="63AB6F1A" w:rsidRPr="00D44D33">
        <w:rPr>
          <w:rFonts w:ascii="Times New Roman" w:eastAsiaTheme="minorEastAsia" w:hAnsi="Times New Roman" w:cs="Times New Roman"/>
          <w:sz w:val="24"/>
          <w:szCs w:val="24"/>
        </w:rPr>
        <w:t>analogiczna</w:t>
      </w:r>
      <w:r w:rsidR="00970B2E" w:rsidRPr="00D44D33">
        <w:rPr>
          <w:rFonts w:ascii="Times New Roman" w:eastAsiaTheme="minorEastAsia" w:hAnsi="Times New Roman" w:cs="Times New Roman"/>
          <w:sz w:val="24"/>
          <w:szCs w:val="24"/>
        </w:rPr>
        <w:t xml:space="preserve"> </w:t>
      </w:r>
      <w:r w:rsidR="2F46031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F460313"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736A0583"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3E7E1D4A" w:rsidRPr="00D44D33">
        <w:rPr>
          <w:rFonts w:ascii="Times New Roman" w:eastAsiaTheme="minorEastAsia" w:hAnsi="Times New Roman" w:cs="Times New Roman"/>
          <w:sz w:val="24"/>
          <w:szCs w:val="24"/>
        </w:rPr>
        <w:t>s</w:t>
      </w:r>
      <w:r w:rsidR="3D3B1BA1" w:rsidRPr="00D44D33">
        <w:rPr>
          <w:rFonts w:ascii="Times New Roman" w:eastAsiaTheme="minorEastAsia" w:hAnsi="Times New Roman" w:cs="Times New Roman"/>
          <w:sz w:val="24"/>
          <w:szCs w:val="24"/>
        </w:rPr>
        <w:t>t</w:t>
      </w:r>
      <w:r w:rsidR="3E7E1D4A" w:rsidRPr="00D44D33">
        <w:rPr>
          <w:rFonts w:ascii="Times New Roman" w:eastAsiaTheme="minorEastAsia" w:hAnsi="Times New Roman" w:cs="Times New Roman"/>
          <w:sz w:val="24"/>
          <w:szCs w:val="24"/>
        </w:rPr>
        <w:t>osowan</w:t>
      </w:r>
      <w:r w:rsidR="03557512"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3E7E1D4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E7E1D4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4168306" w:rsidRPr="00D44D33">
        <w:rPr>
          <w:rFonts w:ascii="Times New Roman" w:eastAsiaTheme="minorEastAsia" w:hAnsi="Times New Roman" w:cs="Times New Roman"/>
          <w:sz w:val="24"/>
          <w:szCs w:val="24"/>
        </w:rPr>
        <w:t>finansowania</w:t>
      </w:r>
      <w:r w:rsidR="00970B2E" w:rsidRPr="00D44D33">
        <w:rPr>
          <w:rFonts w:ascii="Times New Roman" w:eastAsiaTheme="minorEastAsia" w:hAnsi="Times New Roman" w:cs="Times New Roman"/>
          <w:sz w:val="24"/>
          <w:szCs w:val="24"/>
        </w:rPr>
        <w:t xml:space="preserve"> </w:t>
      </w:r>
      <w:r w:rsidR="34168306"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34168306"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3416830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4168306" w:rsidRPr="00D44D33">
        <w:rPr>
          <w:rFonts w:ascii="Times New Roman" w:eastAsiaTheme="minorEastAsia" w:hAnsi="Times New Roman" w:cs="Times New Roman"/>
          <w:sz w:val="24"/>
          <w:szCs w:val="24"/>
        </w:rPr>
        <w:t>powszechnych</w:t>
      </w:r>
      <w:r w:rsidR="00970B2E" w:rsidRPr="00D44D33">
        <w:rPr>
          <w:rFonts w:ascii="Times New Roman" w:eastAsiaTheme="minorEastAsia" w:hAnsi="Times New Roman" w:cs="Times New Roman"/>
          <w:sz w:val="24"/>
          <w:szCs w:val="24"/>
        </w:rPr>
        <w:t xml:space="preserve"> </w:t>
      </w:r>
      <w:r w:rsidR="006E29A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6E29A6"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listopada</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2012</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36212F"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pocztowe</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2E5D6429"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20</w:t>
      </w:r>
      <w:r w:rsidR="00A5481D" w:rsidRPr="00D44D33">
        <w:rPr>
          <w:rFonts w:ascii="Times New Roman" w:eastAsiaTheme="minorEastAsia" w:hAnsi="Times New Roman" w:cs="Times New Roman"/>
          <w:sz w:val="24"/>
          <w:szCs w:val="24"/>
        </w:rPr>
        <w:t>22</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A5481D" w:rsidRPr="00D44D33">
        <w:rPr>
          <w:rFonts w:ascii="Times New Roman" w:eastAsiaTheme="minorEastAsia" w:hAnsi="Times New Roman" w:cs="Times New Roman"/>
          <w:sz w:val="24"/>
          <w:szCs w:val="24"/>
        </w:rPr>
        <w:t>896, z późn. zm.</w:t>
      </w:r>
      <w:r w:rsidR="0761EE75" w:rsidRPr="00D44D33">
        <w:rPr>
          <w:rFonts w:ascii="Times New Roman" w:eastAsiaTheme="minorEastAsia" w:hAnsi="Times New Roman" w:cs="Times New Roman"/>
          <w:sz w:val="24"/>
          <w:szCs w:val="24"/>
        </w:rPr>
        <w:t>)</w:t>
      </w:r>
      <w:r w:rsidR="0FC5234A" w:rsidRPr="00D44D33">
        <w:rPr>
          <w:rFonts w:ascii="Times New Roman" w:eastAsiaTheme="minorEastAsia" w:hAnsi="Times New Roman" w:cs="Times New Roman"/>
          <w:sz w:val="24"/>
          <w:szCs w:val="24"/>
        </w:rPr>
        <w:t>.</w:t>
      </w:r>
    </w:p>
    <w:p w14:paraId="3CD02AB0" w14:textId="54C0CA85" w:rsidR="009D5300" w:rsidRPr="00D44D33" w:rsidRDefault="009D5300" w:rsidP="00D44D33">
      <w:pPr>
        <w:spacing w:before="120" w:after="120" w:line="360" w:lineRule="auto"/>
        <w:jc w:val="both"/>
        <w:rPr>
          <w:rFonts w:ascii="Times New Roman"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w:t>
      </w:r>
      <w:r w:rsidR="00C4475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bardzo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długotrwałe</w:t>
      </w:r>
      <w:r w:rsidR="0038166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ilości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zawieszać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przypadkach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określonych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97</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pkt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36212F" w:rsidRPr="00D44D33">
        <w:rPr>
          <w:rFonts w:ascii="Times New Roman" w:eastAsiaTheme="minorEastAsia" w:hAnsi="Times New Roman" w:cs="Times New Roman"/>
          <w:b/>
          <w:sz w:val="24"/>
          <w:szCs w:val="24"/>
        </w:rPr>
        <w:t>–</w:t>
      </w:r>
      <w:r w:rsidRPr="00D44D33">
        <w:rPr>
          <w:rFonts w:ascii="Times New Roman" w:hAnsi="Times New Roman" w:cs="Times New Roman"/>
          <w:sz w:val="24"/>
          <w:szCs w:val="24"/>
        </w:rPr>
        <w:t>3a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14</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czerwca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1960</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Kodeks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administracyjnego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daje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możliwość</w:t>
      </w:r>
      <w:r w:rsidR="0038166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ściśle</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określonych</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8F7011"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8F7011" w:rsidRPr="00D44D33">
        <w:rPr>
          <w:rFonts w:ascii="Times New Roman" w:hAnsi="Times New Roman" w:cs="Times New Roman"/>
          <w:sz w:val="24"/>
          <w:szCs w:val="24"/>
        </w:rPr>
        <w:t>ustępie</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przypadkach,</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wyznaczenie</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Prezesa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C4475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urzędu</w:t>
      </w:r>
      <w:r w:rsidR="00C44753"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przedstawiciela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uprawnionego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działania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postępowaniu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czasu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wyznaczenia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przedstawiciela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kuratora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sąd.</w:t>
      </w:r>
    </w:p>
    <w:p w14:paraId="19026DEB" w14:textId="34B418AC" w:rsidR="00381661" w:rsidRPr="00D44D33" w:rsidRDefault="00381661"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Podobne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rozwiązania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funkcjonują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p>
    <w:p w14:paraId="0D3F8AE5" w14:textId="15C4E403" w:rsidR="00807BE6" w:rsidRPr="00D44D33" w:rsidRDefault="00081A7D" w:rsidP="00D44D33">
      <w:pPr>
        <w:pStyle w:val="Akapitzlist"/>
        <w:numPr>
          <w:ilvl w:val="0"/>
          <w:numId w:val="129"/>
        </w:numPr>
        <w:spacing w:before="120" w:after="120" w:line="360" w:lineRule="auto"/>
        <w:ind w:left="709"/>
        <w:jc w:val="both"/>
        <w:rPr>
          <w:rFonts w:ascii="Times New Roman" w:hAnsi="Times New Roman" w:cs="Times New Roman"/>
          <w:iCs/>
          <w:sz w:val="24"/>
          <w:szCs w:val="24"/>
        </w:rPr>
      </w:pPr>
      <w:r w:rsidRPr="00D44D33">
        <w:rPr>
          <w:rFonts w:ascii="Times New Roman" w:hAnsi="Times New Roman" w:cs="Times New Roman"/>
          <w:iCs/>
          <w:sz w:val="24"/>
          <w:szCs w:val="24"/>
        </w:rPr>
        <w:t>u</w:t>
      </w:r>
      <w:r w:rsidR="00381661" w:rsidRPr="00D44D33">
        <w:rPr>
          <w:rFonts w:ascii="Times New Roman" w:hAnsi="Times New Roman" w:cs="Times New Roman"/>
          <w:iCs/>
          <w:sz w:val="24"/>
          <w:szCs w:val="24"/>
        </w:rPr>
        <w:t>stawie</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z</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dnia</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8</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lipca</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2010</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r.</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o</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szczególnych</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zasadach</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przygotowania</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do</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realizacji</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inwestycji</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w</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zakresie</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bu</w:t>
      </w:r>
      <w:r w:rsidR="00E71649" w:rsidRPr="00D44D33">
        <w:rPr>
          <w:rFonts w:ascii="Times New Roman" w:hAnsi="Times New Roman" w:cs="Times New Roman"/>
          <w:iCs/>
          <w:sz w:val="24"/>
          <w:szCs w:val="24"/>
        </w:rPr>
        <w:t>dowli</w:t>
      </w:r>
      <w:r w:rsidR="00970B2E" w:rsidRPr="00D44D33">
        <w:rPr>
          <w:rFonts w:ascii="Times New Roman" w:hAnsi="Times New Roman" w:cs="Times New Roman"/>
          <w:iCs/>
          <w:sz w:val="24"/>
          <w:szCs w:val="24"/>
        </w:rPr>
        <w:t xml:space="preserve"> </w:t>
      </w:r>
      <w:r w:rsidR="00E71649" w:rsidRPr="00D44D33">
        <w:rPr>
          <w:rFonts w:ascii="Times New Roman" w:hAnsi="Times New Roman" w:cs="Times New Roman"/>
          <w:iCs/>
          <w:sz w:val="24"/>
          <w:szCs w:val="24"/>
        </w:rPr>
        <w:t>przeciwpowodziowych</w:t>
      </w:r>
      <w:r w:rsidR="00970B2E" w:rsidRPr="00D44D33">
        <w:rPr>
          <w:rFonts w:ascii="Times New Roman" w:hAnsi="Times New Roman" w:cs="Times New Roman"/>
          <w:iCs/>
          <w:sz w:val="24"/>
          <w:szCs w:val="24"/>
        </w:rPr>
        <w:t xml:space="preserve"> </w:t>
      </w:r>
      <w:r w:rsidR="00E71649" w:rsidRPr="00D44D33">
        <w:rPr>
          <w:rFonts w:ascii="Times New Roman" w:hAnsi="Times New Roman" w:cs="Times New Roman"/>
          <w:iCs/>
          <w:sz w:val="24"/>
          <w:szCs w:val="24"/>
        </w:rPr>
        <w:t>(</w:t>
      </w:r>
      <w:r w:rsidR="00381661" w:rsidRPr="00D44D33">
        <w:rPr>
          <w:rFonts w:ascii="Times New Roman" w:hAnsi="Times New Roman" w:cs="Times New Roman"/>
          <w:iCs/>
          <w:sz w:val="24"/>
          <w:szCs w:val="24"/>
        </w:rPr>
        <w:t>Dz.</w:t>
      </w:r>
      <w:r w:rsidR="0036212F"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U.</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z</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20</w:t>
      </w:r>
      <w:r w:rsidR="00E16D66" w:rsidRPr="00D44D33">
        <w:rPr>
          <w:rFonts w:ascii="Times New Roman" w:hAnsi="Times New Roman" w:cs="Times New Roman"/>
          <w:iCs/>
          <w:sz w:val="24"/>
          <w:szCs w:val="24"/>
        </w:rPr>
        <w:t>21</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r.</w:t>
      </w:r>
      <w:r w:rsidR="00970B2E" w:rsidRPr="00D44D33">
        <w:rPr>
          <w:rFonts w:ascii="Times New Roman" w:hAnsi="Times New Roman" w:cs="Times New Roman"/>
          <w:iCs/>
          <w:sz w:val="24"/>
          <w:szCs w:val="24"/>
        </w:rPr>
        <w:t xml:space="preserve"> </w:t>
      </w:r>
      <w:r w:rsidR="00381661" w:rsidRPr="00D44D33">
        <w:rPr>
          <w:rFonts w:ascii="Times New Roman" w:hAnsi="Times New Roman" w:cs="Times New Roman"/>
          <w:iCs/>
          <w:sz w:val="24"/>
          <w:szCs w:val="24"/>
        </w:rPr>
        <w:t>poz.</w:t>
      </w:r>
      <w:r w:rsidR="00970B2E" w:rsidRPr="00D44D33">
        <w:rPr>
          <w:rFonts w:ascii="Times New Roman" w:hAnsi="Times New Roman" w:cs="Times New Roman"/>
          <w:iCs/>
          <w:sz w:val="24"/>
          <w:szCs w:val="24"/>
        </w:rPr>
        <w:t xml:space="preserve"> </w:t>
      </w:r>
      <w:r w:rsidR="00E16D66" w:rsidRPr="00D44D33">
        <w:rPr>
          <w:rFonts w:ascii="Times New Roman" w:hAnsi="Times New Roman" w:cs="Times New Roman"/>
          <w:iCs/>
          <w:sz w:val="24"/>
          <w:szCs w:val="24"/>
        </w:rPr>
        <w:t>1812</w:t>
      </w:r>
      <w:r w:rsidR="00381661" w:rsidRPr="00D44D33">
        <w:rPr>
          <w:rFonts w:ascii="Times New Roman" w:hAnsi="Times New Roman" w:cs="Times New Roman"/>
          <w:iCs/>
          <w:sz w:val="24"/>
          <w:szCs w:val="24"/>
        </w:rPr>
        <w:t>)</w:t>
      </w:r>
      <w:r w:rsidR="00970B2E" w:rsidRPr="00D44D33">
        <w:rPr>
          <w:rFonts w:ascii="Times New Roman" w:hAnsi="Times New Roman" w:cs="Times New Roman"/>
          <w:b/>
          <w:bCs/>
          <w:sz w:val="24"/>
          <w:szCs w:val="24"/>
        </w:rPr>
        <w:t xml:space="preserve"> </w:t>
      </w:r>
      <w:r w:rsidR="00E16D66" w:rsidRPr="00D44D33">
        <w:rPr>
          <w:rFonts w:ascii="Times New Roman" w:eastAsiaTheme="minorEastAsia" w:hAnsi="Times New Roman" w:cs="Times New Roman"/>
          <w:b/>
          <w:sz w:val="24"/>
          <w:szCs w:val="24"/>
        </w:rPr>
        <w:t>–</w:t>
      </w:r>
      <w:r w:rsidR="00970B2E" w:rsidRPr="00D44D33">
        <w:rPr>
          <w:rFonts w:ascii="Times New Roman" w:hAnsi="Times New Roman" w:cs="Times New Roman"/>
          <w:b/>
          <w:bCs/>
          <w:sz w:val="24"/>
          <w:szCs w:val="24"/>
        </w:rPr>
        <w:t xml:space="preserve"> </w:t>
      </w:r>
      <w:r w:rsidR="00C221E7"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8</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dotyczący</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postępowań</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sprawie</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wydania</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pozwoleniu</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realizację</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inwestycj</w:t>
      </w:r>
      <w:r w:rsidR="004F68C3" w:rsidRPr="00D44D33">
        <w:rPr>
          <w:rFonts w:ascii="Times New Roman" w:hAnsi="Times New Roman" w:cs="Times New Roman"/>
          <w:sz w:val="24"/>
          <w:szCs w:val="24"/>
        </w:rPr>
        <w:t>i</w:t>
      </w:r>
      <w:r w:rsidRPr="00D44D33">
        <w:rPr>
          <w:rFonts w:ascii="Times New Roman" w:hAnsi="Times New Roman" w:cs="Times New Roman"/>
          <w:iCs/>
          <w:sz w:val="24"/>
          <w:szCs w:val="24"/>
        </w:rPr>
        <w:t>,</w:t>
      </w:r>
    </w:p>
    <w:p w14:paraId="59C02159" w14:textId="712AED59" w:rsidR="00351B53" w:rsidRPr="00D44D33" w:rsidRDefault="00081A7D" w:rsidP="00D44D33">
      <w:pPr>
        <w:pStyle w:val="Akapitzlist"/>
        <w:numPr>
          <w:ilvl w:val="0"/>
          <w:numId w:val="129"/>
        </w:numPr>
        <w:spacing w:before="120" w:after="120" w:line="360" w:lineRule="auto"/>
        <w:ind w:left="709"/>
        <w:jc w:val="both"/>
        <w:rPr>
          <w:rFonts w:ascii="Times New Roman" w:hAnsi="Times New Roman" w:cs="Times New Roman"/>
          <w:iCs/>
          <w:sz w:val="24"/>
          <w:szCs w:val="24"/>
        </w:rPr>
      </w:pPr>
      <w:r w:rsidRPr="00D44D33">
        <w:rPr>
          <w:rFonts w:ascii="Times New Roman" w:hAnsi="Times New Roman" w:cs="Times New Roman"/>
          <w:iCs/>
          <w:sz w:val="24"/>
          <w:szCs w:val="24"/>
          <w:shd w:val="clear" w:color="auto" w:fill="FBFBFB"/>
        </w:rPr>
        <w:t>u</w:t>
      </w:r>
      <w:r w:rsidR="00381661" w:rsidRPr="00D44D33">
        <w:rPr>
          <w:rFonts w:ascii="Times New Roman" w:hAnsi="Times New Roman" w:cs="Times New Roman"/>
          <w:iCs/>
          <w:sz w:val="24"/>
          <w:szCs w:val="24"/>
          <w:shd w:val="clear" w:color="auto" w:fill="FBFBFB"/>
        </w:rPr>
        <w:t>stawie</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z</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dnia</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24</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kwietnia</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2009</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r.</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o</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inwestycjach</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w</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zakresie</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terminalu</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regazyfikacyjnego</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skroplonego</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gazu</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ziemnego</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w</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Świnoujściu</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(Dz.</w:t>
      </w:r>
      <w:r w:rsidR="00E16D66"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U.</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z</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202</w:t>
      </w:r>
      <w:r w:rsidR="00E16D66" w:rsidRPr="00D44D33">
        <w:rPr>
          <w:rFonts w:ascii="Times New Roman" w:hAnsi="Times New Roman" w:cs="Times New Roman"/>
          <w:iCs/>
          <w:sz w:val="24"/>
          <w:szCs w:val="24"/>
          <w:shd w:val="clear" w:color="auto" w:fill="FBFBFB"/>
        </w:rPr>
        <w:t>1</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r.</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poz.</w:t>
      </w:r>
      <w:r w:rsidR="00970B2E" w:rsidRPr="00D44D33">
        <w:rPr>
          <w:rFonts w:ascii="Times New Roman" w:hAnsi="Times New Roman" w:cs="Times New Roman"/>
          <w:iCs/>
          <w:sz w:val="24"/>
          <w:szCs w:val="24"/>
          <w:shd w:val="clear" w:color="auto" w:fill="FBFBFB"/>
        </w:rPr>
        <w:t xml:space="preserve"> </w:t>
      </w:r>
      <w:r w:rsidR="00381661" w:rsidRPr="00D44D33">
        <w:rPr>
          <w:rFonts w:ascii="Times New Roman" w:hAnsi="Times New Roman" w:cs="Times New Roman"/>
          <w:iCs/>
          <w:sz w:val="24"/>
          <w:szCs w:val="24"/>
          <w:shd w:val="clear" w:color="auto" w:fill="FBFBFB"/>
        </w:rPr>
        <w:t>18</w:t>
      </w:r>
      <w:r w:rsidR="00E16D66" w:rsidRPr="00D44D33">
        <w:rPr>
          <w:rFonts w:ascii="Times New Roman" w:hAnsi="Times New Roman" w:cs="Times New Roman"/>
          <w:iCs/>
          <w:sz w:val="24"/>
          <w:szCs w:val="24"/>
          <w:shd w:val="clear" w:color="auto" w:fill="FBFBFB"/>
        </w:rPr>
        <w:t>36</w:t>
      </w:r>
      <w:r w:rsidR="00A5481D" w:rsidRPr="00D44D33">
        <w:rPr>
          <w:rFonts w:ascii="Times New Roman" w:hAnsi="Times New Roman" w:cs="Times New Roman"/>
          <w:iCs/>
          <w:sz w:val="24"/>
          <w:szCs w:val="24"/>
          <w:shd w:val="clear" w:color="auto" w:fill="FBFBFB"/>
        </w:rPr>
        <w:t>, z późn. zm.</w:t>
      </w:r>
      <w:r w:rsidR="00381661" w:rsidRPr="00D44D33">
        <w:rPr>
          <w:rFonts w:ascii="Times New Roman" w:hAnsi="Times New Roman" w:cs="Times New Roman"/>
          <w:iCs/>
          <w:sz w:val="24"/>
          <w:szCs w:val="24"/>
          <w:shd w:val="clear" w:color="auto" w:fill="FBFBFB"/>
        </w:rPr>
        <w:t>)</w:t>
      </w:r>
      <w:r w:rsidR="00970B2E" w:rsidRPr="00D44D33">
        <w:rPr>
          <w:rFonts w:ascii="Times New Roman" w:hAnsi="Times New Roman" w:cs="Times New Roman"/>
          <w:b/>
          <w:bCs/>
          <w:sz w:val="24"/>
          <w:szCs w:val="24"/>
          <w:shd w:val="clear" w:color="auto" w:fill="FBFBFB"/>
        </w:rPr>
        <w:t xml:space="preserve"> </w:t>
      </w:r>
      <w:r w:rsidR="00E16D66" w:rsidRPr="00D44D33">
        <w:rPr>
          <w:rFonts w:ascii="Times New Roman" w:eastAsiaTheme="minorEastAsia" w:hAnsi="Times New Roman" w:cs="Times New Roman"/>
          <w:b/>
          <w:sz w:val="24"/>
          <w:szCs w:val="24"/>
        </w:rPr>
        <w:t>–</w:t>
      </w:r>
      <w:r w:rsidR="00970B2E" w:rsidRPr="00D44D33">
        <w:rPr>
          <w:rFonts w:ascii="Times New Roman" w:hAnsi="Times New Roman" w:cs="Times New Roman"/>
          <w:b/>
          <w:bCs/>
          <w:sz w:val="24"/>
          <w:szCs w:val="24"/>
          <w:shd w:val="clear" w:color="auto" w:fill="FBFBFB"/>
        </w:rPr>
        <w:t xml:space="preserve"> </w:t>
      </w:r>
      <w:r w:rsidR="00E71649" w:rsidRPr="00D44D33">
        <w:rPr>
          <w:rFonts w:ascii="Times New Roman" w:hAnsi="Times New Roman" w:cs="Times New Roman"/>
          <w:sz w:val="24"/>
          <w:szCs w:val="24"/>
        </w:rPr>
        <w:t>a</w:t>
      </w:r>
      <w:r w:rsidR="00381661" w:rsidRPr="00D44D33">
        <w:rPr>
          <w:rFonts w:ascii="Times New Roman" w:hAnsi="Times New Roman" w:cs="Times New Roman"/>
          <w:sz w:val="24"/>
          <w:szCs w:val="24"/>
        </w:rPr>
        <w:t>rt.</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9</w:t>
      </w:r>
      <w:r w:rsidR="00970B2E" w:rsidRPr="00D44D33">
        <w:rPr>
          <w:rFonts w:ascii="Times New Roman" w:hAnsi="Times New Roman" w:cs="Times New Roman"/>
          <w:sz w:val="24"/>
          <w:szCs w:val="24"/>
        </w:rPr>
        <w:t xml:space="preserve"> </w:t>
      </w:r>
      <w:r w:rsidR="00E71649" w:rsidRPr="00D44D33">
        <w:rPr>
          <w:rFonts w:ascii="Times New Roman" w:hAnsi="Times New Roman" w:cs="Times New Roman"/>
          <w:sz w:val="24"/>
          <w:szCs w:val="24"/>
        </w:rPr>
        <w:t>dotyczący</w:t>
      </w:r>
      <w:r w:rsidR="00970B2E" w:rsidRPr="00D44D33">
        <w:rPr>
          <w:rFonts w:ascii="Times New Roman" w:hAnsi="Times New Roman" w:cs="Times New Roman"/>
          <w:sz w:val="24"/>
          <w:szCs w:val="24"/>
        </w:rPr>
        <w:t xml:space="preserve"> </w:t>
      </w:r>
      <w:r w:rsidR="00E71649" w:rsidRPr="00D44D33">
        <w:rPr>
          <w:rFonts w:ascii="Times New Roman" w:hAnsi="Times New Roman" w:cs="Times New Roman"/>
          <w:sz w:val="24"/>
          <w:szCs w:val="24"/>
        </w:rPr>
        <w:t>postępowań</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ustalenie</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lokalizacji</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inwestycji</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zakresie</w:t>
      </w:r>
      <w:r w:rsidR="00970B2E" w:rsidRPr="00D44D33">
        <w:rPr>
          <w:rFonts w:ascii="Times New Roman" w:hAnsi="Times New Roman" w:cs="Times New Roman"/>
          <w:sz w:val="24"/>
          <w:szCs w:val="24"/>
        </w:rPr>
        <w:t xml:space="preserve"> </w:t>
      </w:r>
      <w:r w:rsidR="00381661" w:rsidRPr="00D44D33">
        <w:rPr>
          <w:rFonts w:ascii="Times New Roman" w:hAnsi="Times New Roman" w:cs="Times New Roman"/>
          <w:sz w:val="24"/>
          <w:szCs w:val="24"/>
        </w:rPr>
        <w:t>terminalu</w:t>
      </w:r>
      <w:r w:rsidRPr="00D44D33">
        <w:rPr>
          <w:rFonts w:ascii="Times New Roman" w:hAnsi="Times New Roman" w:cs="Times New Roman"/>
          <w:sz w:val="24"/>
          <w:szCs w:val="24"/>
        </w:rPr>
        <w:t>,</w:t>
      </w:r>
    </w:p>
    <w:p w14:paraId="3ACC28FA" w14:textId="16E05A68" w:rsidR="00807BE6" w:rsidRPr="00D44D33" w:rsidRDefault="00081A7D" w:rsidP="00D44D33">
      <w:pPr>
        <w:pStyle w:val="Akapitzlist"/>
        <w:numPr>
          <w:ilvl w:val="0"/>
          <w:numId w:val="129"/>
        </w:numPr>
        <w:spacing w:before="120" w:after="120" w:line="360" w:lineRule="auto"/>
        <w:ind w:left="709"/>
        <w:jc w:val="both"/>
        <w:rPr>
          <w:rFonts w:ascii="Times New Roman" w:hAnsi="Times New Roman" w:cs="Times New Roman"/>
          <w:iCs/>
          <w:sz w:val="24"/>
          <w:szCs w:val="24"/>
        </w:rPr>
      </w:pPr>
      <w:r w:rsidRPr="00D44D33">
        <w:rPr>
          <w:rFonts w:ascii="Times New Roman" w:hAnsi="Times New Roman" w:cs="Times New Roman"/>
          <w:iCs/>
          <w:sz w:val="24"/>
          <w:szCs w:val="24"/>
        </w:rPr>
        <w:t>u</w:t>
      </w:r>
      <w:r w:rsidR="0082540E" w:rsidRPr="00D44D33">
        <w:rPr>
          <w:rFonts w:ascii="Times New Roman" w:hAnsi="Times New Roman" w:cs="Times New Roman"/>
          <w:iCs/>
          <w:sz w:val="24"/>
          <w:szCs w:val="24"/>
        </w:rPr>
        <w:t>stawie</w:t>
      </w:r>
      <w:r w:rsidR="00970B2E" w:rsidRPr="00D44D33">
        <w:rPr>
          <w:rFonts w:ascii="Times New Roman" w:hAnsi="Times New Roman" w:cs="Times New Roman"/>
          <w:iCs/>
          <w:sz w:val="24"/>
          <w:szCs w:val="24"/>
        </w:rPr>
        <w:t xml:space="preserve"> </w:t>
      </w:r>
      <w:r w:rsidR="0082540E" w:rsidRPr="00D44D33">
        <w:rPr>
          <w:rFonts w:ascii="Times New Roman" w:hAnsi="Times New Roman" w:cs="Times New Roman"/>
          <w:iCs/>
          <w:sz w:val="24"/>
          <w:szCs w:val="24"/>
          <w:lang w:eastAsia="pl-PL"/>
        </w:rPr>
        <w:t>z</w:t>
      </w:r>
      <w:r w:rsidR="00970B2E" w:rsidRPr="00D44D33">
        <w:rPr>
          <w:rFonts w:ascii="Times New Roman" w:hAnsi="Times New Roman" w:cs="Times New Roman"/>
          <w:iCs/>
          <w:sz w:val="24"/>
          <w:szCs w:val="24"/>
          <w:lang w:eastAsia="pl-PL"/>
        </w:rPr>
        <w:t xml:space="preserve"> </w:t>
      </w:r>
      <w:r w:rsidR="0082540E" w:rsidRPr="00D44D33">
        <w:rPr>
          <w:rFonts w:ascii="Times New Roman" w:hAnsi="Times New Roman" w:cs="Times New Roman"/>
          <w:iCs/>
          <w:sz w:val="24"/>
          <w:szCs w:val="24"/>
          <w:lang w:eastAsia="pl-PL"/>
        </w:rPr>
        <w:t>dnia</w:t>
      </w:r>
      <w:r w:rsidR="00970B2E" w:rsidRPr="00D44D33">
        <w:rPr>
          <w:rFonts w:ascii="Times New Roman" w:hAnsi="Times New Roman" w:cs="Times New Roman"/>
          <w:iCs/>
          <w:sz w:val="24"/>
          <w:szCs w:val="24"/>
          <w:lang w:eastAsia="pl-PL"/>
        </w:rPr>
        <w:t xml:space="preserve"> </w:t>
      </w:r>
      <w:r w:rsidR="0082540E" w:rsidRPr="00D44D33">
        <w:rPr>
          <w:rFonts w:ascii="Times New Roman" w:hAnsi="Times New Roman" w:cs="Times New Roman"/>
          <w:iCs/>
          <w:sz w:val="24"/>
          <w:szCs w:val="24"/>
          <w:lang w:eastAsia="pl-PL"/>
        </w:rPr>
        <w:t>7</w:t>
      </w:r>
      <w:r w:rsidR="00970B2E" w:rsidRPr="00D44D33">
        <w:rPr>
          <w:rFonts w:ascii="Times New Roman" w:hAnsi="Times New Roman" w:cs="Times New Roman"/>
          <w:iCs/>
          <w:sz w:val="24"/>
          <w:szCs w:val="24"/>
          <w:lang w:eastAsia="pl-PL"/>
        </w:rPr>
        <w:t xml:space="preserve"> </w:t>
      </w:r>
      <w:r w:rsidR="0082540E" w:rsidRPr="00D44D33">
        <w:rPr>
          <w:rFonts w:ascii="Times New Roman" w:hAnsi="Times New Roman" w:cs="Times New Roman"/>
          <w:iCs/>
          <w:sz w:val="24"/>
          <w:szCs w:val="24"/>
          <w:lang w:eastAsia="pl-PL"/>
        </w:rPr>
        <w:t>maja</w:t>
      </w:r>
      <w:r w:rsidR="00970B2E" w:rsidRPr="00D44D33">
        <w:rPr>
          <w:rFonts w:ascii="Times New Roman" w:hAnsi="Times New Roman" w:cs="Times New Roman"/>
          <w:iCs/>
          <w:sz w:val="24"/>
          <w:szCs w:val="24"/>
          <w:lang w:eastAsia="pl-PL"/>
        </w:rPr>
        <w:t xml:space="preserve"> </w:t>
      </w:r>
      <w:r w:rsidR="0082540E" w:rsidRPr="00D44D33">
        <w:rPr>
          <w:rFonts w:ascii="Times New Roman" w:hAnsi="Times New Roman" w:cs="Times New Roman"/>
          <w:iCs/>
          <w:sz w:val="24"/>
          <w:szCs w:val="24"/>
          <w:lang w:eastAsia="pl-PL"/>
        </w:rPr>
        <w:t>2010</w:t>
      </w:r>
      <w:r w:rsidR="00970B2E" w:rsidRPr="00D44D33">
        <w:rPr>
          <w:rFonts w:ascii="Times New Roman" w:hAnsi="Times New Roman" w:cs="Times New Roman"/>
          <w:iCs/>
          <w:sz w:val="24"/>
          <w:szCs w:val="24"/>
          <w:lang w:eastAsia="pl-PL"/>
        </w:rPr>
        <w:t xml:space="preserve"> </w:t>
      </w:r>
      <w:r w:rsidR="0082540E" w:rsidRPr="00D44D33">
        <w:rPr>
          <w:rFonts w:ascii="Times New Roman" w:hAnsi="Times New Roman" w:cs="Times New Roman"/>
          <w:iCs/>
          <w:sz w:val="24"/>
          <w:szCs w:val="24"/>
          <w:lang w:eastAsia="pl-PL"/>
        </w:rPr>
        <w:t>r.</w:t>
      </w:r>
      <w:r w:rsidR="00970B2E" w:rsidRPr="00D44D33">
        <w:rPr>
          <w:rFonts w:ascii="Times New Roman" w:hAnsi="Times New Roman" w:cs="Times New Roman"/>
          <w:iCs/>
          <w:sz w:val="24"/>
          <w:szCs w:val="24"/>
          <w:lang w:eastAsia="pl-PL"/>
        </w:rPr>
        <w:t xml:space="preserve"> </w:t>
      </w:r>
      <w:r w:rsidR="0082540E" w:rsidRPr="00D44D33">
        <w:rPr>
          <w:rFonts w:ascii="Times New Roman" w:hAnsi="Times New Roman" w:cs="Times New Roman"/>
          <w:iCs/>
          <w:sz w:val="24"/>
          <w:szCs w:val="24"/>
          <w:shd w:val="clear" w:color="auto" w:fill="FFFFFF"/>
        </w:rPr>
        <w:t>o</w:t>
      </w:r>
      <w:r w:rsidR="00970B2E" w:rsidRPr="00D44D33">
        <w:rPr>
          <w:rFonts w:ascii="Times New Roman" w:hAnsi="Times New Roman" w:cs="Times New Roman"/>
          <w:iCs/>
          <w:sz w:val="24"/>
          <w:szCs w:val="24"/>
          <w:shd w:val="clear" w:color="auto" w:fill="FFFFFF"/>
        </w:rPr>
        <w:t xml:space="preserve"> </w:t>
      </w:r>
      <w:r w:rsidR="0082540E" w:rsidRPr="00D44D33">
        <w:rPr>
          <w:rFonts w:ascii="Times New Roman" w:hAnsi="Times New Roman" w:cs="Times New Roman"/>
          <w:iCs/>
          <w:sz w:val="24"/>
          <w:szCs w:val="24"/>
          <w:shd w:val="clear" w:color="auto" w:fill="FFFFFF"/>
        </w:rPr>
        <w:t>wspieraniu</w:t>
      </w:r>
      <w:r w:rsidR="00970B2E" w:rsidRPr="00D44D33">
        <w:rPr>
          <w:rFonts w:ascii="Times New Roman" w:hAnsi="Times New Roman" w:cs="Times New Roman"/>
          <w:iCs/>
          <w:sz w:val="24"/>
          <w:szCs w:val="24"/>
          <w:shd w:val="clear" w:color="auto" w:fill="FFFFFF"/>
        </w:rPr>
        <w:t xml:space="preserve"> </w:t>
      </w:r>
      <w:r w:rsidR="0082540E" w:rsidRPr="00D44D33">
        <w:rPr>
          <w:rFonts w:ascii="Times New Roman" w:hAnsi="Times New Roman" w:cs="Times New Roman"/>
          <w:iCs/>
          <w:sz w:val="24"/>
          <w:szCs w:val="24"/>
          <w:shd w:val="clear" w:color="auto" w:fill="FFFFFF"/>
        </w:rPr>
        <w:t>rozwoju</w:t>
      </w:r>
      <w:r w:rsidR="00970B2E" w:rsidRPr="00D44D33">
        <w:rPr>
          <w:rFonts w:ascii="Times New Roman" w:hAnsi="Times New Roman" w:cs="Times New Roman"/>
          <w:iCs/>
          <w:sz w:val="24"/>
          <w:szCs w:val="24"/>
          <w:shd w:val="clear" w:color="auto" w:fill="FFFFFF"/>
        </w:rPr>
        <w:t xml:space="preserve"> </w:t>
      </w:r>
      <w:r w:rsidR="0082540E" w:rsidRPr="00D44D33">
        <w:rPr>
          <w:rFonts w:ascii="Times New Roman" w:hAnsi="Times New Roman" w:cs="Times New Roman"/>
          <w:iCs/>
          <w:sz w:val="24"/>
          <w:szCs w:val="24"/>
          <w:shd w:val="clear" w:color="auto" w:fill="FFFFFF"/>
        </w:rPr>
        <w:t>usług</w:t>
      </w:r>
      <w:r w:rsidR="00970B2E" w:rsidRPr="00D44D33">
        <w:rPr>
          <w:rFonts w:ascii="Times New Roman" w:hAnsi="Times New Roman" w:cs="Times New Roman"/>
          <w:iCs/>
          <w:sz w:val="24"/>
          <w:szCs w:val="24"/>
          <w:shd w:val="clear" w:color="auto" w:fill="FFFFFF"/>
        </w:rPr>
        <w:t xml:space="preserve"> </w:t>
      </w:r>
      <w:r w:rsidR="0082540E" w:rsidRPr="00D44D33">
        <w:rPr>
          <w:rFonts w:ascii="Times New Roman" w:hAnsi="Times New Roman" w:cs="Times New Roman"/>
          <w:iCs/>
          <w:sz w:val="24"/>
          <w:szCs w:val="24"/>
          <w:shd w:val="clear" w:color="auto" w:fill="FFFFFF"/>
        </w:rPr>
        <w:t>i</w:t>
      </w:r>
      <w:r w:rsidR="00970B2E" w:rsidRPr="00D44D33">
        <w:rPr>
          <w:rFonts w:ascii="Times New Roman" w:hAnsi="Times New Roman" w:cs="Times New Roman"/>
          <w:iCs/>
          <w:sz w:val="24"/>
          <w:szCs w:val="24"/>
          <w:shd w:val="clear" w:color="auto" w:fill="FFFFFF"/>
        </w:rPr>
        <w:t xml:space="preserve"> </w:t>
      </w:r>
      <w:r w:rsidR="0082540E" w:rsidRPr="00D44D33">
        <w:rPr>
          <w:rFonts w:ascii="Times New Roman" w:hAnsi="Times New Roman" w:cs="Times New Roman"/>
          <w:iCs/>
          <w:sz w:val="24"/>
          <w:szCs w:val="24"/>
          <w:shd w:val="clear" w:color="auto" w:fill="FFFFFF"/>
        </w:rPr>
        <w:t>sieci</w:t>
      </w:r>
      <w:r w:rsidR="00970B2E" w:rsidRPr="00D44D33">
        <w:rPr>
          <w:rFonts w:ascii="Times New Roman" w:hAnsi="Times New Roman" w:cs="Times New Roman"/>
          <w:iCs/>
          <w:sz w:val="24"/>
          <w:szCs w:val="24"/>
          <w:shd w:val="clear" w:color="auto" w:fill="FFFFFF"/>
        </w:rPr>
        <w:t xml:space="preserve"> </w:t>
      </w:r>
      <w:r w:rsidR="0082540E" w:rsidRPr="00D44D33">
        <w:rPr>
          <w:rFonts w:ascii="Times New Roman" w:hAnsi="Times New Roman" w:cs="Times New Roman"/>
          <w:iCs/>
          <w:sz w:val="24"/>
          <w:szCs w:val="24"/>
          <w:shd w:val="clear" w:color="auto" w:fill="FFFFFF"/>
        </w:rPr>
        <w:t>telekomunikacyjnych</w:t>
      </w:r>
      <w:r w:rsidR="00970B2E" w:rsidRPr="00D44D33">
        <w:rPr>
          <w:rFonts w:ascii="Times New Roman" w:hAnsi="Times New Roman" w:cs="Times New Roman"/>
          <w:sz w:val="24"/>
          <w:szCs w:val="24"/>
        </w:rPr>
        <w:t xml:space="preserve"> </w:t>
      </w:r>
      <w:r w:rsidR="00E16D66" w:rsidRPr="00D44D33">
        <w:rPr>
          <w:rFonts w:ascii="Times New Roman" w:eastAsiaTheme="minorEastAsia" w:hAnsi="Times New Roman" w:cs="Times New Roman"/>
          <w:b/>
          <w:sz w:val="24"/>
          <w:szCs w:val="24"/>
        </w:rPr>
        <w:t>–</w:t>
      </w:r>
      <w:r w:rsidR="00970B2E" w:rsidRPr="00D44D33">
        <w:rPr>
          <w:rFonts w:ascii="Times New Roman" w:hAnsi="Times New Roman" w:cs="Times New Roman"/>
          <w:sz w:val="24"/>
          <w:szCs w:val="24"/>
        </w:rPr>
        <w:t xml:space="preserve"> </w:t>
      </w:r>
      <w:r w:rsidR="0082540E"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82540E" w:rsidRPr="00D44D33">
        <w:rPr>
          <w:rFonts w:ascii="Times New Roman" w:hAnsi="Times New Roman" w:cs="Times New Roman"/>
          <w:sz w:val="24"/>
          <w:szCs w:val="24"/>
        </w:rPr>
        <w:t>50</w:t>
      </w:r>
      <w:r w:rsidR="00970B2E" w:rsidRPr="00D44D33">
        <w:rPr>
          <w:rFonts w:ascii="Times New Roman" w:hAnsi="Times New Roman" w:cs="Times New Roman"/>
          <w:sz w:val="24"/>
          <w:szCs w:val="24"/>
        </w:rPr>
        <w:t xml:space="preserve"> </w:t>
      </w:r>
      <w:r w:rsidR="0082540E"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82540E" w:rsidRPr="00D44D33">
        <w:rPr>
          <w:rFonts w:ascii="Times New Roman" w:hAnsi="Times New Roman" w:cs="Times New Roman"/>
          <w:sz w:val="24"/>
          <w:szCs w:val="24"/>
        </w:rPr>
        <w:t>5</w:t>
      </w:r>
      <w:r w:rsidR="00970B2E" w:rsidRPr="00D44D33">
        <w:rPr>
          <w:rFonts w:ascii="Times New Roman" w:hAnsi="Times New Roman" w:cs="Times New Roman"/>
          <w:sz w:val="24"/>
          <w:szCs w:val="24"/>
        </w:rPr>
        <w:t xml:space="preserve"> </w:t>
      </w:r>
      <w:r w:rsidR="0082540E" w:rsidRPr="00D44D33">
        <w:rPr>
          <w:rFonts w:ascii="Times New Roman" w:hAnsi="Times New Roman" w:cs="Times New Roman"/>
          <w:sz w:val="24"/>
          <w:szCs w:val="24"/>
        </w:rPr>
        <w:t>dotyczący</w:t>
      </w:r>
      <w:r w:rsidR="00970B2E" w:rsidRPr="00D44D33">
        <w:rPr>
          <w:rFonts w:ascii="Times New Roman" w:hAnsi="Times New Roman" w:cs="Times New Roman"/>
          <w:sz w:val="24"/>
          <w:szCs w:val="24"/>
        </w:rPr>
        <w:t xml:space="preserve"> </w:t>
      </w:r>
      <w:r w:rsidR="0082540E" w:rsidRPr="00D44D33">
        <w:rPr>
          <w:rFonts w:ascii="Times New Roman" w:hAnsi="Times New Roman" w:cs="Times New Roman"/>
          <w:sz w:val="24"/>
          <w:szCs w:val="24"/>
          <w:lang w:eastAsia="pl-PL"/>
        </w:rPr>
        <w:t>postępowań</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w</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sprawach</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o</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ustalenie</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lokalizacji</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regionalnej</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sieci</w:t>
      </w:r>
      <w:r w:rsidR="00970B2E" w:rsidRPr="00D44D33">
        <w:rPr>
          <w:rFonts w:ascii="Times New Roman" w:hAnsi="Times New Roman" w:cs="Times New Roman"/>
          <w:sz w:val="24"/>
          <w:szCs w:val="24"/>
          <w:lang w:eastAsia="pl-PL"/>
        </w:rPr>
        <w:t xml:space="preserve"> </w:t>
      </w:r>
      <w:r w:rsidR="0082540E" w:rsidRPr="00D44D33">
        <w:rPr>
          <w:rFonts w:ascii="Times New Roman" w:hAnsi="Times New Roman" w:cs="Times New Roman"/>
          <w:sz w:val="24"/>
          <w:szCs w:val="24"/>
          <w:lang w:eastAsia="pl-PL"/>
        </w:rPr>
        <w:t>szerokopasmowej.</w:t>
      </w:r>
    </w:p>
    <w:p w14:paraId="454CC9E6" w14:textId="690D7F24" w:rsidR="00805650" w:rsidRPr="00D44D33" w:rsidRDefault="00590310" w:rsidP="00D44D33">
      <w:pPr>
        <w:pStyle w:val="Akapitzlist"/>
        <w:spacing w:before="120" w:after="120" w:line="360" w:lineRule="auto"/>
        <w:ind w:left="0"/>
        <w:jc w:val="both"/>
        <w:rPr>
          <w:rFonts w:ascii="Times New Roman" w:hAnsi="Times New Roman" w:cs="Times New Roman"/>
          <w:sz w:val="24"/>
          <w:szCs w:val="24"/>
        </w:rPr>
      </w:pP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celu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uproszczenia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skrócenia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procedury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pokrycia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382341" w:rsidRPr="00D44D33">
        <w:rPr>
          <w:rFonts w:ascii="Times New Roman" w:hAnsi="Times New Roman" w:cs="Times New Roman"/>
          <w:sz w:val="24"/>
          <w:szCs w:val="24"/>
        </w:rPr>
        <w:t>wprowadzono</w:t>
      </w:r>
      <w:r w:rsidR="00970B2E" w:rsidRPr="00D44D33">
        <w:rPr>
          <w:rFonts w:ascii="Times New Roman" w:hAnsi="Times New Roman" w:cs="Times New Roman"/>
          <w:sz w:val="24"/>
          <w:szCs w:val="24"/>
        </w:rPr>
        <w:t xml:space="preserve"> </w:t>
      </w:r>
      <w:r w:rsidR="00382341" w:rsidRPr="00D44D33">
        <w:rPr>
          <w:rFonts w:ascii="Times New Roman" w:hAnsi="Times New Roman" w:cs="Times New Roman"/>
          <w:sz w:val="24"/>
          <w:szCs w:val="24"/>
        </w:rPr>
        <w:t>jeszcze</w:t>
      </w:r>
      <w:r w:rsidR="00970B2E" w:rsidRPr="00D44D33">
        <w:rPr>
          <w:rFonts w:ascii="Times New Roman" w:hAnsi="Times New Roman" w:cs="Times New Roman"/>
          <w:sz w:val="24"/>
          <w:szCs w:val="24"/>
        </w:rPr>
        <w:t xml:space="preserve"> </w:t>
      </w:r>
      <w:r w:rsidR="00382341" w:rsidRPr="00D44D33">
        <w:rPr>
          <w:rFonts w:ascii="Times New Roman" w:hAnsi="Times New Roman" w:cs="Times New Roman"/>
          <w:sz w:val="24"/>
          <w:szCs w:val="24"/>
        </w:rPr>
        <w:t>zmianę</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polegającą</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C221E7"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Prezes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wydawał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jak</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dotychczas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dla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poszczególnych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przedsiębiorców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obowiązanych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finansowaniu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określającej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kwotę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ich</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której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mowa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343870" w:rsidRPr="00D44D33">
        <w:rPr>
          <w:rFonts w:ascii="Times New Roman" w:hAnsi="Times New Roman" w:cs="Times New Roman"/>
          <w:sz w:val="24"/>
          <w:szCs w:val="24"/>
        </w:rPr>
        <w:t>367</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bowiem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zawierała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wszystkie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niezbędne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informacje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umożliwiające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każdemu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przedsiębiorcy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obowiązanemu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samodzielne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obliczenie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tej</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kwoty.</w:t>
      </w:r>
      <w:r w:rsidR="00970B2E" w:rsidRPr="00D44D33">
        <w:rPr>
          <w:rFonts w:ascii="Times New Roman" w:hAnsi="Times New Roman" w:cs="Times New Roman"/>
          <w:sz w:val="24"/>
          <w:szCs w:val="24"/>
        </w:rPr>
        <w:t xml:space="preserve"> </w:t>
      </w:r>
      <w:r w:rsidR="4924B162" w:rsidRPr="00D44D33">
        <w:rPr>
          <w:rFonts w:ascii="Times New Roman" w:eastAsia="Times New Roman" w:hAnsi="Times New Roman" w:cs="Times New Roman"/>
          <w:sz w:val="24"/>
          <w:szCs w:val="24"/>
        </w:rPr>
        <w:t>Prezes</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UKE</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będzie</w:t>
      </w:r>
      <w:r w:rsidR="00970B2E" w:rsidRPr="00D44D33">
        <w:rPr>
          <w:rFonts w:ascii="Times New Roman" w:eastAsia="Times New Roman" w:hAnsi="Times New Roman" w:cs="Times New Roman"/>
          <w:sz w:val="24"/>
          <w:szCs w:val="24"/>
        </w:rPr>
        <w:t xml:space="preserve"> </w:t>
      </w:r>
      <w:r w:rsidR="005954FA" w:rsidRPr="00D44D33">
        <w:rPr>
          <w:rFonts w:ascii="Times New Roman" w:eastAsia="Times New Roman" w:hAnsi="Times New Roman" w:cs="Times New Roman"/>
          <w:sz w:val="24"/>
          <w:szCs w:val="24"/>
        </w:rPr>
        <w:t>tylko</w:t>
      </w:r>
      <w:r w:rsidR="00C4475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urzędu</w:t>
      </w:r>
      <w:r w:rsidR="00C4475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wydawał</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dla</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każdego</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obowiązanego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zaświadczenie</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kwocie</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udziału</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pokryciu</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dopłaty</w:t>
      </w:r>
      <w:r w:rsidR="005954FA"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ustalonej</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zgodnie</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4924B162" w:rsidRPr="00D44D33">
        <w:rPr>
          <w:rFonts w:ascii="Times New Roman" w:eastAsia="Times New Roman" w:hAnsi="Times New Roman" w:cs="Times New Roman"/>
          <w:sz w:val="24"/>
          <w:szCs w:val="24"/>
        </w:rPr>
        <w:t>decyzją</w:t>
      </w:r>
      <w:r w:rsidR="00970B2E" w:rsidRPr="00D44D33">
        <w:rPr>
          <w:rFonts w:ascii="Times New Roman" w:eastAsia="Times New Roman" w:hAnsi="Times New Roman" w:cs="Times New Roman"/>
          <w:sz w:val="24"/>
          <w:szCs w:val="24"/>
        </w:rPr>
        <w:t xml:space="preserve"> </w:t>
      </w:r>
      <w:r w:rsidR="55EEDDDF"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55EEDDDF"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343870" w:rsidRPr="00D44D33">
        <w:rPr>
          <w:rFonts w:ascii="Times New Roman" w:eastAsia="Times New Roman" w:hAnsi="Times New Roman" w:cs="Times New Roman"/>
          <w:sz w:val="24"/>
          <w:szCs w:val="24"/>
        </w:rPr>
        <w:t>367</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ust.1,</w:t>
      </w:r>
      <w:r w:rsidR="00970B2E" w:rsidRPr="00D44D33">
        <w:rPr>
          <w:rFonts w:ascii="Times New Roman" w:eastAsia="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sytuacji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gdy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decyzja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będzie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już</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ostateczna</w:t>
      </w:r>
      <w:r w:rsidR="4924B162"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17BE69D0" w:rsidRPr="00D44D33">
        <w:rPr>
          <w:rFonts w:ascii="Times New Roman" w:eastAsia="Times New Roman" w:hAnsi="Times New Roman" w:cs="Times New Roman"/>
          <w:sz w:val="24"/>
          <w:szCs w:val="24"/>
        </w:rPr>
        <w:t>Zaświadczenie</w:t>
      </w:r>
      <w:r w:rsidR="00970B2E" w:rsidRPr="00D44D33">
        <w:rPr>
          <w:rFonts w:ascii="Times New Roman" w:eastAsia="Times New Roman" w:hAnsi="Times New Roman" w:cs="Times New Roman"/>
          <w:sz w:val="24"/>
          <w:szCs w:val="24"/>
        </w:rPr>
        <w:t xml:space="preserve"> </w:t>
      </w:r>
      <w:r w:rsidR="3315B679" w:rsidRPr="00D44D33">
        <w:rPr>
          <w:rFonts w:ascii="Times New Roman" w:eastAsia="Times New Roman" w:hAnsi="Times New Roman" w:cs="Times New Roman"/>
          <w:sz w:val="24"/>
          <w:szCs w:val="24"/>
        </w:rPr>
        <w:t>służy</w:t>
      </w:r>
      <w:r w:rsidR="00970B2E" w:rsidRPr="00D44D33">
        <w:rPr>
          <w:rFonts w:ascii="Times New Roman" w:eastAsia="Times New Roman" w:hAnsi="Times New Roman" w:cs="Times New Roman"/>
          <w:sz w:val="24"/>
          <w:szCs w:val="24"/>
        </w:rPr>
        <w:t xml:space="preserve"> </w:t>
      </w:r>
      <w:r w:rsidR="3315B679" w:rsidRPr="00D44D33">
        <w:rPr>
          <w:rFonts w:ascii="Times New Roman" w:eastAsia="Times New Roman" w:hAnsi="Times New Roman" w:cs="Times New Roman"/>
          <w:sz w:val="24"/>
          <w:szCs w:val="24"/>
        </w:rPr>
        <w:t>głównie</w:t>
      </w:r>
      <w:r w:rsidR="00970B2E" w:rsidRPr="00D44D33">
        <w:rPr>
          <w:rFonts w:ascii="Times New Roman" w:eastAsia="Times New Roman" w:hAnsi="Times New Roman" w:cs="Times New Roman"/>
          <w:sz w:val="24"/>
          <w:szCs w:val="24"/>
        </w:rPr>
        <w:t xml:space="preserve"> </w:t>
      </w:r>
      <w:r w:rsidR="64060285" w:rsidRPr="00D44D33">
        <w:rPr>
          <w:rFonts w:ascii="Times New Roman" w:eastAsia="Times New Roman" w:hAnsi="Times New Roman" w:cs="Times New Roman"/>
          <w:sz w:val="24"/>
          <w:szCs w:val="24"/>
        </w:rPr>
        <w:t>informacji</w:t>
      </w:r>
      <w:r w:rsidR="00970B2E" w:rsidRPr="00D44D33">
        <w:rPr>
          <w:rFonts w:ascii="Times New Roman" w:eastAsia="Times New Roman" w:hAnsi="Times New Roman" w:cs="Times New Roman"/>
          <w:sz w:val="24"/>
          <w:szCs w:val="24"/>
        </w:rPr>
        <w:t xml:space="preserve"> </w:t>
      </w:r>
      <w:r w:rsidR="17BE69D0" w:rsidRPr="00D44D33">
        <w:rPr>
          <w:rFonts w:ascii="Times New Roman" w:eastAsia="Times New Roman" w:hAnsi="Times New Roman" w:cs="Times New Roman"/>
          <w:sz w:val="24"/>
          <w:szCs w:val="24"/>
        </w:rPr>
        <w:t>przedsiębiorcy,</w:t>
      </w:r>
      <w:r w:rsidR="00970B2E" w:rsidRPr="00D44D33">
        <w:rPr>
          <w:rFonts w:ascii="Times New Roman" w:eastAsia="Times New Roman" w:hAnsi="Times New Roman" w:cs="Times New Roman"/>
          <w:sz w:val="24"/>
          <w:szCs w:val="24"/>
        </w:rPr>
        <w:t xml:space="preserve"> </w:t>
      </w:r>
      <w:r w:rsidR="17BE69D0"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17BE69D0" w:rsidRPr="00D44D33">
        <w:rPr>
          <w:rFonts w:ascii="Times New Roman" w:eastAsia="Times New Roman" w:hAnsi="Times New Roman" w:cs="Times New Roman"/>
          <w:sz w:val="24"/>
          <w:szCs w:val="24"/>
        </w:rPr>
        <w:t>decyzja</w:t>
      </w:r>
      <w:r w:rsidR="00970B2E" w:rsidRPr="00D44D33">
        <w:rPr>
          <w:rFonts w:ascii="Times New Roman" w:eastAsia="Times New Roman" w:hAnsi="Times New Roman" w:cs="Times New Roman"/>
          <w:sz w:val="24"/>
          <w:szCs w:val="24"/>
        </w:rPr>
        <w:t xml:space="preserve"> </w:t>
      </w:r>
      <w:r w:rsidR="17BE69D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17BE69D0"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0343870" w:rsidRPr="00D44D33">
        <w:rPr>
          <w:rFonts w:ascii="Times New Roman" w:eastAsia="Times New Roman" w:hAnsi="Times New Roman" w:cs="Times New Roman"/>
          <w:sz w:val="24"/>
          <w:szCs w:val="24"/>
        </w:rPr>
        <w:t>367</w:t>
      </w:r>
      <w:r w:rsidR="00970B2E" w:rsidRPr="00D44D33">
        <w:rPr>
          <w:rFonts w:ascii="Times New Roman" w:eastAsia="Times New Roman" w:hAnsi="Times New Roman" w:cs="Times New Roman"/>
          <w:sz w:val="24"/>
          <w:szCs w:val="24"/>
        </w:rPr>
        <w:t xml:space="preserve"> </w:t>
      </w:r>
      <w:r w:rsidR="00343870" w:rsidRPr="00D44D33">
        <w:rPr>
          <w:rFonts w:ascii="Times New Roman" w:eastAsia="Times New Roman" w:hAnsi="Times New Roman" w:cs="Times New Roman"/>
          <w:sz w:val="24"/>
          <w:szCs w:val="24"/>
        </w:rPr>
        <w:t>ust.</w:t>
      </w:r>
      <w:r w:rsidR="00970B2E" w:rsidRPr="00D44D33">
        <w:rPr>
          <w:rFonts w:ascii="Times New Roman" w:eastAsia="Times New Roman" w:hAnsi="Times New Roman" w:cs="Times New Roman"/>
          <w:sz w:val="24"/>
          <w:szCs w:val="24"/>
        </w:rPr>
        <w:t xml:space="preserve"> </w:t>
      </w:r>
      <w:r w:rsidR="00343870" w:rsidRPr="00D44D33">
        <w:rPr>
          <w:rFonts w:ascii="Times New Roman" w:eastAsia="Times New Roman" w:hAnsi="Times New Roman" w:cs="Times New Roman"/>
          <w:sz w:val="24"/>
          <w:szCs w:val="24"/>
        </w:rPr>
        <w:t>1</w:t>
      </w:r>
      <w:r w:rsidR="00970B2E" w:rsidRPr="00D44D33">
        <w:rPr>
          <w:rFonts w:ascii="Times New Roman" w:eastAsia="Times New Roman" w:hAnsi="Times New Roman" w:cs="Times New Roman"/>
          <w:sz w:val="24"/>
          <w:szCs w:val="24"/>
        </w:rPr>
        <w:t xml:space="preserve"> </w:t>
      </w:r>
      <w:r w:rsidR="008A1CBD" w:rsidRPr="00D44D33">
        <w:rPr>
          <w:rFonts w:ascii="Times New Roman" w:eastAsia="Times New Roman" w:hAnsi="Times New Roman" w:cs="Times New Roman"/>
          <w:sz w:val="24"/>
          <w:szCs w:val="24"/>
        </w:rPr>
        <w:t>określająca</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wysokość</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jego</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udziału</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pokryciu</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dopłaty</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21AAC887" w:rsidRPr="00D44D33">
        <w:rPr>
          <w:rFonts w:ascii="Times New Roman" w:eastAsia="Times New Roman" w:hAnsi="Times New Roman" w:cs="Times New Roman"/>
          <w:sz w:val="24"/>
          <w:szCs w:val="24"/>
        </w:rPr>
        <w:t>ostateczna</w:t>
      </w:r>
      <w:r w:rsidR="404BE61B" w:rsidRPr="00D44D33">
        <w:rPr>
          <w:rFonts w:ascii="Times New Roman" w:eastAsia="Times New Roman"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55D2EB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55D2EB1" w:rsidRPr="00D44D33">
        <w:rPr>
          <w:rFonts w:ascii="Times New Roman" w:eastAsiaTheme="minorEastAsia" w:hAnsi="Times New Roman" w:cs="Times New Roman"/>
          <w:sz w:val="24"/>
          <w:szCs w:val="24"/>
        </w:rPr>
        <w:t>zaświadczenia</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wydawanego</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stosować</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1153152" w:rsidRPr="00D44D33">
        <w:rPr>
          <w:rFonts w:ascii="Times New Roman" w:eastAsiaTheme="minorEastAsia" w:hAnsi="Times New Roman" w:cs="Times New Roman"/>
          <w:sz w:val="24"/>
          <w:szCs w:val="24"/>
        </w:rPr>
        <w:t>odpowiednio</w:t>
      </w:r>
      <w:r w:rsidR="00970B2E" w:rsidRPr="00D44D33">
        <w:rPr>
          <w:rFonts w:ascii="Times New Roman" w:eastAsiaTheme="minorEastAsia" w:hAnsi="Times New Roman" w:cs="Times New Roman"/>
          <w:sz w:val="24"/>
          <w:szCs w:val="24"/>
        </w:rPr>
        <w:t xml:space="preserve"> </w:t>
      </w:r>
      <w:r w:rsidR="7FD4BCC4"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C41BB2" w:rsidRPr="00D44D33">
        <w:rPr>
          <w:rFonts w:ascii="Times New Roman" w:eastAsia="Times New Roman" w:hAnsi="Times New Roman" w:cs="Times New Roman"/>
          <w:sz w:val="24"/>
          <w:szCs w:val="24"/>
        </w:rPr>
        <w:t>k</w:t>
      </w:r>
      <w:r w:rsidR="16233EBB" w:rsidRPr="00D44D33">
        <w:rPr>
          <w:rFonts w:ascii="Times New Roman" w:eastAsia="Times New Roman" w:hAnsi="Times New Roman" w:cs="Times New Roman"/>
          <w:sz w:val="24"/>
          <w:szCs w:val="24"/>
        </w:rPr>
        <w:t>pa,</w:t>
      </w:r>
      <w:r w:rsidR="00970B2E" w:rsidRPr="00D44D33">
        <w:rPr>
          <w:rFonts w:ascii="Times New Roman" w:eastAsiaTheme="minorEastAsia" w:hAnsi="Times New Roman" w:cs="Times New Roman"/>
          <w:sz w:val="24"/>
          <w:szCs w:val="24"/>
        </w:rPr>
        <w:t xml:space="preserve"> </w:t>
      </w:r>
      <w:r w:rsidR="2FDB0AD5"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2FDB0AD5"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2FDB0AD5"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FDB0AD5"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7D85323A" w:rsidRPr="00D44D33">
        <w:rPr>
          <w:rFonts w:ascii="Times New Roman" w:eastAsiaTheme="minorEastAsia" w:hAnsi="Times New Roman" w:cs="Times New Roman"/>
          <w:sz w:val="24"/>
          <w:szCs w:val="24"/>
        </w:rPr>
        <w:t>zaświadczenia</w:t>
      </w:r>
      <w:r w:rsidR="00970B2E" w:rsidRPr="00D44D33">
        <w:rPr>
          <w:rFonts w:ascii="Times New Roman" w:eastAsiaTheme="minorEastAsia" w:hAnsi="Times New Roman" w:cs="Times New Roman"/>
          <w:sz w:val="24"/>
          <w:szCs w:val="24"/>
        </w:rPr>
        <w:t xml:space="preserve"> </w:t>
      </w:r>
      <w:r w:rsidR="7D85323A" w:rsidRPr="00D44D33">
        <w:rPr>
          <w:rFonts w:ascii="Times New Roman" w:eastAsiaTheme="minorEastAsia" w:hAnsi="Times New Roman" w:cs="Times New Roman"/>
          <w:sz w:val="24"/>
          <w:szCs w:val="24"/>
        </w:rPr>
        <w:t>wydawanego</w:t>
      </w:r>
      <w:r w:rsidR="00970B2E" w:rsidRPr="00D44D33">
        <w:rPr>
          <w:rFonts w:ascii="Times New Roman" w:eastAsiaTheme="minorEastAsia" w:hAnsi="Times New Roman" w:cs="Times New Roman"/>
          <w:sz w:val="24"/>
          <w:szCs w:val="24"/>
        </w:rPr>
        <w:t xml:space="preserve"> </w:t>
      </w:r>
      <w:r w:rsidR="7D85323A"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D85323A" w:rsidRPr="00D44D33">
        <w:rPr>
          <w:rFonts w:ascii="Times New Roman" w:eastAsiaTheme="minorEastAsia" w:hAnsi="Times New Roman" w:cs="Times New Roman"/>
          <w:sz w:val="24"/>
          <w:szCs w:val="24"/>
        </w:rPr>
        <w:t>żądanie.</w:t>
      </w:r>
    </w:p>
    <w:p w14:paraId="2DEA568C" w14:textId="1E429272"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egzekucji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egzekucyjnym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administracji.</w:t>
      </w:r>
    </w:p>
    <w:p w14:paraId="2F82C6F5" w14:textId="26CECA74" w:rsidR="00E835A1" w:rsidRPr="00D44D33" w:rsidRDefault="00081A7D" w:rsidP="00D44D33">
      <w:pPr>
        <w:spacing w:before="120" w:after="120" w:line="360" w:lineRule="auto"/>
        <w:jc w:val="both"/>
        <w:rPr>
          <w:rFonts w:ascii="Times New Roman" w:hAnsi="Times New Roman" w:cs="Times New Roman"/>
          <w:sz w:val="24"/>
          <w:szCs w:val="24"/>
        </w:rPr>
      </w:pPr>
      <w:r w:rsidRPr="00D44D33">
        <w:rPr>
          <w:rFonts w:ascii="Times New Roman" w:hAnsi="Times New Roman" w:cs="Times New Roman"/>
          <w:sz w:val="24"/>
          <w:szCs w:val="24"/>
        </w:rPr>
        <w:t>Przepis a</w:t>
      </w:r>
      <w:r w:rsidR="00E835A1" w:rsidRPr="00D44D33">
        <w:rPr>
          <w:rFonts w:ascii="Times New Roman" w:hAnsi="Times New Roman" w:cs="Times New Roman"/>
          <w:sz w:val="24"/>
          <w:szCs w:val="24"/>
        </w:rPr>
        <w:t>rt.</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367</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502441" w:rsidRPr="00D44D33">
        <w:rPr>
          <w:rFonts w:ascii="Times New Roman" w:hAnsi="Times New Roman" w:cs="Times New Roman"/>
          <w:sz w:val="24"/>
          <w:szCs w:val="24"/>
        </w:rPr>
        <w:t>7</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został</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zapisany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brzmieniu,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które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uwzględnia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zmiany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wynikające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art.</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4</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lipca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2019</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zmianie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ustawy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postępowaniu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egzekucyjnym</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administracji</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oraz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niektórych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innych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ustaw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poz.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1553</w:t>
      </w:r>
      <w:r w:rsidR="00862484" w:rsidRPr="00D44D33">
        <w:rPr>
          <w:rFonts w:ascii="Times New Roman" w:hAnsi="Times New Roman" w:cs="Times New Roman"/>
          <w:sz w:val="24"/>
          <w:szCs w:val="24"/>
        </w:rPr>
        <w:t>,</w:t>
      </w:r>
      <w:r w:rsidR="00862484" w:rsidRPr="00D44D33">
        <w:rPr>
          <w:rFonts w:ascii="Times New Roman" w:eastAsiaTheme="minorEastAsia" w:hAnsi="Times New Roman" w:cs="Times New Roman"/>
          <w:sz w:val="24"/>
          <w:szCs w:val="24"/>
        </w:rPr>
        <w:t xml:space="preserve"> z późn. zm.)</w:t>
      </w:r>
      <w:r w:rsidR="00E835A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wprowadzone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związku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planowanym</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uchyleniem</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przepisów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dotyczących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opłaty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komorniczej</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stycznia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2022</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takiej</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treści</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obowiązywać</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dopiero</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od</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stycznia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2022</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Jednakże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związku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tym,</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że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ustawa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Pke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wejdzie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życie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przed</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stycznia</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2022</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E835A1" w:rsidRPr="00D44D33">
        <w:rPr>
          <w:rFonts w:ascii="Times New Roman" w:eastAsiaTheme="minorEastAsia" w:hAnsi="Times New Roman" w:cs="Times New Roman"/>
          <w:sz w:val="24"/>
          <w:szCs w:val="24"/>
        </w:rPr>
        <w:t>wprowadzającej</w:t>
      </w:r>
      <w:r w:rsidR="00970B2E" w:rsidRPr="00D44D33">
        <w:rPr>
          <w:rFonts w:ascii="Times New Roman" w:eastAsiaTheme="minorEastAsia" w:hAnsi="Times New Roman" w:cs="Times New Roman"/>
          <w:sz w:val="24"/>
          <w:szCs w:val="24"/>
        </w:rPr>
        <w:t xml:space="preserve"> </w:t>
      </w:r>
      <w:r w:rsidR="00E835A1" w:rsidRPr="00D44D33">
        <w:rPr>
          <w:rFonts w:ascii="Times New Roman" w:eastAsiaTheme="minorEastAsia" w:hAnsi="Times New Roman" w:cs="Times New Roman"/>
          <w:sz w:val="24"/>
          <w:szCs w:val="24"/>
        </w:rPr>
        <w:t>Pke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wprowadzono</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przepis</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przejściowy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regulujący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sytuacje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dotyczące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toczących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się</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wcześniej</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postępowań</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egzekucyjnych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przeciwko</w:t>
      </w:r>
      <w:r w:rsidR="00970B2E" w:rsidRPr="00D44D33">
        <w:rPr>
          <w:rFonts w:ascii="Times New Roman" w:hAnsi="Times New Roman" w:cs="Times New Roman"/>
          <w:sz w:val="24"/>
          <w:szCs w:val="24"/>
        </w:rPr>
        <w:t xml:space="preserve"> </w:t>
      </w:r>
      <w:r w:rsidR="00343870" w:rsidRPr="00D44D33">
        <w:rPr>
          <w:rFonts w:ascii="Times New Roman" w:hAnsi="Times New Roman" w:cs="Times New Roman"/>
          <w:sz w:val="24"/>
          <w:szCs w:val="24"/>
        </w:rPr>
        <w:t>przedsiębiorcy</w:t>
      </w:r>
      <w:r w:rsidR="00970B2E" w:rsidRPr="00D44D33">
        <w:rPr>
          <w:rFonts w:ascii="Times New Roman" w:hAnsi="Times New Roman" w:cs="Times New Roman"/>
          <w:sz w:val="24"/>
          <w:szCs w:val="24"/>
        </w:rPr>
        <w:t xml:space="preserve"> </w:t>
      </w:r>
      <w:r w:rsidR="00343870" w:rsidRPr="00D44D33">
        <w:rPr>
          <w:rFonts w:ascii="Times New Roman" w:hAnsi="Times New Roman" w:cs="Times New Roman"/>
          <w:sz w:val="24"/>
          <w:szCs w:val="24"/>
        </w:rPr>
        <w:t>telekomunikacyjnemu</w:t>
      </w:r>
      <w:r w:rsidR="00E835A1" w:rsidRPr="00D44D33">
        <w:rPr>
          <w:rFonts w:ascii="Times New Roman" w:hAnsi="Times New Roman" w:cs="Times New Roman"/>
          <w:sz w:val="24"/>
          <w:szCs w:val="24"/>
        </w:rPr>
        <w:t>,</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obowiązanemu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sprawie</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kwoty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jego</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wynikających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tych</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postępowań</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konsekwencji,</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czyli</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m.in.</w:t>
      </w:r>
      <w:r w:rsidR="00970B2E" w:rsidRPr="00D44D33">
        <w:rPr>
          <w:rFonts w:ascii="Times New Roman" w:hAnsi="Times New Roman" w:cs="Times New Roman"/>
          <w:sz w:val="24"/>
          <w:szCs w:val="24"/>
        </w:rPr>
        <w:t xml:space="preserve"> </w:t>
      </w:r>
      <w:r w:rsidR="00E835A1" w:rsidRPr="00D44D33">
        <w:rPr>
          <w:rFonts w:ascii="Times New Roman" w:hAnsi="Times New Roman" w:cs="Times New Roman"/>
          <w:sz w:val="24"/>
          <w:szCs w:val="24"/>
        </w:rPr>
        <w:t>konieczno</w:t>
      </w:r>
      <w:r w:rsidR="00DC2102" w:rsidRPr="00D44D33">
        <w:rPr>
          <w:rFonts w:ascii="Times New Roman" w:hAnsi="Times New Roman" w:cs="Times New Roman"/>
          <w:sz w:val="24"/>
          <w:szCs w:val="24"/>
        </w:rPr>
        <w:t>ści</w:t>
      </w:r>
      <w:r w:rsidR="00970B2E" w:rsidRPr="00D44D33">
        <w:rPr>
          <w:rFonts w:ascii="Times New Roman" w:hAnsi="Times New Roman" w:cs="Times New Roman"/>
          <w:sz w:val="24"/>
          <w:szCs w:val="24"/>
        </w:rPr>
        <w:t xml:space="preserve"> </w:t>
      </w:r>
      <w:r w:rsidR="00DC2102" w:rsidRPr="00D44D33">
        <w:rPr>
          <w:rFonts w:ascii="Times New Roman" w:hAnsi="Times New Roman" w:cs="Times New Roman"/>
          <w:sz w:val="24"/>
          <w:szCs w:val="24"/>
        </w:rPr>
        <w:t>zapłaty</w:t>
      </w:r>
      <w:r w:rsidR="00970B2E" w:rsidRPr="00D44D33">
        <w:rPr>
          <w:rFonts w:ascii="Times New Roman" w:hAnsi="Times New Roman" w:cs="Times New Roman"/>
          <w:sz w:val="24"/>
          <w:szCs w:val="24"/>
        </w:rPr>
        <w:t xml:space="preserve"> </w:t>
      </w:r>
      <w:r w:rsidR="00DC2102" w:rsidRPr="00D44D33">
        <w:rPr>
          <w:rFonts w:ascii="Times New Roman" w:hAnsi="Times New Roman" w:cs="Times New Roman"/>
          <w:sz w:val="24"/>
          <w:szCs w:val="24"/>
        </w:rPr>
        <w:t>opłaty</w:t>
      </w:r>
      <w:r w:rsidR="00970B2E" w:rsidRPr="00D44D33">
        <w:rPr>
          <w:rFonts w:ascii="Times New Roman" w:hAnsi="Times New Roman" w:cs="Times New Roman"/>
          <w:sz w:val="24"/>
          <w:szCs w:val="24"/>
        </w:rPr>
        <w:t xml:space="preserve"> </w:t>
      </w:r>
      <w:r w:rsidR="00DC2102" w:rsidRPr="00D44D33">
        <w:rPr>
          <w:rFonts w:ascii="Times New Roman" w:hAnsi="Times New Roman" w:cs="Times New Roman"/>
          <w:sz w:val="24"/>
          <w:szCs w:val="24"/>
        </w:rPr>
        <w:t>komorniczej.</w:t>
      </w:r>
    </w:p>
    <w:p w14:paraId="166A9B4A" w14:textId="76216838" w:rsidR="00E16D66" w:rsidRPr="00D44D33" w:rsidRDefault="0080565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51B53" w:rsidRPr="00D44D33">
        <w:rPr>
          <w:rFonts w:ascii="Times New Roman" w:eastAsiaTheme="minorEastAsia" w:hAnsi="Times New Roman" w:cs="Times New Roman"/>
          <w:b/>
          <w:bCs/>
          <w:sz w:val="24"/>
          <w:szCs w:val="24"/>
        </w:rPr>
        <w:t>368</w:t>
      </w:r>
    </w:p>
    <w:p w14:paraId="69C928E4" w14:textId="2F32E4D9"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gromadzi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wyodrębnionym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A0B8804" w:rsidRPr="00D44D33">
        <w:rPr>
          <w:rFonts w:ascii="Times New Roman" w:eastAsiaTheme="minorEastAsia" w:hAnsi="Times New Roman" w:cs="Times New Roman"/>
          <w:sz w:val="24"/>
          <w:szCs w:val="24"/>
        </w:rPr>
        <w:t>udzi</w:t>
      </w:r>
      <w:r w:rsidR="7B529488" w:rsidRPr="00D44D33">
        <w:rPr>
          <w:rFonts w:ascii="Times New Roman" w:eastAsiaTheme="minorEastAsia" w:hAnsi="Times New Roman" w:cs="Times New Roman"/>
          <w:sz w:val="24"/>
          <w:szCs w:val="24"/>
        </w:rPr>
        <w:t>a</w:t>
      </w:r>
      <w:r w:rsidR="2A0B8804" w:rsidRPr="00D44D33">
        <w:rPr>
          <w:rFonts w:ascii="Times New Roman" w:eastAsiaTheme="minorEastAsia" w:hAnsi="Times New Roman" w:cs="Times New Roman"/>
          <w:sz w:val="24"/>
          <w:szCs w:val="24"/>
        </w:rPr>
        <w:t>łu</w:t>
      </w:r>
      <w:r w:rsidR="00970B2E" w:rsidRPr="00D44D33">
        <w:rPr>
          <w:rFonts w:ascii="Times New Roman" w:eastAsiaTheme="minorEastAsia" w:hAnsi="Times New Roman" w:cs="Times New Roman"/>
          <w:sz w:val="24"/>
          <w:szCs w:val="24"/>
        </w:rPr>
        <w:t xml:space="preserve"> </w:t>
      </w:r>
      <w:r w:rsidR="2A0B880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A0B8804" w:rsidRPr="00D44D33">
        <w:rPr>
          <w:rFonts w:ascii="Times New Roman" w:eastAsiaTheme="minorEastAsia" w:hAnsi="Times New Roman" w:cs="Times New Roman"/>
          <w:sz w:val="24"/>
          <w:szCs w:val="24"/>
        </w:rPr>
        <w:t>pokryciu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wpłacają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4947055C"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4947055C"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t>
      </w:r>
      <w:r w:rsidR="517745DB" w:rsidRPr="00D44D33">
        <w:rPr>
          <w:rFonts w:ascii="Times New Roman" w:eastAsiaTheme="minorEastAsia" w:hAnsi="Times New Roman" w:cs="Times New Roman"/>
          <w:sz w:val="24"/>
          <w:szCs w:val="24"/>
        </w:rPr>
        <w: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zaświadczenia</w:t>
      </w:r>
      <w:r w:rsidR="00970B2E" w:rsidRPr="00D44D33">
        <w:rPr>
          <w:rFonts w:ascii="Times New Roman" w:eastAsiaTheme="minorEastAsia" w:hAnsi="Times New Roman" w:cs="Times New Roman"/>
          <w:sz w:val="24"/>
          <w:szCs w:val="24"/>
        </w:rPr>
        <w:t xml:space="preserve"> </w:t>
      </w:r>
      <w:r w:rsidR="0484518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w:t>
      </w:r>
      <w:r w:rsidR="367BBAFA" w:rsidRPr="00D44D33">
        <w:rPr>
          <w:rFonts w:ascii="Times New Roman" w:eastAsiaTheme="minorEastAsia" w:hAnsi="Times New Roman" w:cs="Times New Roman"/>
          <w:sz w:val="24"/>
          <w:szCs w:val="24"/>
        </w:rPr>
        <w:t>cie</w:t>
      </w:r>
      <w:r w:rsidR="00970B2E" w:rsidRPr="00D44D33">
        <w:rPr>
          <w:rFonts w:ascii="Times New Roman" w:eastAsiaTheme="minorEastAsia" w:hAnsi="Times New Roman" w:cs="Times New Roman"/>
          <w:sz w:val="24"/>
          <w:szCs w:val="24"/>
        </w:rPr>
        <w:t xml:space="preserve"> </w:t>
      </w:r>
      <w:r w:rsidR="6D43090E"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367BBAF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67BBAFA" w:rsidRPr="00D44D33">
        <w:rPr>
          <w:rFonts w:ascii="Times New Roman" w:eastAsiaTheme="minorEastAsia" w:hAnsi="Times New Roman" w:cs="Times New Roman"/>
          <w:sz w:val="24"/>
          <w:szCs w:val="24"/>
        </w:rPr>
        <w:t>pokryciu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rachunek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2273972B"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znaczy</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uczestniczy</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finansowaniu</w:t>
      </w:r>
      <w:r w:rsidR="00970B2E" w:rsidRPr="00D44D33">
        <w:rPr>
          <w:rFonts w:ascii="Times New Roman" w:eastAsiaTheme="minorEastAsia" w:hAnsi="Times New Roman" w:cs="Times New Roman"/>
          <w:sz w:val="24"/>
          <w:szCs w:val="24"/>
        </w:rPr>
        <w:t xml:space="preserve"> </w:t>
      </w:r>
      <w:r w:rsidR="2273972B" w:rsidRPr="00D44D33">
        <w:rPr>
          <w:rFonts w:ascii="Times New Roman" w:eastAsiaTheme="minorEastAsia" w:hAnsi="Times New Roman" w:cs="Times New Roman"/>
          <w:sz w:val="24"/>
          <w:szCs w:val="24"/>
        </w:rPr>
        <w:t>dopłaty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Otrzymywana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3DC40CA"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3DC40CA" w:rsidRPr="00D44D33">
        <w:rPr>
          <w:rFonts w:ascii="Times New Roman" w:eastAsiaTheme="minorEastAsia" w:hAnsi="Times New Roman" w:cs="Times New Roman"/>
          <w:sz w:val="24"/>
          <w:szCs w:val="24"/>
        </w:rPr>
        <w:t>prostu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pomniejszona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kwotę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finansowaniu</w:t>
      </w:r>
      <w:r w:rsidR="00970B2E" w:rsidRPr="00D44D33">
        <w:rPr>
          <w:rFonts w:ascii="Times New Roman" w:eastAsiaTheme="minorEastAsia" w:hAnsi="Times New Roman" w:cs="Times New Roman"/>
          <w:sz w:val="24"/>
          <w:szCs w:val="24"/>
        </w:rPr>
        <w:t xml:space="preserve"> </w:t>
      </w:r>
      <w:r w:rsidR="51F68A01" w:rsidRPr="00D44D33">
        <w:rPr>
          <w:rFonts w:ascii="Times New Roman" w:eastAsiaTheme="minorEastAsia" w:hAnsi="Times New Roman" w:cs="Times New Roman"/>
          <w:sz w:val="24"/>
          <w:szCs w:val="24"/>
        </w:rPr>
        <w:t>dopłaty</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954FA" w:rsidRPr="00D44D33">
        <w:rPr>
          <w:rFonts w:ascii="Times New Roman" w:hAnsi="Times New Roman" w:cs="Times New Roman"/>
          <w:sz w:val="24"/>
          <w:szCs w:val="24"/>
        </w:rPr>
        <w:t>Ust.</w:t>
      </w:r>
      <w:r w:rsidR="00970B2E" w:rsidRPr="00D44D33">
        <w:rPr>
          <w:rFonts w:ascii="Times New Roman" w:hAnsi="Times New Roman" w:cs="Times New Roman"/>
          <w:sz w:val="24"/>
          <w:szCs w:val="24"/>
        </w:rPr>
        <w:t xml:space="preserve"> </w:t>
      </w:r>
      <w:r w:rsidR="005954FA"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005954FA" w:rsidRPr="00D44D33">
        <w:rPr>
          <w:rFonts w:ascii="Times New Roman" w:hAnsi="Times New Roman" w:cs="Times New Roman"/>
          <w:sz w:val="24"/>
          <w:szCs w:val="24"/>
        </w:rPr>
        <w:t>reguluje</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sytuację</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dotyczącą</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naliczania</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odsetek</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ustawowych</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przypadku</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opóźnień</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we</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wpłatach</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przez</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przedsiębiorcę</w:t>
      </w:r>
      <w:r w:rsidR="00970B2E" w:rsidRPr="00D44D33">
        <w:rPr>
          <w:rFonts w:ascii="Times New Roman" w:hAnsi="Times New Roman" w:cs="Times New Roman"/>
          <w:sz w:val="24"/>
          <w:szCs w:val="24"/>
        </w:rPr>
        <w:t xml:space="preserve"> </w:t>
      </w:r>
      <w:r w:rsidR="0034387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34387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384801" w:rsidRPr="00D44D33">
        <w:rPr>
          <w:rFonts w:ascii="Times New Roman" w:hAnsi="Times New Roman" w:cs="Times New Roman"/>
          <w:sz w:val="24"/>
          <w:szCs w:val="24"/>
        </w:rPr>
        <w:t>kwot</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udziału</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pokryciu</w:t>
      </w:r>
      <w:r w:rsidR="00970B2E" w:rsidRPr="00D44D33">
        <w:rPr>
          <w:rFonts w:ascii="Times New Roman" w:hAnsi="Times New Roman" w:cs="Times New Roman"/>
          <w:sz w:val="24"/>
          <w:szCs w:val="24"/>
        </w:rPr>
        <w:t xml:space="preserve"> </w:t>
      </w:r>
      <w:r w:rsidR="00384801" w:rsidRPr="00D44D33">
        <w:rPr>
          <w:rFonts w:ascii="Times New Roman" w:hAnsi="Times New Roman" w:cs="Times New Roman"/>
          <w:sz w:val="24"/>
          <w:szCs w:val="24"/>
        </w:rPr>
        <w:t>dopłaty.</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finansowania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sprawozdawczości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kosztu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w:t>
      </w:r>
      <w:r w:rsidR="7A610918" w:rsidRPr="00D44D33">
        <w:rPr>
          <w:rFonts w:ascii="Times New Roman" w:eastAsiaTheme="minorEastAsia" w:hAnsi="Times New Roman" w:cs="Times New Roman"/>
          <w:sz w:val="24"/>
          <w:szCs w:val="24"/>
        </w:rPr>
        <w:t>ni</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uprawomocnienia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17CFF17A" w:rsidRPr="00D44D33">
        <w:rPr>
          <w:rFonts w:ascii="Times New Roman" w:eastAsiaTheme="minorEastAsia" w:hAnsi="Times New Roman" w:cs="Times New Roman"/>
          <w:sz w:val="24"/>
          <w:szCs w:val="24"/>
        </w:rPr>
        <w:t>udostępnia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007864B2"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sprawozdanie</w:t>
      </w:r>
      <w:r w:rsidR="3D1A27D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D1A27D0"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3D1A27D0"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3D1A27D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D1A27D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D1A27D0"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6DA38D99" w:rsidRPr="00D44D33">
        <w:rPr>
          <w:rFonts w:ascii="Times New Roman" w:eastAsiaTheme="minorEastAsia" w:hAnsi="Times New Roman" w:cs="Times New Roman"/>
          <w:sz w:val="24"/>
          <w:szCs w:val="24"/>
        </w:rPr>
        <w:t>implementuje</w:t>
      </w:r>
      <w:r w:rsidR="00970B2E" w:rsidRPr="00D44D33">
        <w:rPr>
          <w:rFonts w:ascii="Times New Roman" w:eastAsiaTheme="minorEastAsia" w:hAnsi="Times New Roman" w:cs="Times New Roman"/>
          <w:sz w:val="24"/>
          <w:szCs w:val="24"/>
        </w:rPr>
        <w:t xml:space="preserve"> </w:t>
      </w:r>
      <w:r w:rsidR="3D1A27D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E5846CD" w:rsidRPr="00D44D33">
        <w:rPr>
          <w:rFonts w:ascii="Times New Roman" w:eastAsiaTheme="minorEastAsia" w:hAnsi="Times New Roman" w:cs="Times New Roman"/>
          <w:sz w:val="24"/>
          <w:szCs w:val="24"/>
        </w:rPr>
        <w:t>91</w:t>
      </w:r>
      <w:r w:rsidR="00970B2E" w:rsidRPr="00D44D33">
        <w:rPr>
          <w:rFonts w:ascii="Times New Roman" w:eastAsiaTheme="minorEastAsia" w:hAnsi="Times New Roman" w:cs="Times New Roman"/>
          <w:sz w:val="24"/>
          <w:szCs w:val="24"/>
        </w:rPr>
        <w:t xml:space="preserve"> </w:t>
      </w:r>
      <w:r w:rsidR="3E5846C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E5846C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3E5846CD" w:rsidRPr="00D44D33">
        <w:rPr>
          <w:rFonts w:ascii="Times New Roman" w:eastAsiaTheme="minorEastAsia" w:hAnsi="Times New Roman" w:cs="Times New Roman"/>
          <w:sz w:val="24"/>
          <w:szCs w:val="24"/>
        </w:rPr>
        <w:t>EKŁE.</w:t>
      </w:r>
    </w:p>
    <w:p w14:paraId="6532A252" w14:textId="244ACBA1" w:rsidR="00805650" w:rsidRPr="00D44D33" w:rsidRDefault="00805650" w:rsidP="00D44D33">
      <w:pPr>
        <w:spacing w:before="120" w:after="120" w:line="360" w:lineRule="auto"/>
        <w:jc w:val="center"/>
        <w:rPr>
          <w:rFonts w:ascii="Times New Roman" w:eastAsiaTheme="minorEastAsia" w:hAnsi="Times New Roman" w:cs="Times New Roman"/>
          <w:b/>
          <w:sz w:val="24"/>
          <w:szCs w:val="24"/>
        </w:rPr>
      </w:pPr>
      <w:bookmarkStart w:id="14" w:name="mip44758172"/>
      <w:bookmarkStart w:id="15" w:name="mip44758173"/>
      <w:bookmarkStart w:id="16" w:name="mip44758174"/>
      <w:bookmarkStart w:id="17" w:name="mip44758175"/>
      <w:bookmarkStart w:id="18" w:name="mip44758176"/>
      <w:bookmarkEnd w:id="14"/>
      <w:bookmarkEnd w:id="15"/>
      <w:bookmarkEnd w:id="16"/>
      <w:bookmarkEnd w:id="17"/>
      <w:bookmarkEnd w:id="18"/>
      <w:r w:rsidRPr="00D44D33">
        <w:rPr>
          <w:rFonts w:ascii="Times New Roman" w:eastAsiaTheme="minorEastAsia" w:hAnsi="Times New Roman" w:cs="Times New Roman"/>
          <w:b/>
          <w:sz w:val="24"/>
          <w:szCs w:val="24"/>
        </w:rPr>
        <w:t>Przerwanie,</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ograniczenie</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lub</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zaprzestanie</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świadczenia</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usługi</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przez</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przedsiębiorcę</w:t>
      </w:r>
      <w:r w:rsidR="00970B2E" w:rsidRPr="00D44D33">
        <w:rPr>
          <w:rFonts w:ascii="Times New Roman" w:eastAsiaTheme="minorEastAsia" w:hAnsi="Times New Roman" w:cs="Times New Roman"/>
          <w:b/>
          <w:sz w:val="24"/>
          <w:szCs w:val="24"/>
        </w:rPr>
        <w:t xml:space="preserve"> </w:t>
      </w:r>
      <w:r w:rsidRPr="00D44D33">
        <w:rPr>
          <w:rFonts w:ascii="Times New Roman" w:eastAsiaTheme="minorEastAsia" w:hAnsi="Times New Roman" w:cs="Times New Roman"/>
          <w:b/>
          <w:sz w:val="24"/>
          <w:szCs w:val="24"/>
        </w:rPr>
        <w:t>wyznaczonego</w:t>
      </w:r>
    </w:p>
    <w:p w14:paraId="628A086A" w14:textId="647293DC" w:rsidR="00805650" w:rsidRPr="00D44D33" w:rsidRDefault="216E017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369</w:t>
      </w:r>
    </w:p>
    <w:p w14:paraId="6471C889" w14:textId="4B85FB59"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369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przerwać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38CF876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zachodzą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awarii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integralności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zaistnieniu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p>
    <w:p w14:paraId="7C271D89" w14:textId="5FB41EBC" w:rsidR="3F2B2C65" w:rsidRPr="00D44D33" w:rsidRDefault="3F2B2C6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swej</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7657F539"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7657F53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9AD14FD" w:rsidRPr="00D44D33">
        <w:rPr>
          <w:rFonts w:ascii="Times New Roman" w:eastAsiaTheme="minorEastAsia" w:hAnsi="Times New Roman" w:cs="Times New Roman"/>
          <w:sz w:val="24"/>
          <w:szCs w:val="24"/>
        </w:rPr>
        <w:t>Pt</w:t>
      </w:r>
      <w:r w:rsidR="525446CD" w:rsidRPr="00D44D33">
        <w:rPr>
          <w:rFonts w:ascii="Times New Roman" w:eastAsiaTheme="minorEastAsia" w:hAnsi="Times New Roman" w:cs="Times New Roman"/>
          <w:sz w:val="24"/>
          <w:szCs w:val="24"/>
        </w:rPr>
        <w:t>.</w:t>
      </w:r>
    </w:p>
    <w:p w14:paraId="03A514F2" w14:textId="1C0C010B" w:rsidR="00805650" w:rsidRPr="00D44D33" w:rsidRDefault="5FF9E8E0"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370</w:t>
      </w:r>
    </w:p>
    <w:p w14:paraId="6F214B46" w14:textId="66399583" w:rsidR="00805650" w:rsidRPr="00D44D33" w:rsidRDefault="005B171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370</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sytuację</w:t>
      </w:r>
      <w:r w:rsidR="3D53F56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przyczyn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siebie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niezależnych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realizować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oferowania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specjalnego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pakietu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cenowego.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poinformować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zaprzestania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podejmie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ciągłości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Mając</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uwadze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nagłym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odłączeniem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zaprzestać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nałożonego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przejęcia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wyznaczonego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p>
    <w:p w14:paraId="35B0B35C" w14:textId="5A7A606A" w:rsidR="00696205" w:rsidRPr="00D44D33" w:rsidRDefault="028B19F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Pt.</w:t>
      </w:r>
    </w:p>
    <w:p w14:paraId="7AA82F77" w14:textId="4A29B1F8" w:rsidR="00E16D66" w:rsidRPr="00D44D33" w:rsidRDefault="005042E8"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R</w:t>
      </w:r>
      <w:r w:rsidR="00754575" w:rsidRPr="00D44D33">
        <w:rPr>
          <w:rFonts w:ascii="Times New Roman" w:hAnsi="Times New Roman" w:cs="Times New Roman"/>
          <w:b/>
        </w:rPr>
        <w:t>ozdział</w:t>
      </w:r>
      <w:r w:rsidR="00970B2E" w:rsidRPr="00D44D33">
        <w:rPr>
          <w:rFonts w:ascii="Times New Roman" w:hAnsi="Times New Roman" w:cs="Times New Roman"/>
          <w:b/>
        </w:rPr>
        <w:t xml:space="preserve"> </w:t>
      </w:r>
      <w:r w:rsidR="00AE480C" w:rsidRPr="00D44D33">
        <w:rPr>
          <w:rFonts w:ascii="Times New Roman" w:hAnsi="Times New Roman" w:cs="Times New Roman"/>
          <w:b/>
        </w:rPr>
        <w:t>4</w:t>
      </w:r>
      <w:r w:rsidR="00970B2E" w:rsidRPr="00D44D33">
        <w:rPr>
          <w:rFonts w:ascii="Times New Roman" w:hAnsi="Times New Roman" w:cs="Times New Roman"/>
          <w:b/>
        </w:rPr>
        <w:t xml:space="preserve"> </w:t>
      </w:r>
    </w:p>
    <w:p w14:paraId="56DDAF5B" w14:textId="2131E3A4" w:rsidR="005042E8" w:rsidRPr="00D44D33" w:rsidRDefault="005042E8"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Odpowiedzialność</w:t>
      </w:r>
      <w:r w:rsidR="00970B2E" w:rsidRPr="00D44D33">
        <w:rPr>
          <w:rFonts w:ascii="Times New Roman" w:hAnsi="Times New Roman" w:cs="Times New Roman"/>
          <w:b/>
        </w:rPr>
        <w:t xml:space="preserve"> </w:t>
      </w:r>
      <w:r w:rsidRPr="00D44D33">
        <w:rPr>
          <w:rFonts w:ascii="Times New Roman" w:hAnsi="Times New Roman" w:cs="Times New Roman"/>
          <w:b/>
        </w:rPr>
        <w:t>za</w:t>
      </w:r>
      <w:r w:rsidR="00970B2E" w:rsidRPr="00D44D33">
        <w:rPr>
          <w:rFonts w:ascii="Times New Roman" w:hAnsi="Times New Roman" w:cs="Times New Roman"/>
          <w:b/>
        </w:rPr>
        <w:t xml:space="preserve"> </w:t>
      </w:r>
      <w:r w:rsidRPr="00D44D33">
        <w:rPr>
          <w:rFonts w:ascii="Times New Roman" w:hAnsi="Times New Roman" w:cs="Times New Roman"/>
          <w:b/>
        </w:rPr>
        <w:t>niewykonanie</w:t>
      </w:r>
      <w:r w:rsidR="00970B2E" w:rsidRPr="00D44D33">
        <w:rPr>
          <w:rFonts w:ascii="Times New Roman" w:hAnsi="Times New Roman" w:cs="Times New Roman"/>
          <w:b/>
        </w:rPr>
        <w:t xml:space="preserve"> </w:t>
      </w:r>
      <w:r w:rsidRPr="00D44D33">
        <w:rPr>
          <w:rFonts w:ascii="Times New Roman" w:hAnsi="Times New Roman" w:cs="Times New Roman"/>
          <w:b/>
        </w:rPr>
        <w:t>lub</w:t>
      </w:r>
      <w:r w:rsidR="00970B2E" w:rsidRPr="00D44D33">
        <w:rPr>
          <w:rFonts w:ascii="Times New Roman" w:hAnsi="Times New Roman" w:cs="Times New Roman"/>
          <w:b/>
        </w:rPr>
        <w:t xml:space="preserve"> </w:t>
      </w:r>
      <w:r w:rsidRPr="00D44D33">
        <w:rPr>
          <w:rFonts w:ascii="Times New Roman" w:hAnsi="Times New Roman" w:cs="Times New Roman"/>
          <w:b/>
        </w:rPr>
        <w:t>nienależyte</w:t>
      </w:r>
      <w:r w:rsidR="00970B2E" w:rsidRPr="00D44D33">
        <w:rPr>
          <w:rFonts w:ascii="Times New Roman" w:hAnsi="Times New Roman" w:cs="Times New Roman"/>
          <w:b/>
        </w:rPr>
        <w:t xml:space="preserve"> </w:t>
      </w:r>
      <w:r w:rsidRPr="00D44D33">
        <w:rPr>
          <w:rFonts w:ascii="Times New Roman" w:hAnsi="Times New Roman" w:cs="Times New Roman"/>
          <w:b/>
        </w:rPr>
        <w:t>wykonanie</w:t>
      </w:r>
      <w:r w:rsidR="00970B2E" w:rsidRPr="00D44D33">
        <w:rPr>
          <w:rFonts w:ascii="Times New Roman" w:hAnsi="Times New Roman" w:cs="Times New Roman"/>
          <w:b/>
        </w:rPr>
        <w:t xml:space="preserve"> </w:t>
      </w:r>
      <w:r w:rsidRPr="00D44D33">
        <w:rPr>
          <w:rFonts w:ascii="Times New Roman" w:hAnsi="Times New Roman" w:cs="Times New Roman"/>
          <w:b/>
        </w:rPr>
        <w:t>usług</w:t>
      </w:r>
      <w:r w:rsidR="00970B2E" w:rsidRPr="00D44D33">
        <w:rPr>
          <w:rFonts w:ascii="Times New Roman" w:hAnsi="Times New Roman" w:cs="Times New Roman"/>
          <w:b/>
        </w:rPr>
        <w:t xml:space="preserve"> </w:t>
      </w:r>
      <w:r w:rsidRPr="00D44D33">
        <w:rPr>
          <w:rFonts w:ascii="Times New Roman" w:hAnsi="Times New Roman" w:cs="Times New Roman"/>
          <w:b/>
        </w:rPr>
        <w:t>komunikacji</w:t>
      </w:r>
      <w:r w:rsidR="00970B2E" w:rsidRPr="00D44D33">
        <w:rPr>
          <w:rFonts w:ascii="Times New Roman" w:hAnsi="Times New Roman" w:cs="Times New Roman"/>
          <w:b/>
        </w:rPr>
        <w:t xml:space="preserve"> </w:t>
      </w:r>
      <w:r w:rsidRPr="00D44D33">
        <w:rPr>
          <w:rFonts w:ascii="Times New Roman" w:hAnsi="Times New Roman" w:cs="Times New Roman"/>
          <w:b/>
        </w:rPr>
        <w:t>elektronicznej</w:t>
      </w:r>
    </w:p>
    <w:p w14:paraId="75CBD81F" w14:textId="0D3480FE" w:rsidR="005B171A" w:rsidRPr="00D44D33" w:rsidRDefault="4DE2B26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371</w:t>
      </w:r>
      <w:r w:rsidR="00970B2E" w:rsidRPr="00D44D33">
        <w:rPr>
          <w:rFonts w:ascii="Times New Roman" w:eastAsiaTheme="minorEastAsia" w:hAnsi="Times New Roman" w:cs="Times New Roman"/>
          <w:b/>
          <w:bCs/>
          <w:sz w:val="24"/>
          <w:szCs w:val="24"/>
        </w:rPr>
        <w:t xml:space="preserve"> </w:t>
      </w:r>
    </w:p>
    <w:p w14:paraId="119D1538" w14:textId="2F375642" w:rsidR="00805650" w:rsidRPr="00D44D33" w:rsidRDefault="005B171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N</w:t>
      </w:r>
      <w:r w:rsidR="00207C20" w:rsidRPr="00D44D33">
        <w:rPr>
          <w:rFonts w:ascii="Times New Roman" w:eastAsiaTheme="minorEastAsia" w:hAnsi="Times New Roman" w:cs="Times New Roman"/>
          <w:b/>
          <w:bCs/>
          <w:sz w:val="24"/>
          <w:szCs w:val="24"/>
        </w:rPr>
        <w:t>iewykonanie</w:t>
      </w:r>
      <w:r w:rsidR="00970B2E" w:rsidRPr="00D44D33">
        <w:rPr>
          <w:rFonts w:ascii="Times New Roman" w:eastAsiaTheme="minorEastAsia" w:hAnsi="Times New Roman" w:cs="Times New Roman"/>
          <w:b/>
          <w:bCs/>
          <w:sz w:val="24"/>
          <w:szCs w:val="24"/>
        </w:rPr>
        <w:t xml:space="preserve"> </w:t>
      </w:r>
      <w:r w:rsidR="00207C20" w:rsidRPr="00D44D33">
        <w:rPr>
          <w:rFonts w:ascii="Times New Roman" w:eastAsiaTheme="minorEastAsia" w:hAnsi="Times New Roman" w:cs="Times New Roman"/>
          <w:b/>
          <w:bCs/>
          <w:sz w:val="24"/>
          <w:szCs w:val="24"/>
        </w:rPr>
        <w:t>i</w:t>
      </w:r>
      <w:r w:rsidR="00970B2E" w:rsidRPr="00D44D33">
        <w:rPr>
          <w:rFonts w:ascii="Times New Roman" w:eastAsiaTheme="minorEastAsia" w:hAnsi="Times New Roman" w:cs="Times New Roman"/>
          <w:b/>
          <w:bCs/>
          <w:sz w:val="24"/>
          <w:szCs w:val="24"/>
        </w:rPr>
        <w:t xml:space="preserve"> </w:t>
      </w:r>
      <w:r w:rsidR="00207C20" w:rsidRPr="00D44D33">
        <w:rPr>
          <w:rFonts w:ascii="Times New Roman" w:eastAsiaTheme="minorEastAsia" w:hAnsi="Times New Roman" w:cs="Times New Roman"/>
          <w:b/>
          <w:bCs/>
          <w:sz w:val="24"/>
          <w:szCs w:val="24"/>
        </w:rPr>
        <w:t>nienależyte</w:t>
      </w:r>
      <w:r w:rsidR="00970B2E" w:rsidRPr="00D44D33">
        <w:rPr>
          <w:rFonts w:ascii="Times New Roman" w:eastAsiaTheme="minorEastAsia" w:hAnsi="Times New Roman" w:cs="Times New Roman"/>
          <w:b/>
          <w:bCs/>
          <w:sz w:val="24"/>
          <w:szCs w:val="24"/>
        </w:rPr>
        <w:t xml:space="preserve"> </w:t>
      </w:r>
      <w:r w:rsidR="00207C20" w:rsidRPr="00D44D33">
        <w:rPr>
          <w:rFonts w:ascii="Times New Roman" w:eastAsiaTheme="minorEastAsia" w:hAnsi="Times New Roman" w:cs="Times New Roman"/>
          <w:b/>
          <w:bCs/>
          <w:sz w:val="24"/>
          <w:szCs w:val="24"/>
        </w:rPr>
        <w:t>wykonanie</w:t>
      </w:r>
      <w:r w:rsidR="00970B2E" w:rsidRPr="00D44D33">
        <w:rPr>
          <w:rFonts w:ascii="Times New Roman" w:eastAsiaTheme="minorEastAsia" w:hAnsi="Times New Roman" w:cs="Times New Roman"/>
          <w:b/>
          <w:bCs/>
          <w:sz w:val="24"/>
          <w:szCs w:val="24"/>
        </w:rPr>
        <w:t xml:space="preserve"> </w:t>
      </w:r>
      <w:r w:rsidR="00207C20" w:rsidRPr="00D44D33">
        <w:rPr>
          <w:rFonts w:ascii="Times New Roman" w:eastAsiaTheme="minorEastAsia" w:hAnsi="Times New Roman" w:cs="Times New Roman"/>
          <w:b/>
          <w:bCs/>
          <w:sz w:val="24"/>
          <w:szCs w:val="24"/>
        </w:rPr>
        <w:t>usługi</w:t>
      </w:r>
    </w:p>
    <w:p w14:paraId="5243D30B" w14:textId="6BDDA84D" w:rsidR="00805650" w:rsidRPr="00D44D33" w:rsidRDefault="005B171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niewykonanie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nienależyte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wykonanie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Odpowiedzialność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uregulowana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odrębnie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wchodzące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kontraktowej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c</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374</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uzależnia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dochodzenia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sądowej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pozasądowej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wyczerpania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p>
    <w:p w14:paraId="54737A91" w14:textId="6FA3DC33" w:rsidR="005B171A" w:rsidRPr="00D44D33" w:rsidRDefault="43B19A0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372</w:t>
      </w:r>
    </w:p>
    <w:p w14:paraId="0F0434B3" w14:textId="30539162" w:rsidR="00805650" w:rsidRPr="00D44D33" w:rsidRDefault="005B171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O</w:t>
      </w:r>
      <w:r w:rsidR="000C7E4A" w:rsidRPr="00D44D33">
        <w:rPr>
          <w:rFonts w:ascii="Times New Roman" w:eastAsiaTheme="minorEastAsia" w:hAnsi="Times New Roman" w:cs="Times New Roman"/>
          <w:b/>
          <w:bCs/>
          <w:sz w:val="24"/>
          <w:szCs w:val="24"/>
        </w:rPr>
        <w:t>dpowiedzialność</w:t>
      </w:r>
      <w:r w:rsidR="00970B2E" w:rsidRPr="00D44D33">
        <w:rPr>
          <w:rFonts w:ascii="Times New Roman" w:eastAsiaTheme="minorEastAsia" w:hAnsi="Times New Roman" w:cs="Times New Roman"/>
          <w:b/>
          <w:bCs/>
          <w:sz w:val="24"/>
          <w:szCs w:val="24"/>
        </w:rPr>
        <w:t xml:space="preserve"> </w:t>
      </w:r>
      <w:r w:rsidR="000C7E4A"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0C7E4A" w:rsidRPr="00D44D33">
        <w:rPr>
          <w:rFonts w:ascii="Times New Roman" w:eastAsiaTheme="minorEastAsia" w:hAnsi="Times New Roman" w:cs="Times New Roman"/>
          <w:b/>
          <w:bCs/>
          <w:sz w:val="24"/>
          <w:szCs w:val="24"/>
        </w:rPr>
        <w:t>przypadku</w:t>
      </w:r>
      <w:r w:rsidR="00970B2E" w:rsidRPr="00D44D33">
        <w:rPr>
          <w:rFonts w:ascii="Times New Roman" w:eastAsiaTheme="minorEastAsia" w:hAnsi="Times New Roman" w:cs="Times New Roman"/>
          <w:b/>
          <w:bCs/>
          <w:sz w:val="24"/>
          <w:szCs w:val="24"/>
        </w:rPr>
        <w:t xml:space="preserve"> </w:t>
      </w:r>
      <w:r w:rsidR="000C7E4A" w:rsidRPr="00D44D33">
        <w:rPr>
          <w:rFonts w:ascii="Times New Roman" w:eastAsiaTheme="minorEastAsia" w:hAnsi="Times New Roman" w:cs="Times New Roman"/>
          <w:b/>
          <w:bCs/>
          <w:sz w:val="24"/>
          <w:szCs w:val="24"/>
        </w:rPr>
        <w:t>usługi</w:t>
      </w:r>
      <w:r w:rsidR="00970B2E" w:rsidRPr="00D44D33">
        <w:rPr>
          <w:rFonts w:ascii="Times New Roman" w:eastAsiaTheme="minorEastAsia" w:hAnsi="Times New Roman" w:cs="Times New Roman"/>
          <w:b/>
          <w:bCs/>
          <w:sz w:val="24"/>
          <w:szCs w:val="24"/>
        </w:rPr>
        <w:t xml:space="preserve"> </w:t>
      </w:r>
      <w:r w:rsidR="000C7E4A" w:rsidRPr="00D44D33">
        <w:rPr>
          <w:rFonts w:ascii="Times New Roman" w:eastAsiaTheme="minorEastAsia" w:hAnsi="Times New Roman" w:cs="Times New Roman"/>
          <w:b/>
          <w:bCs/>
          <w:sz w:val="24"/>
          <w:szCs w:val="24"/>
        </w:rPr>
        <w:t>powszechnej</w:t>
      </w:r>
    </w:p>
    <w:p w14:paraId="2F66797D" w14:textId="18A926BD" w:rsidR="0058175A" w:rsidRPr="00D44D33" w:rsidRDefault="005B171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518E4B0D" w:rsidRPr="00D44D33">
        <w:rPr>
          <w:rFonts w:ascii="Times New Roman" w:eastAsiaTheme="minorEastAsia" w:hAnsi="Times New Roman" w:cs="Times New Roman"/>
          <w:sz w:val="24"/>
          <w:szCs w:val="24"/>
        </w:rPr>
        <w:t>ł</w:t>
      </w:r>
      <w:r w:rsidR="00970B2E" w:rsidRPr="00D44D33">
        <w:rPr>
          <w:rFonts w:ascii="Times New Roman" w:eastAsiaTheme="minorEastAsia" w:hAnsi="Times New Roman" w:cs="Times New Roman"/>
          <w:sz w:val="24"/>
          <w:szCs w:val="24"/>
        </w:rPr>
        <w:t xml:space="preserve"> </w:t>
      </w:r>
      <w:r w:rsidR="518E4B0D" w:rsidRPr="00D44D33">
        <w:rPr>
          <w:rFonts w:ascii="Times New Roman" w:eastAsiaTheme="minorEastAsia" w:hAnsi="Times New Roman" w:cs="Times New Roman"/>
          <w:sz w:val="24"/>
          <w:szCs w:val="24"/>
        </w:rPr>
        <w:t>te</w:t>
      </w:r>
      <w:r w:rsidR="2BFDD535" w:rsidRPr="00D44D33">
        <w:rPr>
          <w:rFonts w:ascii="Times New Roman" w:eastAsiaTheme="minorEastAsia" w:hAnsi="Times New Roman" w:cs="Times New Roman"/>
          <w:sz w:val="24"/>
          <w:szCs w:val="24"/>
        </w:rPr>
        <w:t>n</w:t>
      </w:r>
      <w:r w:rsidR="00970B2E" w:rsidRPr="00D44D33">
        <w:rPr>
          <w:rFonts w:ascii="Times New Roman" w:eastAsiaTheme="minorEastAsia" w:hAnsi="Times New Roman" w:cs="Times New Roman"/>
          <w:sz w:val="24"/>
          <w:szCs w:val="24"/>
        </w:rPr>
        <w:t xml:space="preserve"> </w:t>
      </w:r>
      <w:r w:rsidR="43B19A01"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43B19A01"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43B19A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wchodzących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wyłączeniem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ogólnych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w:t>
      </w:r>
      <w:r w:rsidRPr="00D44D33">
        <w:rPr>
          <w:rFonts w:ascii="Times New Roman" w:eastAsiaTheme="minorEastAsia" w:hAnsi="Times New Roman" w:cs="Times New Roman"/>
          <w:sz w:val="24"/>
          <w:szCs w:val="24"/>
        </w:rPr>
        <w:t>c</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94F8EAC" w14:textId="2C3FE5AC" w:rsidR="0058175A" w:rsidRPr="00D44D33" w:rsidRDefault="005B171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wyjątek</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niewykonanie</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nienależyte</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wykonanie</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wchodzącej</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skład</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nastąpiło</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umyślnej</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rażącego</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niedbalstwa</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było</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następstwem</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czynu</w:t>
      </w:r>
      <w:r w:rsidR="00970B2E" w:rsidRPr="00D44D33">
        <w:rPr>
          <w:rFonts w:ascii="Times New Roman" w:eastAsiaTheme="minorEastAsia" w:hAnsi="Times New Roman" w:cs="Times New Roman"/>
          <w:sz w:val="24"/>
          <w:szCs w:val="24"/>
        </w:rPr>
        <w:t xml:space="preserve"> </w:t>
      </w:r>
      <w:r w:rsidR="00700D5E" w:rsidRPr="00D44D33">
        <w:rPr>
          <w:rFonts w:ascii="Times New Roman" w:eastAsiaTheme="minorEastAsia" w:hAnsi="Times New Roman" w:cs="Times New Roman"/>
          <w:sz w:val="24"/>
          <w:szCs w:val="24"/>
        </w:rPr>
        <w:t>niedozwolonego.</w:t>
      </w:r>
      <w:r w:rsidR="00970B2E" w:rsidRPr="00D44D33">
        <w:rPr>
          <w:rFonts w:ascii="Times New Roman" w:eastAsiaTheme="minorEastAsia" w:hAnsi="Times New Roman" w:cs="Times New Roman"/>
          <w:sz w:val="24"/>
          <w:szCs w:val="24"/>
        </w:rPr>
        <w:t xml:space="preserve"> </w:t>
      </w:r>
    </w:p>
    <w:p w14:paraId="4C21234B" w14:textId="7509BDC4" w:rsidR="00805650" w:rsidRPr="00D44D33" w:rsidRDefault="005B171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25685886"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przerwy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przerwy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1/15</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średniej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miesięcznej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liczonej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według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rachunków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ostatnich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trzech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okresów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rozliczeniowych,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dłuższy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ostatnie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Wypłata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możliwa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rozliczeniowym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łączny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czas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przerw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przekroczył</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36</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godzin.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F2D26D2"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odszkodowania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abonamentowej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przerwa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trwała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dłużej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godzin.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przerwy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otrzymania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1/30</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miesięcznej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abonamentowej.</w:t>
      </w:r>
      <w:r w:rsidR="00970B2E" w:rsidRPr="00D44D33">
        <w:rPr>
          <w:rFonts w:ascii="Times New Roman" w:eastAsiaTheme="minorEastAsia" w:hAnsi="Times New Roman" w:cs="Times New Roman"/>
          <w:sz w:val="24"/>
          <w:szCs w:val="24"/>
        </w:rPr>
        <w:t xml:space="preserve"> </w:t>
      </w:r>
    </w:p>
    <w:p w14:paraId="5E136AD0" w14:textId="521EA796"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687EA48E"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wyznaczony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rozpoczął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dwóch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doszło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202D77" w:rsidRPr="00D44D33">
        <w:rPr>
          <w:rFonts w:ascii="Times New Roman" w:eastAsiaTheme="minorEastAsia" w:hAnsi="Times New Roman" w:cs="Times New Roman"/>
          <w:sz w:val="24"/>
          <w:szCs w:val="24"/>
        </w:rPr>
        <w:t>2</w:t>
      </w:r>
      <w:r w:rsidR="00AA2F7E"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202D7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202D77" w:rsidRPr="00D44D33">
        <w:rPr>
          <w:rFonts w:ascii="Times New Roman" w:eastAsiaTheme="minorEastAsia" w:hAnsi="Times New Roman" w:cs="Times New Roman"/>
          <w:sz w:val="24"/>
          <w:szCs w:val="24"/>
        </w:rPr>
        <w:t>2</w:t>
      </w:r>
      <w:r w:rsidR="00AA2F7E"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przekroczenia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odszkodowanie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abonamentowej.</w:t>
      </w:r>
      <w:r w:rsidR="00970B2E" w:rsidRPr="00D44D33">
        <w:rPr>
          <w:rFonts w:ascii="Times New Roman" w:eastAsiaTheme="minorEastAsia" w:hAnsi="Times New Roman" w:cs="Times New Roman"/>
          <w:sz w:val="24"/>
          <w:szCs w:val="24"/>
        </w:rPr>
        <w:t xml:space="preserve"> </w:t>
      </w:r>
      <w:r w:rsidR="005B171A" w:rsidRPr="00D44D33">
        <w:rPr>
          <w:rFonts w:ascii="Times New Roman" w:eastAsiaTheme="minorEastAsia" w:hAnsi="Times New Roman" w:cs="Times New Roman"/>
          <w:sz w:val="24"/>
          <w:szCs w:val="24"/>
        </w:rPr>
        <w:t>Przepis ust.7</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przedawniania</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2FF268E1" w:rsidRPr="00D44D33">
        <w:rPr>
          <w:rFonts w:ascii="Times New Roman" w:eastAsiaTheme="minorEastAsia" w:hAnsi="Times New Roman" w:cs="Times New Roman"/>
          <w:sz w:val="24"/>
          <w:szCs w:val="24"/>
        </w:rPr>
        <w:t>powszechnej.</w:t>
      </w:r>
    </w:p>
    <w:p w14:paraId="29F58FB8" w14:textId="5BA6BAB2" w:rsidR="2A436E4F" w:rsidRPr="00D44D33" w:rsidRDefault="2A436E4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Powyższy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p>
    <w:p w14:paraId="20529D7C" w14:textId="615BB237" w:rsidR="005B171A" w:rsidRPr="00D44D33" w:rsidRDefault="7EC8794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373</w:t>
      </w:r>
    </w:p>
    <w:p w14:paraId="4C975DBC" w14:textId="1CCEC986" w:rsidR="00805650" w:rsidRPr="00D44D33" w:rsidRDefault="005B171A"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R</w:t>
      </w:r>
      <w:r w:rsidR="00805650" w:rsidRPr="00D44D33">
        <w:rPr>
          <w:rFonts w:ascii="Times New Roman" w:eastAsiaTheme="minorEastAsia" w:hAnsi="Times New Roman" w:cs="Times New Roman"/>
          <w:b/>
          <w:bCs/>
          <w:sz w:val="24"/>
          <w:szCs w:val="24"/>
        </w:rPr>
        <w:t>eklamacje</w:t>
      </w:r>
    </w:p>
    <w:p w14:paraId="55BD1F1E" w14:textId="5C62FD6C" w:rsidR="00B169B5" w:rsidRPr="00D44D33" w:rsidRDefault="005B171A" w:rsidP="00D44D33">
      <w:pPr>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373</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dochodzenia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r w:rsidR="49A05F0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49A05F0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9A05F0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49A05F07"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49A05F0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F07FD5"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62473525"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62473525" w:rsidRPr="00D44D33">
        <w:rPr>
          <w:rFonts w:ascii="Times New Roman" w:eastAsiaTheme="minorEastAsia" w:hAnsi="Times New Roman" w:cs="Times New Roman"/>
          <w:sz w:val="24"/>
          <w:szCs w:val="24"/>
        </w:rPr>
        <w:t>rachunku</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odpowiadać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wydanym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delegacji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ustawowej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7</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podstawy</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53FD23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maksymalny</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złożenie</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rek</w:t>
      </w:r>
      <w:r w:rsidR="3BE2D1A9" w:rsidRPr="00D44D33">
        <w:rPr>
          <w:rFonts w:ascii="Times New Roman" w:eastAsiaTheme="minorEastAsia" w:hAnsi="Times New Roman" w:cs="Times New Roman"/>
          <w:sz w:val="24"/>
          <w:szCs w:val="24"/>
        </w:rPr>
        <w:t>l</w:t>
      </w:r>
      <w:r w:rsidR="5FA2108B" w:rsidRPr="00D44D33">
        <w:rPr>
          <w:rFonts w:ascii="Times New Roman" w:eastAsiaTheme="minorEastAsia" w:hAnsi="Times New Roman" w:cs="Times New Roman"/>
          <w:sz w:val="24"/>
          <w:szCs w:val="24"/>
        </w:rPr>
        <w:t>a</w:t>
      </w:r>
      <w:r w:rsidR="57CC4034" w:rsidRPr="00D44D33">
        <w:rPr>
          <w:rFonts w:ascii="Times New Roman" w:eastAsiaTheme="minorEastAsia" w:hAnsi="Times New Roman" w:cs="Times New Roman"/>
          <w:sz w:val="24"/>
          <w:szCs w:val="24"/>
        </w:rPr>
        <w:t>ma</w:t>
      </w:r>
      <w:r w:rsidR="5FA2108B" w:rsidRPr="00D44D33">
        <w:rPr>
          <w:rFonts w:ascii="Times New Roman" w:eastAsiaTheme="minorEastAsia" w:hAnsi="Times New Roman" w:cs="Times New Roman"/>
          <w:sz w:val="24"/>
          <w:szCs w:val="24"/>
        </w:rPr>
        <w:t>cji</w:t>
      </w:r>
      <w:r w:rsidR="00970B2E" w:rsidRPr="00D44D33">
        <w:rPr>
          <w:rFonts w:ascii="Times New Roman" w:eastAsiaTheme="minorEastAsia" w:hAnsi="Times New Roman" w:cs="Times New Roman"/>
          <w:sz w:val="24"/>
          <w:szCs w:val="24"/>
        </w:rPr>
        <w:t xml:space="preserve"> </w:t>
      </w:r>
      <w:r w:rsidR="5FA2108B" w:rsidRPr="00D44D33">
        <w:rPr>
          <w:rFonts w:ascii="Times New Roman" w:eastAsiaTheme="minorEastAsia" w:hAnsi="Times New Roman" w:cs="Times New Roman"/>
          <w:sz w:val="24"/>
          <w:szCs w:val="24"/>
        </w:rPr>
        <w:t>usług</w:t>
      </w:r>
      <w:r w:rsidR="51FD25C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E16D66"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końca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okresu</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rozliczeniowego,</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zakończyła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przerwa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nienależycie</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wykonana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miała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wykonana,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faktury</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zawierającej</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nieprawidłowe</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obliczenie</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0F07FD5"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51FD25C8"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363B3F3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w:t>
      </w:r>
      <w:r w:rsidR="00272D3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4127C834"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sposoby</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składania</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sz w:val="24"/>
          <w:szCs w:val="24"/>
        </w:rPr>
        <w:t>reklamacji</w:t>
      </w:r>
      <w:r w:rsidR="00D21A2D" w:rsidRPr="00D44D33">
        <w:rPr>
          <w:rFonts w:ascii="Times New Roman" w:eastAsiaTheme="minorEastAsia" w:hAnsi="Times New Roman" w:cs="Times New Roman"/>
          <w:sz w:val="24"/>
          <w:szCs w:val="24"/>
        </w:rPr>
        <w:t xml:space="preserve"> </w:t>
      </w:r>
      <w:r w:rsidR="00E16D66"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sz w:val="24"/>
          <w:szCs w:val="24"/>
        </w:rPr>
        <w:t xml:space="preserve"> </w:t>
      </w:r>
      <w:r w:rsidR="00B169B5"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formie</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pisemnej,</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ustnie</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protokołu</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lub</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telefonicznie</w:t>
      </w:r>
      <w:r w:rsidR="00681316"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wskazany</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w</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umowie</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świadczenie</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adres</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poczty</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oraz</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adres</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innego</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środka</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elektronicznej,</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o</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ile</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dostawca</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usług</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umożliwia</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korzystanie</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z</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innego</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środka</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komunikacji</w:t>
      </w:r>
      <w:r w:rsidR="00970B2E" w:rsidRPr="00D44D33">
        <w:rPr>
          <w:rFonts w:ascii="Times New Roman" w:eastAsiaTheme="minorEastAsia" w:hAnsi="Times New Roman" w:cs="Times New Roman"/>
          <w:bCs/>
          <w:sz w:val="24"/>
          <w:szCs w:val="24"/>
        </w:rPr>
        <w:t xml:space="preserve"> </w:t>
      </w:r>
      <w:r w:rsidR="00681316" w:rsidRPr="00D44D33">
        <w:rPr>
          <w:rFonts w:ascii="Times New Roman" w:eastAsiaTheme="minorEastAsia" w:hAnsi="Times New Roman" w:cs="Times New Roman"/>
          <w:bCs/>
          <w:sz w:val="24"/>
          <w:szCs w:val="24"/>
        </w:rPr>
        <w:t>elektronicznej</w:t>
      </w:r>
      <w:r w:rsidR="00B169B5" w:rsidRPr="00D44D33">
        <w:rPr>
          <w:rFonts w:ascii="Times New Roman" w:eastAsiaTheme="minorEastAsia" w:hAnsi="Times New Roman" w:cs="Times New Roman"/>
          <w:bCs/>
          <w:sz w:val="24"/>
          <w:szCs w:val="24"/>
        </w:rPr>
        <w:t>.</w:t>
      </w:r>
      <w:r w:rsidR="00970B2E" w:rsidRPr="00D44D33">
        <w:rPr>
          <w:rFonts w:ascii="Times New Roman" w:eastAsiaTheme="minorEastAsia" w:hAnsi="Times New Roman" w:cs="Times New Roman"/>
          <w:bCs/>
          <w:sz w:val="24"/>
          <w:szCs w:val="24"/>
        </w:rPr>
        <w:t xml:space="preserve"> </w:t>
      </w:r>
      <w:r w:rsidR="00272D38" w:rsidRPr="00D44D33">
        <w:rPr>
          <w:rFonts w:ascii="Times New Roman" w:eastAsiaTheme="minorEastAsia" w:hAnsi="Times New Roman" w:cs="Times New Roman"/>
          <w:bCs/>
          <w:sz w:val="24"/>
          <w:szCs w:val="24"/>
        </w:rPr>
        <w:t>Przepis ust.</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4</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wskazuje</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niezbędne</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elementy,</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które</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powinna</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zawierać</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reklamacja</w:t>
      </w:r>
      <w:r w:rsidR="00970B2E" w:rsidRPr="00D44D33">
        <w:rPr>
          <w:rFonts w:ascii="Times New Roman" w:eastAsiaTheme="minorEastAsia" w:hAnsi="Times New Roman" w:cs="Times New Roman"/>
          <w:bCs/>
          <w:sz w:val="24"/>
          <w:szCs w:val="24"/>
        </w:rPr>
        <w:t xml:space="preserve"> </w:t>
      </w:r>
      <w:r w:rsidR="00B169B5" w:rsidRPr="00D44D33">
        <w:rPr>
          <w:rFonts w:ascii="Times New Roman" w:eastAsiaTheme="minorEastAsia" w:hAnsi="Times New Roman" w:cs="Times New Roman"/>
          <w:bCs/>
          <w:sz w:val="24"/>
          <w:szCs w:val="24"/>
        </w:rPr>
        <w:t>usługi.</w:t>
      </w:r>
      <w:r w:rsidR="00970B2E" w:rsidRPr="00D44D33">
        <w:rPr>
          <w:rFonts w:ascii="Times New Roman" w:eastAsiaTheme="minorEastAsia" w:hAnsi="Times New Roman" w:cs="Times New Roman"/>
          <w:bCs/>
          <w:sz w:val="24"/>
          <w:szCs w:val="24"/>
        </w:rPr>
        <w:t xml:space="preserve"> </w:t>
      </w:r>
    </w:p>
    <w:p w14:paraId="535FACBF" w14:textId="725A4A91" w:rsidR="00805650" w:rsidRPr="00D44D33" w:rsidRDefault="00B169B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rozpatrzenia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sformułowane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ważne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domniemanie</w:t>
      </w:r>
      <w:r w:rsidR="00970B2E" w:rsidRPr="00D44D33">
        <w:rPr>
          <w:rFonts w:ascii="Times New Roman" w:eastAsiaTheme="minorEastAsia" w:hAnsi="Times New Roman" w:cs="Times New Roman"/>
          <w:sz w:val="24"/>
          <w:szCs w:val="24"/>
        </w:rPr>
        <w:t xml:space="preserve"> </w:t>
      </w:r>
      <w:r w:rsidR="6F77B22D" w:rsidRPr="00D44D33">
        <w:rPr>
          <w:rFonts w:ascii="Times New Roman" w:eastAsiaTheme="minorEastAsia" w:hAnsi="Times New Roman" w:cs="Times New Roman"/>
          <w:sz w:val="24"/>
          <w:szCs w:val="24"/>
        </w:rPr>
        <w:t>faktyczne</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bezskuteczny</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upływ</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175A13A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uznał</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zaakceptował</w:t>
      </w:r>
      <w:r w:rsidR="00970B2E" w:rsidRPr="00D44D33">
        <w:rPr>
          <w:rFonts w:ascii="Times New Roman" w:eastAsiaTheme="minorEastAsia" w:hAnsi="Times New Roman" w:cs="Times New Roman"/>
          <w:sz w:val="24"/>
          <w:szCs w:val="24"/>
        </w:rPr>
        <w:t xml:space="preserve"> </w:t>
      </w:r>
      <w:r w:rsidR="5D07A6C8" w:rsidRPr="00D44D33">
        <w:rPr>
          <w:rFonts w:ascii="Times New Roman" w:eastAsiaTheme="minorEastAsia" w:hAnsi="Times New Roman" w:cs="Times New Roman"/>
          <w:sz w:val="24"/>
          <w:szCs w:val="24"/>
        </w:rPr>
        <w:t>żądanie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reklamującego</w:t>
      </w:r>
      <w:r w:rsidR="175A13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Przyjęcie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założenia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chroni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skutkami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nadmiernie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długotrwałego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rozpatrywania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zostaje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uwzględniona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otrzymuje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zwrot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poniesionej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szczegółowego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wykazu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wykonanych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A53629"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00A53629"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A53629"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A53629" w:rsidRPr="00D44D33">
        <w:rPr>
          <w:rFonts w:ascii="Times New Roman" w:eastAsiaTheme="minorEastAsia" w:hAnsi="Times New Roman" w:cs="Times New Roman"/>
          <w:bCs/>
          <w:sz w:val="24"/>
          <w:szCs w:val="24"/>
        </w:rPr>
        <w:t>upoważnienie</w:t>
      </w:r>
      <w:r w:rsidR="00970B2E" w:rsidRPr="00D44D33">
        <w:rPr>
          <w:rFonts w:ascii="Times New Roman" w:eastAsiaTheme="minorEastAsia" w:hAnsi="Times New Roman" w:cs="Times New Roman"/>
          <w:bCs/>
          <w:sz w:val="24"/>
          <w:szCs w:val="24"/>
        </w:rPr>
        <w:t xml:space="preserve"> </w:t>
      </w:r>
      <w:r w:rsidR="00A53629" w:rsidRPr="00D44D33">
        <w:rPr>
          <w:rFonts w:ascii="Times New Roman" w:eastAsiaTheme="minorEastAsia" w:hAnsi="Times New Roman" w:cs="Times New Roman"/>
          <w:bCs/>
          <w:sz w:val="24"/>
          <w:szCs w:val="24"/>
        </w:rPr>
        <w:t>do</w:t>
      </w:r>
      <w:r w:rsidR="00970B2E" w:rsidRPr="00D44D33">
        <w:rPr>
          <w:rFonts w:ascii="Times New Roman" w:eastAsiaTheme="minorEastAsia" w:hAnsi="Times New Roman" w:cs="Times New Roman"/>
          <w:bCs/>
          <w:sz w:val="24"/>
          <w:szCs w:val="24"/>
        </w:rPr>
        <w:t xml:space="preserve"> </w:t>
      </w:r>
      <w:r w:rsidR="00A53629" w:rsidRPr="00D44D33">
        <w:rPr>
          <w:rFonts w:ascii="Times New Roman" w:eastAsiaTheme="minorEastAsia" w:hAnsi="Times New Roman" w:cs="Times New Roman"/>
          <w:bCs/>
          <w:sz w:val="24"/>
          <w:szCs w:val="24"/>
        </w:rPr>
        <w:t>wydania</w:t>
      </w:r>
      <w:r w:rsidR="00970B2E" w:rsidRPr="00D44D33">
        <w:rPr>
          <w:rFonts w:ascii="Times New Roman" w:eastAsiaTheme="minorEastAsia" w:hAnsi="Times New Roman" w:cs="Times New Roman"/>
          <w:bCs/>
          <w:sz w:val="24"/>
          <w:szCs w:val="24"/>
        </w:rPr>
        <w:t xml:space="preserve"> </w:t>
      </w:r>
      <w:r w:rsidR="00A53629" w:rsidRPr="00D44D33">
        <w:rPr>
          <w:rFonts w:ascii="Times New Roman" w:eastAsiaTheme="minorEastAsia" w:hAnsi="Times New Roman" w:cs="Times New Roman"/>
          <w:bCs/>
          <w:sz w:val="24"/>
          <w:szCs w:val="24"/>
        </w:rPr>
        <w:t>rozporządzenia</w:t>
      </w:r>
      <w:r w:rsidR="00970B2E" w:rsidRPr="00D44D33">
        <w:rPr>
          <w:rFonts w:ascii="Times New Roman" w:eastAsiaTheme="minorEastAsia" w:hAnsi="Times New Roman" w:cs="Times New Roman"/>
          <w:bCs/>
          <w:sz w:val="24"/>
          <w:szCs w:val="24"/>
        </w:rPr>
        <w:t xml:space="preserve"> </w:t>
      </w:r>
      <w:r w:rsidR="00A53629" w:rsidRPr="00D44D33">
        <w:rPr>
          <w:rFonts w:ascii="Times New Roman" w:eastAsiaTheme="minorEastAsia" w:hAnsi="Times New Roman" w:cs="Times New Roman"/>
          <w:bCs/>
          <w:sz w:val="24"/>
          <w:szCs w:val="24"/>
        </w:rPr>
        <w:t>określającego</w:t>
      </w:r>
      <w:r w:rsidR="00970B2E" w:rsidRPr="00D44D33">
        <w:rPr>
          <w:rFonts w:ascii="Times New Roman" w:eastAsiaTheme="minorEastAsia" w:hAnsi="Times New Roman" w:cs="Times New Roman"/>
          <w:bCs/>
          <w:sz w:val="24"/>
          <w:szCs w:val="24"/>
        </w:rPr>
        <w:t xml:space="preserve"> </w:t>
      </w:r>
      <w:r w:rsidR="009A0FD6" w:rsidRPr="00D44D33">
        <w:rPr>
          <w:rFonts w:ascii="Times New Roman" w:eastAsiaTheme="minorEastAsia" w:hAnsi="Times New Roman" w:cs="Times New Roman"/>
          <w:bCs/>
          <w:sz w:val="24"/>
          <w:szCs w:val="24"/>
        </w:rPr>
        <w:t xml:space="preserve">szczegółowy tryb postępowania reklamacyjnego oraz elementy, jakie powinna zawierać odpowiedź na reklamację usługi komunikacji elektronicznej lub usługi fakultatywnego obciążania rachunku mając na uwadze niezbędną ochronę interesu użytkownika końcowego, maksymalne uproszczenie procedury reklamacyjnej oraz zapewnienie jej przejrzystości. </w:t>
      </w:r>
    </w:p>
    <w:p w14:paraId="31EBB37D" w14:textId="387F5A4C" w:rsidR="00272D38" w:rsidRPr="00D44D33" w:rsidRDefault="0B8F096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374</w:t>
      </w:r>
      <w:r w:rsidR="00970B2E" w:rsidRPr="00D44D33">
        <w:rPr>
          <w:rFonts w:ascii="Times New Roman" w:eastAsiaTheme="minorEastAsia" w:hAnsi="Times New Roman" w:cs="Times New Roman"/>
          <w:b/>
          <w:bCs/>
          <w:sz w:val="24"/>
          <w:szCs w:val="24"/>
        </w:rPr>
        <w:t xml:space="preserve"> </w:t>
      </w:r>
    </w:p>
    <w:p w14:paraId="1872F5FA" w14:textId="3A5194C2" w:rsidR="00805650" w:rsidRPr="00D44D33" w:rsidRDefault="00272D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w:t>
      </w:r>
      <w:r w:rsidR="00805650" w:rsidRPr="00D44D33">
        <w:rPr>
          <w:rFonts w:ascii="Times New Roman" w:eastAsiaTheme="minorEastAsia" w:hAnsi="Times New Roman" w:cs="Times New Roman"/>
          <w:b/>
          <w:bCs/>
          <w:sz w:val="24"/>
          <w:szCs w:val="24"/>
        </w:rPr>
        <w:t>ochodzenie</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roszczeń</w:t>
      </w:r>
    </w:p>
    <w:p w14:paraId="0D534274" w14:textId="08B7E171" w:rsidR="00805650" w:rsidRPr="00D44D33" w:rsidRDefault="00272D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374</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wyczerpania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dochodzeniem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drodze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sądowego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pozasądowego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rozwiązywania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prowadzonego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uniknięcia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skorzystać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powyższych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sposobów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dochodzenia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precyzuje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wyczerpanie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Wyczerpanie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nieuwzględnienie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dochodzonej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uwzględnienia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E290C52" w14:textId="73519508" w:rsidR="7AE3FDB8" w:rsidRPr="00D44D33" w:rsidRDefault="7AE3FDB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Powyższy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zbliżony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p>
    <w:p w14:paraId="2946744C" w14:textId="5838BE95" w:rsidR="00272D38" w:rsidRPr="00D44D33" w:rsidRDefault="2091EBD4"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375</w:t>
      </w:r>
    </w:p>
    <w:p w14:paraId="17CA77C3" w14:textId="0EE84FC5" w:rsidR="091948D3" w:rsidRPr="00D44D33" w:rsidRDefault="00272D38" w:rsidP="00D44D33">
      <w:pPr>
        <w:spacing w:before="120" w:after="120" w:line="360" w:lineRule="auto"/>
        <w:jc w:val="center"/>
        <w:rPr>
          <w:rFonts w:ascii="Times New Roman" w:eastAsiaTheme="minorEastAsia" w:hAnsi="Times New Roman" w:cs="Times New Roman"/>
          <w:sz w:val="24"/>
          <w:szCs w:val="24"/>
        </w:rPr>
      </w:pPr>
      <w:r w:rsidRPr="00D44D33">
        <w:rPr>
          <w:rFonts w:ascii="Times New Roman" w:eastAsiaTheme="minorEastAsia" w:hAnsi="Times New Roman" w:cs="Times New Roman"/>
          <w:b/>
          <w:bCs/>
          <w:sz w:val="24"/>
          <w:szCs w:val="24"/>
        </w:rPr>
        <w:t>Z</w:t>
      </w:r>
      <w:r w:rsidR="091948D3" w:rsidRPr="00D44D33">
        <w:rPr>
          <w:rFonts w:ascii="Times New Roman" w:eastAsiaTheme="minorEastAsia" w:hAnsi="Times New Roman" w:cs="Times New Roman"/>
          <w:b/>
          <w:bCs/>
          <w:sz w:val="24"/>
          <w:szCs w:val="24"/>
        </w:rPr>
        <w:t>naczące</w:t>
      </w:r>
      <w:r w:rsidR="00970B2E" w:rsidRPr="00D44D33">
        <w:rPr>
          <w:rFonts w:ascii="Times New Roman" w:eastAsiaTheme="minorEastAsia" w:hAnsi="Times New Roman" w:cs="Times New Roman"/>
          <w:b/>
          <w:bCs/>
          <w:sz w:val="24"/>
          <w:szCs w:val="24"/>
        </w:rPr>
        <w:t xml:space="preserve"> </w:t>
      </w:r>
      <w:r w:rsidR="091948D3" w:rsidRPr="00D44D33">
        <w:rPr>
          <w:rFonts w:ascii="Times New Roman" w:eastAsiaTheme="minorEastAsia" w:hAnsi="Times New Roman" w:cs="Times New Roman"/>
          <w:b/>
          <w:bCs/>
          <w:sz w:val="24"/>
          <w:szCs w:val="24"/>
        </w:rPr>
        <w:t>rozbieżności</w:t>
      </w:r>
    </w:p>
    <w:p w14:paraId="4D6142BD" w14:textId="1AED7D98" w:rsidR="091948D3" w:rsidRPr="00D44D33" w:rsidRDefault="00272D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szczególny</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Występowanie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znaczących,</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stałych</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częstych,</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rozbieżności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rzeczywistym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wykonaniem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uprawnia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41592DF1" w:rsidRPr="00D44D33">
        <w:rPr>
          <w:rFonts w:ascii="Times New Roman" w:eastAsiaTheme="minorEastAsia" w:hAnsi="Times New Roman" w:cs="Times New Roman"/>
          <w:sz w:val="24"/>
          <w:szCs w:val="24"/>
        </w:rPr>
        <w:t>wyczerpaniu</w:t>
      </w:r>
      <w:r w:rsidR="00970B2E" w:rsidRPr="00D44D33">
        <w:rPr>
          <w:rFonts w:ascii="Times New Roman" w:eastAsiaTheme="minorEastAsia" w:hAnsi="Times New Roman" w:cs="Times New Roman"/>
          <w:sz w:val="24"/>
          <w:szCs w:val="24"/>
        </w:rPr>
        <w:t xml:space="preserve"> </w:t>
      </w:r>
      <w:r w:rsidR="41592DF1"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41592DF1" w:rsidRPr="00D44D33">
        <w:rPr>
          <w:rFonts w:ascii="Times New Roman" w:eastAsiaTheme="minorEastAsia" w:hAnsi="Times New Roman" w:cs="Times New Roman"/>
          <w:sz w:val="24"/>
          <w:szCs w:val="24"/>
        </w:rPr>
        <w:t>reklamacyjnej</w:t>
      </w:r>
      <w:r w:rsidR="091948D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możliwością</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dochodzenia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2AD4B7F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AD4B7F2" w:rsidRPr="00D44D33">
        <w:rPr>
          <w:rFonts w:ascii="Times New Roman" w:eastAsiaTheme="minorEastAsia" w:hAnsi="Times New Roman" w:cs="Times New Roman"/>
          <w:sz w:val="24"/>
          <w:szCs w:val="24"/>
        </w:rPr>
        <w:t>nienależytego</w:t>
      </w:r>
      <w:r w:rsidR="00970B2E" w:rsidRPr="00D44D33">
        <w:rPr>
          <w:rFonts w:ascii="Times New Roman" w:eastAsiaTheme="minorEastAsia" w:hAnsi="Times New Roman" w:cs="Times New Roman"/>
          <w:sz w:val="24"/>
          <w:szCs w:val="24"/>
        </w:rPr>
        <w:t xml:space="preserve"> </w:t>
      </w:r>
      <w:r w:rsidR="2AD4B7F2"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2AD4B7F2"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3FB76DA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konieczności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roszczenia,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298</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Przykładem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znaczących</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rozbieżności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rzeczywistym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wykonaniem</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warunkami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określonymi</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brak</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zasięgu</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głosowych</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miejscu</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zamieszkania,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słaba</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jakość</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przerywanie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uniemożliwiające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91948D3" w:rsidRPr="00D44D33">
        <w:rPr>
          <w:rFonts w:ascii="Times New Roman" w:eastAsiaTheme="minorEastAsia" w:hAnsi="Times New Roman" w:cs="Times New Roman"/>
          <w:sz w:val="24"/>
          <w:szCs w:val="24"/>
        </w:rPr>
        <w:t>usług.</w:t>
      </w:r>
    </w:p>
    <w:p w14:paraId="274A30C4" w14:textId="77205417" w:rsidR="71BCE408" w:rsidRPr="00D44D33" w:rsidRDefault="091948D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internetu.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swojego</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odpowiednika</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2D30B8F" w:rsidRPr="00D44D33">
        <w:rPr>
          <w:rFonts w:ascii="Times New Roman" w:eastAsiaTheme="minorEastAsia" w:hAnsi="Times New Roman" w:cs="Times New Roman"/>
          <w:sz w:val="24"/>
          <w:szCs w:val="24"/>
        </w:rPr>
        <w:t>Pt.</w:t>
      </w:r>
    </w:p>
    <w:p w14:paraId="0148E8F9" w14:textId="4724A5EE" w:rsidR="00272D38" w:rsidRPr="00D44D33" w:rsidRDefault="08106A9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376</w:t>
      </w:r>
    </w:p>
    <w:p w14:paraId="643D9C74" w14:textId="58480AFE" w:rsidR="00805650" w:rsidRPr="00D44D33" w:rsidRDefault="00272D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1730E85F" w:rsidRPr="00D44D33">
        <w:rPr>
          <w:rFonts w:ascii="Times New Roman" w:eastAsiaTheme="minorEastAsia" w:hAnsi="Times New Roman" w:cs="Times New Roman"/>
          <w:b/>
          <w:bCs/>
          <w:sz w:val="24"/>
          <w:szCs w:val="24"/>
        </w:rPr>
        <w:t>rzerwanie</w:t>
      </w:r>
      <w:r w:rsidR="00970B2E" w:rsidRPr="00D44D33">
        <w:rPr>
          <w:rFonts w:ascii="Times New Roman" w:eastAsiaTheme="minorEastAsia" w:hAnsi="Times New Roman" w:cs="Times New Roman"/>
          <w:b/>
          <w:bCs/>
          <w:sz w:val="24"/>
          <w:szCs w:val="24"/>
        </w:rPr>
        <w:t xml:space="preserve"> </w:t>
      </w:r>
      <w:r w:rsidR="1730E85F" w:rsidRPr="00D44D33">
        <w:rPr>
          <w:rFonts w:ascii="Times New Roman" w:eastAsiaTheme="minorEastAsia" w:hAnsi="Times New Roman" w:cs="Times New Roman"/>
          <w:b/>
          <w:bCs/>
          <w:sz w:val="24"/>
          <w:szCs w:val="24"/>
        </w:rPr>
        <w:t>biegu</w:t>
      </w:r>
      <w:r w:rsidR="00970B2E" w:rsidRPr="00D44D33">
        <w:rPr>
          <w:rFonts w:ascii="Times New Roman" w:eastAsiaTheme="minorEastAsia" w:hAnsi="Times New Roman" w:cs="Times New Roman"/>
          <w:b/>
          <w:bCs/>
          <w:sz w:val="24"/>
          <w:szCs w:val="24"/>
        </w:rPr>
        <w:t xml:space="preserve"> </w:t>
      </w:r>
      <w:r w:rsidR="1730E85F" w:rsidRPr="00D44D33">
        <w:rPr>
          <w:rFonts w:ascii="Times New Roman" w:eastAsiaTheme="minorEastAsia" w:hAnsi="Times New Roman" w:cs="Times New Roman"/>
          <w:b/>
          <w:bCs/>
          <w:sz w:val="24"/>
          <w:szCs w:val="24"/>
        </w:rPr>
        <w:t>przedawnienia</w:t>
      </w:r>
    </w:p>
    <w:p w14:paraId="2AA7F265" w14:textId="5FC75566" w:rsidR="00805650" w:rsidRPr="00D44D33" w:rsidRDefault="00272D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dookreśla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obliczania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przedawnienia</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roszczeń</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usł</w:t>
      </w:r>
      <w:r w:rsidR="00202D77" w:rsidRPr="00D44D33">
        <w:rPr>
          <w:rFonts w:ascii="Times New Roman" w:eastAsiaTheme="minorEastAsia" w:hAnsi="Times New Roman" w:cs="Times New Roman"/>
          <w:sz w:val="24"/>
          <w:szCs w:val="24"/>
        </w:rPr>
        <w:t>u</w:t>
      </w:r>
      <w:r w:rsidR="581AC2D9" w:rsidRPr="00D44D33">
        <w:rPr>
          <w:rFonts w:ascii="Times New Roman" w:eastAsiaTheme="minorEastAsia" w:hAnsi="Times New Roman" w:cs="Times New Roman"/>
          <w:sz w:val="24"/>
          <w:szCs w:val="24"/>
        </w:rPr>
        <w:t>g</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81AC2D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F07FD5" w:rsidRPr="00D44D33">
        <w:rPr>
          <w:rFonts w:ascii="Times New Roman" w:eastAsiaTheme="minorEastAsia" w:hAnsi="Times New Roman" w:cs="Times New Roman"/>
          <w:sz w:val="24"/>
          <w:szCs w:val="24"/>
        </w:rPr>
        <w:t>fakultatywnego</w:t>
      </w:r>
      <w:r w:rsidR="00970B2E" w:rsidRPr="00D44D33">
        <w:rPr>
          <w:rFonts w:ascii="Times New Roman" w:eastAsiaTheme="minorEastAsia" w:hAnsi="Times New Roman" w:cs="Times New Roman"/>
          <w:sz w:val="24"/>
          <w:szCs w:val="24"/>
        </w:rPr>
        <w:t xml:space="preserve"> </w:t>
      </w:r>
      <w:r w:rsidR="0F7A3EAE" w:rsidRPr="00D44D33">
        <w:rPr>
          <w:rFonts w:ascii="Times New Roman" w:eastAsiaTheme="minorEastAsia" w:hAnsi="Times New Roman" w:cs="Times New Roman"/>
          <w:sz w:val="24"/>
          <w:szCs w:val="24"/>
        </w:rPr>
        <w:t>obciążania</w:t>
      </w:r>
      <w:r w:rsidR="00970B2E" w:rsidRPr="00D44D33">
        <w:rPr>
          <w:rFonts w:ascii="Times New Roman" w:eastAsiaTheme="minorEastAsia" w:hAnsi="Times New Roman" w:cs="Times New Roman"/>
          <w:sz w:val="24"/>
          <w:szCs w:val="24"/>
        </w:rPr>
        <w:t xml:space="preserve"> </w:t>
      </w:r>
      <w:r w:rsidR="0F7A3EAE" w:rsidRPr="00D44D33">
        <w:rPr>
          <w:rFonts w:ascii="Times New Roman" w:eastAsiaTheme="minorEastAsia" w:hAnsi="Times New Roman" w:cs="Times New Roman"/>
          <w:sz w:val="24"/>
          <w:szCs w:val="24"/>
        </w:rPr>
        <w:t>rachunku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wskazując</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jakich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ulega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zawieszeniu,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wniesienia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wniesienia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6C4158C" w:rsidRPr="00D44D33">
        <w:rPr>
          <w:rFonts w:ascii="Times New Roman" w:eastAsiaTheme="minorEastAsia" w:hAnsi="Times New Roman" w:cs="Times New Roman"/>
          <w:sz w:val="24"/>
          <w:szCs w:val="24"/>
        </w:rPr>
        <w:t>wyczerpania</w:t>
      </w:r>
      <w:r w:rsidR="00970B2E" w:rsidRPr="00D44D33">
        <w:rPr>
          <w:rFonts w:ascii="Times New Roman" w:eastAsiaTheme="minorEastAsia" w:hAnsi="Times New Roman" w:cs="Times New Roman"/>
          <w:sz w:val="24"/>
          <w:szCs w:val="24"/>
        </w:rPr>
        <w:t xml:space="preserve"> </w:t>
      </w:r>
      <w:r w:rsidR="06C4158C"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06C4158C"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6C4158C" w:rsidRPr="00D44D33">
        <w:rPr>
          <w:rFonts w:ascii="Times New Roman" w:eastAsiaTheme="minorEastAsia" w:hAnsi="Times New Roman" w:cs="Times New Roman"/>
          <w:sz w:val="24"/>
          <w:szCs w:val="24"/>
        </w:rPr>
        <w:t>reklamacyjnego</w:t>
      </w:r>
      <w:r w:rsidR="00805650" w:rsidRPr="00D44D33">
        <w:rPr>
          <w:rFonts w:ascii="Times New Roman" w:eastAsiaTheme="minorEastAsia" w:hAnsi="Times New Roman" w:cs="Times New Roman"/>
          <w:sz w:val="24"/>
          <w:szCs w:val="24"/>
        </w:rPr>
        <w:t>.</w:t>
      </w:r>
    </w:p>
    <w:p w14:paraId="0AE393D7" w14:textId="554A060A" w:rsidR="00272D38" w:rsidRPr="00D44D33" w:rsidRDefault="1B04E807"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377</w:t>
      </w:r>
    </w:p>
    <w:p w14:paraId="080AE7E2" w14:textId="62D98C4F" w:rsidR="00805650" w:rsidRPr="00D44D33" w:rsidRDefault="00272D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Z</w:t>
      </w:r>
      <w:r w:rsidR="00805650" w:rsidRPr="00D44D33">
        <w:rPr>
          <w:rFonts w:ascii="Times New Roman" w:eastAsiaTheme="minorEastAsia" w:hAnsi="Times New Roman" w:cs="Times New Roman"/>
          <w:b/>
          <w:bCs/>
          <w:sz w:val="24"/>
          <w:szCs w:val="24"/>
        </w:rPr>
        <w:t>aprzestanie</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świadczenia</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usług</w:t>
      </w:r>
    </w:p>
    <w:p w14:paraId="256E7EC1" w14:textId="2BE952A9" w:rsidR="00805650" w:rsidRPr="00D44D33" w:rsidRDefault="00272D38" w:rsidP="00D44D33">
      <w:pPr>
        <w:spacing w:before="120" w:after="120" w:line="360" w:lineRule="auto"/>
        <w:jc w:val="both"/>
        <w:rPr>
          <w:rFonts w:ascii="Times New Roman" w:eastAsiaTheme="minorEastAsia" w:hAnsi="Times New Roman" w:cs="Times New Roman"/>
          <w:sz w:val="24"/>
          <w:szCs w:val="24"/>
        </w:rPr>
      </w:pPr>
      <w:bookmarkStart w:id="19" w:name="mip48671538"/>
      <w:bookmarkStart w:id="20" w:name="mip48671542"/>
      <w:bookmarkEnd w:id="19"/>
      <w:bookmarkEnd w:id="20"/>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kwestię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niepłacenia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rachunków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zaprzestania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dostawcę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litery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e</w:t>
      </w:r>
      <w:r w:rsidR="006C34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załącznika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VI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1505A3C1" w:rsidRPr="00D44D33">
        <w:rPr>
          <w:rFonts w:ascii="Times New Roman" w:eastAsiaTheme="minorEastAsia" w:hAnsi="Times New Roman" w:cs="Times New Roman"/>
          <w:sz w:val="24"/>
          <w:szCs w:val="24"/>
        </w:rPr>
        <w:t>K</w:t>
      </w:r>
      <w:r w:rsidR="0579C912" w:rsidRPr="00D44D33">
        <w:rPr>
          <w:rFonts w:ascii="Times New Roman" w:eastAsiaTheme="minorEastAsia" w:hAnsi="Times New Roman" w:cs="Times New Roman"/>
          <w:sz w:val="24"/>
          <w:szCs w:val="24"/>
        </w:rPr>
        <w:t>w</w:t>
      </w:r>
      <w:r w:rsidR="0D872137" w:rsidRPr="00D44D33">
        <w:rPr>
          <w:rFonts w:ascii="Times New Roman" w:eastAsiaTheme="minorEastAsia" w:hAnsi="Times New Roman" w:cs="Times New Roman"/>
          <w:sz w:val="24"/>
          <w:szCs w:val="24"/>
        </w:rPr>
        <w:t>estia</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zaprzestania</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717C02B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17C02BB"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717C02BB"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717C02B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17C02BB"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717C02BB"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D872137" w:rsidRPr="00D44D33">
        <w:rPr>
          <w:rFonts w:ascii="Times New Roman" w:eastAsiaTheme="minorEastAsia" w:hAnsi="Times New Roman" w:cs="Times New Roman"/>
          <w:sz w:val="24"/>
          <w:szCs w:val="24"/>
        </w:rPr>
        <w:t>powszechnej.</w:t>
      </w:r>
      <w:bookmarkStart w:id="21" w:name="mip48671544"/>
      <w:bookmarkStart w:id="22" w:name="mip48671545"/>
      <w:bookmarkEnd w:id="21"/>
      <w:bookmarkEnd w:id="22"/>
      <w:r w:rsidR="00970B2E" w:rsidRPr="00D44D33">
        <w:rPr>
          <w:rFonts w:ascii="Times New Roman" w:eastAsiaTheme="minorEastAsia" w:hAnsi="Times New Roman" w:cs="Times New Roman"/>
          <w:sz w:val="24"/>
          <w:szCs w:val="24"/>
        </w:rPr>
        <w:t xml:space="preserve"> </w:t>
      </w:r>
    </w:p>
    <w:p w14:paraId="1B0167B1" w14:textId="07A3CF01" w:rsidR="14109BEF" w:rsidRPr="00D44D33" w:rsidRDefault="14109BE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7F8F914E" w:rsidRPr="00D44D33">
        <w:rPr>
          <w:rFonts w:ascii="Times New Roman" w:eastAsiaTheme="minorEastAsia" w:hAnsi="Times New Roman" w:cs="Times New Roman"/>
          <w:sz w:val="24"/>
          <w:szCs w:val="24"/>
        </w:rPr>
        <w:t>d</w:t>
      </w:r>
      <w:r w:rsidR="3C611606" w:rsidRPr="00D44D33">
        <w:rPr>
          <w:rFonts w:ascii="Times New Roman" w:eastAsiaTheme="minorEastAsia" w:hAnsi="Times New Roman" w:cs="Times New Roman"/>
          <w:sz w:val="24"/>
          <w:szCs w:val="24"/>
        </w:rPr>
        <w:t>ostawca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3328F3FF" w:rsidRPr="00D44D33">
        <w:rPr>
          <w:rFonts w:ascii="Times New Roman" w:eastAsiaTheme="minorEastAsia" w:hAnsi="Times New Roman" w:cs="Times New Roman"/>
          <w:sz w:val="24"/>
          <w:szCs w:val="24"/>
        </w:rPr>
        <w:t>opóźni</w:t>
      </w:r>
      <w:r w:rsidR="4FC92EB3" w:rsidRPr="00D44D33">
        <w:rPr>
          <w:rFonts w:ascii="Times New Roman" w:eastAsiaTheme="minorEastAsia" w:hAnsi="Times New Roman" w:cs="Times New Roman"/>
          <w:sz w:val="24"/>
          <w:szCs w:val="24"/>
        </w:rPr>
        <w:t>a</w:t>
      </w:r>
      <w:r w:rsidR="3328F3FF" w:rsidRPr="00D44D33">
        <w:rPr>
          <w:rFonts w:ascii="Times New Roman" w:eastAsiaTheme="minorEastAsia" w:hAnsi="Times New Roman" w:cs="Times New Roman"/>
          <w:sz w:val="24"/>
          <w:szCs w:val="24"/>
        </w:rPr>
        <w:t>nia</w:t>
      </w:r>
      <w:r w:rsidR="00970B2E" w:rsidRPr="00D44D33">
        <w:rPr>
          <w:rFonts w:ascii="Times New Roman" w:eastAsiaTheme="minorEastAsia" w:hAnsi="Times New Roman" w:cs="Times New Roman"/>
          <w:sz w:val="24"/>
          <w:szCs w:val="24"/>
        </w:rPr>
        <w:t xml:space="preserve"> </w:t>
      </w:r>
      <w:r w:rsidR="017B1BCB"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zapłatą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pierwszej</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kolejności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powiadamia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zawieszenia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ureguluje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zaległych</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63342976"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63342976"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chronić</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nagłą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niespodziewaną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utratą</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bezskutecznym</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wyżej</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wskazanego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terminu</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zawiesić</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435A50F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złożenia</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zawieszenie</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wcześniej</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0020508A"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wyczerpania</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drogi</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reklamacyjnego,</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zapłaty</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bezspornych</w:t>
      </w:r>
      <w:r w:rsidR="00970B2E" w:rsidRPr="00D44D33">
        <w:rPr>
          <w:rFonts w:ascii="Times New Roman" w:eastAsiaTheme="minorEastAsia" w:hAnsi="Times New Roman" w:cs="Times New Roman"/>
          <w:sz w:val="24"/>
          <w:szCs w:val="24"/>
        </w:rPr>
        <w:t xml:space="preserve"> </w:t>
      </w:r>
      <w:r w:rsidR="084CB53A" w:rsidRPr="00D44D33">
        <w:rPr>
          <w:rFonts w:ascii="Times New Roman" w:eastAsiaTheme="minorEastAsia" w:hAnsi="Times New Roman" w:cs="Times New Roman"/>
          <w:sz w:val="24"/>
          <w:szCs w:val="24"/>
        </w:rPr>
        <w:t>należności.</w:t>
      </w:r>
      <w:r w:rsidR="00970B2E" w:rsidRPr="00D44D33">
        <w:rPr>
          <w:rFonts w:ascii="Times New Roman" w:eastAsiaTheme="minorEastAsia" w:hAnsi="Times New Roman" w:cs="Times New Roman"/>
          <w:sz w:val="24"/>
          <w:szCs w:val="24"/>
        </w:rPr>
        <w:t xml:space="preserve"> </w:t>
      </w:r>
    </w:p>
    <w:p w14:paraId="1FF39FE9" w14:textId="0949EDE8" w:rsidR="3C611606" w:rsidRPr="00D44D33" w:rsidRDefault="3C61160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zaległości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tytułu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niezwłocznie</w:t>
      </w:r>
      <w:r w:rsidR="35894BD1"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później</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35894BD1" w:rsidRPr="00D44D33">
        <w:rPr>
          <w:rFonts w:ascii="Times New Roman" w:eastAsiaTheme="minorEastAsia" w:hAnsi="Times New Roman" w:cs="Times New Roman"/>
          <w:sz w:val="24"/>
          <w:szCs w:val="24"/>
        </w:rPr>
        <w:t>roboczych,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E1C22C0"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272D38"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limituje</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wznowienie</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odnosząc</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rzeczywistych</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kosztów</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ponoszonych</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dostawce</w:t>
      </w:r>
      <w:r w:rsidR="00970B2E" w:rsidRPr="00D44D33">
        <w:rPr>
          <w:rFonts w:ascii="Times New Roman" w:eastAsiaTheme="minorEastAsia" w:hAnsi="Times New Roman" w:cs="Times New Roman"/>
          <w:sz w:val="24"/>
          <w:szCs w:val="24"/>
        </w:rPr>
        <w:t xml:space="preserve"> </w:t>
      </w:r>
      <w:r w:rsidR="4D709B1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272D38" w:rsidRPr="00D44D33">
        <w:rPr>
          <w:rFonts w:ascii="Times New Roman" w:eastAsiaTheme="minorEastAsia" w:hAnsi="Times New Roman" w:cs="Times New Roman"/>
          <w:sz w:val="24"/>
          <w:szCs w:val="24"/>
        </w:rPr>
        <w:t>Przepis ust.</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pomimo</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wezwania</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ureguluje</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zaległych</w:t>
      </w:r>
      <w:r w:rsidR="00970B2E" w:rsidRPr="00D44D33">
        <w:rPr>
          <w:rFonts w:ascii="Times New Roman" w:eastAsiaTheme="minorEastAsia" w:hAnsi="Times New Roman" w:cs="Times New Roman"/>
          <w:sz w:val="24"/>
          <w:szCs w:val="24"/>
        </w:rPr>
        <w:t xml:space="preserve"> </w:t>
      </w:r>
      <w:r w:rsidR="4A5C958D" w:rsidRPr="00D44D33">
        <w:rPr>
          <w:rFonts w:ascii="Times New Roman" w:eastAsiaTheme="minorEastAsia" w:hAnsi="Times New Roman" w:cs="Times New Roman"/>
          <w:sz w:val="24"/>
          <w:szCs w:val="24"/>
        </w:rPr>
        <w:t>należności</w:t>
      </w:r>
      <w:r w:rsidR="5DA61BF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takiej</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zawiadomić</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zamiarze</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5DA61BF5" w:rsidRPr="00D44D33">
        <w:rPr>
          <w:rFonts w:ascii="Times New Roman" w:eastAsiaTheme="minorEastAsia" w:hAnsi="Times New Roman" w:cs="Times New Roman"/>
          <w:sz w:val="24"/>
          <w:szCs w:val="24"/>
        </w:rPr>
        <w:t>abonenta</w:t>
      </w:r>
      <w:r w:rsidR="006C34F8"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006C34F8"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upływie</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doręczenia</w:t>
      </w:r>
      <w:r w:rsidR="00970B2E" w:rsidRPr="00D44D33">
        <w:rPr>
          <w:rFonts w:ascii="Times New Roman" w:eastAsiaTheme="minorEastAsia" w:hAnsi="Times New Roman" w:cs="Times New Roman"/>
          <w:sz w:val="24"/>
          <w:szCs w:val="24"/>
        </w:rPr>
        <w:t xml:space="preserve"> </w:t>
      </w:r>
      <w:r w:rsidR="41BBB49B" w:rsidRPr="00D44D33">
        <w:rPr>
          <w:rFonts w:ascii="Times New Roman" w:eastAsiaTheme="minorEastAsia" w:hAnsi="Times New Roman" w:cs="Times New Roman"/>
          <w:sz w:val="24"/>
          <w:szCs w:val="24"/>
        </w:rPr>
        <w:t>powiadomienia.</w:t>
      </w:r>
    </w:p>
    <w:p w14:paraId="604A605F" w14:textId="74978180" w:rsidR="003A42FB" w:rsidRPr="00D44D33" w:rsidRDefault="66314863"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Powiadomienia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zakresie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zamiaru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zawieszenia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świadczenia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wypowiedzenia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umowy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winy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usług</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doręcza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bezpłatnie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trwałym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nośniku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wskazany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adres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korespondencyjny</w:t>
      </w:r>
      <w:r w:rsidR="00E51653" w:rsidRPr="00D44D33">
        <w:rPr>
          <w:rFonts w:ascii="Times New Roman" w:eastAsia="Times New Roman" w:hAnsi="Times New Roman" w:cs="Times New Roman"/>
          <w:sz w:val="24"/>
          <w:szCs w:val="24"/>
        </w:rPr>
        <w: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adres</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poczty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00E51653"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00E51653" w:rsidRPr="00D44D33">
        <w:rPr>
          <w:rFonts w:ascii="Times New Roman" w:eastAsia="Times New Roman" w:hAnsi="Times New Roman" w:cs="Times New Roman"/>
          <w:sz w:val="24"/>
          <w:szCs w:val="24"/>
        </w:rPr>
        <w:t>adres</w:t>
      </w:r>
      <w:r w:rsidR="00970B2E" w:rsidRPr="00D44D33">
        <w:rPr>
          <w:rFonts w:ascii="Times New Roman" w:eastAsia="Times New Roman" w:hAnsi="Times New Roman" w:cs="Times New Roman"/>
          <w:sz w:val="24"/>
          <w:szCs w:val="24"/>
        </w:rPr>
        <w:t xml:space="preserve"> </w:t>
      </w:r>
      <w:r w:rsidR="00E51653" w:rsidRPr="00D44D33">
        <w:rPr>
          <w:rFonts w:ascii="Times New Roman" w:eastAsia="Times New Roman" w:hAnsi="Times New Roman" w:cs="Times New Roman"/>
          <w:sz w:val="24"/>
          <w:szCs w:val="24"/>
        </w:rPr>
        <w:t>innego</w:t>
      </w:r>
      <w:r w:rsidR="00970B2E" w:rsidRPr="00D44D33">
        <w:rPr>
          <w:rFonts w:ascii="Times New Roman" w:eastAsia="Times New Roman" w:hAnsi="Times New Roman" w:cs="Times New Roman"/>
          <w:sz w:val="24"/>
          <w:szCs w:val="24"/>
        </w:rPr>
        <w:t xml:space="preserve"> </w:t>
      </w:r>
      <w:r w:rsidR="00E51653" w:rsidRPr="00D44D33">
        <w:rPr>
          <w:rFonts w:ascii="Times New Roman" w:eastAsia="Times New Roman" w:hAnsi="Times New Roman" w:cs="Times New Roman"/>
          <w:sz w:val="24"/>
          <w:szCs w:val="24"/>
        </w:rPr>
        <w:t>środka</w:t>
      </w:r>
      <w:r w:rsidR="00970B2E" w:rsidRPr="00D44D33">
        <w:rPr>
          <w:rFonts w:ascii="Times New Roman" w:eastAsia="Times New Roman" w:hAnsi="Times New Roman" w:cs="Times New Roman"/>
          <w:sz w:val="24"/>
          <w:szCs w:val="24"/>
        </w:rPr>
        <w:t xml:space="preserve"> </w:t>
      </w:r>
      <w:r w:rsidR="00E51653"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00E51653" w:rsidRPr="00D44D33">
        <w:rPr>
          <w:rFonts w:ascii="Times New Roman" w:eastAsia="Times New Roman" w:hAnsi="Times New Roman" w:cs="Times New Roman"/>
          <w:sz w:val="24"/>
          <w:szCs w:val="24"/>
        </w:rPr>
        <w:t>elektronicznej</w:t>
      </w:r>
      <w:r w:rsidRPr="00D44D33">
        <w:rPr>
          <w:rFonts w:ascii="Times New Roman" w:eastAsia="Times New Roman" w:hAnsi="Times New Roman" w:cs="Times New Roman"/>
          <w:sz w:val="24"/>
          <w:szCs w:val="24"/>
        </w:rPr>
        <w:t>.</w:t>
      </w:r>
      <w:bookmarkStart w:id="23" w:name="mip48671546"/>
      <w:bookmarkStart w:id="24" w:name="mip48671547"/>
      <w:bookmarkStart w:id="25" w:name="mip48671555"/>
      <w:bookmarkEnd w:id="23"/>
      <w:bookmarkEnd w:id="24"/>
      <w:bookmarkEnd w:id="25"/>
      <w:r w:rsidR="00970B2E" w:rsidRPr="00D44D33">
        <w:rPr>
          <w:rFonts w:ascii="Times New Roman" w:eastAsia="Times New Roman" w:hAnsi="Times New Roman" w:cs="Times New Roman"/>
          <w:sz w:val="24"/>
          <w:szCs w:val="24"/>
        </w:rPr>
        <w:t xml:space="preserve"> </w:t>
      </w:r>
    </w:p>
    <w:p w14:paraId="6337F0EB" w14:textId="7CAF0AED" w:rsidR="00272D38" w:rsidRPr="00D44D33" w:rsidRDefault="37F6474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39356C" w:rsidRPr="00D44D33">
        <w:rPr>
          <w:rFonts w:ascii="Times New Roman" w:eastAsiaTheme="minorEastAsia" w:hAnsi="Times New Roman" w:cs="Times New Roman"/>
          <w:b/>
          <w:bCs/>
          <w:sz w:val="24"/>
          <w:szCs w:val="24"/>
        </w:rPr>
        <w:t>378</w:t>
      </w:r>
    </w:p>
    <w:p w14:paraId="205FF53B" w14:textId="6570D525" w:rsidR="00805650" w:rsidRPr="00D44D33" w:rsidRDefault="00272D38"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P</w:t>
      </w:r>
      <w:r w:rsidR="00805650" w:rsidRPr="00D44D33">
        <w:rPr>
          <w:rFonts w:ascii="Times New Roman" w:eastAsiaTheme="minorEastAsia" w:hAnsi="Times New Roman" w:cs="Times New Roman"/>
          <w:b/>
          <w:bCs/>
          <w:sz w:val="24"/>
          <w:szCs w:val="24"/>
        </w:rPr>
        <w:t>ostępowanie</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w</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sprawie</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pozasądowego</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rozwiązywania</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sporów</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konsumenckich</w:t>
      </w:r>
      <w:r w:rsidR="00970B2E" w:rsidRPr="00D44D33">
        <w:rPr>
          <w:rFonts w:ascii="Times New Roman" w:eastAsiaTheme="minorEastAsia" w:hAnsi="Times New Roman" w:cs="Times New Roman"/>
          <w:b/>
          <w:bCs/>
          <w:sz w:val="24"/>
          <w:szCs w:val="24"/>
        </w:rPr>
        <w:t xml:space="preserve"> </w:t>
      </w:r>
      <w:r w:rsidR="68843A8C" w:rsidRPr="00D44D33">
        <w:rPr>
          <w:rFonts w:ascii="Times New Roman" w:eastAsiaTheme="minorEastAsia" w:hAnsi="Times New Roman" w:cs="Times New Roman"/>
          <w:b/>
          <w:bCs/>
          <w:sz w:val="24"/>
          <w:szCs w:val="24"/>
        </w:rPr>
        <w:t>(ADR)</w:t>
      </w:r>
    </w:p>
    <w:p w14:paraId="1C4F8E4F" w14:textId="62431690" w:rsidR="00805650" w:rsidRPr="00D44D33" w:rsidRDefault="00272D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art.</w:t>
      </w:r>
      <w:r w:rsidR="00970B2E" w:rsidRPr="00D44D33">
        <w:rPr>
          <w:rFonts w:ascii="Times New Roman" w:eastAsiaTheme="minorEastAsia" w:hAnsi="Times New Roman" w:cs="Times New Roman"/>
          <w:sz w:val="24"/>
          <w:szCs w:val="24"/>
        </w:rPr>
        <w:t xml:space="preserve"> </w:t>
      </w:r>
      <w:r w:rsidR="0039356C" w:rsidRPr="00D44D33">
        <w:rPr>
          <w:rFonts w:ascii="Times New Roman" w:eastAsiaTheme="minorEastAsia" w:hAnsi="Times New Roman" w:cs="Times New Roman"/>
          <w:sz w:val="24"/>
          <w:szCs w:val="24"/>
        </w:rPr>
        <w:t>378</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pozasądowego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rozwiązywania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ADR).</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ADR</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wszczęte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zaistnienia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cywilnoprawnego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konsumentem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polubowne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zakończenie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regulujące</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postępowani</w:t>
      </w:r>
      <w:r w:rsidR="1F8C008C"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ADR</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1F8B0E7"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1D7CD54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D7CD54D"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1D7CD54D" w:rsidRPr="00D44D33">
        <w:rPr>
          <w:rFonts w:ascii="Times New Roman" w:eastAsiaTheme="minorEastAsia" w:hAnsi="Times New Roman" w:cs="Times New Roman"/>
          <w:sz w:val="24"/>
          <w:szCs w:val="24"/>
        </w:rPr>
        <w:t>zmian</w:t>
      </w:r>
      <w:r w:rsidR="00970B2E" w:rsidRPr="00D44D33">
        <w:rPr>
          <w:rFonts w:ascii="Times New Roman" w:eastAsiaTheme="minorEastAsia" w:hAnsi="Times New Roman" w:cs="Times New Roman"/>
          <w:sz w:val="24"/>
          <w:szCs w:val="24"/>
        </w:rPr>
        <w:t xml:space="preserve"> </w:t>
      </w:r>
      <w:r w:rsidR="1D7CD54D"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1D7CD54D"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1D7CD54D" w:rsidRPr="00D44D33">
        <w:rPr>
          <w:rFonts w:ascii="Times New Roman" w:eastAsiaTheme="minorEastAsia" w:hAnsi="Times New Roman" w:cs="Times New Roman"/>
          <w:sz w:val="24"/>
          <w:szCs w:val="24"/>
        </w:rPr>
        <w:t>regulacji</w:t>
      </w:r>
      <w:r w:rsidR="00EB01D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przeniesieniem</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części</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wydawanym</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109</w:t>
      </w:r>
      <w:r w:rsidR="00970B2E" w:rsidRPr="00D44D33">
        <w:rPr>
          <w:rFonts w:ascii="Times New Roman" w:eastAsiaTheme="minorEastAsia" w:hAnsi="Times New Roman" w:cs="Times New Roman"/>
          <w:sz w:val="24"/>
          <w:szCs w:val="24"/>
        </w:rPr>
        <w:t xml:space="preserve"> </w:t>
      </w:r>
      <w:r w:rsidR="00EB01D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AE08A8"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00AE08A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AE08A8"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E08A8"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00AE08A8" w:rsidRPr="00D44D33">
        <w:rPr>
          <w:rFonts w:ascii="Times New Roman" w:eastAsiaTheme="minorEastAsia" w:hAnsi="Times New Roman" w:cs="Times New Roman"/>
          <w:sz w:val="24"/>
          <w:szCs w:val="24"/>
        </w:rPr>
        <w:t>ustawy.</w:t>
      </w:r>
    </w:p>
    <w:p w14:paraId="3313372E" w14:textId="2CF7FC78" w:rsidR="00AE08A8" w:rsidRPr="00D44D33" w:rsidRDefault="00AE08A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w:t>
      </w:r>
      <w:r w:rsidR="00805650" w:rsidRPr="00D44D33">
        <w:rPr>
          <w:rFonts w:ascii="Times New Roman" w:eastAsiaTheme="minorEastAsia" w:hAnsi="Times New Roman" w:cs="Times New Roman"/>
          <w:sz w:val="24"/>
          <w:szCs w:val="24"/>
        </w:rPr>
        <w:t>ostępowanie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ADR</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prowadzi</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podmiotem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pozasądowego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rozwiązywania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2016</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pozasądowym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rozwiązywaniu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1823).</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ADR</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nieuregulowanym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2016</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pozasądowym</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rozwiązywaniu</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p>
    <w:p w14:paraId="163F66B3"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7C32DF6B" w14:textId="4CE20750" w:rsidR="00272D38" w:rsidRPr="00D44D33" w:rsidRDefault="00AE08A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39356C" w:rsidRPr="00D44D33">
        <w:rPr>
          <w:rFonts w:ascii="Times New Roman" w:eastAsiaTheme="minorEastAsia" w:hAnsi="Times New Roman" w:cs="Times New Roman"/>
          <w:b/>
          <w:sz w:val="24"/>
          <w:szCs w:val="24"/>
        </w:rPr>
        <w:t>379</w:t>
      </w:r>
    </w:p>
    <w:p w14:paraId="0338A852" w14:textId="34138E47" w:rsidR="00AE08A8" w:rsidRPr="00D44D33" w:rsidRDefault="00272D3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W</w:t>
      </w:r>
      <w:r w:rsidR="00AE08A8" w:rsidRPr="00D44D33">
        <w:rPr>
          <w:rFonts w:ascii="Times New Roman" w:eastAsiaTheme="minorEastAsia" w:hAnsi="Times New Roman" w:cs="Times New Roman"/>
          <w:b/>
          <w:sz w:val="24"/>
          <w:szCs w:val="24"/>
        </w:rPr>
        <w:t>szczęcie</w:t>
      </w:r>
      <w:r w:rsidR="00970B2E" w:rsidRPr="00D44D33">
        <w:rPr>
          <w:rFonts w:ascii="Times New Roman" w:eastAsiaTheme="minorEastAsia" w:hAnsi="Times New Roman" w:cs="Times New Roman"/>
          <w:b/>
          <w:sz w:val="24"/>
          <w:szCs w:val="24"/>
        </w:rPr>
        <w:t xml:space="preserve"> </w:t>
      </w:r>
      <w:r w:rsidR="00AE08A8" w:rsidRPr="00D44D33">
        <w:rPr>
          <w:rFonts w:ascii="Times New Roman" w:eastAsiaTheme="minorEastAsia" w:hAnsi="Times New Roman" w:cs="Times New Roman"/>
          <w:b/>
          <w:sz w:val="24"/>
          <w:szCs w:val="24"/>
        </w:rPr>
        <w:t>postępowania</w:t>
      </w:r>
      <w:r w:rsidR="00970B2E" w:rsidRPr="00D44D33">
        <w:rPr>
          <w:rFonts w:ascii="Times New Roman" w:eastAsiaTheme="minorEastAsia" w:hAnsi="Times New Roman" w:cs="Times New Roman"/>
          <w:b/>
          <w:sz w:val="24"/>
          <w:szCs w:val="24"/>
        </w:rPr>
        <w:t xml:space="preserve"> </w:t>
      </w:r>
      <w:r w:rsidR="002656D2" w:rsidRPr="00D44D33">
        <w:rPr>
          <w:rFonts w:ascii="Times New Roman" w:eastAsiaTheme="minorEastAsia" w:hAnsi="Times New Roman" w:cs="Times New Roman"/>
          <w:b/>
          <w:sz w:val="24"/>
          <w:szCs w:val="24"/>
        </w:rPr>
        <w:t>ADR</w:t>
      </w:r>
    </w:p>
    <w:p w14:paraId="2F9E05A4" w14:textId="0126F468" w:rsidR="00805650" w:rsidRPr="00D44D33" w:rsidRDefault="127B94B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pozasądowym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rozwiązywaniu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konsumenckich,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zastrzeżeniem,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wnioskodawca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przypadków</w:t>
      </w:r>
      <w:r w:rsidR="111449BD"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odmówić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pozostawia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regulatorowi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pewien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margines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swobody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jaki</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wyznacza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wyrażenie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przedstawioną</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propozycję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nie</w:t>
      </w:r>
      <w:r w:rsidR="22A8401C" w:rsidRPr="00D44D33">
        <w:rPr>
          <w:rFonts w:ascii="Times New Roman" w:eastAsiaTheme="minorEastAsia" w:hAnsi="Times New Roman" w:cs="Times New Roman"/>
          <w:sz w:val="24"/>
          <w:szCs w:val="24"/>
        </w:rPr>
        <w:t>j.</w:t>
      </w:r>
      <w:r w:rsidR="00970B2E" w:rsidRPr="00D44D33">
        <w:rPr>
          <w:rFonts w:ascii="Times New Roman" w:eastAsiaTheme="minorEastAsia" w:hAnsi="Times New Roman" w:cs="Times New Roman"/>
          <w:sz w:val="24"/>
          <w:szCs w:val="24"/>
        </w:rPr>
        <w:t xml:space="preserve"> </w:t>
      </w:r>
    </w:p>
    <w:p w14:paraId="5C4B32BB" w14:textId="50078B42" w:rsidR="003A42FB" w:rsidRPr="00D44D33" w:rsidRDefault="127B94B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0565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wnoszenia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wszczęcie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22A8401C"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między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22A8401C" w:rsidRPr="00D44D33">
        <w:rPr>
          <w:rFonts w:ascii="Times New Roman" w:eastAsiaTheme="minorEastAsia" w:hAnsi="Times New Roman" w:cs="Times New Roman"/>
          <w:sz w:val="24"/>
          <w:szCs w:val="24"/>
        </w:rPr>
        <w:t>.</w:t>
      </w:r>
    </w:p>
    <w:p w14:paraId="6D46125B" w14:textId="5536FE3A" w:rsidR="00272D38" w:rsidRPr="00D44D33" w:rsidRDefault="00AE08A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39356C" w:rsidRPr="00D44D33">
        <w:rPr>
          <w:rFonts w:ascii="Times New Roman" w:eastAsiaTheme="minorEastAsia" w:hAnsi="Times New Roman" w:cs="Times New Roman"/>
          <w:b/>
          <w:sz w:val="24"/>
          <w:szCs w:val="24"/>
        </w:rPr>
        <w:t>380</w:t>
      </w:r>
    </w:p>
    <w:p w14:paraId="4BE60BB8" w14:textId="5B898900" w:rsidR="00AE08A8" w:rsidRPr="00D44D33" w:rsidRDefault="00272D38"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P</w:t>
      </w:r>
      <w:r w:rsidR="00AE08A8" w:rsidRPr="00D44D33">
        <w:rPr>
          <w:rFonts w:ascii="Times New Roman" w:eastAsiaTheme="minorEastAsia" w:hAnsi="Times New Roman" w:cs="Times New Roman"/>
          <w:b/>
          <w:sz w:val="24"/>
          <w:szCs w:val="24"/>
        </w:rPr>
        <w:t>racownicy</w:t>
      </w:r>
      <w:r w:rsidR="00970B2E" w:rsidRPr="00D44D33">
        <w:rPr>
          <w:rFonts w:ascii="Times New Roman" w:eastAsiaTheme="minorEastAsia" w:hAnsi="Times New Roman" w:cs="Times New Roman"/>
          <w:b/>
          <w:sz w:val="24"/>
          <w:szCs w:val="24"/>
        </w:rPr>
        <w:t xml:space="preserve"> </w:t>
      </w:r>
      <w:r w:rsidR="00AE08A8" w:rsidRPr="00D44D33">
        <w:rPr>
          <w:rFonts w:ascii="Times New Roman" w:eastAsiaTheme="minorEastAsia" w:hAnsi="Times New Roman" w:cs="Times New Roman"/>
          <w:b/>
          <w:sz w:val="24"/>
          <w:szCs w:val="24"/>
        </w:rPr>
        <w:t>upoważnieni</w:t>
      </w:r>
      <w:r w:rsidR="00970B2E" w:rsidRPr="00D44D33">
        <w:rPr>
          <w:rFonts w:ascii="Times New Roman" w:eastAsiaTheme="minorEastAsia" w:hAnsi="Times New Roman" w:cs="Times New Roman"/>
          <w:b/>
          <w:sz w:val="24"/>
          <w:szCs w:val="24"/>
        </w:rPr>
        <w:t xml:space="preserve"> </w:t>
      </w:r>
      <w:r w:rsidR="00AE08A8" w:rsidRPr="00D44D33">
        <w:rPr>
          <w:rFonts w:ascii="Times New Roman" w:eastAsiaTheme="minorEastAsia" w:hAnsi="Times New Roman" w:cs="Times New Roman"/>
          <w:b/>
          <w:sz w:val="24"/>
          <w:szCs w:val="24"/>
        </w:rPr>
        <w:t>do</w:t>
      </w:r>
      <w:r w:rsidR="00970B2E" w:rsidRPr="00D44D33">
        <w:rPr>
          <w:rFonts w:ascii="Times New Roman" w:eastAsiaTheme="minorEastAsia" w:hAnsi="Times New Roman" w:cs="Times New Roman"/>
          <w:b/>
          <w:sz w:val="24"/>
          <w:szCs w:val="24"/>
        </w:rPr>
        <w:t xml:space="preserve"> </w:t>
      </w:r>
      <w:r w:rsidR="00AE08A8" w:rsidRPr="00D44D33">
        <w:rPr>
          <w:rFonts w:ascii="Times New Roman" w:eastAsiaTheme="minorEastAsia" w:hAnsi="Times New Roman" w:cs="Times New Roman"/>
          <w:b/>
          <w:sz w:val="24"/>
          <w:szCs w:val="24"/>
        </w:rPr>
        <w:t>prowadzenia</w:t>
      </w:r>
      <w:r w:rsidR="00970B2E" w:rsidRPr="00D44D33">
        <w:rPr>
          <w:rFonts w:ascii="Times New Roman" w:eastAsiaTheme="minorEastAsia" w:hAnsi="Times New Roman" w:cs="Times New Roman"/>
          <w:b/>
          <w:sz w:val="24"/>
          <w:szCs w:val="24"/>
        </w:rPr>
        <w:t xml:space="preserve"> </w:t>
      </w:r>
      <w:r w:rsidR="00AE08A8" w:rsidRPr="00D44D33">
        <w:rPr>
          <w:rFonts w:ascii="Times New Roman" w:eastAsiaTheme="minorEastAsia" w:hAnsi="Times New Roman" w:cs="Times New Roman"/>
          <w:b/>
          <w:sz w:val="24"/>
          <w:szCs w:val="24"/>
        </w:rPr>
        <w:t>postępowań</w:t>
      </w:r>
      <w:r w:rsidR="00970B2E" w:rsidRPr="00D44D33">
        <w:rPr>
          <w:rFonts w:ascii="Times New Roman" w:eastAsiaTheme="minorEastAsia" w:hAnsi="Times New Roman" w:cs="Times New Roman"/>
          <w:b/>
          <w:sz w:val="24"/>
          <w:szCs w:val="24"/>
        </w:rPr>
        <w:t xml:space="preserve"> </w:t>
      </w:r>
      <w:r w:rsidR="00AE08A8" w:rsidRPr="00D44D33">
        <w:rPr>
          <w:rFonts w:ascii="Times New Roman" w:eastAsiaTheme="minorEastAsia" w:hAnsi="Times New Roman" w:cs="Times New Roman"/>
          <w:b/>
          <w:sz w:val="24"/>
          <w:szCs w:val="24"/>
        </w:rPr>
        <w:t>ADR</w:t>
      </w:r>
    </w:p>
    <w:p w14:paraId="535C7F3D" w14:textId="66FECFBF" w:rsidR="00AE08A8" w:rsidRPr="00D44D33" w:rsidRDefault="002656D2" w:rsidP="00D44D33">
      <w:pPr>
        <w:spacing w:before="120" w:after="120" w:line="360" w:lineRule="auto"/>
        <w:jc w:val="both"/>
        <w:rPr>
          <w:rFonts w:ascii="Times New Roman" w:eastAsiaTheme="minorEastAsia" w:hAnsi="Times New Roman" w:cs="Times New Roman"/>
          <w:b/>
          <w:sz w:val="24"/>
          <w:szCs w:val="24"/>
        </w:rPr>
      </w:pPr>
      <w:r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005D7631"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zaistnienie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cofnięciem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ADR.</w:t>
      </w:r>
    </w:p>
    <w:p w14:paraId="1BC4E573" w14:textId="6371CF16" w:rsidR="00E16D66" w:rsidRPr="00D44D33" w:rsidRDefault="005042E8"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00AE480C" w:rsidRPr="00D44D33">
        <w:rPr>
          <w:rFonts w:ascii="Times New Roman" w:hAnsi="Times New Roman" w:cs="Times New Roman"/>
          <w:b/>
        </w:rPr>
        <w:t>5</w:t>
      </w:r>
      <w:r w:rsidR="00970B2E" w:rsidRPr="00D44D33">
        <w:rPr>
          <w:rFonts w:ascii="Times New Roman" w:hAnsi="Times New Roman" w:cs="Times New Roman"/>
          <w:b/>
        </w:rPr>
        <w:t xml:space="preserve"> </w:t>
      </w:r>
    </w:p>
    <w:p w14:paraId="354041BD" w14:textId="6BA33083" w:rsidR="00A669CF" w:rsidRPr="00D44D33" w:rsidRDefault="005042E8"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Tajemnica</w:t>
      </w:r>
      <w:r w:rsidR="00970B2E" w:rsidRPr="00D44D33">
        <w:rPr>
          <w:rFonts w:ascii="Times New Roman" w:hAnsi="Times New Roman" w:cs="Times New Roman"/>
          <w:b/>
          <w:lang w:eastAsia="en-US"/>
        </w:rPr>
        <w:t xml:space="preserve"> </w:t>
      </w:r>
      <w:r w:rsidRPr="00D44D33">
        <w:rPr>
          <w:rFonts w:ascii="Times New Roman" w:hAnsi="Times New Roman" w:cs="Times New Roman"/>
          <w:b/>
        </w:rPr>
        <w:t>komunikacji</w:t>
      </w:r>
      <w:r w:rsidR="00970B2E" w:rsidRPr="00D44D33">
        <w:rPr>
          <w:rFonts w:ascii="Times New Roman" w:hAnsi="Times New Roman" w:cs="Times New Roman"/>
          <w:b/>
        </w:rPr>
        <w:t xml:space="preserve"> </w:t>
      </w:r>
      <w:r w:rsidRPr="00D44D33">
        <w:rPr>
          <w:rFonts w:ascii="Times New Roman" w:hAnsi="Times New Roman" w:cs="Times New Roman"/>
          <w:b/>
        </w:rPr>
        <w:t>elektronicznej</w:t>
      </w:r>
      <w:r w:rsidR="00970B2E" w:rsidRPr="00D44D33">
        <w:rPr>
          <w:rFonts w:ascii="Times New Roman" w:hAnsi="Times New Roman" w:cs="Times New Roman"/>
          <w:b/>
        </w:rPr>
        <w:t xml:space="preserve"> </w:t>
      </w:r>
      <w:r w:rsidR="0B90730D" w:rsidRPr="00D44D33">
        <w:rPr>
          <w:rFonts w:ascii="Times New Roman" w:hAnsi="Times New Roman" w:cs="Times New Roman"/>
          <w:b/>
        </w:rPr>
        <w:t>oraz</w:t>
      </w:r>
      <w:r w:rsidR="00970B2E" w:rsidRPr="00D44D33">
        <w:rPr>
          <w:rFonts w:ascii="Times New Roman" w:hAnsi="Times New Roman" w:cs="Times New Roman"/>
          <w:b/>
        </w:rPr>
        <w:t xml:space="preserve"> </w:t>
      </w:r>
      <w:r w:rsidR="0B90730D" w:rsidRPr="00D44D33">
        <w:rPr>
          <w:rFonts w:ascii="Times New Roman" w:hAnsi="Times New Roman" w:cs="Times New Roman"/>
          <w:b/>
        </w:rPr>
        <w:t>dane</w:t>
      </w:r>
      <w:r w:rsidR="00970B2E" w:rsidRPr="00D44D33">
        <w:rPr>
          <w:rFonts w:ascii="Times New Roman" w:hAnsi="Times New Roman" w:cs="Times New Roman"/>
          <w:b/>
        </w:rPr>
        <w:t xml:space="preserve"> </w:t>
      </w:r>
      <w:r w:rsidR="0B90730D" w:rsidRPr="00D44D33">
        <w:rPr>
          <w:rFonts w:ascii="Times New Roman" w:hAnsi="Times New Roman" w:cs="Times New Roman"/>
          <w:b/>
        </w:rPr>
        <w:t>użytkowników</w:t>
      </w:r>
      <w:r w:rsidR="00970B2E" w:rsidRPr="00D44D33">
        <w:rPr>
          <w:rFonts w:ascii="Times New Roman" w:hAnsi="Times New Roman" w:cs="Times New Roman"/>
          <w:b/>
        </w:rPr>
        <w:t xml:space="preserve"> </w:t>
      </w:r>
      <w:r w:rsidR="0B90730D" w:rsidRPr="00D44D33">
        <w:rPr>
          <w:rFonts w:ascii="Times New Roman" w:hAnsi="Times New Roman" w:cs="Times New Roman"/>
          <w:b/>
        </w:rPr>
        <w:t>końcowych</w:t>
      </w:r>
    </w:p>
    <w:p w14:paraId="7D26D2F0" w14:textId="64B7D706" w:rsidR="533CBF9D" w:rsidRPr="00D44D33" w:rsidRDefault="300285A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przyjętą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AE7FFFD" w:rsidRPr="00D44D33">
        <w:rPr>
          <w:rFonts w:ascii="Times New Roman" w:eastAsiaTheme="minorEastAsia" w:hAnsi="Times New Roman" w:cs="Times New Roman"/>
          <w:sz w:val="24"/>
          <w:szCs w:val="24"/>
        </w:rPr>
        <w:t>27</w:t>
      </w:r>
      <w:r w:rsidR="00AE480C"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E16D66" w:rsidRPr="00D44D33">
        <w:rPr>
          <w:rFonts w:ascii="Times New Roman" w:eastAsiaTheme="minorEastAsia" w:hAnsi="Times New Roman" w:cs="Times New Roman"/>
          <w:sz w:val="24"/>
          <w:szCs w:val="24"/>
        </w:rPr>
        <w:t>u</w:t>
      </w:r>
      <w:r w:rsidRPr="00D44D33">
        <w:rPr>
          <w:rFonts w:ascii="Times New Roman" w:eastAsiaTheme="minorEastAsia" w:hAnsi="Times New Roman" w:cs="Times New Roman"/>
          <w:sz w:val="24"/>
          <w:szCs w:val="24"/>
        </w:rPr>
        <w:t>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niniejszy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każdym</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razem,</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chodzi</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dostępną</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usłudze</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7BEFF84A" w:rsidRPr="00D44D33">
        <w:rPr>
          <w:rFonts w:ascii="Times New Roman" w:eastAsiaTheme="minorEastAsia" w:hAnsi="Times New Roman" w:cs="Times New Roman"/>
          <w:sz w:val="24"/>
          <w:szCs w:val="24"/>
        </w:rPr>
        <w:t>dostępną</w:t>
      </w:r>
      <w:r w:rsidR="00970B2E" w:rsidRPr="00D44D33">
        <w:rPr>
          <w:rFonts w:ascii="Times New Roman" w:eastAsiaTheme="minorEastAsia" w:hAnsi="Times New Roman" w:cs="Times New Roman"/>
          <w:sz w:val="24"/>
          <w:szCs w:val="24"/>
        </w:rPr>
        <w:t xml:space="preserve"> </w:t>
      </w:r>
      <w:r w:rsidR="71F59AF5" w:rsidRPr="00D44D33">
        <w:rPr>
          <w:rFonts w:ascii="Times New Roman" w:eastAsiaTheme="minorEastAsia" w:hAnsi="Times New Roman" w:cs="Times New Roman"/>
          <w:sz w:val="24"/>
          <w:szCs w:val="24"/>
        </w:rPr>
        <w:t>usługę</w:t>
      </w:r>
      <w:r w:rsidR="00970B2E" w:rsidRPr="00D44D33">
        <w:rPr>
          <w:rFonts w:ascii="Times New Roman" w:eastAsiaTheme="minorEastAsia" w:hAnsi="Times New Roman" w:cs="Times New Roman"/>
          <w:sz w:val="24"/>
          <w:szCs w:val="24"/>
        </w:rPr>
        <w:t xml:space="preserve"> </w:t>
      </w:r>
      <w:r w:rsidR="71F59AF5" w:rsidRPr="00D44D33">
        <w:rPr>
          <w:rFonts w:ascii="Times New Roman" w:eastAsiaTheme="minorEastAsia" w:hAnsi="Times New Roman" w:cs="Times New Roman"/>
          <w:sz w:val="24"/>
          <w:szCs w:val="24"/>
        </w:rPr>
        <w:t>telekomunikacyjną</w:t>
      </w:r>
    </w:p>
    <w:p w14:paraId="557734E0" w14:textId="582EFEAC"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5DDE8A0E" w:rsidRPr="00D44D33">
        <w:rPr>
          <w:rFonts w:ascii="Times New Roman" w:eastAsiaTheme="minorEastAsia" w:hAnsi="Times New Roman" w:cs="Times New Roman"/>
          <w:b/>
          <w:bCs/>
          <w:sz w:val="24"/>
          <w:szCs w:val="24"/>
        </w:rPr>
        <w:t>81</w:t>
      </w:r>
    </w:p>
    <w:p w14:paraId="59346099" w14:textId="5338F6CF" w:rsidR="00A669CF" w:rsidRPr="00D44D33" w:rsidRDefault="00272D3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 ten</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58/2002/WE</w:t>
      </w:r>
      <w:r w:rsidRPr="00D44D33">
        <w:rPr>
          <w:rFonts w:ascii="Times New Roman" w:eastAsiaTheme="minorEastAsia" w:hAnsi="Times New Roman" w:cs="Times New Roman"/>
          <w:sz w:val="24"/>
          <w:szCs w:val="24"/>
        </w:rPr>
        <w:t xml:space="preserve"> oraz</w:t>
      </w:r>
      <w:r w:rsidR="00970B2E" w:rsidRPr="00D44D33">
        <w:rPr>
          <w:rFonts w:ascii="Times New Roman" w:eastAsiaTheme="minorEastAsia" w:hAnsi="Times New Roman" w:cs="Times New Roman"/>
          <w:sz w:val="24"/>
          <w:szCs w:val="24"/>
        </w:rPr>
        <w:t xml:space="preserve"> </w:t>
      </w:r>
      <w:r w:rsidR="6AF77E15"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6AF77E1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AF77E15" w:rsidRPr="00D44D33">
        <w:rPr>
          <w:rFonts w:ascii="Times New Roman" w:eastAsiaTheme="minorEastAsia" w:hAnsi="Times New Roman" w:cs="Times New Roman"/>
          <w:sz w:val="24"/>
          <w:szCs w:val="24"/>
        </w:rPr>
        <w:t>159</w:t>
      </w:r>
      <w:r w:rsidR="00970B2E" w:rsidRPr="00D44D33">
        <w:rPr>
          <w:rFonts w:ascii="Times New Roman" w:eastAsiaTheme="minorEastAsia" w:hAnsi="Times New Roman" w:cs="Times New Roman"/>
          <w:sz w:val="24"/>
          <w:szCs w:val="24"/>
        </w:rPr>
        <w:t xml:space="preserve"> </w:t>
      </w:r>
      <w:r w:rsidR="6AF77E1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poufności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nią</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ruchu</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dostępnej</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Konsekwentnie,</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chronić</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komunikację</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Tajemnica</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telekomunikacyjna</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ale</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interpersonalnej</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niewykorzystującej</w:t>
      </w:r>
      <w:r w:rsidR="00970B2E" w:rsidRPr="00D44D33">
        <w:rPr>
          <w:rFonts w:ascii="Times New Roman" w:eastAsiaTheme="minorEastAsia" w:hAnsi="Times New Roman" w:cs="Times New Roman"/>
          <w:sz w:val="24"/>
          <w:szCs w:val="24"/>
        </w:rPr>
        <w:t xml:space="preserve"> </w:t>
      </w:r>
      <w:r w:rsidR="3FD24F33" w:rsidRPr="00D44D33">
        <w:rPr>
          <w:rFonts w:ascii="Times New Roman" w:eastAsiaTheme="minorEastAsia" w:hAnsi="Times New Roman" w:cs="Times New Roman"/>
          <w:sz w:val="24"/>
          <w:szCs w:val="24"/>
        </w:rPr>
        <w:t>numeracji.</w:t>
      </w:r>
      <w:r w:rsidR="00970B2E" w:rsidRPr="00D44D33">
        <w:rPr>
          <w:rFonts w:ascii="Times New Roman" w:eastAsiaTheme="minorEastAsia" w:hAnsi="Times New Roman" w:cs="Times New Roman"/>
          <w:sz w:val="24"/>
          <w:szCs w:val="24"/>
        </w:rPr>
        <w:t xml:space="preserve"> </w:t>
      </w:r>
    </w:p>
    <w:p w14:paraId="496AA4A6" w14:textId="6BC1B4BF" w:rsidR="3FD24F33" w:rsidRPr="00D44D33" w:rsidRDefault="3FD24F3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Tajemnica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3C85247E" w:rsidRPr="00D44D33">
        <w:rPr>
          <w:rFonts w:ascii="Times New Roman" w:eastAsiaTheme="minorEastAsia" w:hAnsi="Times New Roman" w:cs="Times New Roman"/>
          <w:sz w:val="24"/>
          <w:szCs w:val="24"/>
        </w:rPr>
        <w:t>elektronicznych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próbach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ujawnianie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chyba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inaczej.</w:t>
      </w:r>
      <w:r w:rsidR="00970B2E" w:rsidRPr="00D44D33">
        <w:rPr>
          <w:rFonts w:ascii="Times New Roman" w:eastAsiaTheme="minorEastAsia" w:hAnsi="Times New Roman" w:cs="Times New Roman"/>
          <w:sz w:val="24"/>
          <w:szCs w:val="24"/>
        </w:rPr>
        <w:t xml:space="preserve"> </w:t>
      </w:r>
    </w:p>
    <w:p w14:paraId="1B3B50B2" w14:textId="37653981" w:rsidR="3FD24F33" w:rsidRPr="00D44D33" w:rsidRDefault="3FD24F3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istoty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jawnych.</w:t>
      </w:r>
      <w:r w:rsidR="00970B2E" w:rsidRPr="00D44D33">
        <w:rPr>
          <w:rFonts w:ascii="Times New Roman" w:eastAsiaTheme="minorEastAsia" w:hAnsi="Times New Roman" w:cs="Times New Roman"/>
          <w:sz w:val="24"/>
          <w:szCs w:val="24"/>
        </w:rPr>
        <w:t xml:space="preserve"> </w:t>
      </w:r>
    </w:p>
    <w:p w14:paraId="4D936EB7" w14:textId="0D1E4B5D" w:rsidR="3FD24F33" w:rsidRPr="00D44D33" w:rsidRDefault="3FD24F3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Zaznaczyć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272D38"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ozdziału</w:t>
      </w:r>
      <w:r w:rsidR="00970B2E" w:rsidRPr="00D44D33">
        <w:rPr>
          <w:rFonts w:ascii="Times New Roman" w:eastAsiaTheme="minorEastAsia" w:hAnsi="Times New Roman" w:cs="Times New Roman"/>
          <w:sz w:val="24"/>
          <w:szCs w:val="24"/>
        </w:rPr>
        <w:t xml:space="preserve"> </w:t>
      </w:r>
      <w:r w:rsidR="00E432FA" w:rsidRPr="00D44D33">
        <w:rPr>
          <w:rFonts w:ascii="Times New Roman" w:eastAsiaTheme="minorEastAsia" w:hAnsi="Times New Roman" w:cs="Times New Roman"/>
          <w:sz w:val="24"/>
          <w:szCs w:val="24"/>
        </w:rPr>
        <w:t xml:space="preserve">5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definicjami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p>
    <w:p w14:paraId="2C0B4935" w14:textId="0A820EF5" w:rsidR="3FD24F33" w:rsidRPr="00D44D33" w:rsidRDefault="3FD24F3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E432FA" w:rsidRPr="00D44D33">
        <w:rPr>
          <w:rFonts w:ascii="Times New Roman" w:eastAsiaTheme="minorEastAsia" w:hAnsi="Times New Roman" w:cs="Times New Roman"/>
          <w:sz w:val="24"/>
          <w:szCs w:val="24"/>
        </w:rPr>
        <w:t xml:space="preserve">reguluje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zanonimizowane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regulacjami</w:t>
      </w:r>
      <w:r w:rsidR="00970B2E" w:rsidRPr="00D44D33">
        <w:rPr>
          <w:rFonts w:ascii="Times New Roman" w:eastAsiaTheme="minorEastAsia" w:hAnsi="Times New Roman" w:cs="Times New Roman"/>
          <w:sz w:val="24"/>
          <w:szCs w:val="24"/>
        </w:rPr>
        <w:t xml:space="preserve"> </w:t>
      </w:r>
      <w:r w:rsidR="00272D38" w:rsidRPr="00D44D33">
        <w:rPr>
          <w:rFonts w:ascii="Times New Roman" w:eastAsiaTheme="minorEastAsia" w:hAnsi="Times New Roman" w:cs="Times New Roman"/>
          <w:sz w:val="24"/>
          <w:szCs w:val="24"/>
        </w:rPr>
        <w:t>r</w:t>
      </w:r>
      <w:r w:rsidRPr="00D44D33">
        <w:rPr>
          <w:rFonts w:ascii="Times New Roman" w:eastAsiaTheme="minorEastAsia" w:hAnsi="Times New Roman" w:cs="Times New Roman"/>
          <w:sz w:val="24"/>
          <w:szCs w:val="24"/>
        </w:rPr>
        <w:t>ozdziału</w:t>
      </w:r>
      <w:r w:rsidR="00970B2E" w:rsidRPr="00D44D33">
        <w:rPr>
          <w:rFonts w:ascii="Times New Roman" w:eastAsiaTheme="minorEastAsia" w:hAnsi="Times New Roman" w:cs="Times New Roman"/>
          <w:sz w:val="24"/>
          <w:szCs w:val="24"/>
        </w:rPr>
        <w:t xml:space="preserve"> </w:t>
      </w:r>
      <w:r w:rsidR="00E432FA" w:rsidRPr="00D44D33">
        <w:rPr>
          <w:rFonts w:ascii="Times New Roman" w:eastAsiaTheme="minorEastAsia" w:hAnsi="Times New Roman" w:cs="Times New Roman"/>
          <w:sz w:val="24"/>
          <w:szCs w:val="24"/>
        </w:rPr>
        <w:t>5</w:t>
      </w:r>
      <w:r w:rsidRPr="00D44D33">
        <w:rPr>
          <w:rFonts w:ascii="Times New Roman" w:eastAsiaTheme="minorEastAsia" w:hAnsi="Times New Roman" w:cs="Times New Roman"/>
          <w:sz w:val="24"/>
          <w:szCs w:val="24"/>
        </w:rPr>
        <w:t>.</w:t>
      </w:r>
    </w:p>
    <w:p w14:paraId="48045137" w14:textId="32E0044D"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379DF21D" w:rsidRPr="00D44D33">
        <w:rPr>
          <w:rFonts w:ascii="Times New Roman" w:eastAsiaTheme="minorEastAsia" w:hAnsi="Times New Roman" w:cs="Times New Roman"/>
          <w:b/>
          <w:bCs/>
          <w:sz w:val="24"/>
          <w:szCs w:val="24"/>
        </w:rPr>
        <w:t>82</w:t>
      </w:r>
    </w:p>
    <w:p w14:paraId="68AC9873" w14:textId="088DDD45"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312E2BD" w:rsidRPr="00D44D33">
        <w:rPr>
          <w:rFonts w:ascii="Times New Roman" w:eastAsiaTheme="minorEastAsia" w:hAnsi="Times New Roman" w:cs="Times New Roman"/>
          <w:sz w:val="24"/>
          <w:szCs w:val="24"/>
        </w:rPr>
        <w:t>82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zachowania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600C5232"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600C523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600C5232"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600C5232"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00C5232" w:rsidRPr="00D44D33">
        <w:rPr>
          <w:rFonts w:ascii="Times New Roman" w:eastAsiaTheme="minorEastAsia" w:hAnsi="Times New Roman" w:cs="Times New Roman"/>
          <w:sz w:val="24"/>
          <w:szCs w:val="24"/>
        </w:rPr>
        <w:t>160</w:t>
      </w:r>
      <w:r w:rsidR="00970B2E" w:rsidRPr="00D44D33">
        <w:rPr>
          <w:rFonts w:ascii="Times New Roman" w:eastAsiaTheme="minorEastAsia" w:hAnsi="Times New Roman" w:cs="Times New Roman"/>
          <w:sz w:val="24"/>
          <w:szCs w:val="24"/>
        </w:rPr>
        <w:t xml:space="preserve"> </w:t>
      </w:r>
      <w:r w:rsidR="600C5232"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uczestniczące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współpracujące.</w:t>
      </w:r>
      <w:r w:rsidR="00970B2E" w:rsidRPr="00D44D33">
        <w:rPr>
          <w:rFonts w:ascii="Times New Roman" w:eastAsiaTheme="minorEastAsia" w:hAnsi="Times New Roman" w:cs="Times New Roman"/>
          <w:sz w:val="24"/>
          <w:szCs w:val="24"/>
        </w:rPr>
        <w:t xml:space="preserve"> </w:t>
      </w:r>
    </w:p>
    <w:p w14:paraId="40615C14" w14:textId="73696670"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w:t>
      </w:r>
      <w:r w:rsidR="00970B2E" w:rsidRPr="00D44D33">
        <w:rPr>
          <w:rFonts w:ascii="Times New Roman" w:eastAsiaTheme="minorEastAsia" w:hAnsi="Times New Roman" w:cs="Times New Roman"/>
          <w:sz w:val="24"/>
          <w:szCs w:val="24"/>
        </w:rPr>
        <w:t xml:space="preserve"> </w:t>
      </w:r>
      <w:r w:rsidR="06317D4A" w:rsidRPr="00D44D33">
        <w:rPr>
          <w:rFonts w:ascii="Times New Roman" w:eastAsiaTheme="minorEastAsia" w:hAnsi="Times New Roman" w:cs="Times New Roman"/>
          <w:sz w:val="24"/>
          <w:szCs w:val="24"/>
        </w:rPr>
        <w:t>elektroniczny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p>
    <w:p w14:paraId="72163F1C" w14:textId="3AA1C4FF" w:rsidR="6215DEFE" w:rsidRPr="00D44D33" w:rsidRDefault="530EFA3D" w:rsidP="00D44D33">
      <w:pPr>
        <w:spacing w:before="120" w:after="120" w:line="360" w:lineRule="auto"/>
        <w:jc w:val="both"/>
        <w:rPr>
          <w:rFonts w:ascii="Times New Roman" w:eastAsiaTheme="minorEastAsia" w:hAnsi="Times New Roman" w:cs="Times New Roman"/>
          <w:b/>
          <w:bCs/>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1F801F51" w:rsidRPr="00D44D33">
        <w:rPr>
          <w:rFonts w:ascii="Times New Roman" w:eastAsiaTheme="minorEastAsia" w:hAnsi="Times New Roman" w:cs="Times New Roman"/>
          <w:sz w:val="24"/>
          <w:szCs w:val="24"/>
        </w:rPr>
        <w:t>5</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zlecenie</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wysyłania</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publicznym</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Wysyłanie</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publicznym</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marketingiem</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niezamówioną</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informacją</w:t>
      </w:r>
      <w:r w:rsidR="00970B2E" w:rsidRPr="00D44D33">
        <w:rPr>
          <w:rFonts w:ascii="Times New Roman" w:eastAsiaTheme="minorEastAsia" w:hAnsi="Times New Roman" w:cs="Times New Roman"/>
          <w:sz w:val="24"/>
          <w:szCs w:val="24"/>
        </w:rPr>
        <w:t xml:space="preserve"> </w:t>
      </w:r>
      <w:r w:rsidR="5FA61881" w:rsidRPr="00D44D33">
        <w:rPr>
          <w:rFonts w:ascii="Times New Roman" w:eastAsiaTheme="minorEastAsia" w:hAnsi="Times New Roman" w:cs="Times New Roman"/>
          <w:sz w:val="24"/>
          <w:szCs w:val="24"/>
        </w:rPr>
        <w:t>handlową</w:t>
      </w:r>
      <w:r w:rsidR="69BCBC5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Wysyłanie</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zbierania</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odrębnych</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zgód</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wysyłania</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komunikatów</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Komunikaty</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interesie</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publicznym</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69BCBC5F"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e-usługi</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administracji</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nowe</w:t>
      </w:r>
      <w:r w:rsidR="00970B2E" w:rsidRPr="00D44D33">
        <w:rPr>
          <w:rFonts w:ascii="Times New Roman" w:eastAsiaTheme="minorEastAsia" w:hAnsi="Times New Roman" w:cs="Times New Roman"/>
          <w:sz w:val="24"/>
          <w:szCs w:val="24"/>
        </w:rPr>
        <w:t xml:space="preserve"> </w:t>
      </w:r>
      <w:r w:rsidR="181B3B7F" w:rsidRPr="00D44D33">
        <w:rPr>
          <w:rFonts w:ascii="Times New Roman" w:eastAsiaTheme="minorEastAsia" w:hAnsi="Times New Roman" w:cs="Times New Roman"/>
          <w:sz w:val="24"/>
          <w:szCs w:val="24"/>
        </w:rPr>
        <w:t>funkcjonalności,</w:t>
      </w:r>
      <w:r w:rsidR="00970B2E" w:rsidRPr="00D44D33">
        <w:rPr>
          <w:rFonts w:ascii="Times New Roman" w:eastAsiaTheme="minorEastAsia" w:hAnsi="Times New Roman" w:cs="Times New Roman"/>
          <w:sz w:val="24"/>
          <w:szCs w:val="24"/>
        </w:rPr>
        <w:t xml:space="preserve"> </w:t>
      </w:r>
      <w:r w:rsidR="7020DEBD"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7020DEB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7020DEB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upływających</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terminów</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2632FBBD" w:rsidRPr="00D44D33">
        <w:rPr>
          <w:rFonts w:ascii="Times New Roman" w:eastAsiaTheme="minorEastAsia" w:hAnsi="Times New Roman" w:cs="Times New Roman"/>
          <w:sz w:val="24"/>
          <w:szCs w:val="24"/>
        </w:rPr>
        <w:t>podatkowych</w:t>
      </w:r>
      <w:r w:rsidR="590DD63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9F8D8E0" w:rsidRPr="00D44D33">
        <w:rPr>
          <w:rFonts w:ascii="Times New Roman" w:eastAsia="Times New Roman" w:hAnsi="Times New Roman" w:cs="Times New Roman"/>
          <w:sz w:val="24"/>
          <w:szCs w:val="24"/>
        </w:rPr>
        <w:t>Przedmiotowy</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przepis</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rozstrzyga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pojawiające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się</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wątpliwości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przedsiębiorców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dotyczące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podstawy</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prawnej</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przetwarzania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końcowych</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uczestniczące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wykonywaniu</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działalności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komunikacji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elektronicznej</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sieciach</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publicznych</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oraz</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podmioty</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nim</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współpracujące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celu</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wysyłania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komunikatów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interesie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publicznym</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użytkowników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końcowych.</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Dzięki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przedmiotowemu</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przepisowi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wątpliwości,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iż</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działania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takie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zlecenie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organów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administracji</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dopuszczalne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gruncie</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przepisów</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ochrony</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79F8D8E0" w:rsidRPr="00D44D33">
        <w:rPr>
          <w:rFonts w:ascii="Times New Roman" w:eastAsia="Times New Roman" w:hAnsi="Times New Roman" w:cs="Times New Roman"/>
          <w:sz w:val="24"/>
          <w:szCs w:val="24"/>
        </w:rPr>
        <w:t>osobowych.</w:t>
      </w:r>
      <w:r w:rsidR="00970B2E" w:rsidRPr="00D44D33">
        <w:rPr>
          <w:rFonts w:ascii="Times New Roman" w:eastAsia="Times New Roman" w:hAnsi="Times New Roman" w:cs="Times New Roman"/>
          <w:sz w:val="24"/>
          <w:szCs w:val="24"/>
        </w:rPr>
        <w:t xml:space="preserve"> </w:t>
      </w:r>
    </w:p>
    <w:p w14:paraId="5A7FF8D3" w14:textId="6B0F3D94" w:rsidR="6215DEFE" w:rsidRPr="00D44D33" w:rsidRDefault="6215DEFE"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184D8894" w:rsidRPr="00D44D33">
        <w:rPr>
          <w:rFonts w:ascii="Times New Roman" w:eastAsiaTheme="minorEastAsia" w:hAnsi="Times New Roman" w:cs="Times New Roman"/>
          <w:b/>
          <w:bCs/>
          <w:sz w:val="24"/>
          <w:szCs w:val="24"/>
        </w:rPr>
        <w:t>83</w:t>
      </w:r>
    </w:p>
    <w:p w14:paraId="7A79A6F7" w14:textId="7F1DA8C9" w:rsidR="6215DEFE" w:rsidRPr="00D44D33" w:rsidRDefault="6215DEF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inicjatorem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przekształca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przewidziane</w:t>
      </w:r>
      <w:r w:rsidR="00970B2E" w:rsidRPr="00D44D33">
        <w:rPr>
          <w:rFonts w:ascii="Times New Roman" w:eastAsiaTheme="minorEastAsia" w:hAnsi="Times New Roman" w:cs="Times New Roman"/>
          <w:sz w:val="24"/>
          <w:szCs w:val="24"/>
        </w:rPr>
        <w:t xml:space="preserve"> </w:t>
      </w:r>
      <w:r w:rsidR="5134DDD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134DDD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134DDD8" w:rsidRPr="00D44D33">
        <w:rPr>
          <w:rFonts w:ascii="Times New Roman" w:eastAsiaTheme="minorEastAsia" w:hAnsi="Times New Roman" w:cs="Times New Roman"/>
          <w:sz w:val="24"/>
          <w:szCs w:val="24"/>
        </w:rPr>
        <w:t>3</w:t>
      </w:r>
      <w:r w:rsidR="2744E8A3" w:rsidRPr="00D44D33">
        <w:rPr>
          <w:rFonts w:ascii="Times New Roman" w:eastAsiaTheme="minorEastAsia" w:hAnsi="Times New Roman" w:cs="Times New Roman"/>
          <w:sz w:val="24"/>
          <w:szCs w:val="24"/>
        </w:rPr>
        <w:t>83</w:t>
      </w:r>
      <w:r w:rsidR="5134DDD8" w:rsidRPr="00D44D33">
        <w:rPr>
          <w:rFonts w:ascii="Times New Roman" w:eastAsiaTheme="minorEastAsia" w:hAnsi="Times New Roman" w:cs="Times New Roman"/>
          <w:sz w:val="24"/>
          <w:szCs w:val="24"/>
        </w:rPr>
        <w:t>.</w:t>
      </w:r>
    </w:p>
    <w:p w14:paraId="28075CA6" w14:textId="37FBD3E3" w:rsidR="6215DEFE" w:rsidRPr="00D44D33" w:rsidRDefault="6215DEF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transpozycję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2000/31/WE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czerwca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aspektów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społeczeństwa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wewnętrznego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elektronicznym).</w:t>
      </w:r>
    </w:p>
    <w:p w14:paraId="3D7A1D27" w14:textId="16D468AF" w:rsidR="6215DEFE" w:rsidRPr="00D44D33" w:rsidRDefault="07B4836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 xml:space="preserve">z dnia 18 lipca 2020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elektroniczną</w:t>
      </w:r>
      <w:r w:rsidR="00F16293" w:rsidRPr="00D44D33">
        <w:rPr>
          <w:rFonts w:ascii="Times New Roman" w:eastAsiaTheme="minorEastAsia" w:hAnsi="Times New Roman" w:cs="Times New Roman"/>
          <w:sz w:val="24"/>
          <w:szCs w:val="24"/>
        </w:rPr>
        <w:t xml:space="preserve"> (Dz. U. poz. 344)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wprowadzającej</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 xml:space="preserve">z dnia 18 lipca 2020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elektroniczną.</w:t>
      </w:r>
    </w:p>
    <w:p w14:paraId="10BD3AA3" w14:textId="31ADB453" w:rsidR="1ED030BA" w:rsidRPr="00D44D33" w:rsidRDefault="1ED030B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Wprowadzone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 xml:space="preserve">z dnia 18 lipca 2020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E16D66"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automatyczne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krótkotrwałe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przechowywanie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transmitowanych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przechowywane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dłużej,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zwykłych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zrealizowania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182DEF9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82DEF9E" w:rsidRPr="00D44D33">
        <w:rPr>
          <w:rFonts w:ascii="Times New Roman" w:eastAsiaTheme="minorEastAsia" w:hAnsi="Times New Roman" w:cs="Times New Roman"/>
          <w:sz w:val="24"/>
          <w:szCs w:val="24"/>
        </w:rPr>
        <w:t>(wyłączenie</w:t>
      </w:r>
      <w:r w:rsidR="00970B2E" w:rsidRPr="00D44D33">
        <w:rPr>
          <w:rFonts w:ascii="Times New Roman" w:eastAsiaTheme="minorEastAsia" w:hAnsi="Times New Roman" w:cs="Times New Roman"/>
          <w:sz w:val="24"/>
          <w:szCs w:val="24"/>
        </w:rPr>
        <w:t xml:space="preserve"> </w:t>
      </w:r>
      <w:r w:rsidR="0086496C" w:rsidRPr="00D44D33">
        <w:rPr>
          <w:rFonts w:ascii="Times New Roman" w:eastAsiaTheme="minorEastAsia" w:hAnsi="Times New Roman" w:cs="Times New Roman"/>
          <w:sz w:val="24"/>
          <w:szCs w:val="24"/>
        </w:rPr>
        <w:t>odpowiedzialności</w:t>
      </w:r>
      <w:r w:rsidR="182DEF9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67F2E0C" w14:textId="000E8783"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29E6B6BA" w:rsidRPr="00D44D33">
        <w:rPr>
          <w:rFonts w:ascii="Times New Roman" w:eastAsiaTheme="minorEastAsia" w:hAnsi="Times New Roman" w:cs="Times New Roman"/>
          <w:b/>
          <w:bCs/>
          <w:sz w:val="24"/>
          <w:szCs w:val="24"/>
        </w:rPr>
        <w:t>84</w:t>
      </w:r>
    </w:p>
    <w:p w14:paraId="181649FE" w14:textId="29CF43D3"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E14F29" w:rsidRPr="00D44D33">
        <w:rPr>
          <w:rFonts w:ascii="Times New Roman" w:eastAsiaTheme="minorEastAsia" w:hAnsi="Times New Roman" w:cs="Times New Roman"/>
          <w:sz w:val="24"/>
          <w:szCs w:val="24"/>
        </w:rPr>
        <w:t>5</w:t>
      </w:r>
      <w:r w:rsidR="00BF77E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236B0E71"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236B0E71"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236B0E71"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36B0E71" w:rsidRPr="00D44D33">
        <w:rPr>
          <w:rFonts w:ascii="Times New Roman" w:eastAsiaTheme="minorEastAsia" w:hAnsi="Times New Roman" w:cs="Times New Roman"/>
          <w:sz w:val="24"/>
          <w:szCs w:val="24"/>
        </w:rPr>
        <w:t>161</w:t>
      </w:r>
      <w:r w:rsidR="00970B2E" w:rsidRPr="00D44D33">
        <w:rPr>
          <w:rFonts w:ascii="Times New Roman" w:eastAsiaTheme="minorEastAsia" w:hAnsi="Times New Roman" w:cs="Times New Roman"/>
          <w:sz w:val="24"/>
          <w:szCs w:val="24"/>
        </w:rPr>
        <w:t xml:space="preserve"> </w:t>
      </w:r>
      <w:r w:rsidR="236B0E71" w:rsidRPr="00D44D33">
        <w:rPr>
          <w:rFonts w:ascii="Times New Roman" w:eastAsiaTheme="minorEastAsia" w:hAnsi="Times New Roman" w:cs="Times New Roman"/>
          <w:sz w:val="24"/>
          <w:szCs w:val="24"/>
        </w:rPr>
        <w:t>Pt.</w:t>
      </w:r>
    </w:p>
    <w:p w14:paraId="2A2161A1" w14:textId="3A1DF5DD" w:rsidR="2CBDD60E" w:rsidRPr="00D44D33" w:rsidRDefault="2CBDD60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Proponuje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wyjaśnienie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wątpliwości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anonimizacja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71FB6DDA" w:rsidRPr="00D44D33">
        <w:rPr>
          <w:rFonts w:ascii="Times New Roman" w:eastAsiaTheme="minorEastAsia" w:hAnsi="Times New Roman" w:cs="Times New Roman"/>
          <w:sz w:val="24"/>
          <w:szCs w:val="24"/>
        </w:rPr>
        <w:t>usług</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Dzięki</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wprowadzeniu</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rozwiązaniu,</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mogli</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dokonywać</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operacji</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zanonimizowanych</w:t>
      </w:r>
      <w:r w:rsidR="00970B2E" w:rsidRPr="00D44D33">
        <w:rPr>
          <w:rFonts w:ascii="Times New Roman" w:eastAsiaTheme="minorEastAsia" w:hAnsi="Times New Roman" w:cs="Times New Roman"/>
          <w:sz w:val="24"/>
          <w:szCs w:val="24"/>
        </w:rPr>
        <w:t xml:space="preserve"> </w:t>
      </w:r>
      <w:r w:rsidR="0558B067" w:rsidRPr="00D44D33">
        <w:rPr>
          <w:rFonts w:ascii="Times New Roman" w:eastAsiaTheme="minorEastAsia" w:hAnsi="Times New Roman" w:cs="Times New Roman"/>
          <w:sz w:val="24"/>
          <w:szCs w:val="24"/>
        </w:rPr>
        <w:t>danych.</w:t>
      </w:r>
    </w:p>
    <w:p w14:paraId="5DAB147C" w14:textId="313A5982" w:rsidR="2CBDD60E" w:rsidRPr="00D44D33" w:rsidRDefault="2CBDD60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E14F29" w:rsidRPr="00D44D33">
        <w:rPr>
          <w:rFonts w:ascii="Times New Roman" w:eastAsiaTheme="minorEastAsia" w:hAnsi="Times New Roman" w:cs="Times New Roman"/>
          <w:sz w:val="24"/>
          <w:szCs w:val="24"/>
        </w:rPr>
        <w:t>5</w:t>
      </w:r>
      <w:r w:rsidR="00BF77EE"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21a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zarządzaniu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kryzysowym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E16D66" w:rsidRPr="00D44D33">
        <w:rPr>
          <w:rFonts w:ascii="Times New Roman" w:eastAsiaTheme="minorEastAsia" w:hAnsi="Times New Roman" w:cs="Times New Roman"/>
          <w:sz w:val="24"/>
          <w:szCs w:val="24"/>
        </w:rPr>
        <w:t>22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E16D66" w:rsidRPr="00D44D33">
        <w:rPr>
          <w:rFonts w:ascii="Times New Roman" w:eastAsiaTheme="minorEastAsia" w:hAnsi="Times New Roman" w:cs="Times New Roman"/>
          <w:sz w:val="24"/>
          <w:szCs w:val="24"/>
        </w:rPr>
        <w:t>261</w:t>
      </w:r>
      <w:r w:rsidR="00862484" w:rsidRPr="00D44D33">
        <w:rPr>
          <w:rFonts w:ascii="Times New Roman" w:eastAsiaTheme="minorEastAsia" w:hAnsi="Times New Roman" w:cs="Times New Roman"/>
          <w:sz w:val="24"/>
          <w:szCs w:val="24"/>
        </w:rPr>
        <w:t>, z późn. zm.)</w:t>
      </w:r>
      <w:r w:rsidRPr="00D44D33">
        <w:rPr>
          <w:rFonts w:ascii="Times New Roman" w:eastAsiaTheme="minorEastAsia" w:hAnsi="Times New Roman" w:cs="Times New Roman"/>
          <w:sz w:val="24"/>
          <w:szCs w:val="24"/>
        </w:rPr>
        <w:t>.</w:t>
      </w:r>
    </w:p>
    <w:p w14:paraId="073DBF54" w14:textId="1FE34DCD"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76026F94" w:rsidRPr="00D44D33">
        <w:rPr>
          <w:rFonts w:ascii="Times New Roman" w:eastAsiaTheme="minorEastAsia" w:hAnsi="Times New Roman" w:cs="Times New Roman"/>
          <w:b/>
          <w:bCs/>
          <w:sz w:val="24"/>
          <w:szCs w:val="24"/>
        </w:rPr>
        <w:t>85</w:t>
      </w:r>
    </w:p>
    <w:p w14:paraId="66E1AAAB" w14:textId="155A5220"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7D357093" w:rsidRPr="00D44D33">
        <w:rPr>
          <w:rFonts w:ascii="Times New Roman" w:eastAsiaTheme="minorEastAsia" w:hAnsi="Times New Roman" w:cs="Times New Roman"/>
          <w:sz w:val="24"/>
          <w:szCs w:val="24"/>
        </w:rPr>
        <w:t>85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dysponujący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ewentualne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tajemnicy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wyborze.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lecz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przedmiotowe</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znajdowały</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162</w:t>
      </w:r>
      <w:r w:rsidR="00970B2E" w:rsidRPr="00D44D33">
        <w:rPr>
          <w:rFonts w:ascii="Times New Roman" w:eastAsiaTheme="minorEastAsia" w:hAnsi="Times New Roman" w:cs="Times New Roman"/>
          <w:sz w:val="24"/>
          <w:szCs w:val="24"/>
        </w:rPr>
        <w:t xml:space="preserve"> </w:t>
      </w:r>
      <w:r w:rsidR="2CCB63BD" w:rsidRPr="00D44D33">
        <w:rPr>
          <w:rFonts w:ascii="Times New Roman" w:eastAsiaTheme="minorEastAsia" w:hAnsi="Times New Roman" w:cs="Times New Roman"/>
          <w:sz w:val="24"/>
          <w:szCs w:val="24"/>
        </w:rPr>
        <w:t>Pt.</w:t>
      </w:r>
    </w:p>
    <w:p w14:paraId="7A5D41F3" w14:textId="450D656C"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6E699376" w:rsidRPr="00D44D33">
        <w:rPr>
          <w:rFonts w:ascii="Times New Roman" w:eastAsiaTheme="minorEastAsia" w:hAnsi="Times New Roman" w:cs="Times New Roman"/>
          <w:b/>
          <w:bCs/>
          <w:sz w:val="24"/>
          <w:szCs w:val="24"/>
        </w:rPr>
        <w:t>86</w:t>
      </w:r>
    </w:p>
    <w:p w14:paraId="66B813B1" w14:textId="7DEDB94C"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597BA1E" w:rsidRPr="00D44D33">
        <w:rPr>
          <w:rFonts w:ascii="Times New Roman" w:eastAsiaTheme="minorEastAsia" w:hAnsi="Times New Roman" w:cs="Times New Roman"/>
          <w:sz w:val="24"/>
          <w:szCs w:val="24"/>
        </w:rPr>
        <w:t>86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3367E704"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marketingu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wzbogaconej,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6A85DF89"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Zagadnienia</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regulowane</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163</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165</w:t>
      </w:r>
      <w:r w:rsidR="00970B2E" w:rsidRPr="00D44D33">
        <w:rPr>
          <w:rFonts w:ascii="Times New Roman" w:eastAsiaTheme="minorEastAsia" w:hAnsi="Times New Roman" w:cs="Times New Roman"/>
          <w:sz w:val="24"/>
          <w:szCs w:val="24"/>
        </w:rPr>
        <w:t xml:space="preserve"> </w:t>
      </w:r>
      <w:r w:rsidR="608DCB55" w:rsidRPr="00D44D33">
        <w:rPr>
          <w:rFonts w:ascii="Times New Roman" w:eastAsiaTheme="minorEastAsia" w:hAnsi="Times New Roman" w:cs="Times New Roman"/>
          <w:sz w:val="24"/>
          <w:szCs w:val="24"/>
        </w:rPr>
        <w:t>Pt.</w:t>
      </w:r>
    </w:p>
    <w:p w14:paraId="3ED8566D" w14:textId="23EA991D"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6DD81EC3" w:rsidRPr="00D44D33">
        <w:rPr>
          <w:rFonts w:ascii="Times New Roman" w:eastAsiaTheme="minorEastAsia" w:hAnsi="Times New Roman" w:cs="Times New Roman"/>
          <w:b/>
          <w:bCs/>
          <w:sz w:val="24"/>
          <w:szCs w:val="24"/>
        </w:rPr>
        <w:t>87</w:t>
      </w:r>
    </w:p>
    <w:p w14:paraId="5B323328" w14:textId="77777777" w:rsidR="00460E58"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FFA47E4" w:rsidRPr="00D44D33">
        <w:rPr>
          <w:rFonts w:ascii="Times New Roman" w:eastAsiaTheme="minorEastAsia" w:hAnsi="Times New Roman" w:cs="Times New Roman"/>
          <w:sz w:val="24"/>
          <w:szCs w:val="24"/>
        </w:rPr>
        <w:t>87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460E58" w:rsidRPr="00D44D33">
        <w:rPr>
          <w:rFonts w:ascii="Times New Roman" w:eastAsiaTheme="minorEastAsia" w:hAnsi="Times New Roman" w:cs="Times New Roman"/>
          <w:sz w:val="24"/>
          <w:szCs w:val="24"/>
        </w:rPr>
        <w:t xml:space="preserve">częściowo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zanonimi</w:t>
      </w:r>
      <w:r w:rsidR="0050275B" w:rsidRPr="00D44D33">
        <w:rPr>
          <w:rFonts w:ascii="Times New Roman" w:eastAsiaTheme="minorEastAsia" w:hAnsi="Times New Roman" w:cs="Times New Roman"/>
          <w:sz w:val="24"/>
          <w:szCs w:val="24"/>
        </w:rPr>
        <w:t>zowanych.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podwyższonym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poziomem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informacyjnymi.</w:t>
      </w:r>
      <w:r w:rsidR="00970B2E" w:rsidRPr="00D44D33">
        <w:rPr>
          <w:rFonts w:ascii="Times New Roman" w:eastAsiaTheme="minorEastAsia" w:hAnsi="Times New Roman" w:cs="Times New Roman"/>
          <w:sz w:val="24"/>
          <w:szCs w:val="24"/>
        </w:rPr>
        <w:t xml:space="preserve"> </w:t>
      </w:r>
      <w:r w:rsidR="00E623F6" w:rsidRPr="00D44D33">
        <w:rPr>
          <w:rStyle w:val="normaltextrun"/>
          <w:rFonts w:ascii="Times New Roman" w:hAnsi="Times New Roman" w:cs="Times New Roman"/>
          <w:sz w:val="24"/>
          <w:szCs w:val="24"/>
          <w:bdr w:val="none" w:sz="0" w:space="0" w:color="auto" w:frame="1"/>
        </w:rPr>
        <w:t>Obowiązek</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informacyjny</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względem</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użytkownika</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lub</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abonenta</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końcowego</w:t>
      </w:r>
      <w:r w:rsidR="00970B2E" w:rsidRPr="00D44D33">
        <w:rPr>
          <w:rStyle w:val="normaltextrun"/>
          <w:rFonts w:ascii="Times New Roman" w:hAnsi="Times New Roman" w:cs="Times New Roman"/>
          <w:sz w:val="24"/>
          <w:szCs w:val="24"/>
          <w:bdr w:val="none" w:sz="0" w:space="0" w:color="auto" w:frame="1"/>
        </w:rPr>
        <w:t xml:space="preserve"> </w:t>
      </w:r>
      <w:r w:rsidR="00460E58" w:rsidRPr="00D44D33">
        <w:rPr>
          <w:rStyle w:val="normaltextrun"/>
          <w:rFonts w:ascii="Times New Roman" w:hAnsi="Times New Roman" w:cs="Times New Roman"/>
          <w:sz w:val="24"/>
          <w:szCs w:val="24"/>
          <w:bdr w:val="none" w:sz="0" w:space="0" w:color="auto" w:frame="1"/>
        </w:rPr>
        <w:t xml:space="preserve">oraz obowiązek uzyskania zgody </w:t>
      </w:r>
      <w:r w:rsidR="00E623F6" w:rsidRPr="00D44D33">
        <w:rPr>
          <w:rStyle w:val="normaltextrun"/>
          <w:rFonts w:ascii="Times New Roman" w:hAnsi="Times New Roman" w:cs="Times New Roman"/>
          <w:sz w:val="24"/>
          <w:szCs w:val="24"/>
          <w:bdr w:val="none" w:sz="0" w:space="0" w:color="auto" w:frame="1"/>
        </w:rPr>
        <w:t>jest</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natomiast</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wyłączony</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w</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przypadku,</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gdy</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dane</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o</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lokalizacji</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są</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pozyskiwane</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w</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przypadkach,</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o</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których</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mowa</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w</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art.</w:t>
      </w:r>
      <w:r w:rsidR="00970B2E" w:rsidRPr="00D44D33">
        <w:rPr>
          <w:rStyle w:val="normaltextrun"/>
          <w:rFonts w:ascii="Times New Roman" w:hAnsi="Times New Roman" w:cs="Times New Roman"/>
          <w:sz w:val="24"/>
          <w:szCs w:val="24"/>
          <w:bdr w:val="none" w:sz="0" w:space="0" w:color="auto" w:frame="1"/>
        </w:rPr>
        <w:t xml:space="preserve"> </w:t>
      </w:r>
      <w:r w:rsidR="00E623F6" w:rsidRPr="00D44D33">
        <w:rPr>
          <w:rStyle w:val="normaltextrun"/>
          <w:rFonts w:ascii="Times New Roman" w:hAnsi="Times New Roman" w:cs="Times New Roman"/>
          <w:sz w:val="24"/>
          <w:szCs w:val="24"/>
          <w:bdr w:val="none" w:sz="0" w:space="0" w:color="auto" w:frame="1"/>
        </w:rPr>
        <w:t>45.</w:t>
      </w:r>
      <w:r w:rsidR="00970B2E" w:rsidRPr="00D44D33">
        <w:rPr>
          <w:rStyle w:val="normaltextrun"/>
          <w:rFonts w:ascii="Times New Roman" w:hAnsi="Times New Roman" w:cs="Times New Roman"/>
          <w:sz w:val="24"/>
          <w:szCs w:val="24"/>
          <w:bdr w:val="none" w:sz="0" w:space="0" w:color="auto" w:frame="1"/>
        </w:rPr>
        <w:t xml:space="preserve"> </w:t>
      </w: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lokalizacyjne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wzbogaconej</w:t>
      </w:r>
      <w:r w:rsidR="00970B2E" w:rsidRPr="00D44D33">
        <w:rPr>
          <w:rFonts w:ascii="Times New Roman" w:eastAsiaTheme="minorEastAsia" w:hAnsi="Times New Roman" w:cs="Times New Roman"/>
          <w:sz w:val="24"/>
          <w:szCs w:val="24"/>
        </w:rPr>
        <w:t xml:space="preserve"> </w:t>
      </w:r>
      <w:r w:rsidR="00E623F6" w:rsidRPr="00D44D33">
        <w:rPr>
          <w:rStyle w:val="normaltextrun"/>
          <w:rFonts w:ascii="Times New Roman" w:hAnsi="Times New Roman" w:cs="Times New Roman"/>
          <w:color w:val="000000"/>
          <w:sz w:val="24"/>
          <w:szCs w:val="24"/>
          <w:bdr w:val="none" w:sz="0" w:space="0" w:color="auto" w:frame="1"/>
        </w:rPr>
        <w:t>oraz</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innych</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wskazanych</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w</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ustawie</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(art.</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45</w:t>
      </w:r>
      <w:r w:rsidR="00970B2E" w:rsidRPr="00D44D33">
        <w:rPr>
          <w:rStyle w:val="normaltextrun"/>
          <w:rFonts w:ascii="Times New Roman" w:hAnsi="Times New Roman" w:cs="Times New Roman"/>
          <w:color w:val="000000"/>
          <w:sz w:val="24"/>
          <w:szCs w:val="24"/>
          <w:bdr w:val="none" w:sz="0" w:space="0" w:color="auto" w:frame="1"/>
        </w:rPr>
        <w:t xml:space="preserve"> </w:t>
      </w:r>
      <w:r w:rsidR="00E623F6" w:rsidRPr="00D44D33">
        <w:rPr>
          <w:rStyle w:val="normaltextrun"/>
          <w:rFonts w:ascii="Times New Roman" w:hAnsi="Times New Roman" w:cs="Times New Roman"/>
          <w:color w:val="000000"/>
          <w:sz w:val="24"/>
          <w:szCs w:val="24"/>
          <w:bdr w:val="none" w:sz="0" w:space="0" w:color="auto" w:frame="1"/>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C78675F" w14:textId="2143C133" w:rsidR="00A669CF" w:rsidRPr="00D44D33" w:rsidRDefault="6604925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znajdowała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166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460E58" w:rsidRPr="00D44D33">
        <w:rPr>
          <w:rFonts w:ascii="Times New Roman" w:eastAsiaTheme="minorEastAsia" w:hAnsi="Times New Roman" w:cs="Times New Roman"/>
          <w:sz w:val="24"/>
          <w:szCs w:val="24"/>
        </w:rPr>
        <w:t xml:space="preserve"> W porównaniu do regulacji zawartej w Pt wprowadzono odniesienie do przetwarzania danych na podstawie art. 45 Pt, który to przepis zawiera nowe podstawy przetwarzania danych.</w:t>
      </w:r>
    </w:p>
    <w:p w14:paraId="02225DD7" w14:textId="510FEA02"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23C5623D" w:rsidRPr="00D44D33">
        <w:rPr>
          <w:rFonts w:ascii="Times New Roman" w:eastAsiaTheme="minorEastAsia" w:hAnsi="Times New Roman" w:cs="Times New Roman"/>
          <w:b/>
          <w:bCs/>
          <w:sz w:val="24"/>
          <w:szCs w:val="24"/>
        </w:rPr>
        <w:t>88</w:t>
      </w:r>
    </w:p>
    <w:p w14:paraId="7B76A8AA" w14:textId="1C9D985D"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Przedmiotowa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awarii,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włączający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momencie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poinformowania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znajdowała</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167</w:t>
      </w:r>
      <w:r w:rsidR="00970B2E" w:rsidRPr="00D44D33">
        <w:rPr>
          <w:rFonts w:ascii="Times New Roman" w:eastAsiaTheme="minorEastAsia" w:hAnsi="Times New Roman" w:cs="Times New Roman"/>
          <w:sz w:val="24"/>
          <w:szCs w:val="24"/>
        </w:rPr>
        <w:t xml:space="preserve"> </w:t>
      </w:r>
      <w:r w:rsidR="40820B6F" w:rsidRPr="00D44D33">
        <w:rPr>
          <w:rFonts w:ascii="Times New Roman" w:eastAsiaTheme="minorEastAsia" w:hAnsi="Times New Roman" w:cs="Times New Roman"/>
          <w:sz w:val="24"/>
          <w:szCs w:val="24"/>
        </w:rPr>
        <w:t>Pt.</w:t>
      </w:r>
    </w:p>
    <w:p w14:paraId="12317E5E" w14:textId="64EAD5F0"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27B8E4EE" w:rsidRPr="00D44D33">
        <w:rPr>
          <w:rFonts w:ascii="Times New Roman" w:eastAsiaTheme="minorEastAsia" w:hAnsi="Times New Roman" w:cs="Times New Roman"/>
          <w:b/>
          <w:bCs/>
          <w:sz w:val="24"/>
          <w:szCs w:val="24"/>
        </w:rPr>
        <w:t>89</w:t>
      </w:r>
    </w:p>
    <w:p w14:paraId="0FC9A941" w14:textId="1F1A9CE4"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6A2043A7" w:rsidRPr="00D44D33">
        <w:rPr>
          <w:rFonts w:ascii="Times New Roman" w:eastAsiaTheme="minorEastAsia" w:hAnsi="Times New Roman" w:cs="Times New Roman"/>
          <w:sz w:val="24"/>
          <w:szCs w:val="24"/>
        </w:rPr>
        <w:t>89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płatności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rozpatrzenia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reklamacji.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retencji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miesięcy.</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znajdowała</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168</w:t>
      </w:r>
      <w:r w:rsidR="00970B2E" w:rsidRPr="00D44D33">
        <w:rPr>
          <w:rFonts w:ascii="Times New Roman" w:eastAsiaTheme="minorEastAsia" w:hAnsi="Times New Roman" w:cs="Times New Roman"/>
          <w:sz w:val="24"/>
          <w:szCs w:val="24"/>
        </w:rPr>
        <w:t xml:space="preserve"> </w:t>
      </w:r>
      <w:r w:rsidR="480D24BA" w:rsidRPr="00D44D33">
        <w:rPr>
          <w:rFonts w:ascii="Times New Roman" w:eastAsiaTheme="minorEastAsia" w:hAnsi="Times New Roman" w:cs="Times New Roman"/>
          <w:sz w:val="24"/>
          <w:szCs w:val="24"/>
        </w:rPr>
        <w:t>Pt.</w:t>
      </w:r>
    </w:p>
    <w:p w14:paraId="466ED291" w14:textId="5B019203"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4B897512" w:rsidRPr="00D44D33">
        <w:rPr>
          <w:rFonts w:ascii="Times New Roman" w:eastAsiaTheme="minorEastAsia" w:hAnsi="Times New Roman" w:cs="Times New Roman"/>
          <w:b/>
          <w:bCs/>
          <w:sz w:val="24"/>
          <w:szCs w:val="24"/>
        </w:rPr>
        <w:t>90</w:t>
      </w:r>
    </w:p>
    <w:p w14:paraId="2490E81C" w14:textId="4A070715"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Załącznika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VII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C6211B8" w:rsidRPr="00D44D33">
        <w:rPr>
          <w:rFonts w:ascii="Times New Roman" w:eastAsiaTheme="minorEastAsia" w:hAnsi="Times New Roman" w:cs="Times New Roman"/>
          <w:sz w:val="24"/>
          <w:szCs w:val="24"/>
        </w:rPr>
        <w:t>169.</w:t>
      </w:r>
    </w:p>
    <w:p w14:paraId="66252F12" w14:textId="0E3E9306"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przetwarzane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umieszczenia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zamieszczenie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nastąpić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abonenta.</w:t>
      </w:r>
      <w:r w:rsidR="00970B2E" w:rsidRPr="00D44D33">
        <w:rPr>
          <w:rFonts w:ascii="Times New Roman" w:eastAsiaTheme="minorEastAsia" w:hAnsi="Times New Roman" w:cs="Times New Roman"/>
          <w:sz w:val="24"/>
          <w:szCs w:val="24"/>
        </w:rPr>
        <w:t xml:space="preserve"> </w:t>
      </w:r>
    </w:p>
    <w:p w14:paraId="3B8BA885" w14:textId="119AFBB7"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19143D70" w:rsidRPr="00D44D33">
        <w:rPr>
          <w:rFonts w:ascii="Times New Roman" w:eastAsiaTheme="minorEastAsia" w:hAnsi="Times New Roman" w:cs="Times New Roman"/>
          <w:b/>
          <w:bCs/>
          <w:sz w:val="24"/>
          <w:szCs w:val="24"/>
        </w:rPr>
        <w:t>91</w:t>
      </w:r>
    </w:p>
    <w:p w14:paraId="77CCCE21" w14:textId="656F5C4F" w:rsidR="00A669CF" w:rsidRPr="00D44D33" w:rsidRDefault="1BE576D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numerów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powierzone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telekomunikacyjnym.</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Poprzednio</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przedmiotowa</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kwestia</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regulowana</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170</w:t>
      </w:r>
      <w:r w:rsidR="00970B2E" w:rsidRPr="00D44D33">
        <w:rPr>
          <w:rFonts w:ascii="Times New Roman" w:eastAsiaTheme="minorEastAsia" w:hAnsi="Times New Roman" w:cs="Times New Roman"/>
          <w:sz w:val="24"/>
          <w:szCs w:val="24"/>
        </w:rPr>
        <w:t xml:space="preserve"> </w:t>
      </w:r>
      <w:r w:rsidR="69D7E688"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070CC3B3" w14:textId="7C3532F0" w:rsidR="008427B7" w:rsidRPr="00D44D33" w:rsidRDefault="67BA08CC"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03462F37" w:rsidRPr="00D44D33">
        <w:rPr>
          <w:rFonts w:ascii="Times New Roman" w:eastAsiaTheme="minorEastAsia" w:hAnsi="Times New Roman" w:cs="Times New Roman"/>
          <w:b/>
          <w:bCs/>
          <w:sz w:val="24"/>
          <w:szCs w:val="24"/>
        </w:rPr>
        <w:t>92</w:t>
      </w:r>
    </w:p>
    <w:p w14:paraId="0FBC594F" w14:textId="6750CCFC" w:rsidR="7E0E8E63" w:rsidRPr="00D44D33" w:rsidRDefault="7323D8B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359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171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jednocześnie</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198D3CE0" w:rsidRPr="00D44D33">
        <w:rPr>
          <w:rFonts w:ascii="Times New Roman" w:eastAsiaTheme="minorEastAsia" w:hAnsi="Times New Roman" w:cs="Times New Roman"/>
          <w:sz w:val="24"/>
          <w:szCs w:val="24"/>
        </w:rPr>
        <w:t>2002/58.</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115</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zw.</w:t>
      </w:r>
      <w:r w:rsidR="00970B2E" w:rsidRPr="00D44D33">
        <w:rPr>
          <w:rFonts w:ascii="Times New Roman" w:eastAsiaTheme="minorEastAsia" w:hAnsi="Times New Roman" w:cs="Times New Roman"/>
          <w:sz w:val="24"/>
          <w:szCs w:val="24"/>
        </w:rPr>
        <w:t xml:space="preserve"> </w:t>
      </w:r>
      <w:r w:rsidR="420DC12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Załącznikiem</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VI</w:t>
      </w:r>
      <w:r w:rsidR="00970B2E" w:rsidRPr="00D44D33">
        <w:rPr>
          <w:rFonts w:ascii="Times New Roman" w:eastAsiaTheme="minorEastAsia" w:hAnsi="Times New Roman" w:cs="Times New Roman"/>
          <w:sz w:val="24"/>
          <w:szCs w:val="24"/>
        </w:rPr>
        <w:t xml:space="preserve"> </w:t>
      </w:r>
      <w:r w:rsidR="1B8DF456" w:rsidRPr="00D44D33">
        <w:rPr>
          <w:rFonts w:ascii="Times New Roman" w:eastAsiaTheme="minorEastAsia" w:hAnsi="Times New Roman" w:cs="Times New Roman"/>
          <w:sz w:val="24"/>
          <w:szCs w:val="24"/>
        </w:rPr>
        <w:t>Część</w:t>
      </w:r>
      <w:r w:rsidR="00970B2E" w:rsidRPr="00D44D33">
        <w:rPr>
          <w:rFonts w:ascii="Times New Roman" w:eastAsiaTheme="minorEastAsia" w:hAnsi="Times New Roman" w:cs="Times New Roman"/>
          <w:sz w:val="24"/>
          <w:szCs w:val="24"/>
        </w:rPr>
        <w:t xml:space="preserve"> </w:t>
      </w:r>
      <w:r w:rsidR="4BAE6DB1" w:rsidRPr="00D44D33">
        <w:rPr>
          <w:rFonts w:ascii="Times New Roman" w:eastAsiaTheme="minorEastAsia" w:hAnsi="Times New Roman" w:cs="Times New Roman"/>
          <w:sz w:val="24"/>
          <w:szCs w:val="24"/>
        </w:rPr>
        <w:t>B</w:t>
      </w:r>
      <w:r w:rsidR="00970B2E" w:rsidRPr="00D44D33">
        <w:rPr>
          <w:rFonts w:ascii="Times New Roman" w:eastAsiaTheme="minorEastAsia" w:hAnsi="Times New Roman" w:cs="Times New Roman"/>
          <w:sz w:val="24"/>
          <w:szCs w:val="24"/>
        </w:rPr>
        <w:t xml:space="preserve"> </w:t>
      </w:r>
      <w:r w:rsidR="62856EC7"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62856EC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18F94228"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18F9422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8F9422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18F94228"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18F94228"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18F94228" w:rsidRPr="00D44D33">
        <w:rPr>
          <w:rFonts w:ascii="Times New Roman" w:eastAsiaTheme="minorEastAsia" w:hAnsi="Times New Roman" w:cs="Times New Roman"/>
          <w:sz w:val="24"/>
          <w:szCs w:val="24"/>
        </w:rPr>
        <w:t>wywołującej</w:t>
      </w:r>
      <w:r w:rsidR="4A676A8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47BAF6C7" w14:textId="4C05A1F9" w:rsidR="7E0E8E63" w:rsidRPr="00D44D33" w:rsidRDefault="4A676A8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inicjowane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74F60D4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6A9A0A48" w14:textId="1AB192A4" w:rsidR="7E0E8E63" w:rsidRPr="00D44D33" w:rsidRDefault="347439C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zapewnić:</w:t>
      </w:r>
    </w:p>
    <w:p w14:paraId="32894BC4" w14:textId="517FE80E" w:rsidR="7E0E8E63" w:rsidRPr="00D44D33" w:rsidRDefault="347439C1" w:rsidP="00D44D33">
      <w:pPr>
        <w:pStyle w:val="Akapitzlist"/>
        <w:numPr>
          <w:ilvl w:val="1"/>
          <w:numId w:val="131"/>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użytkownikowi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wywołującemu</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jednorazowego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wyeliminowania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wywoływanego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p>
    <w:p w14:paraId="582C6F59" w14:textId="583B49FB" w:rsidR="7E0E8E63" w:rsidRPr="00D44D33" w:rsidRDefault="347439C1" w:rsidP="00D44D33">
      <w:pPr>
        <w:pStyle w:val="Akapitzlist"/>
        <w:numPr>
          <w:ilvl w:val="1"/>
          <w:numId w:val="131"/>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wywołującemu</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stałego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wyeliminowania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wywoływanego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przyłączony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p>
    <w:p w14:paraId="3BB89EAC" w14:textId="7CBBCEC7" w:rsidR="7E0E8E63" w:rsidRPr="00D44D33" w:rsidRDefault="347439C1" w:rsidP="00D44D33">
      <w:pPr>
        <w:pStyle w:val="Akapitzlist"/>
        <w:numPr>
          <w:ilvl w:val="1"/>
          <w:numId w:val="131"/>
        </w:numPr>
        <w:spacing w:before="120" w:after="120" w:line="360" w:lineRule="auto"/>
        <w:ind w:left="709"/>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abonentowi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wywoływanemu</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eliminacji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rozpoczęciem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przychodzącego,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blokady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eliminację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prezentacji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identyfikacji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wywołującej.</w:t>
      </w:r>
    </w:p>
    <w:p w14:paraId="34ABF132" w14:textId="6DC72D79" w:rsidR="7E0E8E63" w:rsidRPr="00D44D33" w:rsidRDefault="347439C1"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imes New Roman" w:hAnsi="Times New Roman" w:cs="Times New Roman"/>
          <w:sz w:val="24"/>
          <w:szCs w:val="24"/>
        </w:rPr>
        <w:t>świadczonych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publicznej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sieci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zapewniającej</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automatyczne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przekazywanie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wywołań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zapewnić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abonentowi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możliwość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zablokowania,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pomocą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prostych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środków,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automatycznego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przekazywania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przez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osobę</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trzecią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wywołań</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telekomunikacyjnego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urządzenia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końcowego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Dostawca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ten</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obowiązany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informować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abonentów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uprawnieniach,</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zaś</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za</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ich</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realizowanie</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może</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pobierać</w:t>
      </w:r>
      <w:r w:rsidR="00970B2E" w:rsidRPr="00D44D33">
        <w:rPr>
          <w:rFonts w:ascii="Times New Roman" w:eastAsia="Times New Roman" w:hAnsi="Times New Roman" w:cs="Times New Roman"/>
          <w:sz w:val="24"/>
          <w:szCs w:val="24"/>
        </w:rPr>
        <w:t xml:space="preserve"> </w:t>
      </w:r>
      <w:r w:rsidR="42047B13" w:rsidRPr="00D44D33">
        <w:rPr>
          <w:rFonts w:ascii="Times New Roman" w:eastAsia="Times New Roman" w:hAnsi="Times New Roman" w:cs="Times New Roman"/>
          <w:sz w:val="24"/>
          <w:szCs w:val="24"/>
        </w:rPr>
        <w:t>opłat.</w:t>
      </w:r>
      <w:r w:rsidR="00970B2E" w:rsidRPr="00D44D33">
        <w:rPr>
          <w:rFonts w:ascii="Times New Roman" w:eastAsia="Times New Roman" w:hAnsi="Times New Roman" w:cs="Times New Roman"/>
          <w:sz w:val="24"/>
          <w:szCs w:val="24"/>
        </w:rPr>
        <w:t xml:space="preserve"> </w:t>
      </w:r>
    </w:p>
    <w:p w14:paraId="4350D44B" w14:textId="0D28637C"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2B621557" w:rsidRPr="00D44D33">
        <w:rPr>
          <w:rFonts w:ascii="Times New Roman" w:eastAsiaTheme="minorEastAsia" w:hAnsi="Times New Roman" w:cs="Times New Roman"/>
          <w:b/>
          <w:bCs/>
          <w:sz w:val="24"/>
          <w:szCs w:val="24"/>
        </w:rPr>
        <w:t>93</w:t>
      </w:r>
    </w:p>
    <w:p w14:paraId="0EED25E1" w14:textId="41112D51"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2D01C97B" w:rsidRPr="00D44D33">
        <w:rPr>
          <w:rFonts w:ascii="Times New Roman" w:eastAsiaTheme="minorEastAsia" w:hAnsi="Times New Roman" w:cs="Times New Roman"/>
          <w:sz w:val="24"/>
          <w:szCs w:val="24"/>
        </w:rPr>
        <w:t>93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nękaniem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marketingiem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niezamówionej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zastąpią</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18</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2002</w:t>
      </w:r>
      <w:r w:rsidR="00970B2E" w:rsidRPr="00D44D33">
        <w:rPr>
          <w:rFonts w:ascii="Times New Roman" w:eastAsiaTheme="minorEastAsia" w:hAnsi="Times New Roman" w:cs="Times New Roman"/>
          <w:sz w:val="24"/>
          <w:szCs w:val="24"/>
        </w:rPr>
        <w:t xml:space="preserve"> </w:t>
      </w:r>
      <w:r w:rsidR="00F6284A"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172</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3</w:t>
      </w:r>
      <w:r w:rsidR="15C2C2AE" w:rsidRPr="00D44D33">
        <w:rPr>
          <w:rFonts w:ascii="Times New Roman" w:eastAsiaTheme="minorEastAsia" w:hAnsi="Times New Roman" w:cs="Times New Roman"/>
          <w:sz w:val="24"/>
          <w:szCs w:val="24"/>
        </w:rPr>
        <w:t>93</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uchylany</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ustawy</w:t>
      </w:r>
      <w:r w:rsidR="00F16293" w:rsidRPr="00D44D33">
        <w:rPr>
          <w:rFonts w:ascii="Times New Roman" w:eastAsiaTheme="minorEastAsia" w:hAnsi="Times New Roman" w:cs="Times New Roman"/>
          <w:sz w:val="24"/>
          <w:szCs w:val="24"/>
        </w:rPr>
        <w:t xml:space="preserve"> z dnia 18 lipca 2020 r. </w:t>
      </w:r>
      <w:r w:rsidR="22E3B14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22E3B14D" w:rsidRPr="00D44D33">
        <w:rPr>
          <w:rFonts w:ascii="Times New Roman" w:eastAsiaTheme="minorEastAsia" w:hAnsi="Times New Roman" w:cs="Times New Roman"/>
          <w:sz w:val="24"/>
          <w:szCs w:val="24"/>
        </w:rPr>
        <w:t>elektroniczną.</w:t>
      </w:r>
    </w:p>
    <w:p w14:paraId="3AD2DA0B" w14:textId="4E9B3271"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Automatyczne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wywołujące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zautomatyzowane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głosowej,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nagranie.</w:t>
      </w:r>
      <w:r w:rsidR="00970B2E" w:rsidRPr="00D44D33">
        <w:rPr>
          <w:rFonts w:ascii="Times New Roman" w:eastAsiaTheme="minorEastAsia" w:hAnsi="Times New Roman" w:cs="Times New Roman"/>
          <w:sz w:val="24"/>
          <w:szCs w:val="24"/>
        </w:rPr>
        <w:t xml:space="preserve"> </w:t>
      </w:r>
      <w:r w:rsidR="00FF684B"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00FF684B"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00FF684B"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FF684B"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FF684B"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FF684B" w:rsidRPr="00D44D33">
        <w:rPr>
          <w:rFonts w:ascii="Times New Roman" w:eastAsiaTheme="minorEastAsia" w:hAnsi="Times New Roman" w:cs="Times New Roman"/>
          <w:sz w:val="24"/>
          <w:szCs w:val="24"/>
        </w:rPr>
        <w:t>komunikaty.</w:t>
      </w:r>
    </w:p>
    <w:p w14:paraId="46039F67" w14:textId="68B43205"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Marketing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niezamówionej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telefony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wiadomości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SMS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MMS,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p>
    <w:p w14:paraId="1407103B" w14:textId="0FB51699" w:rsidR="005E7F72" w:rsidRPr="00D44D33" w:rsidRDefault="00A669CF" w:rsidP="00D44D33">
      <w:pPr>
        <w:spacing w:before="120" w:after="120" w:line="360" w:lineRule="auto"/>
        <w:jc w:val="both"/>
        <w:rPr>
          <w:rFonts w:ascii="Times New Roman" w:eastAsia="Calibri" w:hAnsi="Times New Roman" w:cs="Times New Roman"/>
          <w:sz w:val="24"/>
          <w:szCs w:val="24"/>
        </w:rPr>
      </w:pP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marketing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niezamówionej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tylko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Marketing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niezamówionej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wyrazili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otrzymywanie.</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2FAFF8BB" w:rsidRPr="00D44D33">
        <w:rPr>
          <w:rFonts w:ascii="Times New Roman" w:eastAsiaTheme="minorEastAsia" w:hAnsi="Times New Roman" w:cs="Times New Roman"/>
          <w:sz w:val="24"/>
          <w:szCs w:val="24"/>
        </w:rPr>
        <w:t>koszt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34AEA7AD"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34AEA7AD"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34AEA7AD"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34AEA7AD"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34AEA7AD" w:rsidRPr="00D44D33">
        <w:rPr>
          <w:rFonts w:ascii="Times New Roman" w:eastAsiaTheme="minorEastAsia" w:hAnsi="Times New Roman" w:cs="Times New Roman"/>
          <w:sz w:val="24"/>
          <w:szCs w:val="24"/>
        </w:rPr>
        <w:t>powinna</w:t>
      </w:r>
      <w:r w:rsidR="00970B2E" w:rsidRPr="00D44D33">
        <w:rPr>
          <w:rFonts w:ascii="Times New Roman" w:eastAsiaTheme="minorEastAsia" w:hAnsi="Times New Roman" w:cs="Times New Roman"/>
          <w:sz w:val="24"/>
          <w:szCs w:val="24"/>
        </w:rPr>
        <w:t xml:space="preserve"> </w:t>
      </w:r>
      <w:r w:rsidR="5B3A3F50" w:rsidRPr="00D44D33">
        <w:rPr>
          <w:rFonts w:ascii="Times New Roman" w:eastAsiaTheme="minorEastAsia" w:hAnsi="Times New Roman" w:cs="Times New Roman"/>
          <w:sz w:val="24"/>
          <w:szCs w:val="24"/>
        </w:rPr>
        <w:t>spełniać</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za</w:t>
      </w:r>
      <w:r w:rsidR="319178AA" w:rsidRPr="00D44D33">
        <w:rPr>
          <w:rFonts w:ascii="Times New Roman" w:eastAsiaTheme="minorEastAsia" w:hAnsi="Times New Roman" w:cs="Times New Roman"/>
          <w:sz w:val="24"/>
          <w:szCs w:val="24"/>
        </w:rPr>
        <w:t>k</w:t>
      </w:r>
      <w:r w:rsidR="1C08F1CA" w:rsidRPr="00D44D33">
        <w:rPr>
          <w:rFonts w:ascii="Times New Roman" w:eastAsiaTheme="minorEastAsia" w:hAnsi="Times New Roman" w:cs="Times New Roman"/>
          <w:sz w:val="24"/>
          <w:szCs w:val="24"/>
        </w:rPr>
        <w:t>resu</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1C08F1CA"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52EB656C"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52EB656C" w:rsidRPr="00D44D33">
        <w:rPr>
          <w:rFonts w:ascii="Times New Roman" w:eastAsiaTheme="minorEastAsia" w:hAnsi="Times New Roman" w:cs="Times New Roman"/>
          <w:sz w:val="24"/>
          <w:szCs w:val="24"/>
        </w:rPr>
        <w:t>zatem</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oznacza</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dobrowolne,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konkretne,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świadome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i</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jednoznaczne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okazanie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woli,</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którym</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osoba,</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której</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dane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dotyczą,</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formie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oświadczenia</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wyraźnego</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działania</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potwierdzającego,</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przyzwala</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na</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przetwarzanie</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dotyczących</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jej</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danych</w:t>
      </w:r>
      <w:r w:rsidR="00970B2E" w:rsidRPr="00D44D33">
        <w:rPr>
          <w:rFonts w:ascii="Times New Roman" w:eastAsia="Times New Roman" w:hAnsi="Times New Roman" w:cs="Times New Roman"/>
          <w:sz w:val="24"/>
          <w:szCs w:val="24"/>
        </w:rPr>
        <w:t xml:space="preserve"> </w:t>
      </w:r>
      <w:r w:rsidR="52EB656C" w:rsidRPr="00D44D33">
        <w:rPr>
          <w:rFonts w:ascii="Times New Roman" w:eastAsia="Times New Roman" w:hAnsi="Times New Roman" w:cs="Times New Roman"/>
          <w:sz w:val="24"/>
          <w:szCs w:val="24"/>
        </w:rPr>
        <w:t>osobowych.</w:t>
      </w:r>
      <w:r w:rsidR="00970B2E" w:rsidRPr="00D44D33">
        <w:rPr>
          <w:rFonts w:ascii="Times New Roman" w:eastAsia="Times New Roman" w:hAnsi="Times New Roman" w:cs="Times New Roman"/>
          <w:sz w:val="24"/>
          <w:szCs w:val="24"/>
        </w:rPr>
        <w:t xml:space="preserve"> </w:t>
      </w:r>
      <w:r w:rsidR="3E7F6DCD"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wyraźna,</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abonent</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udostępnili</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celach</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identyfikujący</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adres</w:t>
      </w:r>
      <w:r w:rsidR="00970B2E" w:rsidRPr="00D44D33">
        <w:rPr>
          <w:rFonts w:ascii="Times New Roman" w:eastAsiaTheme="minorEastAsia" w:hAnsi="Times New Roman" w:cs="Times New Roman"/>
          <w:sz w:val="24"/>
          <w:szCs w:val="24"/>
        </w:rPr>
        <w:t xml:space="preserve"> </w:t>
      </w:r>
      <w:r w:rsidR="3E7F6DCD" w:rsidRPr="00D44D33">
        <w:rPr>
          <w:rFonts w:ascii="Times New Roman" w:eastAsiaTheme="minorEastAsia" w:hAnsi="Times New Roman" w:cs="Times New Roman"/>
          <w:sz w:val="24"/>
          <w:szCs w:val="24"/>
        </w:rPr>
        <w:t>elektroniczny.</w:t>
      </w:r>
      <w:r w:rsidR="00970B2E" w:rsidRPr="00D44D33">
        <w:rPr>
          <w:rFonts w:ascii="Times New Roman" w:eastAsiaTheme="minorEastAsia" w:hAnsi="Times New Roman" w:cs="Times New Roman"/>
          <w:sz w:val="24"/>
          <w:szCs w:val="24"/>
        </w:rPr>
        <w:t xml:space="preserve"> </w:t>
      </w:r>
      <w:r w:rsidR="4D7064F6"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4D7064F6"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4D7064F6"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4D7064F6" w:rsidRPr="00D44D33">
        <w:rPr>
          <w:rFonts w:ascii="Times New Roman" w:eastAsiaTheme="minorEastAsia" w:hAnsi="Times New Roman" w:cs="Times New Roman"/>
          <w:sz w:val="24"/>
          <w:szCs w:val="24"/>
        </w:rPr>
        <w:t>konkretna</w:t>
      </w:r>
      <w:r w:rsidR="151A3FA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51A3FA4" w:rsidRPr="00D44D33">
        <w:rPr>
          <w:rFonts w:ascii="Times New Roman" w:eastAsia="Calibri" w:hAnsi="Times New Roman" w:cs="Times New Roman"/>
          <w:sz w:val="24"/>
          <w:szCs w:val="24"/>
        </w:rPr>
        <w:t>wskazywać</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kanał</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przyszłej</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komunikacji</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z</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klientem</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(np.</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sms,</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telefon,</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e-mail),</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cel,</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oraz</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przede</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wszystkim</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określać</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podmiot,</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na</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rzecz</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którego</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została</w:t>
      </w:r>
      <w:r w:rsidR="00970B2E" w:rsidRPr="00D44D33">
        <w:rPr>
          <w:rFonts w:ascii="Times New Roman" w:eastAsia="Calibri" w:hAnsi="Times New Roman" w:cs="Times New Roman"/>
          <w:sz w:val="24"/>
          <w:szCs w:val="24"/>
        </w:rPr>
        <w:t xml:space="preserve"> </w:t>
      </w:r>
      <w:r w:rsidR="151A3FA4" w:rsidRPr="00D44D33">
        <w:rPr>
          <w:rFonts w:ascii="Times New Roman" w:eastAsia="Calibri" w:hAnsi="Times New Roman" w:cs="Times New Roman"/>
          <w:sz w:val="24"/>
          <w:szCs w:val="24"/>
        </w:rPr>
        <w:t>udzielona.</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UOKiK</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w</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swoich</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decyzjach</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wskazywał</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na</w:t>
      </w:r>
      <w:r w:rsidR="00970B2E" w:rsidRPr="00D44D33">
        <w:rPr>
          <w:rFonts w:ascii="Times New Roman" w:eastAsia="Calibri" w:hAnsi="Times New Roman" w:cs="Times New Roman"/>
          <w:sz w:val="24"/>
          <w:szCs w:val="24"/>
        </w:rPr>
        <w:t xml:space="preserve"> </w:t>
      </w:r>
      <w:r w:rsidR="00D194E8" w:rsidRPr="00D44D33">
        <w:rPr>
          <w:rFonts w:ascii="Times New Roman" w:eastAsia="Calibri" w:hAnsi="Times New Roman" w:cs="Times New Roman"/>
          <w:sz w:val="24"/>
          <w:szCs w:val="24"/>
        </w:rPr>
        <w:t>potrzebę</w:t>
      </w:r>
      <w:r w:rsidR="00970B2E" w:rsidRPr="00D44D33">
        <w:rPr>
          <w:rFonts w:ascii="Times New Roman" w:eastAsia="Calibri" w:hAnsi="Times New Roman" w:cs="Times New Roman"/>
          <w:sz w:val="24"/>
          <w:szCs w:val="24"/>
        </w:rPr>
        <w:t xml:space="preserve"> </w:t>
      </w:r>
      <w:r w:rsidR="466A0496" w:rsidRPr="00D44D33">
        <w:rPr>
          <w:rFonts w:ascii="Times New Roman" w:eastAsia="Calibri" w:hAnsi="Times New Roman" w:cs="Times New Roman"/>
          <w:sz w:val="24"/>
          <w:szCs w:val="24"/>
        </w:rPr>
        <w:t>zapewnienia</w:t>
      </w:r>
      <w:r w:rsidR="00970B2E" w:rsidRPr="00D44D33">
        <w:rPr>
          <w:rFonts w:ascii="Times New Roman" w:eastAsia="Calibri" w:hAnsi="Times New Roman" w:cs="Times New Roman"/>
          <w:sz w:val="24"/>
          <w:szCs w:val="24"/>
        </w:rPr>
        <w:t xml:space="preserve"> </w:t>
      </w:r>
      <w:r w:rsidR="466A0496" w:rsidRPr="00D44D33">
        <w:rPr>
          <w:rFonts w:ascii="Times New Roman" w:eastAsia="Calibri" w:hAnsi="Times New Roman" w:cs="Times New Roman"/>
          <w:sz w:val="24"/>
          <w:szCs w:val="24"/>
        </w:rPr>
        <w:t>realizacji</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zasady</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opcjonalności,</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tj.</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prawo</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do</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wyrażenia</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odrębnej</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zgody</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(lub</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odmowy</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jej</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wyrażenia)</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przez</w:t>
      </w:r>
      <w:r w:rsidR="00970B2E" w:rsidRPr="00D44D33">
        <w:rPr>
          <w:rFonts w:ascii="Times New Roman" w:eastAsia="Calibri" w:hAnsi="Times New Roman" w:cs="Times New Roman"/>
          <w:sz w:val="24"/>
          <w:szCs w:val="24"/>
        </w:rPr>
        <w:t xml:space="preserve"> </w:t>
      </w:r>
      <w:r w:rsidR="7D562C26" w:rsidRPr="00D44D33">
        <w:rPr>
          <w:rFonts w:ascii="Times New Roman" w:eastAsia="Calibri" w:hAnsi="Times New Roman" w:cs="Times New Roman"/>
          <w:sz w:val="24"/>
          <w:szCs w:val="24"/>
        </w:rPr>
        <w:t>konsumenta</w:t>
      </w:r>
      <w:r w:rsidR="00970B2E" w:rsidRPr="00D44D33">
        <w:rPr>
          <w:rFonts w:ascii="Times New Roman" w:eastAsia="Calibri" w:hAnsi="Times New Roman" w:cs="Times New Roman"/>
          <w:sz w:val="24"/>
          <w:szCs w:val="24"/>
        </w:rPr>
        <w:t xml:space="preserve"> </w:t>
      </w:r>
      <w:r w:rsidR="126A60B6" w:rsidRPr="00D44D33">
        <w:rPr>
          <w:rFonts w:ascii="Times New Roman" w:eastAsia="Calibri" w:hAnsi="Times New Roman" w:cs="Times New Roman"/>
          <w:sz w:val="24"/>
          <w:szCs w:val="24"/>
        </w:rPr>
        <w:t>m.in.</w:t>
      </w:r>
      <w:r w:rsidR="00970B2E" w:rsidRPr="00D44D33">
        <w:rPr>
          <w:rFonts w:ascii="Times New Roman" w:eastAsia="Calibri" w:hAnsi="Times New Roman" w:cs="Times New Roman"/>
          <w:sz w:val="24"/>
          <w:szCs w:val="24"/>
        </w:rPr>
        <w:t xml:space="preserve"> </w:t>
      </w:r>
      <w:r w:rsidR="126A60B6" w:rsidRPr="00D44D33">
        <w:rPr>
          <w:rFonts w:ascii="Times New Roman" w:eastAsia="Calibri" w:hAnsi="Times New Roman" w:cs="Times New Roman"/>
          <w:sz w:val="24"/>
          <w:szCs w:val="24"/>
        </w:rPr>
        <w:t>w</w:t>
      </w:r>
      <w:r w:rsidR="00970B2E" w:rsidRPr="00D44D33">
        <w:rPr>
          <w:rFonts w:ascii="Times New Roman" w:eastAsia="Calibri" w:hAnsi="Times New Roman" w:cs="Times New Roman"/>
          <w:sz w:val="24"/>
          <w:szCs w:val="24"/>
        </w:rPr>
        <w:t xml:space="preserve"> </w:t>
      </w:r>
      <w:r w:rsidR="4805D4F7" w:rsidRPr="00D44D33">
        <w:rPr>
          <w:rFonts w:ascii="Times New Roman" w:eastAsia="Calibri" w:hAnsi="Times New Roman" w:cs="Times New Roman"/>
          <w:sz w:val="24"/>
          <w:szCs w:val="24"/>
        </w:rPr>
        <w:t>zakresie</w:t>
      </w:r>
      <w:r w:rsidR="00970B2E" w:rsidRPr="00D44D33">
        <w:rPr>
          <w:rFonts w:ascii="Times New Roman" w:eastAsia="Calibri" w:hAnsi="Times New Roman" w:cs="Times New Roman"/>
          <w:sz w:val="24"/>
          <w:szCs w:val="24"/>
        </w:rPr>
        <w:t xml:space="preserve"> </w:t>
      </w:r>
      <w:r w:rsidR="126A60B6" w:rsidRPr="00D44D33">
        <w:rPr>
          <w:rFonts w:ascii="Times New Roman" w:eastAsia="Calibri" w:hAnsi="Times New Roman" w:cs="Times New Roman"/>
          <w:sz w:val="24"/>
          <w:szCs w:val="24"/>
        </w:rPr>
        <w:t>podmiotów,</w:t>
      </w:r>
      <w:r w:rsidR="00970B2E" w:rsidRPr="00D44D33">
        <w:rPr>
          <w:rFonts w:ascii="Times New Roman" w:eastAsia="Calibri" w:hAnsi="Times New Roman" w:cs="Times New Roman"/>
          <w:sz w:val="24"/>
          <w:szCs w:val="24"/>
        </w:rPr>
        <w:t xml:space="preserve"> </w:t>
      </w:r>
      <w:r w:rsidR="126A60B6" w:rsidRPr="00D44D33">
        <w:rPr>
          <w:rFonts w:ascii="Times New Roman" w:eastAsia="Calibri" w:hAnsi="Times New Roman" w:cs="Times New Roman"/>
          <w:sz w:val="24"/>
          <w:szCs w:val="24"/>
        </w:rPr>
        <w:t>któr</w:t>
      </w:r>
      <w:r w:rsidR="68FC92C1" w:rsidRPr="00D44D33">
        <w:rPr>
          <w:rFonts w:ascii="Times New Roman" w:eastAsia="Calibri" w:hAnsi="Times New Roman" w:cs="Times New Roman"/>
          <w:sz w:val="24"/>
          <w:szCs w:val="24"/>
        </w:rPr>
        <w:t>e</w:t>
      </w:r>
      <w:r w:rsidR="00970B2E" w:rsidRPr="00D44D33">
        <w:rPr>
          <w:rFonts w:ascii="Times New Roman" w:eastAsia="Calibri" w:hAnsi="Times New Roman" w:cs="Times New Roman"/>
          <w:sz w:val="24"/>
          <w:szCs w:val="24"/>
        </w:rPr>
        <w:t xml:space="preserve"> </w:t>
      </w:r>
      <w:r w:rsidR="68FC92C1" w:rsidRPr="00D44D33">
        <w:rPr>
          <w:rFonts w:ascii="Times New Roman" w:eastAsia="Calibri" w:hAnsi="Times New Roman" w:cs="Times New Roman"/>
          <w:sz w:val="24"/>
          <w:szCs w:val="24"/>
        </w:rPr>
        <w:t>będą</w:t>
      </w:r>
      <w:r w:rsidR="00970B2E" w:rsidRPr="00D44D33">
        <w:rPr>
          <w:rFonts w:ascii="Times New Roman" w:eastAsia="Calibri" w:hAnsi="Times New Roman" w:cs="Times New Roman"/>
          <w:sz w:val="24"/>
          <w:szCs w:val="24"/>
        </w:rPr>
        <w:t xml:space="preserve"> </w:t>
      </w:r>
      <w:r w:rsidR="68FC92C1" w:rsidRPr="00D44D33">
        <w:rPr>
          <w:rFonts w:ascii="Times New Roman" w:eastAsia="Calibri" w:hAnsi="Times New Roman" w:cs="Times New Roman"/>
          <w:sz w:val="24"/>
          <w:szCs w:val="24"/>
        </w:rPr>
        <w:t>uprawnio</w:t>
      </w:r>
      <w:r w:rsidR="37D178D3" w:rsidRPr="00D44D33">
        <w:rPr>
          <w:rFonts w:ascii="Times New Roman" w:eastAsia="Calibri" w:hAnsi="Times New Roman" w:cs="Times New Roman"/>
          <w:sz w:val="24"/>
          <w:szCs w:val="24"/>
        </w:rPr>
        <w:t>ne</w:t>
      </w:r>
      <w:r w:rsidR="00970B2E" w:rsidRPr="00D44D33">
        <w:rPr>
          <w:rFonts w:ascii="Times New Roman" w:eastAsia="Calibri" w:hAnsi="Times New Roman" w:cs="Times New Roman"/>
          <w:sz w:val="24"/>
          <w:szCs w:val="24"/>
        </w:rPr>
        <w:t xml:space="preserve"> </w:t>
      </w:r>
      <w:r w:rsidR="37D178D3" w:rsidRPr="00D44D33">
        <w:rPr>
          <w:rFonts w:ascii="Times New Roman" w:eastAsia="Calibri" w:hAnsi="Times New Roman" w:cs="Times New Roman"/>
          <w:sz w:val="24"/>
          <w:szCs w:val="24"/>
        </w:rPr>
        <w:t>do</w:t>
      </w:r>
      <w:r w:rsidR="00970B2E" w:rsidRPr="00D44D33">
        <w:rPr>
          <w:rFonts w:ascii="Times New Roman" w:eastAsia="Calibri" w:hAnsi="Times New Roman" w:cs="Times New Roman"/>
          <w:sz w:val="24"/>
          <w:szCs w:val="24"/>
        </w:rPr>
        <w:t xml:space="preserve"> </w:t>
      </w:r>
      <w:r w:rsidR="37D178D3" w:rsidRPr="00D44D33">
        <w:rPr>
          <w:rFonts w:ascii="Times New Roman" w:eastAsia="Calibri" w:hAnsi="Times New Roman" w:cs="Times New Roman"/>
          <w:sz w:val="24"/>
          <w:szCs w:val="24"/>
        </w:rPr>
        <w:t>stosowania</w:t>
      </w:r>
      <w:r w:rsidR="00970B2E" w:rsidRPr="00D44D33">
        <w:rPr>
          <w:rFonts w:ascii="Times New Roman" w:eastAsia="Calibri" w:hAnsi="Times New Roman" w:cs="Times New Roman"/>
          <w:sz w:val="24"/>
          <w:szCs w:val="24"/>
        </w:rPr>
        <w:t xml:space="preserve"> </w:t>
      </w:r>
      <w:r w:rsidR="37D178D3" w:rsidRPr="00D44D33">
        <w:rPr>
          <w:rFonts w:ascii="Times New Roman" w:eastAsia="Calibri" w:hAnsi="Times New Roman" w:cs="Times New Roman"/>
          <w:sz w:val="24"/>
          <w:szCs w:val="24"/>
        </w:rPr>
        <w:t>marketingu</w:t>
      </w:r>
      <w:r w:rsidR="00DB020E" w:rsidRPr="00D44D33">
        <w:rPr>
          <w:rStyle w:val="Odwoanieprzypisudolnego"/>
          <w:rFonts w:ascii="Times New Roman" w:eastAsia="Calibri" w:hAnsi="Times New Roman" w:cs="Times New Roman"/>
          <w:sz w:val="24"/>
          <w:szCs w:val="24"/>
        </w:rPr>
        <w:footnoteReference w:id="4"/>
      </w:r>
      <w:r w:rsidR="00F16293" w:rsidRPr="00D44D33">
        <w:rPr>
          <w:rFonts w:ascii="Times New Roman" w:eastAsia="Calibri" w:hAnsi="Times New Roman" w:cs="Times New Roman"/>
          <w:sz w:val="24"/>
          <w:szCs w:val="24"/>
          <w:vertAlign w:val="superscript"/>
        </w:rPr>
        <w:t>)</w:t>
      </w:r>
      <w:r w:rsidR="37D178D3" w:rsidRPr="00D44D33">
        <w:rPr>
          <w:rFonts w:ascii="Times New Roman" w:eastAsia="Calibri" w:hAnsi="Times New Roman" w:cs="Times New Roman"/>
          <w:sz w:val="24"/>
          <w:szCs w:val="24"/>
        </w:rPr>
        <w:t>.</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GIODO</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(obecnie</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UODO)</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a</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także</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sądy</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administracyjne</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podkreślały</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również</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potrzebę</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rozdzielania</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zgód</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na</w:t>
      </w:r>
      <w:r w:rsidR="00970B2E" w:rsidRPr="00D44D33">
        <w:rPr>
          <w:rFonts w:ascii="Times New Roman" w:eastAsia="Calibri" w:hAnsi="Times New Roman" w:cs="Times New Roman"/>
          <w:sz w:val="24"/>
          <w:szCs w:val="24"/>
        </w:rPr>
        <w:t xml:space="preserve"> </w:t>
      </w:r>
      <w:r w:rsidR="7E1CF09C" w:rsidRPr="00D44D33">
        <w:rPr>
          <w:rFonts w:ascii="Times New Roman" w:eastAsia="Calibri" w:hAnsi="Times New Roman" w:cs="Times New Roman"/>
          <w:sz w:val="24"/>
          <w:szCs w:val="24"/>
        </w:rPr>
        <w:t>różne</w:t>
      </w:r>
      <w:r w:rsidR="00970B2E" w:rsidRPr="00D44D33">
        <w:rPr>
          <w:rFonts w:ascii="Times New Roman" w:eastAsia="Calibri" w:hAnsi="Times New Roman" w:cs="Times New Roman"/>
          <w:sz w:val="24"/>
          <w:szCs w:val="24"/>
        </w:rPr>
        <w:t xml:space="preserve"> </w:t>
      </w:r>
      <w:r w:rsidR="48A9E751" w:rsidRPr="00D44D33">
        <w:rPr>
          <w:rFonts w:ascii="Times New Roman" w:eastAsia="Calibri" w:hAnsi="Times New Roman" w:cs="Times New Roman"/>
          <w:sz w:val="24"/>
          <w:szCs w:val="24"/>
        </w:rPr>
        <w:t>c</w:t>
      </w:r>
      <w:r w:rsidR="7E1CF09C" w:rsidRPr="00D44D33">
        <w:rPr>
          <w:rFonts w:ascii="Times New Roman" w:eastAsia="Calibri" w:hAnsi="Times New Roman" w:cs="Times New Roman"/>
          <w:sz w:val="24"/>
          <w:szCs w:val="24"/>
        </w:rPr>
        <w:t>e</w:t>
      </w:r>
      <w:r w:rsidR="6202A7F2" w:rsidRPr="00D44D33">
        <w:rPr>
          <w:rFonts w:ascii="Times New Roman" w:eastAsia="Calibri" w:hAnsi="Times New Roman" w:cs="Times New Roman"/>
          <w:sz w:val="24"/>
          <w:szCs w:val="24"/>
        </w:rPr>
        <w:t>le</w:t>
      </w:r>
      <w:r w:rsidR="00970B2E" w:rsidRPr="00D44D33">
        <w:rPr>
          <w:rFonts w:ascii="Times New Roman" w:eastAsia="Calibri" w:hAnsi="Times New Roman" w:cs="Times New Roman"/>
          <w:sz w:val="24"/>
          <w:szCs w:val="24"/>
        </w:rPr>
        <w:t xml:space="preserve"> </w:t>
      </w:r>
      <w:r w:rsidR="6202A7F2" w:rsidRPr="00D44D33">
        <w:rPr>
          <w:rFonts w:ascii="Times New Roman" w:eastAsia="Calibri" w:hAnsi="Times New Roman" w:cs="Times New Roman"/>
          <w:sz w:val="24"/>
          <w:szCs w:val="24"/>
        </w:rPr>
        <w:t>(np.</w:t>
      </w:r>
      <w:r w:rsidR="00970B2E" w:rsidRPr="00D44D33">
        <w:rPr>
          <w:rFonts w:ascii="Times New Roman" w:eastAsia="Calibri" w:hAnsi="Times New Roman" w:cs="Times New Roman"/>
          <w:sz w:val="24"/>
          <w:szCs w:val="24"/>
        </w:rPr>
        <w:t xml:space="preserve"> </w:t>
      </w:r>
      <w:r w:rsidR="1EAF452D" w:rsidRPr="00D44D33">
        <w:rPr>
          <w:rFonts w:ascii="Times New Roman" w:eastAsia="Calibri" w:hAnsi="Times New Roman" w:cs="Times New Roman"/>
          <w:sz w:val="24"/>
          <w:szCs w:val="24"/>
        </w:rPr>
        <w:t>ogólnej</w:t>
      </w:r>
      <w:r w:rsidR="00970B2E" w:rsidRPr="00D44D33">
        <w:rPr>
          <w:rFonts w:ascii="Times New Roman" w:eastAsia="Calibri" w:hAnsi="Times New Roman" w:cs="Times New Roman"/>
          <w:sz w:val="24"/>
          <w:szCs w:val="24"/>
        </w:rPr>
        <w:t xml:space="preserve"> </w:t>
      </w:r>
      <w:r w:rsidR="6202A7F2" w:rsidRPr="00D44D33">
        <w:rPr>
          <w:rFonts w:ascii="Times New Roman" w:eastAsia="Calibri" w:hAnsi="Times New Roman" w:cs="Times New Roman"/>
          <w:sz w:val="24"/>
          <w:szCs w:val="24"/>
        </w:rPr>
        <w:t>z</w:t>
      </w:r>
      <w:r w:rsidR="59B3CE0E" w:rsidRPr="00D44D33">
        <w:rPr>
          <w:rFonts w:ascii="Times New Roman" w:eastAsia="Calibri" w:hAnsi="Times New Roman" w:cs="Times New Roman"/>
          <w:sz w:val="24"/>
          <w:szCs w:val="24"/>
        </w:rPr>
        <w:t>gody</w:t>
      </w:r>
      <w:r w:rsidR="00970B2E" w:rsidRPr="00D44D33">
        <w:rPr>
          <w:rFonts w:ascii="Times New Roman" w:eastAsia="Calibri" w:hAnsi="Times New Roman" w:cs="Times New Roman"/>
          <w:sz w:val="24"/>
          <w:szCs w:val="24"/>
        </w:rPr>
        <w:t xml:space="preserve"> </w:t>
      </w:r>
      <w:r w:rsidR="59B3CE0E" w:rsidRPr="00D44D33">
        <w:rPr>
          <w:rFonts w:ascii="Times New Roman" w:eastAsia="Calibri" w:hAnsi="Times New Roman" w:cs="Times New Roman"/>
          <w:sz w:val="24"/>
          <w:szCs w:val="24"/>
        </w:rPr>
        <w:t>na</w:t>
      </w:r>
      <w:r w:rsidR="00970B2E" w:rsidRPr="00D44D33">
        <w:rPr>
          <w:rFonts w:ascii="Times New Roman" w:eastAsia="Calibri" w:hAnsi="Times New Roman" w:cs="Times New Roman"/>
          <w:sz w:val="24"/>
          <w:szCs w:val="24"/>
        </w:rPr>
        <w:t xml:space="preserve"> </w:t>
      </w:r>
      <w:r w:rsidR="70E03B67" w:rsidRPr="00D44D33">
        <w:rPr>
          <w:rFonts w:ascii="Times New Roman" w:eastAsia="Calibri" w:hAnsi="Times New Roman" w:cs="Times New Roman"/>
          <w:sz w:val="24"/>
          <w:szCs w:val="24"/>
        </w:rPr>
        <w:t>p</w:t>
      </w:r>
      <w:r w:rsidR="1920C438" w:rsidRPr="00D44D33">
        <w:rPr>
          <w:rFonts w:ascii="Times New Roman" w:eastAsia="Calibri" w:hAnsi="Times New Roman" w:cs="Times New Roman"/>
          <w:sz w:val="24"/>
          <w:szCs w:val="24"/>
        </w:rPr>
        <w:t>rzetwarzani</w:t>
      </w:r>
      <w:r w:rsidR="2171BAC4" w:rsidRPr="00D44D33">
        <w:rPr>
          <w:rFonts w:ascii="Times New Roman" w:eastAsia="Calibri" w:hAnsi="Times New Roman" w:cs="Times New Roman"/>
          <w:sz w:val="24"/>
          <w:szCs w:val="24"/>
        </w:rPr>
        <w:t>e</w:t>
      </w:r>
      <w:r w:rsidR="00970B2E" w:rsidRPr="00D44D33">
        <w:rPr>
          <w:rFonts w:ascii="Times New Roman" w:eastAsia="Calibri" w:hAnsi="Times New Roman" w:cs="Times New Roman"/>
          <w:sz w:val="24"/>
          <w:szCs w:val="24"/>
        </w:rPr>
        <w:t xml:space="preserve"> </w:t>
      </w:r>
      <w:r w:rsidR="1920C438" w:rsidRPr="00D44D33">
        <w:rPr>
          <w:rFonts w:ascii="Times New Roman" w:eastAsia="Calibri" w:hAnsi="Times New Roman" w:cs="Times New Roman"/>
          <w:sz w:val="24"/>
          <w:szCs w:val="24"/>
        </w:rPr>
        <w:t>danych</w:t>
      </w:r>
      <w:r w:rsidR="00970B2E" w:rsidRPr="00D44D33">
        <w:rPr>
          <w:rFonts w:ascii="Times New Roman" w:eastAsia="Calibri" w:hAnsi="Times New Roman" w:cs="Times New Roman"/>
          <w:sz w:val="24"/>
          <w:szCs w:val="24"/>
        </w:rPr>
        <w:t xml:space="preserve"> </w:t>
      </w:r>
      <w:r w:rsidR="1920C438" w:rsidRPr="00D44D33">
        <w:rPr>
          <w:rFonts w:ascii="Times New Roman" w:eastAsia="Calibri" w:hAnsi="Times New Roman" w:cs="Times New Roman"/>
          <w:sz w:val="24"/>
          <w:szCs w:val="24"/>
        </w:rPr>
        <w:t>osobowyc</w:t>
      </w:r>
      <w:r w:rsidR="2377A172" w:rsidRPr="00D44D33">
        <w:rPr>
          <w:rFonts w:ascii="Times New Roman" w:eastAsia="Calibri" w:hAnsi="Times New Roman" w:cs="Times New Roman"/>
          <w:sz w:val="24"/>
          <w:szCs w:val="24"/>
        </w:rPr>
        <w:t>h</w:t>
      </w:r>
      <w:r w:rsidR="00970B2E" w:rsidRPr="00D44D33">
        <w:rPr>
          <w:rFonts w:ascii="Times New Roman" w:eastAsia="Calibri" w:hAnsi="Times New Roman" w:cs="Times New Roman"/>
          <w:sz w:val="24"/>
          <w:szCs w:val="24"/>
        </w:rPr>
        <w:t xml:space="preserve"> </w:t>
      </w:r>
      <w:r w:rsidR="00832F19" w:rsidRPr="00D44D33">
        <w:rPr>
          <w:rFonts w:ascii="Times New Roman" w:eastAsia="Calibri" w:hAnsi="Times New Roman" w:cs="Times New Roman"/>
          <w:sz w:val="24"/>
          <w:szCs w:val="24"/>
        </w:rPr>
        <w:t>w</w:t>
      </w:r>
      <w:r w:rsidR="00970B2E" w:rsidRPr="00D44D33">
        <w:rPr>
          <w:rFonts w:ascii="Times New Roman" w:eastAsia="Calibri" w:hAnsi="Times New Roman" w:cs="Times New Roman"/>
          <w:sz w:val="24"/>
          <w:szCs w:val="24"/>
        </w:rPr>
        <w:t xml:space="preserve"> </w:t>
      </w:r>
      <w:r w:rsidR="00832F19" w:rsidRPr="00D44D33">
        <w:rPr>
          <w:rFonts w:ascii="Times New Roman" w:eastAsia="Calibri" w:hAnsi="Times New Roman" w:cs="Times New Roman"/>
          <w:sz w:val="24"/>
          <w:szCs w:val="24"/>
        </w:rPr>
        <w:t>celach</w:t>
      </w:r>
      <w:r w:rsidR="00970B2E" w:rsidRPr="00D44D33">
        <w:rPr>
          <w:rFonts w:ascii="Times New Roman" w:eastAsia="Calibri" w:hAnsi="Times New Roman" w:cs="Times New Roman"/>
          <w:sz w:val="24"/>
          <w:szCs w:val="24"/>
        </w:rPr>
        <w:t xml:space="preserve"> </w:t>
      </w:r>
      <w:r w:rsidR="00832F19" w:rsidRPr="00D44D33">
        <w:rPr>
          <w:rFonts w:ascii="Times New Roman" w:eastAsia="Calibri" w:hAnsi="Times New Roman" w:cs="Times New Roman"/>
          <w:sz w:val="24"/>
          <w:szCs w:val="24"/>
        </w:rPr>
        <w:t>marketingowych</w:t>
      </w:r>
      <w:r w:rsidR="00970B2E" w:rsidRPr="00D44D33">
        <w:rPr>
          <w:rFonts w:ascii="Times New Roman" w:eastAsia="Calibri" w:hAnsi="Times New Roman" w:cs="Times New Roman"/>
          <w:sz w:val="24"/>
          <w:szCs w:val="24"/>
        </w:rPr>
        <w:t xml:space="preserve"> </w:t>
      </w:r>
      <w:r w:rsidR="2377A172" w:rsidRPr="00D44D33">
        <w:rPr>
          <w:rFonts w:ascii="Times New Roman" w:eastAsia="Calibri" w:hAnsi="Times New Roman" w:cs="Times New Roman"/>
          <w:sz w:val="24"/>
          <w:szCs w:val="24"/>
        </w:rPr>
        <w:t>i</w:t>
      </w:r>
      <w:r w:rsidR="00970B2E" w:rsidRPr="00D44D33">
        <w:rPr>
          <w:rFonts w:ascii="Times New Roman" w:eastAsia="Calibri" w:hAnsi="Times New Roman" w:cs="Times New Roman"/>
          <w:sz w:val="24"/>
          <w:szCs w:val="24"/>
        </w:rPr>
        <w:t xml:space="preserve"> </w:t>
      </w:r>
      <w:r w:rsidR="2377A172" w:rsidRPr="00D44D33">
        <w:rPr>
          <w:rFonts w:ascii="Times New Roman" w:eastAsia="Calibri" w:hAnsi="Times New Roman" w:cs="Times New Roman"/>
          <w:sz w:val="24"/>
          <w:szCs w:val="24"/>
        </w:rPr>
        <w:t>dot</w:t>
      </w:r>
      <w:r w:rsidR="1920C438" w:rsidRPr="00D44D33">
        <w:rPr>
          <w:rFonts w:ascii="Times New Roman" w:eastAsia="Calibri" w:hAnsi="Times New Roman" w:cs="Times New Roman"/>
          <w:sz w:val="24"/>
          <w:szCs w:val="24"/>
        </w:rPr>
        <w:t>ychczas</w:t>
      </w:r>
      <w:r w:rsidR="79EECE4E" w:rsidRPr="00D44D33">
        <w:rPr>
          <w:rFonts w:ascii="Times New Roman" w:eastAsia="Calibri" w:hAnsi="Times New Roman" w:cs="Times New Roman"/>
          <w:sz w:val="24"/>
          <w:szCs w:val="24"/>
        </w:rPr>
        <w:t>owej</w:t>
      </w:r>
      <w:r w:rsidR="00970B2E" w:rsidRPr="00D44D33">
        <w:rPr>
          <w:rFonts w:ascii="Times New Roman" w:eastAsia="Calibri" w:hAnsi="Times New Roman" w:cs="Times New Roman"/>
          <w:sz w:val="24"/>
          <w:szCs w:val="24"/>
        </w:rPr>
        <w:t xml:space="preserve"> </w:t>
      </w:r>
      <w:r w:rsidR="1920C438" w:rsidRPr="00D44D33">
        <w:rPr>
          <w:rFonts w:ascii="Times New Roman" w:eastAsia="Calibri" w:hAnsi="Times New Roman" w:cs="Times New Roman"/>
          <w:sz w:val="24"/>
          <w:szCs w:val="24"/>
        </w:rPr>
        <w:t>zgody</w:t>
      </w:r>
      <w:r w:rsidR="00970B2E" w:rsidRPr="00D44D33">
        <w:rPr>
          <w:rFonts w:ascii="Times New Roman" w:eastAsia="Calibri" w:hAnsi="Times New Roman" w:cs="Times New Roman"/>
          <w:sz w:val="24"/>
          <w:szCs w:val="24"/>
        </w:rPr>
        <w:t xml:space="preserve"> </w:t>
      </w:r>
      <w:r w:rsidR="3A27A662" w:rsidRPr="00D44D33">
        <w:rPr>
          <w:rFonts w:ascii="Times New Roman" w:eastAsia="Calibri" w:hAnsi="Times New Roman" w:cs="Times New Roman"/>
          <w:sz w:val="24"/>
          <w:szCs w:val="24"/>
        </w:rPr>
        <w:t>z</w:t>
      </w:r>
      <w:r w:rsidR="00970B2E" w:rsidRPr="00D44D33">
        <w:rPr>
          <w:rFonts w:ascii="Times New Roman" w:eastAsia="Calibri" w:hAnsi="Times New Roman" w:cs="Times New Roman"/>
          <w:sz w:val="24"/>
          <w:szCs w:val="24"/>
        </w:rPr>
        <w:t xml:space="preserve"> </w:t>
      </w:r>
      <w:r w:rsidR="3A27A662" w:rsidRPr="00D44D33">
        <w:rPr>
          <w:rFonts w:ascii="Times New Roman" w:eastAsia="Calibri" w:hAnsi="Times New Roman" w:cs="Times New Roman"/>
          <w:sz w:val="24"/>
          <w:szCs w:val="24"/>
        </w:rPr>
        <w:t>uśude</w:t>
      </w:r>
      <w:r w:rsidR="00970B2E" w:rsidRPr="00D44D33">
        <w:rPr>
          <w:rFonts w:ascii="Times New Roman" w:eastAsia="Calibri" w:hAnsi="Times New Roman" w:cs="Times New Roman"/>
          <w:sz w:val="24"/>
          <w:szCs w:val="24"/>
        </w:rPr>
        <w:t xml:space="preserve"> </w:t>
      </w:r>
      <w:r w:rsidR="3A27A662" w:rsidRPr="00D44D33">
        <w:rPr>
          <w:rFonts w:ascii="Times New Roman" w:eastAsia="Calibri" w:hAnsi="Times New Roman" w:cs="Times New Roman"/>
          <w:sz w:val="24"/>
          <w:szCs w:val="24"/>
        </w:rPr>
        <w:t>na</w:t>
      </w:r>
      <w:r w:rsidR="00970B2E" w:rsidRPr="00D44D33">
        <w:rPr>
          <w:rFonts w:ascii="Times New Roman" w:eastAsia="Calibri" w:hAnsi="Times New Roman" w:cs="Times New Roman"/>
          <w:sz w:val="24"/>
          <w:szCs w:val="24"/>
        </w:rPr>
        <w:t xml:space="preserve"> </w:t>
      </w:r>
      <w:r w:rsidR="3A27A662" w:rsidRPr="00D44D33">
        <w:rPr>
          <w:rFonts w:ascii="Times New Roman" w:eastAsia="Calibri" w:hAnsi="Times New Roman" w:cs="Times New Roman"/>
          <w:sz w:val="24"/>
          <w:szCs w:val="24"/>
        </w:rPr>
        <w:t>przesyłanie</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informacji</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handlowej</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za</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pomocą</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środków</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komunikacji</w:t>
      </w:r>
      <w:r w:rsidR="00970B2E" w:rsidRPr="00D44D33">
        <w:rPr>
          <w:rFonts w:ascii="Times New Roman" w:eastAsia="Calibri" w:hAnsi="Times New Roman" w:cs="Times New Roman"/>
          <w:sz w:val="24"/>
          <w:szCs w:val="24"/>
        </w:rPr>
        <w:t xml:space="preserve"> </w:t>
      </w:r>
      <w:r w:rsidR="3C3E2208" w:rsidRPr="00D44D33">
        <w:rPr>
          <w:rFonts w:ascii="Times New Roman" w:eastAsia="Calibri" w:hAnsi="Times New Roman" w:cs="Times New Roman"/>
          <w:sz w:val="24"/>
          <w:szCs w:val="24"/>
        </w:rPr>
        <w:t>elektronicznej)</w:t>
      </w:r>
      <w:r w:rsidR="00DB020E" w:rsidRPr="00D44D33">
        <w:rPr>
          <w:rStyle w:val="Odwoanieprzypisudolnego"/>
          <w:rFonts w:ascii="Times New Roman" w:eastAsia="Calibri" w:hAnsi="Times New Roman" w:cs="Times New Roman"/>
          <w:sz w:val="24"/>
          <w:szCs w:val="24"/>
        </w:rPr>
        <w:footnoteReference w:id="5"/>
      </w:r>
      <w:r w:rsidR="00F16293" w:rsidRPr="00D44D33">
        <w:rPr>
          <w:rFonts w:ascii="Times New Roman" w:eastAsia="Calibri" w:hAnsi="Times New Roman" w:cs="Times New Roman"/>
          <w:sz w:val="24"/>
          <w:szCs w:val="24"/>
          <w:vertAlign w:val="superscript"/>
        </w:rPr>
        <w:t>)</w:t>
      </w:r>
      <w:r w:rsidR="005E7F72" w:rsidRPr="00D44D33">
        <w:rPr>
          <w:rFonts w:ascii="Times New Roman" w:eastAsia="Calibri" w:hAnsi="Times New Roman" w:cs="Times New Roman"/>
          <w:sz w:val="24"/>
          <w:szCs w:val="24"/>
        </w:rPr>
        <w:t>,</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tak</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aby</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zapewnić</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użytkownikowi</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swobodny</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wybór</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w</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jakim</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celu</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i</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w</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jakim</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zakresie</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wyraża</w:t>
      </w:r>
      <w:r w:rsidR="00970B2E" w:rsidRPr="00D44D33">
        <w:rPr>
          <w:rFonts w:ascii="Times New Roman" w:eastAsia="Calibri" w:hAnsi="Times New Roman" w:cs="Times New Roman"/>
          <w:sz w:val="24"/>
          <w:szCs w:val="24"/>
        </w:rPr>
        <w:t xml:space="preserve"> </w:t>
      </w:r>
      <w:r w:rsidR="005E7F72" w:rsidRPr="00D44D33">
        <w:rPr>
          <w:rFonts w:ascii="Times New Roman" w:eastAsia="Calibri" w:hAnsi="Times New Roman" w:cs="Times New Roman"/>
          <w:sz w:val="24"/>
          <w:szCs w:val="24"/>
        </w:rPr>
        <w:t>zgodę.</w:t>
      </w:r>
      <w:r w:rsidR="00970B2E" w:rsidRPr="00D44D33">
        <w:rPr>
          <w:rFonts w:ascii="Times New Roman" w:eastAsia="Calibri" w:hAnsi="Times New Roman" w:cs="Times New Roman"/>
          <w:sz w:val="24"/>
          <w:szCs w:val="24"/>
        </w:rPr>
        <w:t xml:space="preserve"> </w:t>
      </w:r>
    </w:p>
    <w:p w14:paraId="6E066ACB" w14:textId="52AACFD7" w:rsidR="00A669CF" w:rsidRPr="00D44D33" w:rsidRDefault="005E7F72" w:rsidP="00D44D33">
      <w:pPr>
        <w:spacing w:before="120" w:after="120" w:line="360" w:lineRule="auto"/>
        <w:jc w:val="both"/>
        <w:rPr>
          <w:rFonts w:ascii="Times New Roman" w:eastAsia="Calibri" w:hAnsi="Times New Roman" w:cs="Times New Roman"/>
          <w:sz w:val="24"/>
          <w:szCs w:val="24"/>
        </w:rPr>
      </w:pPr>
      <w:r w:rsidRPr="00D44D33">
        <w:rPr>
          <w:rFonts w:ascii="Times New Roman" w:eastAsia="Calibri" w:hAnsi="Times New Roman" w:cs="Times New Roman"/>
          <w:sz w:val="24"/>
          <w:szCs w:val="24"/>
        </w:rPr>
        <w:t>Przy</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konstruowaniu</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treści</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oświadczeń</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o</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wyrażeniu</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zgody</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warto</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kierować</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się</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wytycznymi</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organów</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ochrony</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danych</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osobowych</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i</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UOKiK</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wyrażonymi</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dotychczas</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wydanych</w:t>
      </w:r>
      <w:r w:rsidR="00970B2E" w:rsidRPr="00D44D33">
        <w:rPr>
          <w:rFonts w:ascii="Times New Roman" w:eastAsia="Calibri" w:hAnsi="Times New Roman" w:cs="Times New Roman"/>
          <w:sz w:val="24"/>
          <w:szCs w:val="24"/>
        </w:rPr>
        <w:t xml:space="preserve"> </w:t>
      </w:r>
      <w:r w:rsidRPr="00D44D33">
        <w:rPr>
          <w:rFonts w:ascii="Times New Roman" w:eastAsia="Calibri" w:hAnsi="Times New Roman" w:cs="Times New Roman"/>
          <w:sz w:val="24"/>
          <w:szCs w:val="24"/>
        </w:rPr>
        <w:t>decyzjach</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oraz</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wskazówkami</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organów</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innych</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państw</w:t>
      </w:r>
      <w:r w:rsidR="00970B2E" w:rsidRPr="00D44D33">
        <w:rPr>
          <w:rFonts w:ascii="Times New Roman" w:eastAsia="Calibri" w:hAnsi="Times New Roman" w:cs="Times New Roman"/>
          <w:sz w:val="24"/>
          <w:szCs w:val="24"/>
        </w:rPr>
        <w:t xml:space="preserve"> </w:t>
      </w:r>
      <w:r w:rsidR="0063600A" w:rsidRPr="00D44D33">
        <w:rPr>
          <w:rFonts w:ascii="Times New Roman" w:eastAsia="Calibri" w:hAnsi="Times New Roman" w:cs="Times New Roman"/>
          <w:sz w:val="24"/>
          <w:szCs w:val="24"/>
        </w:rPr>
        <w:t>członkowskich</w:t>
      </w:r>
      <w:r w:rsidR="0063600A" w:rsidRPr="00D44D33">
        <w:rPr>
          <w:rStyle w:val="Odwoanieprzypisudolnego"/>
          <w:rFonts w:ascii="Times New Roman" w:eastAsia="Calibri" w:hAnsi="Times New Roman" w:cs="Times New Roman"/>
          <w:sz w:val="24"/>
          <w:szCs w:val="24"/>
        </w:rPr>
        <w:footnoteReference w:id="6"/>
      </w:r>
      <w:r w:rsidR="00F16293" w:rsidRPr="00D44D33">
        <w:rPr>
          <w:rFonts w:ascii="Times New Roman" w:eastAsia="Calibri" w:hAnsi="Times New Roman" w:cs="Times New Roman"/>
          <w:sz w:val="24"/>
          <w:szCs w:val="24"/>
          <w:vertAlign w:val="superscript"/>
        </w:rPr>
        <w:t>)</w:t>
      </w:r>
      <w:r w:rsidR="0063600A" w:rsidRPr="00D44D33">
        <w:rPr>
          <w:rFonts w:ascii="Times New Roman" w:eastAsia="Calibri" w:hAnsi="Times New Roman" w:cs="Times New Roman"/>
          <w:sz w:val="24"/>
          <w:szCs w:val="24"/>
        </w:rPr>
        <w:t>.</w:t>
      </w:r>
    </w:p>
    <w:p w14:paraId="1D16A3CA" w14:textId="36D7F75B" w:rsidR="13E3C469" w:rsidRPr="00D44D33" w:rsidRDefault="13E3C469" w:rsidP="00D44D33">
      <w:pPr>
        <w:spacing w:before="120" w:after="120" w:line="360" w:lineRule="auto"/>
        <w:jc w:val="both"/>
        <w:rPr>
          <w:rFonts w:ascii="Times New Roman" w:eastAsia="Times New Roman" w:hAnsi="Times New Roman" w:cs="Times New Roman"/>
          <w:sz w:val="24"/>
          <w:szCs w:val="24"/>
        </w:rPr>
      </w:pPr>
      <w:r w:rsidRPr="00D44D33">
        <w:rPr>
          <w:rFonts w:ascii="Times New Roman" w:eastAsia="Times New Roman" w:hAnsi="Times New Roman" w:cs="Times New Roman"/>
          <w:sz w:val="24"/>
          <w:szCs w:val="24"/>
        </w:rPr>
        <w:t>Komunikaty</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marketingu</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bezpośredniego</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muszą</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być</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odróżniane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od</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komunikatów</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technicznych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lub</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obsługowych.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Tym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samym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ma</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wątpliwości,</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że</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kontakt</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z</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klientem</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w</w:t>
      </w:r>
      <w:r w:rsidR="00970B2E" w:rsidRPr="00D44D33">
        <w:rPr>
          <w:rFonts w:ascii="Times New Roman" w:eastAsia="Times New Roman" w:hAnsi="Times New Roman" w:cs="Times New Roman"/>
          <w:sz w:val="24"/>
          <w:szCs w:val="24"/>
        </w:rPr>
        <w:t xml:space="preserve"> </w:t>
      </w:r>
      <w:r w:rsidR="6F959C7A" w:rsidRPr="00D44D33">
        <w:rPr>
          <w:rFonts w:ascii="Times New Roman" w:eastAsia="Times New Roman" w:hAnsi="Times New Roman" w:cs="Times New Roman"/>
          <w:sz w:val="24"/>
          <w:szCs w:val="24"/>
        </w:rPr>
        <w:t>tych</w:t>
      </w:r>
      <w:r w:rsidR="00970B2E" w:rsidRPr="00D44D33">
        <w:rPr>
          <w:rFonts w:ascii="Times New Roman" w:eastAsia="Times New Roman" w:hAnsi="Times New Roman" w:cs="Times New Roman"/>
          <w:sz w:val="24"/>
          <w:szCs w:val="24"/>
        </w:rPr>
        <w:t xml:space="preserve"> </w:t>
      </w:r>
      <w:r w:rsidRPr="00D44D33">
        <w:rPr>
          <w:rFonts w:ascii="Times New Roman" w:eastAsia="Times New Roman" w:hAnsi="Times New Roman" w:cs="Times New Roman"/>
          <w:sz w:val="24"/>
          <w:szCs w:val="24"/>
        </w:rPr>
        <w:t>celach</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(tj.</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technicznych,</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obsługowych</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itp.)</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jest</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objęty</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regulacją</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art.</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3</w:t>
      </w:r>
      <w:r w:rsidR="195BD4BF" w:rsidRPr="00D44D33">
        <w:rPr>
          <w:rFonts w:ascii="Times New Roman" w:eastAsia="Times New Roman" w:hAnsi="Times New Roman" w:cs="Times New Roman"/>
          <w:sz w:val="24"/>
          <w:szCs w:val="24"/>
        </w:rPr>
        <w:t>93</w:t>
      </w:r>
      <w:r w:rsidR="00970B2E" w:rsidRPr="00D44D33">
        <w:rPr>
          <w:rFonts w:ascii="Times New Roman" w:eastAsia="Times New Roman" w:hAnsi="Times New Roman" w:cs="Times New Roman"/>
          <w:sz w:val="24"/>
          <w:szCs w:val="24"/>
        </w:rPr>
        <w:t xml:space="preserve"> </w:t>
      </w:r>
      <w:r w:rsidR="06584662" w:rsidRPr="00D44D33">
        <w:rPr>
          <w:rFonts w:ascii="Times New Roman" w:eastAsia="Times New Roman" w:hAnsi="Times New Roman" w:cs="Times New Roman"/>
          <w:sz w:val="24"/>
          <w:szCs w:val="24"/>
        </w:rPr>
        <w:t>Pke.</w:t>
      </w:r>
    </w:p>
    <w:p w14:paraId="089634E2" w14:textId="63037DBB" w:rsidR="27E0F101" w:rsidRPr="00D44D33" w:rsidRDefault="27E0F10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Przedmiotowy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49C2E412"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0D73C45" w:rsidRPr="00D44D33">
        <w:rPr>
          <w:rFonts w:ascii="Times New Roman" w:eastAsiaTheme="minorEastAsia" w:hAnsi="Times New Roman" w:cs="Times New Roman"/>
          <w:sz w:val="24"/>
          <w:szCs w:val="24"/>
        </w:rPr>
        <w:t>dwó</w:t>
      </w:r>
      <w:r w:rsidRPr="00D44D33">
        <w:rPr>
          <w:rFonts w:ascii="Times New Roman" w:eastAsiaTheme="minorEastAsia" w:hAnsi="Times New Roman" w:cs="Times New Roman"/>
          <w:sz w:val="24"/>
          <w:szCs w:val="24"/>
        </w:rPr>
        <w:t>ch</w:t>
      </w:r>
      <w:r w:rsidR="00970B2E" w:rsidRPr="00D44D33">
        <w:rPr>
          <w:rFonts w:ascii="Times New Roman" w:eastAsiaTheme="minorEastAsia" w:hAnsi="Times New Roman" w:cs="Times New Roman"/>
          <w:sz w:val="24"/>
          <w:szCs w:val="24"/>
        </w:rPr>
        <w:t xml:space="preserve"> </w:t>
      </w:r>
      <w:r w:rsidR="41927527" w:rsidRPr="00D44D33">
        <w:rPr>
          <w:rFonts w:ascii="Times New Roman" w:eastAsiaTheme="minorEastAsia" w:hAnsi="Times New Roman" w:cs="Times New Roman"/>
          <w:sz w:val="24"/>
          <w:szCs w:val="24"/>
        </w:rPr>
        <w:t>dyrektyw</w:t>
      </w:r>
      <w:r w:rsidR="0C7CC7CF"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C7CC7CF" w:rsidRPr="00D44D33">
        <w:rPr>
          <w:rFonts w:ascii="Times New Roman" w:eastAsiaTheme="minorEastAsia" w:hAnsi="Times New Roman" w:cs="Times New Roman"/>
          <w:sz w:val="24"/>
          <w:szCs w:val="24"/>
        </w:rPr>
        <w:t>Pierwszą</w:t>
      </w:r>
      <w:r w:rsidR="00970B2E" w:rsidRPr="00D44D33">
        <w:rPr>
          <w:rFonts w:ascii="Times New Roman" w:eastAsiaTheme="minorEastAsia" w:hAnsi="Times New Roman" w:cs="Times New Roman"/>
          <w:sz w:val="24"/>
          <w:szCs w:val="24"/>
        </w:rPr>
        <w:t xml:space="preserve"> </w:t>
      </w:r>
      <w:r w:rsidR="0C7CC7CF"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33654BD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3654BDE"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33654BDE"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4FCB3B75"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1815ECE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815ECEA"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33654BDE"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212B7743" w:rsidRPr="00D44D33">
        <w:rPr>
          <w:rFonts w:ascii="Times New Roman" w:eastAsiaTheme="minorEastAsia" w:hAnsi="Times New Roman" w:cs="Times New Roman"/>
          <w:sz w:val="24"/>
          <w:szCs w:val="24"/>
        </w:rPr>
        <w:t>2002/58,</w:t>
      </w:r>
      <w:r w:rsidR="00970B2E" w:rsidRPr="00D44D33">
        <w:rPr>
          <w:rFonts w:ascii="Times New Roman" w:eastAsiaTheme="minorEastAsia" w:hAnsi="Times New Roman" w:cs="Times New Roman"/>
          <w:sz w:val="24"/>
          <w:szCs w:val="24"/>
        </w:rPr>
        <w:t xml:space="preserve"> </w:t>
      </w:r>
      <w:r w:rsidR="212B7743"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212B774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12B7743"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automatycznych</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wywołujących</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ludzkiej</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ingerencji</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(automatyczne</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wywołujące),</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faksów</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poczty</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marketingu</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bezpośredniego</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dozwolone</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wyrazili</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6F4D583"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428E1D85"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428E1D85"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428E1D85" w:rsidRPr="00D44D33">
        <w:rPr>
          <w:rFonts w:ascii="Times New Roman" w:eastAsiaTheme="minorEastAsia" w:hAnsi="Times New Roman" w:cs="Times New Roman"/>
          <w:sz w:val="24"/>
          <w:szCs w:val="24"/>
        </w:rPr>
        <w:t>równolegle</w:t>
      </w:r>
      <w:r w:rsidR="00970B2E" w:rsidRPr="00D44D33">
        <w:rPr>
          <w:rFonts w:ascii="Times New Roman" w:eastAsiaTheme="minorEastAsia" w:hAnsi="Times New Roman" w:cs="Times New Roman"/>
          <w:sz w:val="24"/>
          <w:szCs w:val="24"/>
        </w:rPr>
        <w:t xml:space="preserve"> </w:t>
      </w:r>
      <w:r w:rsidR="428E1D85" w:rsidRPr="00D44D33">
        <w:rPr>
          <w:rFonts w:ascii="Times New Roman" w:eastAsiaTheme="minorEastAsia" w:hAnsi="Times New Roman" w:cs="Times New Roman"/>
          <w:sz w:val="24"/>
          <w:szCs w:val="24"/>
        </w:rPr>
        <w:t>implementują</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2002/65/WE</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2002</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hyperlink r:id="rId22">
        <w:r w:rsidR="16F601B9" w:rsidRPr="00D44D33">
          <w:rPr>
            <w:rFonts w:ascii="Times New Roman" w:eastAsiaTheme="minorEastAsia" w:hAnsi="Times New Roman" w:cs="Times New Roman"/>
            <w:sz w:val="24"/>
            <w:szCs w:val="24"/>
          </w:rPr>
          <w:t>dotyczącej</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sprzedaży</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konsumentom</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finansowych</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odległość</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zmieniającej</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dyrektywę</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90/619/EWG</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97/7/WE</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98/27/WE</w:t>
        </w:r>
      </w:hyperlink>
      <w:r w:rsidR="16F601B9"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tą</w:t>
      </w:r>
      <w:r w:rsidR="00970B2E" w:rsidRPr="00D44D33">
        <w:rPr>
          <w:rFonts w:ascii="Times New Roman" w:eastAsiaTheme="minorEastAsia" w:hAnsi="Times New Roman" w:cs="Times New Roman"/>
          <w:sz w:val="24"/>
          <w:szCs w:val="24"/>
        </w:rPr>
        <w:t xml:space="preserve"> </w:t>
      </w:r>
      <w:r w:rsidR="16F601B9" w:rsidRPr="00D44D33">
        <w:rPr>
          <w:rFonts w:ascii="Times New Roman" w:eastAsiaTheme="minorEastAsia" w:hAnsi="Times New Roman" w:cs="Times New Roman"/>
          <w:sz w:val="24"/>
          <w:szCs w:val="24"/>
        </w:rPr>
        <w:t>dyrektywą</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Warto</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zwrócić</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dyrektywą</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2002/65/WE</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lit.</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porozumiewania</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odległość”</w:t>
      </w:r>
      <w:r w:rsidR="00970B2E" w:rsidRPr="00D44D33">
        <w:rPr>
          <w:rFonts w:ascii="Times New Roman" w:eastAsiaTheme="minorEastAsia" w:hAnsi="Times New Roman" w:cs="Times New Roman"/>
          <w:sz w:val="24"/>
          <w:szCs w:val="24"/>
        </w:rPr>
        <w:t xml:space="preserve"> </w:t>
      </w:r>
      <w:r w:rsidR="7F70DC57" w:rsidRPr="00D44D33">
        <w:rPr>
          <w:rFonts w:ascii="Times New Roman" w:eastAsiaTheme="minorEastAsia" w:hAnsi="Times New Roman" w:cs="Times New Roman"/>
          <w:sz w:val="24"/>
          <w:szCs w:val="24"/>
        </w:rPr>
        <w:t>oznaczają</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wszelkie</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jednoczesnej</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obecności</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konsumenta</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mogą</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wykorzystywane</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sprzedaży</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odległość</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pomiędzy</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tymi</w:t>
      </w:r>
      <w:r w:rsidR="00970B2E" w:rsidRPr="00D44D33">
        <w:rPr>
          <w:rFonts w:ascii="Times New Roman" w:eastAsiaTheme="minorEastAsia" w:hAnsi="Times New Roman" w:cs="Times New Roman"/>
          <w:sz w:val="24"/>
          <w:szCs w:val="24"/>
        </w:rPr>
        <w:t xml:space="preserve"> </w:t>
      </w:r>
      <w:r w:rsidR="1793DB03" w:rsidRPr="00D44D33">
        <w:rPr>
          <w:rFonts w:ascii="Times New Roman" w:eastAsiaTheme="minorEastAsia" w:hAnsi="Times New Roman" w:cs="Times New Roman"/>
          <w:sz w:val="24"/>
          <w:szCs w:val="24"/>
        </w:rPr>
        <w:t>stronami.</w:t>
      </w:r>
      <w:r w:rsidR="00970B2E" w:rsidRPr="00D44D33">
        <w:rPr>
          <w:rFonts w:ascii="Times New Roman" w:eastAsiaTheme="minorEastAsia" w:hAnsi="Times New Roman" w:cs="Times New Roman"/>
          <w:sz w:val="24"/>
          <w:szCs w:val="24"/>
        </w:rPr>
        <w:t xml:space="preserve"> </w:t>
      </w:r>
    </w:p>
    <w:p w14:paraId="057773EF" w14:textId="17FB4DF2"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6913FFBC" w:rsidRPr="00D44D33">
        <w:rPr>
          <w:rFonts w:ascii="Times New Roman" w:eastAsiaTheme="minorEastAsia" w:hAnsi="Times New Roman" w:cs="Times New Roman"/>
          <w:b/>
          <w:bCs/>
          <w:sz w:val="24"/>
          <w:szCs w:val="24"/>
        </w:rPr>
        <w:t>94</w:t>
      </w:r>
    </w:p>
    <w:p w14:paraId="52A74348" w14:textId="7D6D7E55"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651A81B8" w:rsidRPr="00D44D33">
        <w:rPr>
          <w:rFonts w:ascii="Times New Roman" w:eastAsiaTheme="minorEastAsia" w:hAnsi="Times New Roman" w:cs="Times New Roman"/>
          <w:sz w:val="24"/>
          <w:szCs w:val="24"/>
        </w:rPr>
        <w:t>94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pozyskiwanie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znajdowała</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173</w:t>
      </w:r>
      <w:r w:rsidR="00970B2E" w:rsidRPr="00D44D33">
        <w:rPr>
          <w:rFonts w:ascii="Times New Roman" w:eastAsiaTheme="minorEastAsia" w:hAnsi="Times New Roman" w:cs="Times New Roman"/>
          <w:sz w:val="24"/>
          <w:szCs w:val="24"/>
        </w:rPr>
        <w:t xml:space="preserve"> </w:t>
      </w:r>
      <w:r w:rsidR="30D5BEF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Pozyskiwanie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uzyskiwanie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przechowywanej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pozyskaniu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oprogramowania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końcowym.</w:t>
      </w:r>
      <w:r w:rsidR="00970B2E" w:rsidRPr="00D44D33">
        <w:rPr>
          <w:rFonts w:ascii="Times New Roman" w:eastAsiaTheme="minorEastAsia" w:hAnsi="Times New Roman" w:cs="Times New Roman"/>
          <w:sz w:val="24"/>
          <w:szCs w:val="24"/>
        </w:rPr>
        <w:t xml:space="preserve"> </w:t>
      </w:r>
    </w:p>
    <w:p w14:paraId="75CD087B" w14:textId="40677AE1"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wyjątek,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przechowywanie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niezbędne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pośrednictwem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p>
    <w:p w14:paraId="55CB4307" w14:textId="5CE1E7B2"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2D17170E" w:rsidRPr="00D44D33">
        <w:rPr>
          <w:rFonts w:ascii="Times New Roman" w:eastAsiaTheme="minorEastAsia" w:hAnsi="Times New Roman" w:cs="Times New Roman"/>
          <w:b/>
          <w:bCs/>
          <w:sz w:val="24"/>
          <w:szCs w:val="24"/>
        </w:rPr>
        <w:t>95</w:t>
      </w:r>
    </w:p>
    <w:p w14:paraId="71D7568E" w14:textId="790B81C0"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zgód</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zbieranych</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B3A76A9"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więc</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przede</w:t>
      </w:r>
      <w:r w:rsidR="00970B2E" w:rsidRPr="00D44D33">
        <w:rPr>
          <w:rFonts w:ascii="Times New Roman" w:eastAsiaTheme="minorEastAsia" w:hAnsi="Times New Roman" w:cs="Times New Roman"/>
          <w:sz w:val="24"/>
          <w:szCs w:val="24"/>
        </w:rPr>
        <w:t xml:space="preserve"> </w:t>
      </w:r>
      <w:r w:rsidR="72CF1034" w:rsidRPr="00D44D33">
        <w:rPr>
          <w:rFonts w:ascii="Times New Roman" w:eastAsiaTheme="minorEastAsia" w:hAnsi="Times New Roman" w:cs="Times New Roman"/>
          <w:sz w:val="24"/>
          <w:szCs w:val="24"/>
        </w:rPr>
        <w:t>wszystkim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25F7BB8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konkretna,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dobrowolna,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świadoma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jednoznaczna.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wyrażającemu</w:t>
      </w:r>
      <w:r w:rsidR="00970B2E" w:rsidRPr="00D44D33">
        <w:rPr>
          <w:rFonts w:ascii="Times New Roman" w:eastAsiaTheme="minorEastAsia" w:hAnsi="Times New Roman" w:cs="Times New Roman"/>
          <w:sz w:val="24"/>
          <w:szCs w:val="24"/>
        </w:rPr>
        <w:t xml:space="preserve"> </w:t>
      </w:r>
      <w:r w:rsidR="51014085" w:rsidRPr="00D44D33">
        <w:rPr>
          <w:rFonts w:ascii="Times New Roman" w:eastAsiaTheme="minorEastAsia" w:hAnsi="Times New Roman" w:cs="Times New Roman"/>
          <w:sz w:val="24"/>
          <w:szCs w:val="24"/>
        </w:rPr>
        <w:t>zgodę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przysługuje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zbierający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rozliczalności.</w:t>
      </w:r>
      <w:r w:rsidR="00970B2E" w:rsidRPr="00D44D33">
        <w:rPr>
          <w:rFonts w:ascii="Times New Roman" w:eastAsiaTheme="minorEastAsia" w:hAnsi="Times New Roman" w:cs="Times New Roman"/>
          <w:sz w:val="24"/>
          <w:szCs w:val="24"/>
        </w:rPr>
        <w:t xml:space="preserve"> </w:t>
      </w:r>
      <w:r w:rsidR="099B8990"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099B8990"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099B8990"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99B8990" w:rsidRPr="00D44D33">
        <w:rPr>
          <w:rFonts w:ascii="Times New Roman" w:eastAsiaTheme="minorEastAsia" w:hAnsi="Times New Roman" w:cs="Times New Roman"/>
          <w:sz w:val="24"/>
          <w:szCs w:val="24"/>
        </w:rPr>
        <w:t>174</w:t>
      </w:r>
      <w:r w:rsidR="00970B2E" w:rsidRPr="00D44D33">
        <w:rPr>
          <w:rFonts w:ascii="Times New Roman" w:eastAsiaTheme="minorEastAsia" w:hAnsi="Times New Roman" w:cs="Times New Roman"/>
          <w:sz w:val="24"/>
          <w:szCs w:val="24"/>
        </w:rPr>
        <w:t xml:space="preserve"> </w:t>
      </w:r>
      <w:r w:rsidR="099B8990" w:rsidRPr="00D44D33">
        <w:rPr>
          <w:rFonts w:ascii="Times New Roman" w:eastAsiaTheme="minorEastAsia" w:hAnsi="Times New Roman" w:cs="Times New Roman"/>
          <w:sz w:val="24"/>
          <w:szCs w:val="24"/>
        </w:rPr>
        <w:t>Pt.</w:t>
      </w:r>
    </w:p>
    <w:p w14:paraId="7B251993" w14:textId="77777777" w:rsidR="00B61396" w:rsidRDefault="00B61396" w:rsidP="00D44D33">
      <w:pPr>
        <w:spacing w:before="120" w:after="120" w:line="360" w:lineRule="auto"/>
        <w:jc w:val="center"/>
        <w:rPr>
          <w:rFonts w:ascii="Times New Roman" w:eastAsiaTheme="minorEastAsia" w:hAnsi="Times New Roman" w:cs="Times New Roman"/>
          <w:b/>
          <w:bCs/>
          <w:sz w:val="24"/>
          <w:szCs w:val="24"/>
        </w:rPr>
      </w:pPr>
    </w:p>
    <w:p w14:paraId="3EB6E219" w14:textId="77777777" w:rsidR="00B61396" w:rsidRDefault="00B61396" w:rsidP="00D44D33">
      <w:pPr>
        <w:spacing w:before="120" w:after="120" w:line="360" w:lineRule="auto"/>
        <w:jc w:val="center"/>
        <w:rPr>
          <w:rFonts w:ascii="Times New Roman" w:eastAsiaTheme="minorEastAsia" w:hAnsi="Times New Roman" w:cs="Times New Roman"/>
          <w:b/>
          <w:bCs/>
          <w:sz w:val="24"/>
          <w:szCs w:val="24"/>
        </w:rPr>
      </w:pPr>
    </w:p>
    <w:p w14:paraId="6D207ED1" w14:textId="32F366AE"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3</w:t>
      </w:r>
      <w:r w:rsidR="1457DC20" w:rsidRPr="00D44D33">
        <w:rPr>
          <w:rFonts w:ascii="Times New Roman" w:eastAsiaTheme="minorEastAsia" w:hAnsi="Times New Roman" w:cs="Times New Roman"/>
          <w:b/>
          <w:bCs/>
          <w:sz w:val="24"/>
          <w:szCs w:val="24"/>
        </w:rPr>
        <w:t>96</w:t>
      </w:r>
    </w:p>
    <w:p w14:paraId="12AE143C" w14:textId="499C460D"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75664D06" w:rsidRPr="00D44D33">
        <w:rPr>
          <w:rFonts w:ascii="Times New Roman" w:eastAsiaTheme="minorEastAsia" w:hAnsi="Times New Roman" w:cs="Times New Roman"/>
          <w:sz w:val="24"/>
          <w:szCs w:val="24"/>
        </w:rPr>
        <w:t>96</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4934812E"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4934812E" w:rsidRPr="00D44D33">
        <w:rPr>
          <w:rFonts w:ascii="Times New Roman" w:eastAsiaTheme="minorEastAsia" w:hAnsi="Times New Roman" w:cs="Times New Roman"/>
          <w:sz w:val="24"/>
          <w:szCs w:val="24"/>
        </w:rPr>
        <w:t>odpowiada</w:t>
      </w:r>
      <w:r w:rsidR="00970B2E" w:rsidRPr="00D44D33">
        <w:rPr>
          <w:rFonts w:ascii="Times New Roman" w:eastAsiaTheme="minorEastAsia" w:hAnsi="Times New Roman" w:cs="Times New Roman"/>
          <w:sz w:val="24"/>
          <w:szCs w:val="24"/>
        </w:rPr>
        <w:t xml:space="preserve"> </w:t>
      </w:r>
      <w:r w:rsidR="4934812E"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4934812E" w:rsidRPr="00D44D33">
        <w:rPr>
          <w:rFonts w:ascii="Times New Roman" w:eastAsiaTheme="minorEastAsia" w:hAnsi="Times New Roman" w:cs="Times New Roman"/>
          <w:sz w:val="24"/>
          <w:szCs w:val="24"/>
        </w:rPr>
        <w:t>174</w:t>
      </w:r>
      <w:r w:rsidR="4934812E" w:rsidRPr="00D44D33">
        <w:rPr>
          <w:rFonts w:ascii="Times New Roman" w:eastAsiaTheme="minorEastAsia" w:hAnsi="Times New Roman" w:cs="Times New Roman"/>
          <w:sz w:val="24"/>
          <w:szCs w:val="24"/>
          <w:vertAlign w:val="superscript"/>
        </w:rPr>
        <w:t>1</w:t>
      </w:r>
      <w:r w:rsidR="00970B2E" w:rsidRPr="00D44D33">
        <w:rPr>
          <w:rFonts w:ascii="Times New Roman" w:eastAsiaTheme="minorEastAsia" w:hAnsi="Times New Roman" w:cs="Times New Roman"/>
          <w:sz w:val="24"/>
          <w:szCs w:val="24"/>
        </w:rPr>
        <w:t xml:space="preserve"> </w:t>
      </w:r>
      <w:r w:rsidR="4934812E" w:rsidRPr="00D44D33">
        <w:rPr>
          <w:rFonts w:ascii="Times New Roman" w:eastAsiaTheme="minorEastAsia" w:hAnsi="Times New Roman" w:cs="Times New Roman"/>
          <w:sz w:val="24"/>
          <w:szCs w:val="24"/>
        </w:rPr>
        <w:t>Pt.</w:t>
      </w:r>
    </w:p>
    <w:p w14:paraId="47AA3957" w14:textId="4B0449FA" w:rsidR="00A669CF" w:rsidRPr="00D44D33" w:rsidRDefault="1BE576D5"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43FCD4C" w:rsidRPr="00D44D33">
        <w:rPr>
          <w:rFonts w:ascii="Times New Roman" w:eastAsiaTheme="minorEastAsia" w:hAnsi="Times New Roman" w:cs="Times New Roman"/>
          <w:b/>
          <w:bCs/>
          <w:sz w:val="24"/>
          <w:szCs w:val="24"/>
        </w:rPr>
        <w:t>3</w:t>
      </w:r>
      <w:r w:rsidR="49091549" w:rsidRPr="00D44D33">
        <w:rPr>
          <w:rFonts w:ascii="Times New Roman" w:eastAsiaTheme="minorEastAsia" w:hAnsi="Times New Roman" w:cs="Times New Roman"/>
          <w:b/>
          <w:bCs/>
          <w:sz w:val="24"/>
          <w:szCs w:val="24"/>
        </w:rPr>
        <w:t>97</w:t>
      </w:r>
      <w:r w:rsidR="00363E66"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b/>
          <w:bCs/>
          <w:sz w:val="24"/>
          <w:szCs w:val="24"/>
        </w:rPr>
        <w:t>3</w:t>
      </w:r>
      <w:r w:rsidR="3571D361" w:rsidRPr="00D44D33">
        <w:rPr>
          <w:rFonts w:ascii="Times New Roman" w:eastAsiaTheme="minorEastAsia" w:hAnsi="Times New Roman" w:cs="Times New Roman"/>
          <w:b/>
          <w:bCs/>
          <w:sz w:val="24"/>
          <w:szCs w:val="24"/>
        </w:rPr>
        <w:t>99</w:t>
      </w:r>
    </w:p>
    <w:p w14:paraId="68669B97" w14:textId="7B8CA631" w:rsidR="00A669CF"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36</w:t>
      </w:r>
      <w:r w:rsidR="00441117"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uzupełnia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Nr</w:t>
      </w:r>
      <w:r w:rsidR="00970B2E" w:rsidRPr="00D44D33">
        <w:rPr>
          <w:rFonts w:ascii="Times New Roman" w:eastAsiaTheme="minorEastAsia" w:hAnsi="Times New Roman" w:cs="Times New Roman"/>
          <w:sz w:val="24"/>
          <w:szCs w:val="24"/>
        </w:rPr>
        <w:t xml:space="preserve"> </w:t>
      </w:r>
      <w:hyperlink r:id="rId23">
        <w:r w:rsidRPr="00D44D33">
          <w:rPr>
            <w:rFonts w:ascii="Times New Roman" w:eastAsiaTheme="minorEastAsia" w:hAnsi="Times New Roman" w:cs="Times New Roman"/>
            <w:sz w:val="24"/>
            <w:szCs w:val="24"/>
          </w:rPr>
          <w:t>611/2013</w:t>
        </w:r>
      </w:hyperlink>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24.6.2013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powiadamianiu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hyperlink r:id="rId24">
        <w:r w:rsidRPr="00D44D33">
          <w:rPr>
            <w:rFonts w:ascii="Times New Roman" w:eastAsiaTheme="minorEastAsia" w:hAnsi="Times New Roman" w:cs="Times New Roman"/>
            <w:sz w:val="24"/>
            <w:szCs w:val="24"/>
          </w:rPr>
          <w:t>2002/58/WE</w:t>
        </w:r>
      </w:hyperlink>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prywatności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197017" w:rsidRPr="00D44D33">
        <w:rPr>
          <w:rFonts w:ascii="Times New Roman" w:eastAsiaTheme="minorEastAsia" w:hAnsi="Times New Roman" w:cs="Times New Roman"/>
          <w:sz w:val="24"/>
          <w:szCs w:val="24"/>
        </w:rPr>
        <w:t>65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UODO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kierując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powszechnie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zmierzające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skutecznej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wytyczne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fizyczną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Zaznaczyć</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wypełnienie</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informowania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UODO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naruszeniu</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3</w:t>
      </w:r>
      <w:r w:rsidR="15763951" w:rsidRPr="00D44D33">
        <w:rPr>
          <w:rFonts w:ascii="Times New Roman" w:eastAsiaTheme="minorEastAsia" w:hAnsi="Times New Roman" w:cs="Times New Roman"/>
          <w:sz w:val="24"/>
          <w:szCs w:val="24"/>
        </w:rPr>
        <w:t>97</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95</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wypełnia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zgłaszania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UODO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naruszeniu,</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33</w:t>
      </w:r>
      <w:r w:rsidR="00970B2E" w:rsidRPr="00D44D33">
        <w:rPr>
          <w:rFonts w:ascii="Times New Roman" w:eastAsiaTheme="minorEastAsia" w:hAnsi="Times New Roman" w:cs="Times New Roman"/>
          <w:sz w:val="24"/>
          <w:szCs w:val="24"/>
        </w:rPr>
        <w:t xml:space="preserve"> </w:t>
      </w:r>
      <w:r w:rsidR="3F49718A"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22FB2163"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22FB2163" w:rsidRPr="00D44D33">
        <w:rPr>
          <w:rFonts w:ascii="Times New Roman" w:eastAsiaTheme="minorEastAsia" w:hAnsi="Times New Roman" w:cs="Times New Roman"/>
          <w:sz w:val="24"/>
          <w:szCs w:val="24"/>
        </w:rPr>
        <w:t>odpowiadają</w:t>
      </w:r>
      <w:r w:rsidR="00970B2E" w:rsidRPr="00D44D33">
        <w:rPr>
          <w:rFonts w:ascii="Times New Roman" w:eastAsiaTheme="minorEastAsia" w:hAnsi="Times New Roman" w:cs="Times New Roman"/>
          <w:sz w:val="24"/>
          <w:szCs w:val="24"/>
        </w:rPr>
        <w:t xml:space="preserve"> </w:t>
      </w:r>
      <w:r w:rsidR="22FB216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2FB2163" w:rsidRPr="00D44D33">
        <w:rPr>
          <w:rFonts w:ascii="Times New Roman" w:eastAsiaTheme="minorEastAsia" w:hAnsi="Times New Roman" w:cs="Times New Roman"/>
          <w:sz w:val="24"/>
          <w:szCs w:val="24"/>
        </w:rPr>
        <w:t>174a–174c</w:t>
      </w:r>
      <w:r w:rsidR="00970B2E" w:rsidRPr="00D44D33">
        <w:rPr>
          <w:rFonts w:ascii="Times New Roman" w:eastAsiaTheme="minorEastAsia" w:hAnsi="Times New Roman" w:cs="Times New Roman"/>
          <w:sz w:val="24"/>
          <w:szCs w:val="24"/>
        </w:rPr>
        <w:t xml:space="preserve"> </w:t>
      </w:r>
      <w:r w:rsidR="22FB2163"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p>
    <w:p w14:paraId="436BD9A8" w14:textId="382B1B25" w:rsidR="00A669CF" w:rsidRPr="00D44D33" w:rsidRDefault="00A669C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8856A52" w:rsidRPr="00D44D33">
        <w:rPr>
          <w:rFonts w:ascii="Times New Roman" w:eastAsiaTheme="minorEastAsia" w:hAnsi="Times New Roman" w:cs="Times New Roman"/>
          <w:b/>
          <w:bCs/>
          <w:sz w:val="24"/>
          <w:szCs w:val="24"/>
        </w:rPr>
        <w:t>400</w:t>
      </w:r>
    </w:p>
    <w:p w14:paraId="0FC26E59" w14:textId="27FD44BF" w:rsidR="00696205" w:rsidRPr="00D44D33" w:rsidRDefault="00A669C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116A427" w:rsidRPr="00D44D33">
        <w:rPr>
          <w:rFonts w:ascii="Times New Roman" w:eastAsiaTheme="minorEastAsia" w:hAnsi="Times New Roman" w:cs="Times New Roman"/>
          <w:sz w:val="24"/>
          <w:szCs w:val="24"/>
        </w:rPr>
        <w:t>400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ostatnie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58/2002.</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znajdowała</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174d</w:t>
      </w:r>
      <w:r w:rsidR="00970B2E" w:rsidRPr="00D44D33">
        <w:rPr>
          <w:rFonts w:ascii="Times New Roman" w:eastAsiaTheme="minorEastAsia" w:hAnsi="Times New Roman" w:cs="Times New Roman"/>
          <w:sz w:val="24"/>
          <w:szCs w:val="24"/>
        </w:rPr>
        <w:t xml:space="preserve"> </w:t>
      </w:r>
      <w:r w:rsidR="7570DA5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niezależny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ochrony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osobowych,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wykluczyć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rozszerzony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561578F" w:rsidRPr="00D44D33">
        <w:rPr>
          <w:rFonts w:ascii="Times New Roman" w:eastAsiaTheme="minorEastAsia" w:hAnsi="Times New Roman" w:cs="Times New Roman"/>
          <w:sz w:val="24"/>
          <w:szCs w:val="24"/>
        </w:rPr>
        <w:t>400</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Powierzenie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powierzone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prowadzącemu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profesjonalne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w:t>
      </w:r>
      <w:r w:rsidR="00DC2102" w:rsidRPr="00D44D33">
        <w:rPr>
          <w:rFonts w:ascii="Times New Roman" w:eastAsiaTheme="minorEastAsia" w:hAnsi="Times New Roman" w:cs="Times New Roman"/>
          <w:sz w:val="24"/>
          <w:szCs w:val="24"/>
        </w:rPr>
        <w:t>ługi</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przedmiotowym</w:t>
      </w:r>
      <w:r w:rsidR="00970B2E" w:rsidRPr="00D44D33">
        <w:rPr>
          <w:rFonts w:ascii="Times New Roman" w:eastAsiaTheme="minorEastAsia" w:hAnsi="Times New Roman" w:cs="Times New Roman"/>
          <w:sz w:val="24"/>
          <w:szCs w:val="24"/>
        </w:rPr>
        <w:t xml:space="preserve"> </w:t>
      </w:r>
      <w:r w:rsidR="00DC2102"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p>
    <w:p w14:paraId="12A15750" w14:textId="6DC0AF81" w:rsidR="00363E66" w:rsidRPr="00D44D33" w:rsidRDefault="005042E8"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rPr>
        <w:t>R</w:t>
      </w:r>
      <w:r w:rsidR="00754575" w:rsidRPr="00D44D33">
        <w:rPr>
          <w:rFonts w:ascii="Times New Roman" w:hAnsi="Times New Roman" w:cs="Times New Roman"/>
          <w:b/>
        </w:rPr>
        <w:t>ozdział</w:t>
      </w:r>
      <w:r w:rsidR="00970B2E" w:rsidRPr="00D44D33">
        <w:rPr>
          <w:rFonts w:ascii="Times New Roman" w:hAnsi="Times New Roman" w:cs="Times New Roman"/>
          <w:b/>
        </w:rPr>
        <w:t xml:space="preserve"> </w:t>
      </w:r>
      <w:r w:rsidR="00AE480C" w:rsidRPr="00D44D33">
        <w:rPr>
          <w:rFonts w:ascii="Times New Roman" w:hAnsi="Times New Roman" w:cs="Times New Roman"/>
          <w:b/>
        </w:rPr>
        <w:t>6</w:t>
      </w:r>
    </w:p>
    <w:p w14:paraId="310FF744" w14:textId="5DD0A9BF" w:rsidR="005042E8" w:rsidRPr="00D44D33" w:rsidRDefault="00970B2E"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rPr>
        <w:t xml:space="preserve"> </w:t>
      </w:r>
      <w:r w:rsidR="005042E8" w:rsidRPr="00D44D33">
        <w:rPr>
          <w:rFonts w:ascii="Times New Roman" w:hAnsi="Times New Roman" w:cs="Times New Roman"/>
          <w:b/>
          <w:lang w:eastAsia="en-US"/>
        </w:rPr>
        <w:t>Cyfrowe</w:t>
      </w:r>
      <w:r w:rsidRPr="00D44D33">
        <w:rPr>
          <w:rFonts w:ascii="Times New Roman" w:hAnsi="Times New Roman" w:cs="Times New Roman"/>
          <w:b/>
          <w:lang w:eastAsia="en-US"/>
        </w:rPr>
        <w:t xml:space="preserve"> </w:t>
      </w:r>
      <w:r w:rsidR="005042E8" w:rsidRPr="00D44D33">
        <w:rPr>
          <w:rFonts w:ascii="Times New Roman" w:hAnsi="Times New Roman" w:cs="Times New Roman"/>
          <w:b/>
          <w:lang w:eastAsia="en-US"/>
        </w:rPr>
        <w:t>transmisje</w:t>
      </w:r>
      <w:r w:rsidRPr="00D44D33">
        <w:rPr>
          <w:rFonts w:ascii="Times New Roman" w:hAnsi="Times New Roman" w:cs="Times New Roman"/>
          <w:b/>
          <w:lang w:eastAsia="en-US"/>
        </w:rPr>
        <w:t xml:space="preserve"> </w:t>
      </w:r>
      <w:r w:rsidR="005042E8" w:rsidRPr="00D44D33">
        <w:rPr>
          <w:rFonts w:ascii="Times New Roman" w:hAnsi="Times New Roman" w:cs="Times New Roman"/>
          <w:b/>
          <w:lang w:eastAsia="en-US"/>
        </w:rPr>
        <w:t>radiofoniczne</w:t>
      </w:r>
      <w:r w:rsidRPr="00D44D33">
        <w:rPr>
          <w:rFonts w:ascii="Times New Roman" w:hAnsi="Times New Roman" w:cs="Times New Roman"/>
          <w:b/>
          <w:lang w:eastAsia="en-US"/>
        </w:rPr>
        <w:t xml:space="preserve"> </w:t>
      </w:r>
      <w:r w:rsidR="005042E8" w:rsidRPr="00D44D33">
        <w:rPr>
          <w:rFonts w:ascii="Times New Roman" w:hAnsi="Times New Roman" w:cs="Times New Roman"/>
          <w:b/>
          <w:lang w:eastAsia="en-US"/>
        </w:rPr>
        <w:t>i</w:t>
      </w:r>
      <w:r w:rsidRPr="00D44D33">
        <w:rPr>
          <w:rFonts w:ascii="Times New Roman" w:hAnsi="Times New Roman" w:cs="Times New Roman"/>
          <w:b/>
          <w:lang w:eastAsia="en-US"/>
        </w:rPr>
        <w:t xml:space="preserve"> </w:t>
      </w:r>
      <w:r w:rsidR="005042E8" w:rsidRPr="00D44D33">
        <w:rPr>
          <w:rFonts w:ascii="Times New Roman" w:hAnsi="Times New Roman" w:cs="Times New Roman"/>
          <w:b/>
          <w:lang w:eastAsia="en-US"/>
        </w:rPr>
        <w:t>telewizyjne</w:t>
      </w:r>
    </w:p>
    <w:p w14:paraId="4C8DC89D" w14:textId="290CFFA5" w:rsidR="005042E8" w:rsidRPr="00D44D33" w:rsidRDefault="2F529E1D"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856AAC" w:rsidRPr="00D44D33">
        <w:rPr>
          <w:rFonts w:ascii="Times New Roman" w:eastAsiaTheme="minorEastAsia" w:hAnsi="Times New Roman" w:cs="Times New Roman"/>
          <w:b/>
          <w:bCs/>
          <w:sz w:val="24"/>
          <w:szCs w:val="24"/>
        </w:rPr>
        <w:t>401</w:t>
      </w:r>
      <w:r w:rsidR="00970B2E" w:rsidRPr="00D44D33">
        <w:rPr>
          <w:rFonts w:ascii="Times New Roman" w:eastAsiaTheme="minorEastAsia" w:hAnsi="Times New Roman" w:cs="Times New Roman"/>
          <w:b/>
          <w:bCs/>
          <w:sz w:val="24"/>
          <w:szCs w:val="24"/>
        </w:rPr>
        <w:t xml:space="preserve"> </w:t>
      </w:r>
      <w:r w:rsidR="00363E6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b/>
          <w:bCs/>
          <w:sz w:val="24"/>
          <w:szCs w:val="24"/>
        </w:rPr>
        <w:t xml:space="preserve"> </w:t>
      </w:r>
      <w:r w:rsidR="244EB6F6" w:rsidRPr="00D44D33">
        <w:rPr>
          <w:rFonts w:ascii="Times New Roman" w:eastAsiaTheme="minorEastAsia" w:hAnsi="Times New Roman" w:cs="Times New Roman"/>
          <w:b/>
          <w:bCs/>
          <w:sz w:val="24"/>
          <w:szCs w:val="24"/>
        </w:rPr>
        <w:t>r</w:t>
      </w:r>
      <w:r w:rsidR="00805650" w:rsidRPr="00D44D33">
        <w:rPr>
          <w:rFonts w:ascii="Times New Roman" w:eastAsiaTheme="minorEastAsia" w:hAnsi="Times New Roman" w:cs="Times New Roman"/>
          <w:b/>
          <w:bCs/>
          <w:sz w:val="24"/>
          <w:szCs w:val="24"/>
        </w:rPr>
        <w:t>adiodyfuzja</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cyfrowa</w:t>
      </w:r>
    </w:p>
    <w:p w14:paraId="765611DD" w14:textId="3297A582"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56AAC" w:rsidRPr="00D44D33">
        <w:rPr>
          <w:rFonts w:ascii="Times New Roman" w:eastAsiaTheme="minorEastAsia" w:hAnsi="Times New Roman" w:cs="Times New Roman"/>
          <w:sz w:val="24"/>
          <w:szCs w:val="24"/>
        </w:rPr>
        <w:t>401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zagadnienia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konsekwencją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szczegółowych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wyposażenie</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przesyłania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wszystkich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składników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włączając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strumienie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audio</w:t>
      </w:r>
      <w:r w:rsidR="00360062"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wideo,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API</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00360062" w:rsidRPr="00D44D33">
        <w:rPr>
          <w:rFonts w:ascii="Times New Roman" w:eastAsiaTheme="minorEastAsia" w:hAnsi="Times New Roman" w:cs="Times New Roman"/>
          <w:sz w:val="24"/>
          <w:szCs w:val="24"/>
        </w:rPr>
        <w:t>cyfrowych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5EF83B87" w14:textId="0AD6FDD7" w:rsidR="00360062" w:rsidRPr="00D44D33" w:rsidRDefault="0036006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00894659"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samochodowych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Odbiorniki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samochodowe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fabrycznie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montowane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pojazdach</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fizycznie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systemowo</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zintegrowane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systemami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pojazdu.</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Utworzenie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otwartego</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interfejsu</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mogłoby</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stworzyć</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API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przejęcia</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kluczowymi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systemami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pojazdu,</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praktyce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prowadzić</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przejęcia</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nad</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poruszającym</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pojazdem,</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istotne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znajdujących</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pojeździe</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uczestników</w:t>
      </w:r>
      <w:r w:rsidR="00970B2E" w:rsidRPr="00D44D33">
        <w:rPr>
          <w:rFonts w:ascii="Times New Roman" w:eastAsiaTheme="minorEastAsia" w:hAnsi="Times New Roman" w:cs="Times New Roman"/>
          <w:sz w:val="24"/>
          <w:szCs w:val="24"/>
        </w:rPr>
        <w:t xml:space="preserve"> </w:t>
      </w:r>
      <w:r w:rsidR="00A16015" w:rsidRPr="00D44D33">
        <w:rPr>
          <w:rFonts w:ascii="Times New Roman" w:eastAsiaTheme="minorEastAsia" w:hAnsi="Times New Roman" w:cs="Times New Roman"/>
          <w:sz w:val="24"/>
          <w:szCs w:val="24"/>
        </w:rPr>
        <w:t>ruchu.</w:t>
      </w:r>
      <w:r w:rsidR="00970B2E" w:rsidRPr="00D44D33">
        <w:rPr>
          <w:rFonts w:ascii="Times New Roman" w:eastAsiaTheme="minorEastAsia" w:hAnsi="Times New Roman" w:cs="Times New Roman"/>
          <w:sz w:val="24"/>
          <w:szCs w:val="24"/>
        </w:rPr>
        <w:t xml:space="preserve"> </w:t>
      </w:r>
    </w:p>
    <w:p w14:paraId="741087C7" w14:textId="79F5824D"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00894659"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bezpłatnego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zakończonej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w:t>
      </w:r>
      <w:r w:rsidR="0B20538C" w:rsidRPr="00D44D33">
        <w:rPr>
          <w:rFonts w:ascii="Times New Roman" w:eastAsiaTheme="minorEastAsia" w:hAnsi="Times New Roman" w:cs="Times New Roman"/>
          <w:sz w:val="24"/>
          <w:szCs w:val="24"/>
        </w:rPr>
        <w:t>operacyjny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dostawców,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przeszedł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w:t>
      </w:r>
      <w:r w:rsidR="00970B2E" w:rsidRPr="00D44D33">
        <w:rPr>
          <w:rFonts w:ascii="Times New Roman" w:eastAsiaTheme="minorEastAsia" w:hAnsi="Times New Roman" w:cs="Times New Roman"/>
          <w:sz w:val="24"/>
          <w:szCs w:val="24"/>
        </w:rPr>
        <w:t xml:space="preserve"> </w:t>
      </w:r>
    </w:p>
    <w:p w14:paraId="3935C00D" w14:textId="4BA800E0"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94659" w:rsidRPr="00D44D33">
        <w:rPr>
          <w:rFonts w:ascii="Times New Roman" w:eastAsiaTheme="minorEastAsia" w:hAnsi="Times New Roman" w:cs="Times New Roman"/>
          <w:sz w:val="24"/>
          <w:szCs w:val="24"/>
        </w:rPr>
        <w:t>4</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niekodowanych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jednolitego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algorytmu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(skramblowania),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Algorytm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oparty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raporcie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jednolitego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zapobiegać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wytworzeniu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mogłyby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zagrozić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jednolitości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kodowania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zabezpieczenie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nieuprawnionym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dostępem.</w:t>
      </w:r>
    </w:p>
    <w:p w14:paraId="5E1575C8" w14:textId="6F8C7015"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Ustęp</w:t>
      </w:r>
      <w:r w:rsidR="00970B2E" w:rsidRPr="00D44D33">
        <w:rPr>
          <w:rFonts w:ascii="Times New Roman" w:eastAsiaTheme="minorEastAsia" w:hAnsi="Times New Roman" w:cs="Times New Roman"/>
          <w:sz w:val="24"/>
          <w:szCs w:val="24"/>
        </w:rPr>
        <w:t xml:space="preserve"> </w:t>
      </w:r>
      <w:r w:rsidR="00894659"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mieć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gwarancji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interoperacyjności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wszelkiego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sygnału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t>
      </w:r>
      <w:r w:rsidR="5C55F3EC" w:rsidRPr="00D44D33">
        <w:rPr>
          <w:rFonts w:ascii="Times New Roman" w:eastAsiaTheme="minorEastAsia" w:hAnsi="Times New Roman" w:cs="Times New Roman"/>
          <w:sz w:val="24"/>
          <w:szCs w:val="24"/>
        </w:rPr>
        <w:t>fonicznego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pojazdach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samochodowe,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wyposażane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pojazdy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sprzedaży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wynajmu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najmniej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niekodowanych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Niemniej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przeszkodzie,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samochodowe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pojazdach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odbierać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odtwarzać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t>
      </w:r>
      <w:r w:rsidR="68BB2A25" w:rsidRPr="00D44D33">
        <w:rPr>
          <w:rFonts w:ascii="Times New Roman" w:eastAsiaTheme="minorEastAsia" w:hAnsi="Times New Roman" w:cs="Times New Roman"/>
          <w:sz w:val="24"/>
          <w:szCs w:val="24"/>
        </w:rPr>
        <w:t>foniczne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t>
      </w:r>
      <w:r w:rsidR="6141F69C" w:rsidRPr="00D44D33">
        <w:rPr>
          <w:rFonts w:ascii="Times New Roman" w:eastAsiaTheme="minorEastAsia" w:hAnsi="Times New Roman" w:cs="Times New Roman"/>
          <w:sz w:val="24"/>
          <w:szCs w:val="24"/>
        </w:rPr>
        <w:t>fonicznych</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7854694C" w14:textId="518C6B09" w:rsidR="00805650" w:rsidRPr="00D44D33" w:rsidRDefault="778B4DA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fakt,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bezpośredniego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pojazdy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procedury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homologacji.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drogowym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Ministerstwa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Infrastruktury.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wdrożony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7F0C4941"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przystosowania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samochodowych</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prowadził</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Nabywcy</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wewnątrzwspólnotowi,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najemcy</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pojazdów</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oferujący</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najem</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długoterminowy,</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przestrzegać</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powyższego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obciążeni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zostaną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72713" w:rsidRPr="00D44D33">
        <w:rPr>
          <w:rFonts w:ascii="Times New Roman" w:eastAsiaTheme="minorEastAsia" w:hAnsi="Times New Roman" w:cs="Times New Roman"/>
          <w:sz w:val="24"/>
          <w:szCs w:val="24"/>
        </w:rPr>
        <w:t>karą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pieniężną</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uzyskanego</w:t>
      </w:r>
      <w:r w:rsidR="00970B2E" w:rsidRPr="00D44D33">
        <w:rPr>
          <w:rFonts w:ascii="Times New Roman" w:eastAsiaTheme="minorEastAsia" w:hAnsi="Times New Roman" w:cs="Times New Roman"/>
          <w:sz w:val="24"/>
          <w:szCs w:val="24"/>
        </w:rPr>
        <w:t xml:space="preserve"> </w:t>
      </w:r>
      <w:r w:rsidR="3C611606"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p>
    <w:p w14:paraId="59587B2C" w14:textId="05B5F0B8"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delegacje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zmierzające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radiofonii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przygotować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naziemnego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uniknąć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podaży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wymaganiami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wprowadzone.</w:t>
      </w:r>
    </w:p>
    <w:p w14:paraId="327A3CD9" w14:textId="1EF255A7" w:rsidR="00805650" w:rsidRPr="00D44D33" w:rsidRDefault="4CA46A56"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472713" w:rsidRPr="00D44D33">
        <w:rPr>
          <w:rFonts w:ascii="Times New Roman" w:eastAsiaTheme="minorEastAsia" w:hAnsi="Times New Roman" w:cs="Times New Roman"/>
          <w:b/>
          <w:bCs/>
          <w:sz w:val="24"/>
          <w:szCs w:val="24"/>
        </w:rPr>
        <w:t>402</w:t>
      </w:r>
      <w:r w:rsidRPr="00D44D33">
        <w:rPr>
          <w:rFonts w:ascii="Times New Roman" w:eastAsiaTheme="minorEastAsia" w:hAnsi="Times New Roman" w:cs="Times New Roman"/>
          <w:b/>
          <w:bCs/>
          <w:sz w:val="24"/>
          <w:szCs w:val="24"/>
        </w:rPr>
        <w:t>–</w:t>
      </w:r>
      <w:r w:rsidR="00472713" w:rsidRPr="00D44D33">
        <w:rPr>
          <w:rFonts w:ascii="Times New Roman" w:eastAsiaTheme="minorEastAsia" w:hAnsi="Times New Roman" w:cs="Times New Roman"/>
          <w:b/>
          <w:bCs/>
          <w:sz w:val="24"/>
          <w:szCs w:val="24"/>
        </w:rPr>
        <w:t>404</w:t>
      </w:r>
      <w:r w:rsidR="00970B2E" w:rsidRPr="00D44D33">
        <w:rPr>
          <w:rFonts w:ascii="Times New Roman" w:eastAsiaTheme="minorEastAsia" w:hAnsi="Times New Roman" w:cs="Times New Roman"/>
          <w:b/>
          <w:bCs/>
          <w:sz w:val="24"/>
          <w:szCs w:val="24"/>
        </w:rPr>
        <w:t xml:space="preserve"> </w:t>
      </w:r>
      <w:r w:rsidR="35C42CD5" w:rsidRPr="00D44D33">
        <w:rPr>
          <w:rFonts w:ascii="Times New Roman" w:eastAsiaTheme="minorEastAsia" w:hAnsi="Times New Roman" w:cs="Times New Roman"/>
          <w:b/>
          <w:bCs/>
          <w:sz w:val="24"/>
          <w:szCs w:val="24"/>
        </w:rPr>
        <w:t>–</w:t>
      </w:r>
      <w:r w:rsidR="00970B2E" w:rsidRPr="00D44D33">
        <w:rPr>
          <w:rFonts w:ascii="Times New Roman" w:eastAsiaTheme="minorEastAsia" w:hAnsi="Times New Roman" w:cs="Times New Roman"/>
          <w:b/>
          <w:bCs/>
          <w:sz w:val="24"/>
          <w:szCs w:val="24"/>
        </w:rPr>
        <w:t xml:space="preserve"> </w:t>
      </w:r>
      <w:r w:rsidR="35C42CD5" w:rsidRPr="00D44D33">
        <w:rPr>
          <w:rFonts w:ascii="Times New Roman" w:eastAsiaTheme="minorEastAsia" w:hAnsi="Times New Roman" w:cs="Times New Roman"/>
          <w:b/>
          <w:bCs/>
          <w:sz w:val="24"/>
          <w:szCs w:val="24"/>
        </w:rPr>
        <w:t>s</w:t>
      </w:r>
      <w:r w:rsidR="00805650" w:rsidRPr="00D44D33">
        <w:rPr>
          <w:rFonts w:ascii="Times New Roman" w:eastAsiaTheme="minorEastAsia" w:hAnsi="Times New Roman" w:cs="Times New Roman"/>
          <w:b/>
          <w:bCs/>
          <w:sz w:val="24"/>
          <w:szCs w:val="24"/>
        </w:rPr>
        <w:t>ystemy</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warunkowego</w:t>
      </w:r>
      <w:r w:rsidR="00970B2E" w:rsidRPr="00D44D33">
        <w:rPr>
          <w:rFonts w:ascii="Times New Roman" w:eastAsiaTheme="minorEastAsia" w:hAnsi="Times New Roman" w:cs="Times New Roman"/>
          <w:b/>
          <w:bCs/>
          <w:sz w:val="24"/>
          <w:szCs w:val="24"/>
        </w:rPr>
        <w:t xml:space="preserve"> </w:t>
      </w:r>
      <w:r w:rsidR="00805650" w:rsidRPr="00D44D33">
        <w:rPr>
          <w:rFonts w:ascii="Times New Roman" w:eastAsiaTheme="minorEastAsia" w:hAnsi="Times New Roman" w:cs="Times New Roman"/>
          <w:b/>
          <w:bCs/>
          <w:sz w:val="24"/>
          <w:szCs w:val="24"/>
        </w:rPr>
        <w:t>dostępu</w:t>
      </w:r>
    </w:p>
    <w:p w14:paraId="167D1FF6" w14:textId="56748D7A"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oznacza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jakiekolwiek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t>
      </w:r>
      <w:r w:rsidR="1C4F4472" w:rsidRPr="00D44D33">
        <w:rPr>
          <w:rFonts w:ascii="Times New Roman" w:eastAsiaTheme="minorEastAsia" w:hAnsi="Times New Roman" w:cs="Times New Roman"/>
          <w:sz w:val="24"/>
          <w:szCs w:val="24"/>
        </w:rPr>
        <w:t>fonicznego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zrozumiałej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uwarunkowany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abonamentu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indywidualnego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zezwolenia.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pobieranie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opłaty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odkodowanego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audiowizualnego.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kodowanie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obsługę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abonenckich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odbiór.</w:t>
      </w:r>
      <w:r w:rsidR="00970B2E" w:rsidRPr="00D44D33">
        <w:rPr>
          <w:rFonts w:ascii="Times New Roman" w:eastAsiaTheme="minorEastAsia" w:hAnsi="Times New Roman" w:cs="Times New Roman"/>
          <w:sz w:val="24"/>
          <w:szCs w:val="24"/>
        </w:rPr>
        <w:t xml:space="preserve"> </w:t>
      </w:r>
    </w:p>
    <w:p w14:paraId="593FCCA6" w14:textId="2A37EEA3" w:rsidR="00805650"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72713" w:rsidRPr="00D44D33">
        <w:rPr>
          <w:rFonts w:ascii="Times New Roman" w:eastAsiaTheme="minorEastAsia" w:hAnsi="Times New Roman" w:cs="Times New Roman"/>
          <w:sz w:val="24"/>
          <w:szCs w:val="24"/>
        </w:rPr>
        <w:t>402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wskazano,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analizy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telewizji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cyfrowej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zmienić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posiadają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znaczącej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pozycji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zniesienie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negatywnie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oddziaływać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końcowych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perspektywę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konkurencji.</w:t>
      </w:r>
    </w:p>
    <w:p w14:paraId="7418A3F6" w14:textId="65509487" w:rsidR="005042E8" w:rsidRPr="00D44D33" w:rsidRDefault="0080565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Artykuł</w:t>
      </w:r>
      <w:r w:rsidR="00970B2E" w:rsidRPr="00D44D33">
        <w:rPr>
          <w:rFonts w:ascii="Times New Roman" w:eastAsiaTheme="minorEastAsia" w:hAnsi="Times New Roman" w:cs="Times New Roman"/>
          <w:sz w:val="24"/>
          <w:szCs w:val="24"/>
        </w:rPr>
        <w:t xml:space="preserve"> </w:t>
      </w:r>
      <w:r w:rsidR="00472713" w:rsidRPr="00D44D33">
        <w:rPr>
          <w:rFonts w:ascii="Times New Roman" w:eastAsiaTheme="minorEastAsia" w:hAnsi="Times New Roman" w:cs="Times New Roman"/>
          <w:sz w:val="24"/>
          <w:szCs w:val="24"/>
        </w:rPr>
        <w:t>404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implementuje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62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skierowane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dysponentów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przemysłowej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świadczonych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Rozróżnienie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polegających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warunkowym.</w:t>
      </w:r>
      <w:r w:rsidR="00970B2E" w:rsidRPr="00D44D33">
        <w:rPr>
          <w:rFonts w:ascii="Times New Roman" w:eastAsiaTheme="minorEastAsia" w:hAnsi="Times New Roman" w:cs="Times New Roman"/>
          <w:sz w:val="24"/>
          <w:szCs w:val="24"/>
        </w:rPr>
        <w:t xml:space="preserve"> </w:t>
      </w:r>
      <w:r w:rsidR="00472713"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przyznawania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licencji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producentom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konsumenckiego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interfejsu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pozwalającego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połączenie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wielu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charakterystycznych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warunkiem</w:t>
      </w:r>
      <w:r w:rsidR="4B0FA2A5"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licencjobiorca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wymogi,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bezpieczeństwo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transakcji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operatorów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warunkowego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DC2102" w:rsidRPr="00D44D33">
        <w:rPr>
          <w:rFonts w:ascii="Times New Roman" w:eastAsiaTheme="minorEastAsia" w:hAnsi="Times New Roman" w:cs="Times New Roman"/>
          <w:sz w:val="24"/>
          <w:szCs w:val="24"/>
        </w:rPr>
        <w:t>.</w:t>
      </w:r>
    </w:p>
    <w:p w14:paraId="41FAE282" w14:textId="3D25B12C" w:rsidR="00363E66" w:rsidRPr="00D44D33" w:rsidRDefault="005042E8"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D</w:t>
      </w:r>
      <w:r w:rsidR="00754575" w:rsidRPr="00D44D33">
        <w:rPr>
          <w:rFonts w:ascii="Times New Roman" w:hAnsi="Times New Roman"/>
          <w:lang w:eastAsia="en-US"/>
        </w:rPr>
        <w:t>ZIAŁ</w:t>
      </w:r>
      <w:r w:rsidR="00970B2E" w:rsidRPr="00D44D33">
        <w:rPr>
          <w:rFonts w:ascii="Times New Roman" w:hAnsi="Times New Roman"/>
          <w:lang w:eastAsia="en-US"/>
        </w:rPr>
        <w:t xml:space="preserve"> </w:t>
      </w:r>
      <w:r w:rsidRPr="00D44D33">
        <w:rPr>
          <w:rFonts w:ascii="Times New Roman" w:hAnsi="Times New Roman"/>
        </w:rPr>
        <w:t>VIII</w:t>
      </w:r>
    </w:p>
    <w:p w14:paraId="70570B6D" w14:textId="74BAAAA5" w:rsidR="005042E8" w:rsidRPr="00D44D33" w:rsidRDefault="005042E8" w:rsidP="00D44D33">
      <w:pPr>
        <w:pStyle w:val="ROZDZODDZPRZEDMprzedmiotregulacjirozdziauluboddziau"/>
        <w:spacing w:after="120"/>
        <w:rPr>
          <w:rFonts w:ascii="Times New Roman" w:hAnsi="Times New Roman"/>
          <w:lang w:eastAsia="en-US"/>
        </w:rPr>
      </w:pPr>
      <w:r w:rsidRPr="00D44D33">
        <w:rPr>
          <w:rFonts w:ascii="Times New Roman" w:hAnsi="Times New Roman"/>
        </w:rPr>
        <w:t>O</w:t>
      </w:r>
      <w:r w:rsidRPr="00D44D33">
        <w:rPr>
          <w:rFonts w:ascii="Times New Roman" w:hAnsi="Times New Roman"/>
          <w:lang w:eastAsia="en-US"/>
        </w:rPr>
        <w:t>rgany</w:t>
      </w:r>
      <w:r w:rsidR="00970B2E" w:rsidRPr="00D44D33">
        <w:rPr>
          <w:rFonts w:ascii="Times New Roman" w:hAnsi="Times New Roman"/>
          <w:lang w:eastAsia="en-US"/>
        </w:rPr>
        <w:t xml:space="preserve"> </w:t>
      </w:r>
      <w:r w:rsidRPr="00D44D33">
        <w:rPr>
          <w:rFonts w:ascii="Times New Roman" w:hAnsi="Times New Roman"/>
        </w:rPr>
        <w:t>właściwe</w:t>
      </w:r>
      <w:r w:rsidR="00970B2E" w:rsidRPr="00D44D33">
        <w:rPr>
          <w:rFonts w:ascii="Times New Roman" w:hAnsi="Times New Roman"/>
        </w:rPr>
        <w:t xml:space="preserve"> </w:t>
      </w:r>
      <w:r w:rsidRPr="00D44D33">
        <w:rPr>
          <w:rFonts w:ascii="Times New Roman" w:hAnsi="Times New Roman"/>
        </w:rPr>
        <w:t>w</w:t>
      </w:r>
      <w:r w:rsidR="00970B2E" w:rsidRPr="00D44D33">
        <w:rPr>
          <w:rFonts w:ascii="Times New Roman" w:hAnsi="Times New Roman"/>
        </w:rPr>
        <w:t xml:space="preserve"> </w:t>
      </w:r>
      <w:r w:rsidRPr="00D44D33">
        <w:rPr>
          <w:rFonts w:ascii="Times New Roman" w:hAnsi="Times New Roman"/>
        </w:rPr>
        <w:t>spra</w:t>
      </w:r>
      <w:r w:rsidR="006D1401" w:rsidRPr="00D44D33">
        <w:rPr>
          <w:rFonts w:ascii="Times New Roman" w:hAnsi="Times New Roman"/>
        </w:rPr>
        <w:t>wach</w:t>
      </w:r>
      <w:r w:rsidR="00970B2E" w:rsidRPr="00D44D33">
        <w:rPr>
          <w:rFonts w:ascii="Times New Roman" w:hAnsi="Times New Roman"/>
        </w:rPr>
        <w:t xml:space="preserve"> </w:t>
      </w:r>
      <w:r w:rsidR="006D1401" w:rsidRPr="00D44D33">
        <w:rPr>
          <w:rFonts w:ascii="Times New Roman" w:hAnsi="Times New Roman"/>
        </w:rPr>
        <w:t>komunikacji</w:t>
      </w:r>
      <w:r w:rsidR="00970B2E" w:rsidRPr="00D44D33">
        <w:rPr>
          <w:rFonts w:ascii="Times New Roman" w:hAnsi="Times New Roman"/>
        </w:rPr>
        <w:t xml:space="preserve"> </w:t>
      </w:r>
      <w:r w:rsidR="006D1401" w:rsidRPr="00D44D33">
        <w:rPr>
          <w:rFonts w:ascii="Times New Roman" w:hAnsi="Times New Roman"/>
        </w:rPr>
        <w:t>elektronicznej</w:t>
      </w:r>
      <w:r w:rsidR="00970B2E" w:rsidRPr="00D44D33">
        <w:rPr>
          <w:rFonts w:ascii="Times New Roman" w:hAnsi="Times New Roman"/>
        </w:rPr>
        <w:t xml:space="preserve"> </w:t>
      </w:r>
      <w:r w:rsidRPr="00D44D33">
        <w:rPr>
          <w:rFonts w:ascii="Times New Roman" w:hAnsi="Times New Roman"/>
        </w:rPr>
        <w:t>oraz</w:t>
      </w:r>
      <w:r w:rsidR="00970B2E" w:rsidRPr="00D44D33">
        <w:rPr>
          <w:rFonts w:ascii="Times New Roman" w:hAnsi="Times New Roman"/>
        </w:rPr>
        <w:t xml:space="preserve"> </w:t>
      </w:r>
      <w:r w:rsidRPr="00D44D33">
        <w:rPr>
          <w:rFonts w:ascii="Times New Roman" w:hAnsi="Times New Roman"/>
        </w:rPr>
        <w:t>postępowanie</w:t>
      </w:r>
      <w:r w:rsidR="00970B2E" w:rsidRPr="00D44D33">
        <w:rPr>
          <w:rFonts w:ascii="Times New Roman" w:hAnsi="Times New Roman"/>
        </w:rPr>
        <w:t xml:space="preserve"> </w:t>
      </w:r>
      <w:r w:rsidRPr="00D44D33">
        <w:rPr>
          <w:rFonts w:ascii="Times New Roman" w:hAnsi="Times New Roman"/>
        </w:rPr>
        <w:t>przed</w:t>
      </w:r>
      <w:r w:rsidR="00970B2E" w:rsidRPr="00D44D33">
        <w:rPr>
          <w:rFonts w:ascii="Times New Roman" w:hAnsi="Times New Roman"/>
        </w:rPr>
        <w:t xml:space="preserve"> </w:t>
      </w:r>
      <w:r w:rsidRPr="00D44D33">
        <w:rPr>
          <w:rFonts w:ascii="Times New Roman" w:hAnsi="Times New Roman"/>
        </w:rPr>
        <w:t>Prezesem</w:t>
      </w:r>
      <w:r w:rsidR="00970B2E" w:rsidRPr="00D44D33">
        <w:rPr>
          <w:rFonts w:ascii="Times New Roman" w:hAnsi="Times New Roman"/>
        </w:rPr>
        <w:t xml:space="preserve"> </w:t>
      </w:r>
      <w:r w:rsidRPr="00D44D33">
        <w:rPr>
          <w:rFonts w:ascii="Times New Roman" w:hAnsi="Times New Roman"/>
        </w:rPr>
        <w:t>UKE</w:t>
      </w:r>
    </w:p>
    <w:p w14:paraId="676CCEE8" w14:textId="6A0ABDD9" w:rsidR="00363E66" w:rsidRPr="00D44D33" w:rsidRDefault="005C40F3"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1</w:t>
      </w:r>
    </w:p>
    <w:p w14:paraId="565E4690" w14:textId="51CC9D3E" w:rsidR="005C40F3" w:rsidRPr="00D44D33" w:rsidRDefault="005C40F3"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Organy</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właściwe</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w</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sprawach</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komunikacji</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elektronicznej</w:t>
      </w:r>
      <w:r w:rsidR="00970B2E" w:rsidRPr="00D44D33">
        <w:rPr>
          <w:rFonts w:ascii="Times New Roman" w:hAnsi="Times New Roman" w:cs="Times New Roman"/>
          <w:b/>
          <w:lang w:eastAsia="en-US"/>
        </w:rPr>
        <w:t xml:space="preserve"> </w:t>
      </w:r>
      <w:r w:rsidR="00E0255F" w:rsidRPr="00D44D33">
        <w:rPr>
          <w:rFonts w:ascii="Times New Roman" w:hAnsi="Times New Roman" w:cs="Times New Roman"/>
          <w:b/>
          <w:lang w:eastAsia="en-US"/>
        </w:rPr>
        <w:t>(art.</w:t>
      </w:r>
      <w:r w:rsidR="00970B2E" w:rsidRPr="00D44D33">
        <w:rPr>
          <w:rFonts w:ascii="Times New Roman" w:hAnsi="Times New Roman" w:cs="Times New Roman"/>
          <w:b/>
          <w:lang w:eastAsia="en-US"/>
        </w:rPr>
        <w:t xml:space="preserve"> </w:t>
      </w:r>
      <w:r w:rsidR="00E0255F" w:rsidRPr="00D44D33">
        <w:rPr>
          <w:rFonts w:ascii="Times New Roman" w:hAnsi="Times New Roman" w:cs="Times New Roman"/>
          <w:b/>
          <w:lang w:eastAsia="en-US"/>
        </w:rPr>
        <w:t>406</w:t>
      </w:r>
      <w:r w:rsidR="00363E66" w:rsidRPr="00D44D33">
        <w:rPr>
          <w:rFonts w:ascii="Times New Roman" w:hAnsi="Times New Roman" w:cs="Times New Roman"/>
          <w:b/>
        </w:rPr>
        <w:t>–</w:t>
      </w:r>
      <w:r w:rsidR="00E0255F" w:rsidRPr="00D44D33">
        <w:rPr>
          <w:rFonts w:ascii="Times New Roman" w:hAnsi="Times New Roman" w:cs="Times New Roman"/>
          <w:b/>
          <w:lang w:eastAsia="en-US"/>
        </w:rPr>
        <w:t>415)</w:t>
      </w:r>
    </w:p>
    <w:p w14:paraId="79C5E6CA" w14:textId="31B9287E" w:rsidR="00D16BD4" w:rsidRPr="00D44D33" w:rsidRDefault="00E3678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423A8CD9"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423A8CD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23A8CD9"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23A8CD9"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struktury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instytucjonalnej.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Organami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pozostaje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uwzględniają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20CF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20CF0"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20CF0"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520CF0" w:rsidRPr="00D44D33">
        <w:rPr>
          <w:rFonts w:ascii="Times New Roman" w:eastAsiaTheme="minorEastAsia" w:hAnsi="Times New Roman" w:cs="Times New Roman"/>
          <w:sz w:val="24"/>
          <w:szCs w:val="24"/>
        </w:rPr>
        <w:t>sta</w:t>
      </w:r>
      <w:r w:rsidR="00D16BD4" w:rsidRPr="00D44D33">
        <w:rPr>
          <w:rFonts w:ascii="Times New Roman" w:eastAsiaTheme="minorEastAsia" w:hAnsi="Times New Roman" w:cs="Times New Roman"/>
          <w:sz w:val="24"/>
          <w:szCs w:val="24"/>
        </w:rPr>
        <w:t>nowią</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5</w:t>
      </w:r>
      <w:r w:rsidR="00363E66" w:rsidRPr="00D44D33">
        <w:rPr>
          <w:rFonts w:ascii="Times New Roman" w:eastAsiaTheme="minorEastAsia" w:hAnsi="Times New Roman" w:cs="Times New Roman"/>
          <w:sz w:val="24"/>
          <w:szCs w:val="24"/>
        </w:rPr>
        <w:t>–</w:t>
      </w:r>
      <w:r w:rsidR="00D16BD4" w:rsidRPr="00D44D33">
        <w:rPr>
          <w:rFonts w:ascii="Times New Roman" w:eastAsiaTheme="minorEastAsia" w:hAnsi="Times New Roman" w:cs="Times New Roman"/>
          <w:sz w:val="24"/>
          <w:szCs w:val="24"/>
        </w:rPr>
        <w:t>11</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celów</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polityki</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wdrożenie</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D16BD4" w:rsidRPr="00D44D33">
        <w:rPr>
          <w:rFonts w:ascii="Times New Roman" w:eastAsiaTheme="minorEastAsia" w:hAnsi="Times New Roman" w:cs="Times New Roman"/>
          <w:sz w:val="24"/>
          <w:szCs w:val="24"/>
        </w:rPr>
        <w:t>EKŁE.</w:t>
      </w:r>
    </w:p>
    <w:p w14:paraId="3833C37A" w14:textId="4E80BB16" w:rsidR="0041025C" w:rsidRPr="00D44D33" w:rsidRDefault="00520CF0" w:rsidP="00D44D33">
      <w:pPr>
        <w:suppressAutoHyphens/>
        <w:autoSpaceDE w:val="0"/>
        <w:autoSpaceDN w:val="0"/>
        <w:adjustRightInd w:val="0"/>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doprecyzowano</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powinien</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zawrzeć</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corocznym</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sprawozdaniu</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swojej</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regulacyjnej</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(dodano</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stanu</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rynku,</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wydanych</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ludzkich,</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finansowych</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rozdysponowania</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przyszłych</w:t>
      </w:r>
      <w:r w:rsidR="00970B2E" w:rsidRPr="00D44D33">
        <w:rPr>
          <w:rFonts w:ascii="Times New Roman" w:eastAsiaTheme="minorEastAsia" w:hAnsi="Times New Roman" w:cs="Times New Roman"/>
          <w:sz w:val="24"/>
          <w:szCs w:val="24"/>
        </w:rPr>
        <w:t xml:space="preserve"> </w:t>
      </w:r>
      <w:r w:rsidR="001C42FE" w:rsidRPr="00D44D33">
        <w:rPr>
          <w:rFonts w:ascii="Times New Roman" w:eastAsiaTheme="minorEastAsia" w:hAnsi="Times New Roman" w:cs="Times New Roman"/>
          <w:sz w:val="24"/>
          <w:szCs w:val="24"/>
        </w:rPr>
        <w:t>planów).</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Nowością</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wynikająca</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wymóg</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konkursu</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D45F682"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konieczność</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decyzja</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odwołaniu</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w:t>
      </w:r>
      <w:r w:rsidR="00C5428A" w:rsidRPr="00D44D33">
        <w:rPr>
          <w:rFonts w:ascii="Times New Roman" w:eastAsiaTheme="minorEastAsia" w:hAnsi="Times New Roman" w:cs="Times New Roman"/>
          <w:sz w:val="24"/>
          <w:szCs w:val="24"/>
        </w:rPr>
        <w:t>rezesa</w:t>
      </w:r>
      <w:r w:rsidR="00970B2E" w:rsidRPr="00D44D33">
        <w:rPr>
          <w:rFonts w:ascii="Times New Roman" w:eastAsiaTheme="minorEastAsia" w:hAnsi="Times New Roman" w:cs="Times New Roman"/>
          <w:sz w:val="24"/>
          <w:szCs w:val="24"/>
        </w:rPr>
        <w:t xml:space="preserve"> </w:t>
      </w:r>
      <w:r w:rsidR="00C5428A"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C5428A" w:rsidRPr="00D44D33">
        <w:rPr>
          <w:rFonts w:ascii="Times New Roman" w:eastAsiaTheme="minorEastAsia" w:hAnsi="Times New Roman" w:cs="Times New Roman"/>
          <w:sz w:val="24"/>
          <w:szCs w:val="24"/>
        </w:rPr>
        <w:t>podlegała</w:t>
      </w:r>
      <w:r w:rsidR="00970B2E" w:rsidRPr="00D44D33">
        <w:rPr>
          <w:rFonts w:ascii="Times New Roman" w:eastAsiaTheme="minorEastAsia" w:hAnsi="Times New Roman" w:cs="Times New Roman"/>
          <w:sz w:val="24"/>
          <w:szCs w:val="24"/>
        </w:rPr>
        <w:t xml:space="preserve"> </w:t>
      </w:r>
      <w:r w:rsidR="00C5428A"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C5428A" w:rsidRPr="00D44D33">
        <w:rPr>
          <w:rFonts w:ascii="Times New Roman" w:eastAsiaTheme="minorEastAsia" w:hAnsi="Times New Roman" w:cs="Times New Roman"/>
          <w:sz w:val="24"/>
          <w:szCs w:val="24"/>
        </w:rPr>
        <w:t>są</w:t>
      </w:r>
      <w:r w:rsidR="007D0643" w:rsidRPr="00D44D33">
        <w:rPr>
          <w:rFonts w:ascii="Times New Roman" w:eastAsiaTheme="minorEastAsia" w:hAnsi="Times New Roman" w:cs="Times New Roman"/>
          <w:sz w:val="24"/>
          <w:szCs w:val="24"/>
        </w:rPr>
        <w:t>dowej</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stanu</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fakty</w:t>
      </w:r>
      <w:r w:rsidR="006D1401" w:rsidRPr="00D44D33">
        <w:rPr>
          <w:rFonts w:ascii="Times New Roman" w:eastAsiaTheme="minorEastAsia" w:hAnsi="Times New Roman" w:cs="Times New Roman"/>
          <w:sz w:val="24"/>
          <w:szCs w:val="24"/>
        </w:rPr>
        <w:t>cznego,</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in</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fine,</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wdrożony</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umożliwienie</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odwołania</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sądu</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odwołania</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upływem</w:t>
      </w:r>
      <w:r w:rsidR="00970B2E" w:rsidRPr="00D44D33">
        <w:rPr>
          <w:rFonts w:ascii="Times New Roman" w:eastAsiaTheme="minorEastAsia" w:hAnsi="Times New Roman" w:cs="Times New Roman"/>
          <w:sz w:val="24"/>
          <w:szCs w:val="24"/>
        </w:rPr>
        <w:t xml:space="preserve"> </w:t>
      </w:r>
      <w:r w:rsidR="007D0643" w:rsidRPr="00D44D33">
        <w:rPr>
          <w:rFonts w:ascii="Times New Roman" w:eastAsiaTheme="minorEastAsia" w:hAnsi="Times New Roman" w:cs="Times New Roman"/>
          <w:sz w:val="24"/>
          <w:szCs w:val="24"/>
        </w:rPr>
        <w:t>kadencji.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Jednakże</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zadań</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objętych</w:t>
      </w:r>
      <w:r w:rsidR="00970B2E" w:rsidRPr="00D44D33">
        <w:rPr>
          <w:rFonts w:ascii="Times New Roman" w:eastAsiaTheme="minorEastAsia" w:hAnsi="Times New Roman" w:cs="Times New Roman"/>
          <w:sz w:val="24"/>
          <w:szCs w:val="24"/>
        </w:rPr>
        <w:t xml:space="preserve"> </w:t>
      </w:r>
      <w:r w:rsidR="00CA5ED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zakresem</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charakteru</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wyczerpującego</w:t>
      </w:r>
      <w:r w:rsidR="001322F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00CA5EDE"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regulacyjnych</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kontrolnych</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prowadzonych</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gospodarowania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zasobami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telekomunikacyjnymi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hyperlink r:id="rId25">
        <w:r w:rsidR="00A95C3E" w:rsidRPr="00D44D33">
          <w:rPr>
            <w:rStyle w:val="Hipercze"/>
            <w:rFonts w:ascii="Times New Roman" w:eastAsiaTheme="minorEastAsia" w:hAnsi="Times New Roman" w:cs="Times New Roman"/>
            <w:color w:val="auto"/>
            <w:sz w:val="24"/>
            <w:szCs w:val="24"/>
            <w:u w:val="none"/>
          </w:rPr>
          <w:t>art.</w:t>
        </w:r>
        <w:r w:rsidR="00970B2E" w:rsidRPr="00D44D33">
          <w:rPr>
            <w:rStyle w:val="Hipercze"/>
            <w:rFonts w:ascii="Times New Roman" w:eastAsiaTheme="minorEastAsia" w:hAnsi="Times New Roman" w:cs="Times New Roman"/>
            <w:color w:val="auto"/>
            <w:sz w:val="24"/>
            <w:szCs w:val="24"/>
            <w:u w:val="none"/>
          </w:rPr>
          <w:t xml:space="preserve"> </w:t>
        </w:r>
        <w:r w:rsidR="00A95C3E" w:rsidRPr="00D44D33">
          <w:rPr>
            <w:rStyle w:val="Hipercze"/>
            <w:rFonts w:ascii="Times New Roman" w:eastAsiaTheme="minorEastAsia" w:hAnsi="Times New Roman" w:cs="Times New Roman"/>
            <w:color w:val="auto"/>
            <w:sz w:val="24"/>
            <w:szCs w:val="24"/>
            <w:u w:val="none"/>
          </w:rPr>
          <w:t>21</w:t>
        </w:r>
      </w:hyperlink>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13</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2007</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spełniania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A95C3E" w:rsidRPr="00D44D33">
        <w:rPr>
          <w:rFonts w:ascii="Times New Roman" w:eastAsiaTheme="minorEastAsia" w:hAnsi="Times New Roman" w:cs="Times New Roman"/>
          <w:sz w:val="24"/>
          <w:szCs w:val="24"/>
        </w:rPr>
        <w:t>kompa</w:t>
      </w:r>
      <w:r w:rsidR="006D1401" w:rsidRPr="00D44D33">
        <w:rPr>
          <w:rFonts w:ascii="Times New Roman" w:eastAsiaTheme="minorEastAsia" w:hAnsi="Times New Roman" w:cs="Times New Roman"/>
          <w:sz w:val="24"/>
          <w:szCs w:val="24"/>
        </w:rPr>
        <w:t>tybilności</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wykonuje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zadania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pocztowej,</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listopada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2012</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363E66" w:rsidRPr="00D44D33">
        <w:rPr>
          <w:rFonts w:ascii="Times New Roman" w:eastAsiaTheme="minorEastAsia" w:hAnsi="Times New Roman" w:cs="Times New Roman"/>
          <w:b/>
          <w:sz w:val="24"/>
          <w:szCs w:val="24"/>
        </w:rPr>
        <w:t>–</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pocztowe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maja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2010</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lang w:eastAsia="pl-PL"/>
        </w:rPr>
        <w:t xml:space="preserve"> </w:t>
      </w:r>
      <w:r w:rsidR="00220638" w:rsidRPr="00D44D33">
        <w:rPr>
          <w:rFonts w:ascii="Times New Roman" w:eastAsiaTheme="minorEastAsia" w:hAnsi="Times New Roman" w:cs="Times New Roman"/>
          <w:sz w:val="24"/>
          <w:szCs w:val="24"/>
          <w:lang w:eastAsia="pl-PL"/>
        </w:rPr>
        <w:t>(</w:t>
      </w:r>
      <w:r w:rsidR="00415779"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15779"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00415779" w:rsidRPr="00D44D33">
        <w:rPr>
          <w:rFonts w:ascii="Times New Roman" w:eastAsiaTheme="minorEastAsia" w:hAnsi="Times New Roman" w:cs="Times New Roman"/>
          <w:sz w:val="24"/>
          <w:szCs w:val="24"/>
        </w:rPr>
        <w:t>warunków</w:t>
      </w:r>
      <w:r w:rsidR="00970B2E" w:rsidRPr="00D44D33">
        <w:rPr>
          <w:rFonts w:ascii="Times New Roman" w:eastAsiaTheme="minorEastAsia" w:hAnsi="Times New Roman" w:cs="Times New Roman"/>
          <w:sz w:val="24"/>
          <w:szCs w:val="24"/>
        </w:rPr>
        <w:t xml:space="preserve"> </w:t>
      </w:r>
      <w:r w:rsidR="00415779"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415779"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00415779" w:rsidRPr="00D44D33">
        <w:rPr>
          <w:rFonts w:ascii="Times New Roman" w:eastAsiaTheme="minorEastAsia" w:hAnsi="Times New Roman" w:cs="Times New Roman"/>
          <w:sz w:val="24"/>
          <w:szCs w:val="24"/>
        </w:rPr>
        <w:t>telekomunikacyjnych)</w:t>
      </w:r>
      <w:r w:rsidR="001322F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B6CB855" w:rsidRPr="00D44D33">
        <w:rPr>
          <w:rFonts w:ascii="Times New Roman" w:eastAsiaTheme="minorEastAsia" w:hAnsi="Times New Roman" w:cs="Times New Roman"/>
          <w:sz w:val="24"/>
          <w:szCs w:val="24"/>
        </w:rPr>
        <w:t>ustaw</w:t>
      </w:r>
      <w:r w:rsidR="49ECF99A" w:rsidRPr="00D44D33">
        <w:rPr>
          <w:rFonts w:ascii="Times New Roman" w:eastAsiaTheme="minorEastAsia" w:hAnsi="Times New Roman" w:cs="Times New Roman"/>
          <w:sz w:val="24"/>
          <w:szCs w:val="24"/>
        </w:rPr>
        <w:t>ie</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1985</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drogach</w:t>
      </w:r>
      <w:r w:rsidR="00970B2E" w:rsidRPr="00D44D33">
        <w:rPr>
          <w:rFonts w:ascii="Times New Roman" w:eastAsiaTheme="minorEastAsia" w:hAnsi="Times New Roman" w:cs="Times New Roman"/>
          <w:sz w:val="24"/>
          <w:szCs w:val="24"/>
        </w:rPr>
        <w:t xml:space="preserve"> </w:t>
      </w:r>
      <w:r w:rsidR="001322F0" w:rsidRPr="00D44D33">
        <w:rPr>
          <w:rFonts w:ascii="Times New Roman" w:eastAsiaTheme="minorEastAsia" w:hAnsi="Times New Roman" w:cs="Times New Roman"/>
          <w:sz w:val="24"/>
          <w:szCs w:val="24"/>
        </w:rPr>
        <w:t>publicznych</w:t>
      </w:r>
      <w:r w:rsidR="00363E66" w:rsidRPr="00D44D33">
        <w:rPr>
          <w:rFonts w:ascii="Times New Roman" w:eastAsiaTheme="minorEastAsia" w:hAnsi="Times New Roman" w:cs="Times New Roman"/>
          <w:sz w:val="24"/>
          <w:szCs w:val="24"/>
        </w:rPr>
        <w:t xml:space="preserve"> (Dz. U. z </w:t>
      </w:r>
      <w:r w:rsidR="00363E66" w:rsidRPr="00D44D33">
        <w:rPr>
          <w:rFonts w:ascii="Times New Roman" w:hAnsi="Times New Roman" w:cs="Times New Roman"/>
          <w:sz w:val="24"/>
          <w:szCs w:val="24"/>
        </w:rPr>
        <w:t>202</w:t>
      </w:r>
      <w:r w:rsidR="00DE557A" w:rsidRPr="00D44D33">
        <w:rPr>
          <w:rFonts w:ascii="Times New Roman" w:hAnsi="Times New Roman" w:cs="Times New Roman"/>
          <w:sz w:val="24"/>
          <w:szCs w:val="24"/>
        </w:rPr>
        <w:t>2</w:t>
      </w:r>
      <w:r w:rsidR="00363E66" w:rsidRPr="00D44D33">
        <w:rPr>
          <w:rFonts w:ascii="Times New Roman" w:hAnsi="Times New Roman" w:cs="Times New Roman"/>
          <w:sz w:val="24"/>
          <w:szCs w:val="24"/>
        </w:rPr>
        <w:t xml:space="preserve"> r. poz. 1</w:t>
      </w:r>
      <w:r w:rsidR="00DE557A" w:rsidRPr="00D44D33">
        <w:rPr>
          <w:rFonts w:ascii="Times New Roman" w:hAnsi="Times New Roman" w:cs="Times New Roman"/>
          <w:sz w:val="24"/>
          <w:szCs w:val="24"/>
        </w:rPr>
        <w:t>693</w:t>
      </w:r>
      <w:r w:rsidR="00862484" w:rsidRPr="00D44D33">
        <w:rPr>
          <w:rFonts w:ascii="Times New Roman" w:hAnsi="Times New Roman" w:cs="Times New Roman"/>
          <w:sz w:val="24"/>
          <w:szCs w:val="24"/>
        </w:rPr>
        <w:t>,</w:t>
      </w:r>
      <w:r w:rsidR="00862484" w:rsidRPr="00D44D33">
        <w:rPr>
          <w:rFonts w:ascii="Times New Roman" w:eastAsiaTheme="minorEastAsia" w:hAnsi="Times New Roman" w:cs="Times New Roman"/>
          <w:sz w:val="24"/>
          <w:szCs w:val="24"/>
        </w:rPr>
        <w:t xml:space="preserve"> z późn. zm.)</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budową</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udostępnianiem</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kanałów</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technologicznych</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wzdłuż</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dróg</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publicznych)</w:t>
      </w:r>
      <w:r w:rsidR="001322F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ustaw</w:t>
      </w:r>
      <w:r w:rsidR="4C676217" w:rsidRPr="00D44D33">
        <w:rPr>
          <w:rFonts w:ascii="Times New Roman" w:eastAsiaTheme="minorEastAsia" w:hAnsi="Times New Roman" w:cs="Times New Roman"/>
          <w:sz w:val="24"/>
          <w:szCs w:val="24"/>
        </w:rPr>
        <w:t>ie</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sierpnia</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1997</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gospodarce</w:t>
      </w:r>
      <w:r w:rsidR="00970B2E" w:rsidRPr="00D44D33">
        <w:rPr>
          <w:rFonts w:ascii="Times New Roman" w:eastAsiaTheme="minorEastAsia" w:hAnsi="Times New Roman" w:cs="Times New Roman"/>
          <w:sz w:val="24"/>
          <w:szCs w:val="24"/>
        </w:rPr>
        <w:t xml:space="preserve"> </w:t>
      </w:r>
      <w:r w:rsidR="6FD77106" w:rsidRPr="00D44D33">
        <w:rPr>
          <w:rFonts w:ascii="Times New Roman" w:eastAsiaTheme="minorEastAsia" w:hAnsi="Times New Roman" w:cs="Times New Roman"/>
          <w:sz w:val="24"/>
          <w:szCs w:val="24"/>
        </w:rPr>
        <w:t>nieruchomościami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współdziałania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wydawaniu</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ograniczania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korzystania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udzielenie</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zezwolenia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zakładanie</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przeprowadzenie</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właściciel</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wyraża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CA7217" w:rsidRPr="00D44D33">
        <w:rPr>
          <w:rFonts w:ascii="Times New Roman" w:eastAsiaTheme="minorEastAsia" w:hAnsi="Times New Roman" w:cs="Times New Roman"/>
          <w:sz w:val="24"/>
          <w:szCs w:val="24"/>
        </w:rPr>
        <w:t>zgody)</w:t>
      </w:r>
      <w:r w:rsidR="4FE70F4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37369D08"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21F651F0"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27</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marca</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2003</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615E24E" w:rsidRPr="00D44D33">
        <w:rPr>
          <w:rFonts w:ascii="Times New Roman" w:eastAsiaTheme="minorEastAsia" w:hAnsi="Times New Roman" w:cs="Times New Roman"/>
          <w:sz w:val="24"/>
          <w:szCs w:val="24"/>
        </w:rPr>
        <w:t>planowaniu</w:t>
      </w:r>
      <w:r w:rsidR="00970B2E" w:rsidRPr="00D44D33">
        <w:rPr>
          <w:rFonts w:ascii="Times New Roman" w:eastAsiaTheme="minorEastAsia" w:hAnsi="Times New Roman" w:cs="Times New Roman"/>
          <w:sz w:val="24"/>
          <w:szCs w:val="24"/>
        </w:rPr>
        <w:t xml:space="preserve"> </w:t>
      </w:r>
      <w:r w:rsidR="1615E24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1615E24E" w:rsidRPr="00D44D33">
        <w:rPr>
          <w:rFonts w:ascii="Times New Roman" w:eastAsiaTheme="minorEastAsia" w:hAnsi="Times New Roman" w:cs="Times New Roman"/>
          <w:sz w:val="24"/>
          <w:szCs w:val="24"/>
        </w:rPr>
        <w:t>zag</w:t>
      </w:r>
      <w:r w:rsidR="51F1E21F" w:rsidRPr="00D44D33">
        <w:rPr>
          <w:rFonts w:ascii="Times New Roman" w:eastAsiaTheme="minorEastAsia" w:hAnsi="Times New Roman" w:cs="Times New Roman"/>
          <w:sz w:val="24"/>
          <w:szCs w:val="24"/>
        </w:rPr>
        <w:t>ospodarowaniu</w:t>
      </w:r>
      <w:r w:rsidR="00970B2E" w:rsidRPr="00D44D33">
        <w:rPr>
          <w:rFonts w:ascii="Times New Roman" w:eastAsiaTheme="minorEastAsia" w:hAnsi="Times New Roman" w:cs="Times New Roman"/>
          <w:sz w:val="24"/>
          <w:szCs w:val="24"/>
        </w:rPr>
        <w:t xml:space="preserve"> </w:t>
      </w:r>
      <w:r w:rsidR="51F1E21F" w:rsidRPr="00D44D33">
        <w:rPr>
          <w:rFonts w:ascii="Times New Roman" w:eastAsiaTheme="minorEastAsia" w:hAnsi="Times New Roman" w:cs="Times New Roman"/>
          <w:sz w:val="24"/>
          <w:szCs w:val="24"/>
        </w:rPr>
        <w:t>przestrzennym</w:t>
      </w:r>
      <w:r w:rsidR="00970B2E" w:rsidRPr="00D44D33">
        <w:rPr>
          <w:rFonts w:ascii="Times New Roman" w:eastAsiaTheme="minorEastAsia" w:hAnsi="Times New Roman" w:cs="Times New Roman"/>
          <w:sz w:val="24"/>
          <w:szCs w:val="24"/>
        </w:rPr>
        <w:t xml:space="preserve"> </w:t>
      </w:r>
      <w:r w:rsidR="002D7B12" w:rsidRPr="00D44D33">
        <w:rPr>
          <w:rFonts w:ascii="Times New Roman" w:eastAsiaTheme="minorEastAsia" w:hAnsi="Times New Roman" w:cs="Times New Roman"/>
          <w:sz w:val="24"/>
          <w:szCs w:val="24"/>
        </w:rPr>
        <w:t xml:space="preserve">(Dz. U. z 2022 r. poz. 503) </w:t>
      </w:r>
      <w:r w:rsidR="51F1E21F" w:rsidRPr="00D44D33">
        <w:rPr>
          <w:rFonts w:ascii="Times New Roman" w:eastAsiaTheme="minorEastAsia" w:hAnsi="Times New Roman" w:cs="Times New Roman"/>
          <w:sz w:val="24"/>
          <w:szCs w:val="24"/>
        </w:rPr>
        <w:t>(</w:t>
      </w:r>
      <w:r w:rsidR="00220638" w:rsidRPr="00D44D33">
        <w:rPr>
          <w:rFonts w:ascii="Times New Roman" w:eastAsiaTheme="minorEastAsia" w:hAnsi="Times New Roman" w:cs="Times New Roman"/>
          <w:sz w:val="24"/>
          <w:szCs w:val="24"/>
        </w:rPr>
        <w:t>występowani</w:t>
      </w:r>
      <w:r w:rsidR="2CD61520"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36685B4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36685B46" w:rsidRPr="00D44D33">
        <w:rPr>
          <w:rFonts w:ascii="Times New Roman" w:eastAsiaTheme="minorEastAsia" w:hAnsi="Times New Roman" w:cs="Times New Roman"/>
          <w:sz w:val="24"/>
          <w:szCs w:val="24"/>
        </w:rPr>
        <w:t>prawach</w:t>
      </w:r>
      <w:r w:rsidR="00970B2E" w:rsidRPr="00D44D33">
        <w:rPr>
          <w:rFonts w:ascii="Times New Roman" w:eastAsiaTheme="minorEastAsia" w:hAnsi="Times New Roman" w:cs="Times New Roman"/>
          <w:sz w:val="24"/>
          <w:szCs w:val="24"/>
        </w:rPr>
        <w:t xml:space="preserve"> </w:t>
      </w:r>
      <w:r w:rsidR="36685B46" w:rsidRPr="00D44D33">
        <w:rPr>
          <w:rFonts w:ascii="Times New Roman" w:eastAsiaTheme="minorEastAsia" w:hAnsi="Times New Roman" w:cs="Times New Roman"/>
          <w:sz w:val="24"/>
          <w:szCs w:val="24"/>
        </w:rPr>
        <w:t>strony</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46231" w:rsidRPr="00D44D33">
        <w:rPr>
          <w:rFonts w:ascii="Times New Roman" w:eastAsiaTheme="minorEastAsia" w:hAnsi="Times New Roman" w:cs="Times New Roman"/>
          <w:sz w:val="24"/>
          <w:szCs w:val="24"/>
        </w:rPr>
        <w:t>postępowani</w:t>
      </w:r>
      <w:r w:rsidR="52B89B50" w:rsidRPr="00D44D33">
        <w:rPr>
          <w:rFonts w:ascii="Times New Roman" w:eastAsiaTheme="minorEastAsia" w:hAnsi="Times New Roman" w:cs="Times New Roman"/>
          <w:sz w:val="24"/>
          <w:szCs w:val="24"/>
        </w:rPr>
        <w:t>ach</w:t>
      </w:r>
      <w:r w:rsidR="00970B2E" w:rsidRPr="00D44D33">
        <w:rPr>
          <w:rFonts w:ascii="Times New Roman" w:eastAsiaTheme="minorEastAsia" w:hAnsi="Times New Roman" w:cs="Times New Roman"/>
          <w:sz w:val="24"/>
          <w:szCs w:val="24"/>
        </w:rPr>
        <w:t xml:space="preserve"> </w:t>
      </w:r>
      <w:r w:rsidR="00E4623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46231"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lokalizacji</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inwestycji</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publicznego</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łączności</w:t>
      </w:r>
      <w:r w:rsidR="00970B2E" w:rsidRPr="00D44D33">
        <w:rPr>
          <w:rFonts w:ascii="Times New Roman" w:eastAsiaTheme="minorEastAsia" w:hAnsi="Times New Roman" w:cs="Times New Roman"/>
          <w:sz w:val="24"/>
          <w:szCs w:val="24"/>
        </w:rPr>
        <w:t xml:space="preserve"> </w:t>
      </w:r>
      <w:r w:rsidR="00220638" w:rsidRPr="00D44D33">
        <w:rPr>
          <w:rFonts w:ascii="Times New Roman" w:eastAsiaTheme="minorEastAsia" w:hAnsi="Times New Roman" w:cs="Times New Roman"/>
          <w:sz w:val="24"/>
          <w:szCs w:val="24"/>
        </w:rPr>
        <w:t>publicznej)</w:t>
      </w:r>
      <w:r w:rsidR="001322F0" w:rsidRPr="00D44D33">
        <w:rPr>
          <w:rFonts w:ascii="Times New Roman" w:eastAsiaTheme="minorEastAsia" w:hAnsi="Times New Roman" w:cs="Times New Roman"/>
          <w:sz w:val="24"/>
          <w:szCs w:val="24"/>
        </w:rPr>
        <w:t>.</w:t>
      </w:r>
    </w:p>
    <w:p w14:paraId="20714DEE" w14:textId="0A7075CF" w:rsidR="007A0C8A" w:rsidRPr="00D44D33" w:rsidRDefault="004015C0" w:rsidP="00D44D33">
      <w:pPr>
        <w:suppressAutoHyphens/>
        <w:autoSpaceDE w:val="0"/>
        <w:autoSpaceDN w:val="0"/>
        <w:adjustRightInd w:val="0"/>
        <w:spacing w:before="120" w:after="120" w:line="360" w:lineRule="auto"/>
        <w:jc w:val="both"/>
        <w:rPr>
          <w:rFonts w:ascii="Times New Roman" w:eastAsiaTheme="minorEastAsia" w:hAnsi="Times New Roman" w:cs="Times New Roman"/>
          <w:bCs/>
          <w:sz w:val="24"/>
          <w:szCs w:val="24"/>
        </w:rPr>
      </w:pP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36DEC" w:rsidRPr="00D44D33">
        <w:rPr>
          <w:rFonts w:ascii="Times New Roman" w:eastAsiaTheme="minorEastAsia" w:hAnsi="Times New Roman" w:cs="Times New Roman"/>
          <w:sz w:val="24"/>
          <w:szCs w:val="24"/>
        </w:rPr>
        <w:t>414</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rozszerza</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względem</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uprzednio</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obowiązującej</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nadanie</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Prezesowi</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uprawnień</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wyposażenia</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pojazdów</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kategorii</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M</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samochodowe</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odbiorniki</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radiofoniczne</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zdolne</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odbioru</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cyfrowych</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transmisji</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8865FD" w:rsidRPr="00D44D33">
        <w:rPr>
          <w:rFonts w:ascii="Times New Roman" w:eastAsiaTheme="minorEastAsia" w:hAnsi="Times New Roman" w:cs="Times New Roman"/>
          <w:bCs/>
          <w:sz w:val="24"/>
          <w:szCs w:val="24"/>
        </w:rPr>
        <w:t>obowiązku</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sprzedaży</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odbiorników</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sygnału</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telewizyjnego</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oraz</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odbiorników</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radiofonii</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cyfrowej</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spełniających</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wymagania</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wynikające</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z</w:t>
      </w:r>
      <w:r w:rsidR="00371EEA">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przepisów</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wykonawczych</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wydanych</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na</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podstawie</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art.</w:t>
      </w:r>
      <w:r w:rsidR="00970B2E" w:rsidRPr="00D44D33">
        <w:rPr>
          <w:rFonts w:ascii="Times New Roman" w:eastAsiaTheme="minorEastAsia" w:hAnsi="Times New Roman" w:cs="Times New Roman"/>
          <w:bCs/>
          <w:sz w:val="24"/>
          <w:szCs w:val="24"/>
        </w:rPr>
        <w:t xml:space="preserve"> </w:t>
      </w:r>
      <w:r w:rsidR="008865FD" w:rsidRPr="00D44D33">
        <w:rPr>
          <w:rFonts w:ascii="Times New Roman" w:eastAsiaTheme="minorEastAsia" w:hAnsi="Times New Roman" w:cs="Times New Roman"/>
          <w:bCs/>
          <w:sz w:val="24"/>
          <w:szCs w:val="24"/>
        </w:rPr>
        <w:t>368</w:t>
      </w:r>
      <w:r w:rsidR="007A0C8A" w:rsidRPr="00D44D33">
        <w:rPr>
          <w:rFonts w:ascii="Times New Roman" w:eastAsiaTheme="minorEastAsia" w:hAnsi="Times New Roman" w:cs="Times New Roman"/>
          <w:bCs/>
          <w:sz w:val="24"/>
          <w:szCs w:val="24"/>
        </w:rPr>
        <w:t>.</w:t>
      </w:r>
    </w:p>
    <w:p w14:paraId="392534AA" w14:textId="06AD0C6F" w:rsidR="002D7B12" w:rsidRPr="00D44D33" w:rsidRDefault="006D1401"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hAnsi="Times New Roman" w:cs="Times New Roman"/>
          <w:b/>
          <w:sz w:val="24"/>
          <w:szCs w:val="24"/>
        </w:rPr>
        <w:t>R</w:t>
      </w:r>
      <w:r w:rsidR="00754575" w:rsidRPr="00D44D33">
        <w:rPr>
          <w:rFonts w:ascii="Times New Roman" w:hAnsi="Times New Roman" w:cs="Times New Roman"/>
          <w:b/>
          <w:sz w:val="24"/>
          <w:szCs w:val="24"/>
        </w:rPr>
        <w:t>ozdział</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2</w:t>
      </w:r>
    </w:p>
    <w:p w14:paraId="197085D4" w14:textId="4038F100" w:rsidR="00194BBE" w:rsidRPr="00D44D33" w:rsidRDefault="008C3C9F" w:rsidP="00D44D33">
      <w:pPr>
        <w:spacing w:before="120" w:after="120" w:line="360" w:lineRule="auto"/>
        <w:jc w:val="center"/>
        <w:rPr>
          <w:rFonts w:ascii="Times New Roman" w:eastAsiaTheme="minorEastAsia" w:hAnsi="Times New Roman" w:cs="Times New Roman"/>
          <w:b/>
          <w:bCs/>
          <w:sz w:val="24"/>
          <w:szCs w:val="24"/>
        </w:rPr>
      </w:pPr>
      <w:r w:rsidRPr="00D44D33">
        <w:rPr>
          <w:rFonts w:ascii="Times New Roman" w:eastAsiaTheme="minorEastAsia" w:hAnsi="Times New Roman" w:cs="Times New Roman"/>
          <w:b/>
          <w:bCs/>
          <w:sz w:val="24"/>
          <w:szCs w:val="24"/>
        </w:rPr>
        <w:t>Dział</w:t>
      </w:r>
      <w:r w:rsidR="006D1401" w:rsidRPr="00D44D33">
        <w:rPr>
          <w:rFonts w:ascii="Times New Roman" w:eastAsiaTheme="minorEastAsia" w:hAnsi="Times New Roman" w:cs="Times New Roman"/>
          <w:b/>
          <w:bCs/>
          <w:sz w:val="24"/>
          <w:szCs w:val="24"/>
        </w:rPr>
        <w:t>ania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k</w:t>
      </w:r>
      <w:r w:rsidR="007B3AE3" w:rsidRPr="00D44D33">
        <w:rPr>
          <w:rFonts w:ascii="Times New Roman" w:eastAsiaTheme="minorEastAsia" w:hAnsi="Times New Roman" w:cs="Times New Roman"/>
          <w:b/>
          <w:bCs/>
          <w:sz w:val="24"/>
          <w:szCs w:val="24"/>
        </w:rPr>
        <w:t>ontrol</w:t>
      </w:r>
      <w:r w:rsidR="00E0255F" w:rsidRPr="00D44D33">
        <w:rPr>
          <w:rFonts w:ascii="Times New Roman" w:eastAsiaTheme="minorEastAsia" w:hAnsi="Times New Roman" w:cs="Times New Roman"/>
          <w:b/>
          <w:bCs/>
          <w:sz w:val="24"/>
          <w:szCs w:val="24"/>
        </w:rPr>
        <w:t>ne</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Prezesa</w:t>
      </w:r>
      <w:r w:rsidR="00970B2E" w:rsidRPr="00D44D33">
        <w:rPr>
          <w:rFonts w:ascii="Times New Roman" w:eastAsiaTheme="minorEastAsia" w:hAnsi="Times New Roman" w:cs="Times New Roman"/>
          <w:b/>
          <w:bCs/>
          <w:sz w:val="24"/>
          <w:szCs w:val="24"/>
        </w:rPr>
        <w:t xml:space="preserve"> </w:t>
      </w:r>
      <w:r w:rsidRPr="00D44D33">
        <w:rPr>
          <w:rFonts w:ascii="Times New Roman" w:eastAsiaTheme="minorEastAsia" w:hAnsi="Times New Roman" w:cs="Times New Roman"/>
          <w:b/>
          <w:bCs/>
          <w:sz w:val="24"/>
          <w:szCs w:val="24"/>
        </w:rPr>
        <w:t>UKE</w:t>
      </w:r>
      <w:r w:rsidR="00970B2E" w:rsidRPr="00D44D33">
        <w:rPr>
          <w:rFonts w:ascii="Times New Roman" w:eastAsiaTheme="minorEastAsia" w:hAnsi="Times New Roman" w:cs="Times New Roman"/>
          <w:b/>
          <w:bCs/>
          <w:sz w:val="24"/>
          <w:szCs w:val="24"/>
        </w:rPr>
        <w:t xml:space="preserve"> </w:t>
      </w:r>
      <w:r w:rsidR="00E0255F" w:rsidRPr="00D44D33">
        <w:rPr>
          <w:rFonts w:ascii="Times New Roman" w:eastAsiaTheme="minorEastAsia" w:hAnsi="Times New Roman" w:cs="Times New Roman"/>
          <w:b/>
          <w:bCs/>
          <w:sz w:val="24"/>
          <w:szCs w:val="24"/>
        </w:rPr>
        <w:t>(art.</w:t>
      </w:r>
      <w:r w:rsidR="00970B2E" w:rsidRPr="00D44D33">
        <w:rPr>
          <w:rFonts w:ascii="Times New Roman" w:eastAsiaTheme="minorEastAsia" w:hAnsi="Times New Roman" w:cs="Times New Roman"/>
          <w:b/>
          <w:bCs/>
          <w:sz w:val="24"/>
          <w:szCs w:val="24"/>
        </w:rPr>
        <w:t xml:space="preserve"> </w:t>
      </w:r>
      <w:r w:rsidR="00E0255F" w:rsidRPr="00D44D33">
        <w:rPr>
          <w:rFonts w:ascii="Times New Roman" w:eastAsiaTheme="minorEastAsia" w:hAnsi="Times New Roman" w:cs="Times New Roman"/>
          <w:b/>
          <w:bCs/>
          <w:sz w:val="24"/>
          <w:szCs w:val="24"/>
        </w:rPr>
        <w:t>416</w:t>
      </w:r>
      <w:r w:rsidR="002D7B12" w:rsidRPr="00D44D33">
        <w:rPr>
          <w:rFonts w:ascii="Times New Roman" w:eastAsiaTheme="minorEastAsia" w:hAnsi="Times New Roman" w:cs="Times New Roman"/>
          <w:b/>
          <w:sz w:val="24"/>
          <w:szCs w:val="24"/>
        </w:rPr>
        <w:t>–</w:t>
      </w:r>
      <w:r w:rsidR="00E0255F" w:rsidRPr="00D44D33">
        <w:rPr>
          <w:rFonts w:ascii="Times New Roman" w:eastAsiaTheme="minorEastAsia" w:hAnsi="Times New Roman" w:cs="Times New Roman"/>
          <w:b/>
          <w:bCs/>
          <w:sz w:val="24"/>
          <w:szCs w:val="24"/>
        </w:rPr>
        <w:t>434)</w:t>
      </w:r>
    </w:p>
    <w:p w14:paraId="0CCACDFE" w14:textId="079E3A1E" w:rsidR="00C17123" w:rsidRPr="00D44D33" w:rsidRDefault="2F5C347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w:t>
      </w:r>
      <w:r w:rsidR="046C9F04" w:rsidRPr="00D44D33">
        <w:rPr>
          <w:rFonts w:ascii="Times New Roman" w:eastAsiaTheme="minorEastAsia" w:hAnsi="Times New Roman" w:cs="Times New Roman"/>
          <w:sz w:val="24"/>
          <w:szCs w:val="24"/>
        </w:rPr>
        <w:t>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przestrzegani</w:t>
      </w:r>
      <w:r w:rsidR="0D4AA73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79015307"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79015307"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spełniania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zwrócić</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wszystkie</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wynikające</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550F774E"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550F774E"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czyli</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zarówno</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związane</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regulacją</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rynków,</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gospodarowaniem</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częstotliwościami</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numeracją,</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76D59F4F"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DE56D36"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DE56D36"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0DE56D36" w:rsidRPr="00D44D33">
        <w:rPr>
          <w:rFonts w:ascii="Times New Roman" w:eastAsiaTheme="minorEastAsia" w:hAnsi="Times New Roman" w:cs="Times New Roman"/>
          <w:sz w:val="24"/>
          <w:szCs w:val="24"/>
        </w:rPr>
        <w:t>odbiorników</w:t>
      </w:r>
      <w:r w:rsidR="00970B2E" w:rsidRPr="00D44D33">
        <w:rPr>
          <w:rFonts w:ascii="Times New Roman" w:eastAsiaTheme="minorEastAsia" w:hAnsi="Times New Roman" w:cs="Times New Roman"/>
          <w:sz w:val="24"/>
          <w:szCs w:val="24"/>
        </w:rPr>
        <w:t xml:space="preserve"> </w:t>
      </w:r>
      <w:r w:rsidR="0DE56D36" w:rsidRPr="00D44D33">
        <w:rPr>
          <w:rFonts w:ascii="Times New Roman" w:eastAsiaTheme="minorEastAsia" w:hAnsi="Times New Roman" w:cs="Times New Roman"/>
          <w:sz w:val="24"/>
          <w:szCs w:val="24"/>
        </w:rPr>
        <w:t>samochodowych.</w:t>
      </w:r>
    </w:p>
    <w:p w14:paraId="5B4D30AF" w14:textId="7C86A230" w:rsidR="00C17123" w:rsidRPr="00D44D33" w:rsidRDefault="008D5A1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Zaproponowane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odbiegają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00D615ED" w:rsidRPr="00D44D33">
        <w:rPr>
          <w:rFonts w:ascii="Times New Roman" w:eastAsiaTheme="minorEastAsia" w:hAnsi="Times New Roman" w:cs="Times New Roman"/>
          <w:sz w:val="24"/>
          <w:szCs w:val="24"/>
        </w:rPr>
        <w:t>przyjętych</w:t>
      </w:r>
      <w:r w:rsidR="00970B2E" w:rsidRPr="00D44D33">
        <w:rPr>
          <w:rFonts w:ascii="Times New Roman" w:eastAsiaTheme="minorEastAsia" w:hAnsi="Times New Roman" w:cs="Times New Roman"/>
          <w:sz w:val="24"/>
          <w:szCs w:val="24"/>
        </w:rPr>
        <w:t xml:space="preserve"> </w:t>
      </w:r>
      <w:r w:rsidR="00D615E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8043886" w:rsidRPr="00D44D33">
        <w:rPr>
          <w:rFonts w:ascii="Times New Roman" w:eastAsiaTheme="minorEastAsia" w:hAnsi="Times New Roman" w:cs="Times New Roman"/>
          <w:sz w:val="24"/>
          <w:szCs w:val="24"/>
        </w:rPr>
        <w:t>Rozdziale</w:t>
      </w:r>
      <w:r w:rsidR="00970B2E" w:rsidRPr="00D44D33">
        <w:rPr>
          <w:rFonts w:ascii="Times New Roman" w:eastAsiaTheme="minorEastAsia" w:hAnsi="Times New Roman" w:cs="Times New Roman"/>
          <w:sz w:val="24"/>
          <w:szCs w:val="24"/>
        </w:rPr>
        <w:t xml:space="preserve"> </w:t>
      </w:r>
      <w:r w:rsidR="3804388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38043886"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38043886" w:rsidRPr="00D44D33">
        <w:rPr>
          <w:rFonts w:ascii="Times New Roman" w:eastAsiaTheme="minorEastAsia" w:hAnsi="Times New Roman" w:cs="Times New Roman"/>
          <w:sz w:val="24"/>
          <w:szCs w:val="24"/>
        </w:rPr>
        <w:t>X</w:t>
      </w:r>
      <w:r w:rsidR="00970B2E" w:rsidRPr="00D44D33">
        <w:rPr>
          <w:rFonts w:ascii="Times New Roman" w:eastAsiaTheme="minorEastAsia" w:hAnsi="Times New Roman" w:cs="Times New Roman"/>
          <w:sz w:val="24"/>
          <w:szCs w:val="24"/>
        </w:rPr>
        <w:t xml:space="preserve"> </w:t>
      </w:r>
      <w:r w:rsidR="00D615ED" w:rsidRPr="00D44D33">
        <w:rPr>
          <w:rFonts w:ascii="Times New Roman" w:eastAsiaTheme="minorEastAsia" w:hAnsi="Times New Roman" w:cs="Times New Roman"/>
          <w:sz w:val="24"/>
          <w:szCs w:val="24"/>
        </w:rPr>
        <w:t>ustaw</w:t>
      </w:r>
      <w:r w:rsidR="62448AF6" w:rsidRPr="00D44D33">
        <w:rPr>
          <w:rFonts w:ascii="Times New Roman" w:eastAsiaTheme="minorEastAsia" w:hAnsi="Times New Roman" w:cs="Times New Roman"/>
          <w:sz w:val="24"/>
          <w:szCs w:val="24"/>
        </w:rPr>
        <w:t>y</w:t>
      </w:r>
      <w:r w:rsidR="00970B2E" w:rsidRPr="00D44D33">
        <w:rPr>
          <w:rFonts w:ascii="Times New Roman" w:eastAsiaTheme="minorEastAsia" w:hAnsi="Times New Roman" w:cs="Times New Roman"/>
          <w:sz w:val="24"/>
          <w:szCs w:val="24"/>
        </w:rPr>
        <w:t xml:space="preserve"> </w:t>
      </w:r>
      <w:r w:rsidR="57FDBE7E"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większej</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jasności</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przejrzystości</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wymienia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przykładowe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jakie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weryfikacji</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podejmować.</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wymienić</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oprócz</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prowadzenia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334C0E0" w:rsidRPr="00D44D33">
        <w:rPr>
          <w:rFonts w:ascii="Times New Roman" w:eastAsiaTheme="minorEastAsia" w:hAnsi="Times New Roman" w:cs="Times New Roman"/>
          <w:sz w:val="24"/>
          <w:szCs w:val="24"/>
        </w:rPr>
        <w:t>po</w:t>
      </w:r>
      <w:r w:rsidR="00783701" w:rsidRPr="00D44D33">
        <w:rPr>
          <w:rFonts w:ascii="Times New Roman" w:eastAsiaTheme="minorEastAsia" w:hAnsi="Times New Roman" w:cs="Times New Roman"/>
          <w:sz w:val="24"/>
          <w:szCs w:val="24"/>
        </w:rPr>
        <w:t>kontrolnego,</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monitorowanie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lokalizowanie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źródła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odrębne</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28EDA45D"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28EDA45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postępowania</w:t>
      </w:r>
      <w:r w:rsidR="00371EEA">
        <w:rPr>
          <w:rFonts w:ascii="Times New Roman" w:eastAsiaTheme="minorEastAsia" w:hAnsi="Times New Roman" w:cs="Times New Roman"/>
          <w:sz w:val="24"/>
          <w:szCs w:val="24"/>
        </w:rPr>
        <w:t xml:space="preserve"> </w:t>
      </w:r>
      <w:r w:rsidR="00783701" w:rsidRPr="00D44D33">
        <w:rPr>
          <w:rFonts w:ascii="Times New Roman" w:eastAsiaTheme="minorEastAsia" w:hAnsi="Times New Roman" w:cs="Times New Roman"/>
          <w:sz w:val="24"/>
          <w:szCs w:val="24"/>
        </w:rPr>
        <w:t>pokontrolnego.</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wskazać,</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kontrola</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skierowana</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przeciwko</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konkretnej</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osobie/podmiotowi,</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monitorowanie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następuje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jeszcze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wiadome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doszło</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ogóle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pracownicy</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badają</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podczas</w:t>
      </w:r>
      <w:r w:rsidR="00970B2E" w:rsidRPr="00D44D33">
        <w:rPr>
          <w:rFonts w:ascii="Times New Roman" w:eastAsiaTheme="minorEastAsia" w:hAnsi="Times New Roman" w:cs="Times New Roman"/>
          <w:sz w:val="24"/>
          <w:szCs w:val="24"/>
        </w:rPr>
        <w:t xml:space="preserve"> </w:t>
      </w:r>
      <w:r w:rsidR="00B069C7" w:rsidRPr="00D44D33">
        <w:rPr>
          <w:rFonts w:ascii="Times New Roman" w:eastAsiaTheme="minorEastAsia" w:hAnsi="Times New Roman" w:cs="Times New Roman"/>
          <w:sz w:val="24"/>
          <w:szCs w:val="24"/>
        </w:rPr>
        <w:t>objazdów</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samochodowych</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wykorzystaniu</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odpowiedniego</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sprzętu)</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danym</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obszarze</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doszło</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radiowych,</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wykorzystania</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następnie</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porównania</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wydanymi</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pozwoleniami,</w:t>
      </w:r>
      <w:r w:rsidR="00970B2E" w:rsidRPr="00D44D33">
        <w:rPr>
          <w:rFonts w:ascii="Times New Roman" w:eastAsiaTheme="minorEastAsia" w:hAnsi="Times New Roman" w:cs="Times New Roman"/>
          <w:sz w:val="24"/>
          <w:szCs w:val="24"/>
        </w:rPr>
        <w:t xml:space="preserve"> </w:t>
      </w:r>
      <w:r w:rsidR="00A37084" w:rsidRPr="00D44D33">
        <w:rPr>
          <w:rFonts w:ascii="Times New Roman" w:eastAsiaTheme="minorEastAsia" w:hAnsi="Times New Roman" w:cs="Times New Roman"/>
          <w:sz w:val="24"/>
          <w:szCs w:val="24"/>
        </w:rPr>
        <w:t>decyzjami.</w:t>
      </w:r>
    </w:p>
    <w:p w14:paraId="3B51983E" w14:textId="6382693C" w:rsidR="0083596D" w:rsidRPr="00D44D33" w:rsidRDefault="0083596D"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E0255F" w:rsidRPr="00D44D33">
        <w:rPr>
          <w:rFonts w:ascii="Times New Roman" w:eastAsiaTheme="minorEastAsia" w:hAnsi="Times New Roman" w:cs="Times New Roman"/>
          <w:b/>
          <w:bCs/>
          <w:sz w:val="24"/>
          <w:szCs w:val="24"/>
        </w:rPr>
        <w:t>416</w:t>
      </w:r>
      <w:r w:rsidR="002D7B12" w:rsidRPr="00D44D33">
        <w:rPr>
          <w:rFonts w:ascii="Times New Roman" w:eastAsiaTheme="minorEastAsia" w:hAnsi="Times New Roman" w:cs="Times New Roman"/>
          <w:b/>
          <w:sz w:val="24"/>
          <w:szCs w:val="24"/>
        </w:rPr>
        <w:t>–</w:t>
      </w:r>
      <w:r w:rsidR="00E0255F" w:rsidRPr="00D44D33">
        <w:rPr>
          <w:rFonts w:ascii="Times New Roman" w:eastAsiaTheme="minorEastAsia" w:hAnsi="Times New Roman" w:cs="Times New Roman"/>
          <w:b/>
          <w:bCs/>
          <w:sz w:val="24"/>
          <w:szCs w:val="24"/>
        </w:rPr>
        <w:t>427</w:t>
      </w:r>
    </w:p>
    <w:p w14:paraId="444A673A" w14:textId="7AE0196E" w:rsidR="008662BA" w:rsidRPr="00D44D33" w:rsidRDefault="008662B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znajdujących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wyrobów.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3C2A8D"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środek</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wykonawczy</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50100"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2005/32/WE</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dn</w:t>
      </w:r>
      <w:r w:rsidR="00673879" w:rsidRPr="00D44D33">
        <w:rPr>
          <w:rFonts w:ascii="Times New Roman" w:eastAsiaTheme="minorEastAsia" w:hAnsi="Times New Roman" w:cs="Times New Roman"/>
          <w:sz w:val="24"/>
          <w:szCs w:val="24"/>
        </w:rPr>
        <w:t>ia</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6</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2005</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ustanawiającej</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ekoprojektu</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00D755CE" w:rsidRPr="00D44D33">
        <w:rPr>
          <w:rFonts w:ascii="Times New Roman" w:eastAsiaTheme="minorEastAsia" w:hAnsi="Times New Roman" w:cs="Times New Roman"/>
          <w:sz w:val="24"/>
          <w:szCs w:val="24"/>
        </w:rPr>
        <w:t>energię</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2009/125/WE</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października</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2009</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ustanawiając</w:t>
      </w:r>
      <w:r w:rsidR="6AC1F1C0"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ogólne</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ustalania</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wymogów</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ekoprojektu</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673879" w:rsidRPr="00D44D33">
        <w:rPr>
          <w:rFonts w:ascii="Times New Roman" w:eastAsiaTheme="minorEastAsia" w:hAnsi="Times New Roman" w:cs="Times New Roman"/>
          <w:sz w:val="24"/>
          <w:szCs w:val="24"/>
        </w:rPr>
        <w:t>energią.</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kompetencje</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wykorzystujących</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energię</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znakowania</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efektywności</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energetycznej,</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także</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6F1F97" w:rsidRPr="00D44D33">
        <w:rPr>
          <w:rFonts w:ascii="Times New Roman" w:eastAsiaTheme="minorEastAsia" w:hAnsi="Times New Roman" w:cs="Times New Roman"/>
          <w:sz w:val="24"/>
          <w:szCs w:val="24"/>
        </w:rPr>
        <w:t>aparatury.</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powyższym</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aktualizację</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unijnych,</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zawarty</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był</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37EA4AAE"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00240DB1" w:rsidRPr="00D44D33">
        <w:rPr>
          <w:rFonts w:ascii="Times New Roman" w:eastAsiaTheme="minorEastAsia" w:hAnsi="Times New Roman" w:cs="Times New Roman"/>
          <w:sz w:val="24"/>
          <w:szCs w:val="24"/>
        </w:rPr>
        <w:t>kontrolne.</w:t>
      </w:r>
      <w:r w:rsidR="00970B2E" w:rsidRPr="00D44D33">
        <w:rPr>
          <w:rFonts w:ascii="Times New Roman" w:eastAsiaTheme="minorEastAsia" w:hAnsi="Times New Roman" w:cs="Times New Roman"/>
          <w:sz w:val="24"/>
          <w:szCs w:val="24"/>
        </w:rPr>
        <w:t xml:space="preserve"> </w:t>
      </w:r>
    </w:p>
    <w:p w14:paraId="7566FAB4" w14:textId="7B68C82E" w:rsidR="2D0BAE70" w:rsidRPr="00D44D33" w:rsidRDefault="4FDEDC8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kontrolującym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września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etykietowaniu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energetycznym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2020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378)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obrotu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oddawanych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przeprowadzającym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energetycznej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biurowych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etykietowaniu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energetycznym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produktów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realizacji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programu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znakowania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energetycznej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biurowych.</w:t>
      </w:r>
    </w:p>
    <w:p w14:paraId="0AACB50B" w14:textId="79A5B857" w:rsidR="00287011" w:rsidRPr="00D44D33" w:rsidRDefault="00287011"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pewności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prawnej</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rzetelności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utrzymano</w:t>
      </w:r>
      <w:r w:rsidR="00970B2E" w:rsidRPr="00D44D33">
        <w:rPr>
          <w:rFonts w:ascii="Times New Roman" w:eastAsiaTheme="minorEastAsia" w:hAnsi="Times New Roman" w:cs="Times New Roman"/>
          <w:sz w:val="24"/>
          <w:szCs w:val="24"/>
        </w:rPr>
        <w:t xml:space="preserve"> </w:t>
      </w:r>
      <w:r w:rsidR="457AA922" w:rsidRPr="00D44D33">
        <w:rPr>
          <w:rFonts w:ascii="Times New Roman" w:eastAsiaTheme="minorEastAsia" w:hAnsi="Times New Roman" w:cs="Times New Roman"/>
          <w:sz w:val="24"/>
          <w:szCs w:val="24"/>
        </w:rPr>
        <w:t>zawarte</w:t>
      </w:r>
      <w:r w:rsidR="00970B2E" w:rsidRPr="00D44D33">
        <w:rPr>
          <w:rFonts w:ascii="Times New Roman" w:eastAsiaTheme="minorEastAsia" w:hAnsi="Times New Roman" w:cs="Times New Roman"/>
          <w:sz w:val="24"/>
          <w:szCs w:val="24"/>
        </w:rPr>
        <w:t xml:space="preserve"> </w:t>
      </w:r>
      <w:r w:rsidR="457AA92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57AA922"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457AA922"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wymagające,</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kontrole</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przeprowadzali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pracownicy</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pozostające</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stosunku</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okazaniu</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legitymacji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służbowej</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doręczeniu</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upoważnienia</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Minister</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DE6EE5" w:rsidRPr="00D44D33">
        <w:rPr>
          <w:rFonts w:ascii="Times New Roman" w:eastAsiaTheme="minorEastAsia" w:hAnsi="Times New Roman" w:cs="Times New Roman"/>
          <w:sz w:val="24"/>
          <w:szCs w:val="24"/>
        </w:rPr>
        <w:t>okr</w:t>
      </w:r>
      <w:r w:rsidR="00EB5232" w:rsidRPr="00D44D33">
        <w:rPr>
          <w:rFonts w:ascii="Times New Roman" w:eastAsiaTheme="minorEastAsia" w:hAnsi="Times New Roman" w:cs="Times New Roman"/>
          <w:sz w:val="24"/>
          <w:szCs w:val="24"/>
        </w:rPr>
        <w:t>eśli</w:t>
      </w:r>
      <w:r w:rsidR="00970B2E" w:rsidRPr="00D44D33">
        <w:rPr>
          <w:rFonts w:ascii="Times New Roman" w:eastAsiaTheme="minorEastAsia" w:hAnsi="Times New Roman" w:cs="Times New Roman"/>
          <w:sz w:val="24"/>
          <w:szCs w:val="24"/>
        </w:rPr>
        <w:t xml:space="preserve"> </w:t>
      </w:r>
      <w:r w:rsidR="00EB5232"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EB5232"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EB5232"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00EB5232" w:rsidRPr="00D44D33">
        <w:rPr>
          <w:rFonts w:ascii="Times New Roman" w:eastAsiaTheme="minorEastAsia" w:hAnsi="Times New Roman" w:cs="Times New Roman"/>
          <w:sz w:val="24"/>
          <w:szCs w:val="24"/>
        </w:rPr>
        <w:t>legitymacji.</w:t>
      </w:r>
      <w:r w:rsidR="00970B2E" w:rsidRPr="00D44D33">
        <w:rPr>
          <w:rFonts w:ascii="Times New Roman" w:eastAsiaTheme="minorEastAsia" w:hAnsi="Times New Roman" w:cs="Times New Roman"/>
          <w:sz w:val="24"/>
          <w:szCs w:val="24"/>
        </w:rPr>
        <w:t xml:space="preserve"> </w:t>
      </w:r>
    </w:p>
    <w:p w14:paraId="1EAA1EF8" w14:textId="5CFB9096" w:rsidR="00EB5232" w:rsidRPr="00D44D33" w:rsidRDefault="00EB5232"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3A2B7E3B"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3A2B7E3B" w:rsidRPr="00D44D33">
        <w:rPr>
          <w:rFonts w:ascii="Times New Roman" w:eastAsiaTheme="minorEastAsia" w:hAnsi="Times New Roman" w:cs="Times New Roman"/>
          <w:sz w:val="24"/>
          <w:szCs w:val="24"/>
        </w:rPr>
        <w:t>wprowadzenie</w:t>
      </w:r>
      <w:r w:rsidR="00970B2E" w:rsidRPr="00D44D33">
        <w:rPr>
          <w:rFonts w:ascii="Times New Roman" w:eastAsiaTheme="minorEastAsia" w:hAnsi="Times New Roman" w:cs="Times New Roman"/>
          <w:sz w:val="24"/>
          <w:szCs w:val="24"/>
        </w:rPr>
        <w:t xml:space="preserve"> </w:t>
      </w:r>
      <w:r w:rsidR="3A2B7E3B" w:rsidRPr="00D44D33">
        <w:rPr>
          <w:rFonts w:ascii="Times New Roman" w:eastAsiaTheme="minorEastAsia" w:hAnsi="Times New Roman" w:cs="Times New Roman"/>
          <w:sz w:val="24"/>
          <w:szCs w:val="24"/>
        </w:rPr>
        <w:t>now</w:t>
      </w:r>
      <w:r w:rsidR="1977D55E" w:rsidRPr="00D44D33">
        <w:rPr>
          <w:rFonts w:ascii="Times New Roman" w:eastAsiaTheme="minorEastAsia" w:hAnsi="Times New Roman" w:cs="Times New Roman"/>
          <w:sz w:val="24"/>
          <w:szCs w:val="24"/>
        </w:rPr>
        <w:t>ej</w:t>
      </w:r>
      <w:r w:rsidR="00970B2E" w:rsidRPr="00D44D33">
        <w:rPr>
          <w:rFonts w:ascii="Times New Roman" w:eastAsiaTheme="minorEastAsia" w:hAnsi="Times New Roman" w:cs="Times New Roman"/>
          <w:sz w:val="24"/>
          <w:szCs w:val="24"/>
        </w:rPr>
        <w:t xml:space="preserve"> </w:t>
      </w:r>
      <w:r w:rsidR="3A2B7E3B"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006A33C7" w:rsidRPr="00D44D33">
        <w:rPr>
          <w:rFonts w:ascii="Times New Roman" w:eastAsiaTheme="minorEastAsia" w:hAnsi="Times New Roman" w:cs="Times New Roman"/>
          <w:sz w:val="24"/>
          <w:szCs w:val="24"/>
        </w:rPr>
        <w:t>dotycząc</w:t>
      </w:r>
      <w:r w:rsidR="6D4BC722" w:rsidRPr="00D44D33">
        <w:rPr>
          <w:rFonts w:ascii="Times New Roman" w:eastAsiaTheme="minorEastAsia" w:hAnsi="Times New Roman" w:cs="Times New Roman"/>
          <w:sz w:val="24"/>
          <w:szCs w:val="24"/>
        </w:rPr>
        <w:t>ej</w:t>
      </w:r>
      <w:r w:rsidR="00E507A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wymagającej</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niezwłocznych</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działań,</w:t>
      </w:r>
      <w:r w:rsidR="00970B2E" w:rsidRPr="00D44D33">
        <w:rPr>
          <w:rFonts w:ascii="Times New Roman" w:eastAsiaTheme="minorEastAsia" w:hAnsi="Times New Roman" w:cs="Times New Roman"/>
          <w:sz w:val="24"/>
          <w:szCs w:val="24"/>
        </w:rPr>
        <w:t xml:space="preserve"> </w:t>
      </w:r>
      <w:r w:rsidR="006A33C7"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takich</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sytuacjach</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bowiem</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powinno</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dopuszczalne</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rozpoczęcie</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jedynie</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okazaniu</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legitymacji</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służbowej,</w:t>
      </w:r>
      <w:r w:rsidR="00970B2E" w:rsidRPr="00D44D33">
        <w:rPr>
          <w:rFonts w:ascii="Times New Roman" w:eastAsiaTheme="minorEastAsia" w:hAnsi="Times New Roman" w:cs="Times New Roman"/>
          <w:sz w:val="24"/>
          <w:szCs w:val="24"/>
        </w:rPr>
        <w:t xml:space="preserve"> </w:t>
      </w:r>
      <w:r w:rsidR="000D404D"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upoważnienie</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można</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doręczyć</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00CE71B5" w:rsidRPr="00D44D33">
        <w:rPr>
          <w:rFonts w:ascii="Times New Roman" w:eastAsiaTheme="minorEastAsia" w:hAnsi="Times New Roman" w:cs="Times New Roman"/>
          <w:sz w:val="24"/>
          <w:szCs w:val="24"/>
        </w:rPr>
        <w:t>t</w:t>
      </w:r>
      <w:r w:rsidR="00E507A0" w:rsidRPr="00D44D33">
        <w:rPr>
          <w:rFonts w:ascii="Times New Roman" w:eastAsiaTheme="minorEastAsia" w:hAnsi="Times New Roman" w:cs="Times New Roman"/>
          <w:sz w:val="24"/>
          <w:szCs w:val="24"/>
        </w:rPr>
        <w:t>rzech</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dni</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podjęcia</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Określono</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elementy</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upoważnienia</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E507A0" w:rsidRPr="00D44D33">
        <w:rPr>
          <w:rFonts w:ascii="Times New Roman" w:eastAsiaTheme="minorEastAsia" w:hAnsi="Times New Roman" w:cs="Times New Roman"/>
          <w:sz w:val="24"/>
          <w:szCs w:val="24"/>
        </w:rPr>
        <w:t>fizycznej</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wzorowane</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analogicznym</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katalogu</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49</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D3104" w:rsidRPr="00D44D33">
        <w:rPr>
          <w:rFonts w:ascii="Times New Roman" w:eastAsiaTheme="minorEastAsia" w:hAnsi="Times New Roman" w:cs="Times New Roman"/>
          <w:sz w:val="24"/>
          <w:szCs w:val="24"/>
        </w:rPr>
        <w:t xml:space="preserve">z dnia 6 marca 2018 r. </w:t>
      </w:r>
      <w:r w:rsidR="00FF305C"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00FF305C"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009F1509" w:rsidRPr="00D44D33">
        <w:rPr>
          <w:rFonts w:ascii="Times New Roman" w:eastAsiaTheme="minorEastAsia" w:hAnsi="Times New Roman" w:cs="Times New Roman"/>
          <w:sz w:val="24"/>
          <w:szCs w:val="24"/>
        </w:rPr>
        <w:t xml:space="preserve">W związku z tym, że organ nie zawsze będzie miał pełne dane osoby kontrolowanej upoważnienie do przeprowadzenia kontroli będzie wskazywać oznaczenie osoby kontrolowanej. </w:t>
      </w:r>
      <w:r w:rsidR="1F0D7113"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1F0D7113"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1F0D7113"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F6ACBD6"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1F6ACBD6"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1F6ACBD6"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1F6ACBD6" w:rsidRPr="00D44D33">
        <w:rPr>
          <w:rFonts w:ascii="Times New Roman" w:eastAsiaTheme="minorEastAsia" w:hAnsi="Times New Roman" w:cs="Times New Roman"/>
          <w:sz w:val="24"/>
          <w:szCs w:val="24"/>
        </w:rPr>
        <w:t>dotyczył</w:t>
      </w:r>
      <w:r w:rsidR="00970B2E" w:rsidRPr="00D44D33">
        <w:rPr>
          <w:rFonts w:ascii="Times New Roman" w:eastAsiaTheme="minorEastAsia" w:hAnsi="Times New Roman" w:cs="Times New Roman"/>
          <w:sz w:val="24"/>
          <w:szCs w:val="24"/>
        </w:rPr>
        <w:t xml:space="preserve"> </w:t>
      </w:r>
      <w:r w:rsidR="1F0D7113" w:rsidRPr="00D44D33">
        <w:rPr>
          <w:rFonts w:ascii="Times New Roman" w:eastAsiaTheme="minorEastAsia" w:hAnsi="Times New Roman" w:cs="Times New Roman"/>
          <w:sz w:val="24"/>
          <w:szCs w:val="24"/>
        </w:rPr>
        <w:t>kontrol</w:t>
      </w:r>
      <w:r w:rsidR="3D6F0C3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prowadzonej</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tę</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osobę</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3D6F0C38"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20A69E02" w:rsidRPr="00D44D33">
        <w:rPr>
          <w:rFonts w:ascii="Times New Roman" w:eastAsiaTheme="minorEastAsia" w:hAnsi="Times New Roman" w:cs="Times New Roman"/>
          <w:sz w:val="24"/>
          <w:szCs w:val="24"/>
        </w:rPr>
        <w:t>wprowadzony,</w:t>
      </w:r>
      <w:r w:rsidR="00970B2E" w:rsidRPr="00D44D33">
        <w:rPr>
          <w:rFonts w:ascii="Times New Roman" w:eastAsiaTheme="minorEastAsia" w:hAnsi="Times New Roman" w:cs="Times New Roman"/>
          <w:sz w:val="24"/>
          <w:szCs w:val="24"/>
        </w:rPr>
        <w:t xml:space="preserve"> </w:t>
      </w:r>
      <w:r w:rsidR="20A69E02"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20A69E02" w:rsidRPr="00D44D33">
        <w:rPr>
          <w:rFonts w:ascii="Times New Roman" w:eastAsiaTheme="minorEastAsia" w:hAnsi="Times New Roman" w:cs="Times New Roman"/>
          <w:sz w:val="24"/>
          <w:szCs w:val="24"/>
        </w:rPr>
        <w:t>istnieje</w:t>
      </w:r>
      <w:r w:rsidR="00970B2E" w:rsidRPr="00D44D33">
        <w:rPr>
          <w:rFonts w:ascii="Times New Roman" w:eastAsiaTheme="minorEastAsia" w:hAnsi="Times New Roman" w:cs="Times New Roman"/>
          <w:sz w:val="24"/>
          <w:szCs w:val="24"/>
        </w:rPr>
        <w:t xml:space="preserve"> </w:t>
      </w:r>
      <w:r w:rsidR="20A69E02" w:rsidRPr="00D44D33">
        <w:rPr>
          <w:rFonts w:ascii="Times New Roman" w:eastAsiaTheme="minorEastAsia" w:hAnsi="Times New Roman" w:cs="Times New Roman"/>
          <w:sz w:val="24"/>
          <w:szCs w:val="24"/>
        </w:rPr>
        <w:t>potrzeba</w:t>
      </w:r>
      <w:r w:rsidR="00970B2E" w:rsidRPr="00D44D33">
        <w:rPr>
          <w:rFonts w:ascii="Times New Roman" w:eastAsiaTheme="minorEastAsia" w:hAnsi="Times New Roman" w:cs="Times New Roman"/>
          <w:sz w:val="24"/>
          <w:szCs w:val="24"/>
        </w:rPr>
        <w:t xml:space="preserve"> </w:t>
      </w:r>
      <w:r w:rsidR="20A69E02" w:rsidRPr="00D44D33">
        <w:rPr>
          <w:rFonts w:ascii="Times New Roman" w:eastAsiaTheme="minorEastAsia" w:hAnsi="Times New Roman" w:cs="Times New Roman"/>
          <w:sz w:val="24"/>
          <w:szCs w:val="24"/>
        </w:rPr>
        <w:t>szybkiego</w:t>
      </w:r>
      <w:r w:rsidR="00970B2E" w:rsidRPr="00D44D33">
        <w:rPr>
          <w:rFonts w:ascii="Times New Roman" w:eastAsiaTheme="minorEastAsia" w:hAnsi="Times New Roman" w:cs="Times New Roman"/>
          <w:sz w:val="24"/>
          <w:szCs w:val="24"/>
        </w:rPr>
        <w:t xml:space="preserve"> </w:t>
      </w:r>
      <w:r w:rsidR="4A2A382A" w:rsidRPr="00D44D33">
        <w:rPr>
          <w:rFonts w:ascii="Times New Roman" w:eastAsiaTheme="minorEastAsia" w:hAnsi="Times New Roman" w:cs="Times New Roman"/>
          <w:sz w:val="24"/>
          <w:szCs w:val="24"/>
        </w:rPr>
        <w:t>reagowania</w:t>
      </w:r>
      <w:r w:rsidR="00970B2E" w:rsidRPr="00D44D33">
        <w:rPr>
          <w:rFonts w:ascii="Times New Roman" w:eastAsiaTheme="minorEastAsia" w:hAnsi="Times New Roman" w:cs="Times New Roman"/>
          <w:sz w:val="24"/>
          <w:szCs w:val="24"/>
        </w:rPr>
        <w:t xml:space="preserve"> </w:t>
      </w:r>
      <w:r w:rsidR="753C9CF0"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4A2A382A"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A2A382A" w:rsidRPr="00D44D33">
        <w:rPr>
          <w:rFonts w:ascii="Times New Roman" w:eastAsiaTheme="minorEastAsia" w:hAnsi="Times New Roman" w:cs="Times New Roman"/>
          <w:sz w:val="24"/>
          <w:szCs w:val="24"/>
        </w:rPr>
        <w:t>sytuacj</w:t>
      </w:r>
      <w:r w:rsidR="20C4C4AA" w:rsidRPr="00D44D33">
        <w:rPr>
          <w:rFonts w:ascii="Times New Roman" w:eastAsiaTheme="minorEastAsia" w:hAnsi="Times New Roman" w:cs="Times New Roman"/>
          <w:sz w:val="24"/>
          <w:szCs w:val="24"/>
        </w:rPr>
        <w:t>ach</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fizyczne</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powodujących</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20C4C4AA"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dopuszczania</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oszustw</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BF78A0E" w:rsidRPr="00D44D33">
        <w:rPr>
          <w:rFonts w:ascii="Times New Roman" w:eastAsiaTheme="minorEastAsia" w:hAnsi="Times New Roman" w:cs="Times New Roman"/>
          <w:sz w:val="24"/>
          <w:szCs w:val="24"/>
        </w:rPr>
        <w:t>nadużyć.</w:t>
      </w:r>
    </w:p>
    <w:p w14:paraId="7F72DDDE" w14:textId="13E3D5AC" w:rsidR="00D363C6" w:rsidRPr="00D44D33" w:rsidRDefault="00D363C6" w:rsidP="00D44D33">
      <w:pPr>
        <w:spacing w:before="120" w:after="120" w:line="360" w:lineRule="auto"/>
        <w:jc w:val="both"/>
        <w:rPr>
          <w:rStyle w:val="articletitle"/>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gospodarczej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rozdział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FD3104" w:rsidRPr="00D44D33">
        <w:rPr>
          <w:rFonts w:ascii="Times New Roman" w:eastAsiaTheme="minorEastAsia" w:hAnsi="Times New Roman" w:cs="Times New Roman"/>
          <w:sz w:val="24"/>
          <w:szCs w:val="24"/>
        </w:rPr>
        <w:t xml:space="preserve">z dnia 6 marca 2018 r.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ograniczeń</w:t>
      </w:r>
      <w:r w:rsidR="00970B2E" w:rsidRPr="00D44D33">
        <w:rPr>
          <w:rFonts w:ascii="Times New Roman" w:eastAsiaTheme="minorEastAsia" w:hAnsi="Times New Roman" w:cs="Times New Roman"/>
          <w:sz w:val="24"/>
          <w:szCs w:val="24"/>
        </w:rPr>
        <w:t xml:space="preserve"> </w:t>
      </w:r>
      <w:r w:rsidR="00491353"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491353" w:rsidRPr="00D44D33">
        <w:rPr>
          <w:rFonts w:ascii="Times New Roman" w:eastAsiaTheme="minorEastAsia" w:hAnsi="Times New Roman" w:cs="Times New Roman"/>
          <w:sz w:val="24"/>
          <w:szCs w:val="24"/>
        </w:rPr>
        <w:t>Rozdział</w:t>
      </w:r>
      <w:r w:rsidR="00970B2E" w:rsidRPr="00D44D33">
        <w:rPr>
          <w:rFonts w:ascii="Times New Roman" w:eastAsiaTheme="minorEastAsia" w:hAnsi="Times New Roman" w:cs="Times New Roman"/>
          <w:sz w:val="24"/>
          <w:szCs w:val="24"/>
        </w:rPr>
        <w:t xml:space="preserve"> </w:t>
      </w:r>
      <w:r w:rsidR="00491353"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491353" w:rsidRPr="00D44D33">
        <w:rPr>
          <w:rFonts w:ascii="Times New Roman" w:eastAsiaTheme="minorEastAsia" w:hAnsi="Times New Roman" w:cs="Times New Roman"/>
          <w:sz w:val="24"/>
          <w:szCs w:val="24"/>
        </w:rPr>
        <w:t>określa</w:t>
      </w:r>
      <w:r w:rsidR="00970B2E" w:rsidRPr="00D44D33">
        <w:rPr>
          <w:rFonts w:ascii="Times New Roman" w:eastAsiaTheme="minorEastAsia" w:hAnsi="Times New Roman" w:cs="Times New Roman"/>
          <w:sz w:val="24"/>
          <w:szCs w:val="24"/>
        </w:rPr>
        <w:t xml:space="preserve"> </w:t>
      </w:r>
      <w:r w:rsidR="00491353"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00491353" w:rsidRPr="00D44D33">
        <w:rPr>
          <w:rStyle w:val="highlight-disabled"/>
          <w:rFonts w:ascii="Times New Roman" w:eastAsiaTheme="minorEastAsia" w:hAnsi="Times New Roman" w:cs="Times New Roman"/>
          <w:sz w:val="24"/>
          <w:szCs w:val="24"/>
        </w:rPr>
        <w:t>prawo</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do</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odszkodowania</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za</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szkodę</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na</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skutek</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przeprowadzenia</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czynności</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kontrolnych</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z</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naruszeniem</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przepisów,</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reguły</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planowania</w:t>
      </w:r>
      <w:r w:rsidR="00970B2E" w:rsidRPr="00D44D33">
        <w:rPr>
          <w:rStyle w:val="articletitle"/>
          <w:rFonts w:ascii="Times New Roman" w:eastAsiaTheme="minorEastAsia" w:hAnsi="Times New Roman" w:cs="Times New Roman"/>
          <w:sz w:val="24"/>
          <w:szCs w:val="24"/>
        </w:rPr>
        <w:t xml:space="preserve"> </w:t>
      </w:r>
      <w:r w:rsidR="00491353" w:rsidRPr="00D44D33">
        <w:rPr>
          <w:rStyle w:val="articletitle"/>
          <w:rFonts w:ascii="Times New Roman" w:eastAsiaTheme="minorEastAsia" w:hAnsi="Times New Roman" w:cs="Times New Roman"/>
          <w:sz w:val="24"/>
          <w:szCs w:val="24"/>
        </w:rPr>
        <w:t>kontroli,</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reguły</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uprzedniego</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powiadomienia</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przedsiębiorcy</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o</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kontroli.</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tym</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ostatnim</w:t>
      </w:r>
      <w:r w:rsidR="00970B2E" w:rsidRPr="00D44D33">
        <w:rPr>
          <w:rStyle w:val="articletitle"/>
          <w:rFonts w:ascii="Times New Roman" w:eastAsiaTheme="minorEastAsia" w:hAnsi="Times New Roman" w:cs="Times New Roman"/>
          <w:sz w:val="24"/>
          <w:szCs w:val="24"/>
        </w:rPr>
        <w:t xml:space="preserve"> </w:t>
      </w:r>
      <w:r w:rsidR="003928B6" w:rsidRPr="00D44D33">
        <w:rPr>
          <w:rStyle w:val="articletitle"/>
          <w:rFonts w:ascii="Times New Roman" w:eastAsiaTheme="minorEastAsia" w:hAnsi="Times New Roman" w:cs="Times New Roman"/>
          <w:sz w:val="24"/>
          <w:szCs w:val="24"/>
        </w:rPr>
        <w:t>aspekcie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należy</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wskazać,</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że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art.</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48</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ust.</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11</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ustawy</w:t>
      </w:r>
      <w:r w:rsidR="00970B2E" w:rsidRPr="00D44D33">
        <w:rPr>
          <w:rStyle w:val="articletitle"/>
          <w:rFonts w:ascii="Times New Roman" w:eastAsiaTheme="minorEastAsia" w:hAnsi="Times New Roman" w:cs="Times New Roman"/>
          <w:sz w:val="24"/>
          <w:szCs w:val="24"/>
        </w:rPr>
        <w:t xml:space="preserve"> </w:t>
      </w:r>
      <w:r w:rsidR="00FD3104" w:rsidRPr="00D44D33">
        <w:rPr>
          <w:rStyle w:val="articletitle"/>
          <w:rFonts w:ascii="Times New Roman" w:eastAsiaTheme="minorEastAsia" w:hAnsi="Times New Roman" w:cs="Times New Roman"/>
          <w:sz w:val="24"/>
          <w:szCs w:val="24"/>
        </w:rPr>
        <w:t xml:space="preserve">z dnia 6 marca 2018 r. </w:t>
      </w:r>
      <w:r w:rsidR="00155E13" w:rsidRPr="00D44D33">
        <w:rPr>
          <w:rStyle w:val="articletitle"/>
          <w:rFonts w:ascii="Times New Roman" w:eastAsiaTheme="minorEastAsia" w:hAnsi="Times New Roman" w:cs="Times New Roman"/>
          <w:sz w:val="24"/>
          <w:szCs w:val="24"/>
        </w:rPr>
        <w:t>–</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Prawo</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przedsiębiorców</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wymienione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zostały</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przypadki,</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do</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których</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obowiązku</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zawiadomienia</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o</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zamiarze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wszczęcia</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kontroli</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nie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dokonuje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się.</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Zasadne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jest</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wyłączenie</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tego</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obowiązku</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również</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00155E13" w:rsidRPr="00D44D33">
        <w:rPr>
          <w:rStyle w:val="articletitle"/>
          <w:rFonts w:ascii="Times New Roman" w:eastAsiaTheme="minorEastAsia" w:hAnsi="Times New Roman" w:cs="Times New Roman"/>
          <w:sz w:val="24"/>
          <w:szCs w:val="24"/>
        </w:rPr>
        <w:t>przypadku</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kontroli</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przeprowadzanej</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przez</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Prezesa</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UKE,</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tak</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aby</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umożliwić</w:t>
      </w:r>
      <w:r w:rsidR="00970B2E" w:rsidRPr="00D44D33">
        <w:rPr>
          <w:rStyle w:val="articletitle"/>
          <w:rFonts w:ascii="Times New Roman" w:eastAsiaTheme="minorEastAsia" w:hAnsi="Times New Roman" w:cs="Times New Roman"/>
          <w:sz w:val="24"/>
          <w:szCs w:val="24"/>
        </w:rPr>
        <w:t xml:space="preserve"> </w:t>
      </w:r>
      <w:r w:rsidR="008919B7" w:rsidRPr="00D44D33">
        <w:rPr>
          <w:rStyle w:val="articletitle"/>
          <w:rFonts w:ascii="Times New Roman" w:eastAsiaTheme="minorEastAsia" w:hAnsi="Times New Roman" w:cs="Times New Roman"/>
          <w:sz w:val="24"/>
          <w:szCs w:val="24"/>
        </w:rPr>
        <w:t>s</w:t>
      </w:r>
      <w:r w:rsidR="00A462CB" w:rsidRPr="00D44D33">
        <w:rPr>
          <w:rStyle w:val="articletitle"/>
          <w:rFonts w:ascii="Times New Roman" w:eastAsiaTheme="minorEastAsia" w:hAnsi="Times New Roman" w:cs="Times New Roman"/>
          <w:sz w:val="24"/>
          <w:szCs w:val="24"/>
        </w:rPr>
        <w:t>prawne</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przeprowadzanie</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kontroli.</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Wyłączenie</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to</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znajdzie</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się</w:t>
      </w:r>
      <w:r w:rsidR="00970B2E" w:rsidRPr="00D44D33">
        <w:rPr>
          <w:rStyle w:val="articletitle"/>
          <w:rFonts w:ascii="Times New Roman" w:eastAsiaTheme="minorEastAsia" w:hAnsi="Times New Roman" w:cs="Times New Roman"/>
          <w:sz w:val="24"/>
          <w:szCs w:val="24"/>
        </w:rPr>
        <w:t xml:space="preserve"> </w:t>
      </w:r>
      <w:r w:rsidR="00A462CB" w:rsidRPr="00D44D33">
        <w:rPr>
          <w:rStyle w:val="articletitle"/>
          <w:rFonts w:ascii="Times New Roman" w:eastAsiaTheme="minorEastAsia" w:hAnsi="Times New Roman" w:cs="Times New Roman"/>
          <w:sz w:val="24"/>
          <w:szCs w:val="24"/>
        </w:rPr>
        <w:t>w</w:t>
      </w:r>
      <w:r w:rsidR="00970B2E" w:rsidRPr="00D44D33">
        <w:rPr>
          <w:rStyle w:val="articletitle"/>
          <w:rFonts w:ascii="Times New Roman" w:eastAsiaTheme="minorEastAsia" w:hAnsi="Times New Roman" w:cs="Times New Roman"/>
          <w:sz w:val="24"/>
          <w:szCs w:val="24"/>
        </w:rPr>
        <w:t xml:space="preserve"> </w:t>
      </w:r>
      <w:r w:rsidR="0019361A"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19361A" w:rsidRPr="00D44D33">
        <w:rPr>
          <w:rFonts w:ascii="Times New Roman" w:eastAsiaTheme="minorEastAsia" w:hAnsi="Times New Roman" w:cs="Times New Roman"/>
          <w:sz w:val="24"/>
          <w:szCs w:val="24"/>
        </w:rPr>
        <w:t>wprowadzającej</w:t>
      </w:r>
      <w:r w:rsidR="00970B2E" w:rsidRPr="00D44D33">
        <w:rPr>
          <w:rFonts w:ascii="Times New Roman" w:eastAsiaTheme="minorEastAsia" w:hAnsi="Times New Roman" w:cs="Times New Roman"/>
          <w:sz w:val="24"/>
          <w:szCs w:val="24"/>
        </w:rPr>
        <w:t xml:space="preserve"> </w:t>
      </w:r>
      <w:r w:rsidR="0019361A" w:rsidRPr="00D44D33">
        <w:rPr>
          <w:rFonts w:ascii="Times New Roman" w:eastAsiaTheme="minorEastAsia" w:hAnsi="Times New Roman" w:cs="Times New Roman"/>
          <w:sz w:val="24"/>
          <w:szCs w:val="24"/>
        </w:rPr>
        <w:t>ustawę</w:t>
      </w:r>
      <w:r w:rsidR="00970B2E" w:rsidRPr="00D44D33">
        <w:rPr>
          <w:rFonts w:ascii="Times New Roman" w:eastAsiaTheme="minorEastAsia" w:hAnsi="Times New Roman" w:cs="Times New Roman"/>
          <w:sz w:val="24"/>
          <w:szCs w:val="24"/>
        </w:rPr>
        <w:t xml:space="preserve"> </w:t>
      </w:r>
      <w:r w:rsidR="0019361A" w:rsidRPr="00D44D33">
        <w:rPr>
          <w:rFonts w:ascii="Times New Roman" w:eastAsiaTheme="minorEastAsia" w:hAnsi="Times New Roman" w:cs="Times New Roman"/>
          <w:sz w:val="24"/>
          <w:szCs w:val="24"/>
        </w:rPr>
        <w:t>–</w:t>
      </w:r>
      <w:r w:rsidR="00371EEA">
        <w:rPr>
          <w:rFonts w:ascii="Times New Roman" w:eastAsiaTheme="minorEastAsia" w:hAnsi="Times New Roman" w:cs="Times New Roman"/>
          <w:sz w:val="24"/>
          <w:szCs w:val="24"/>
        </w:rPr>
        <w:t xml:space="preserve"> </w:t>
      </w:r>
      <w:r w:rsidR="0019361A" w:rsidRPr="00D44D33">
        <w:rPr>
          <w:rFonts w:ascii="Times New Roman" w:eastAsiaTheme="minorEastAsia" w:hAnsi="Times New Roman" w:cs="Times New Roman"/>
          <w:sz w:val="24"/>
          <w:szCs w:val="24"/>
        </w:rPr>
        <w:t>Prawo</w:t>
      </w:r>
      <w:r w:rsidR="00371EEA">
        <w:rPr>
          <w:rFonts w:ascii="Times New Roman" w:eastAsiaTheme="minorEastAsia" w:hAnsi="Times New Roman" w:cs="Times New Roman"/>
          <w:sz w:val="24"/>
          <w:szCs w:val="24"/>
        </w:rPr>
        <w:t xml:space="preserve"> </w:t>
      </w:r>
      <w:r w:rsidR="7525C274" w:rsidRPr="00D44D33">
        <w:rPr>
          <w:rStyle w:val="articletitle"/>
          <w:rFonts w:ascii="Times New Roman" w:eastAsiaTheme="minorEastAsia" w:hAnsi="Times New Roman" w:cs="Times New Roman"/>
          <w:sz w:val="24"/>
          <w:szCs w:val="24"/>
        </w:rPr>
        <w:t>komunikacji</w:t>
      </w:r>
      <w:r w:rsidR="00970B2E" w:rsidRPr="00D44D33">
        <w:rPr>
          <w:rStyle w:val="articletitle"/>
          <w:rFonts w:ascii="Times New Roman" w:eastAsiaTheme="minorEastAsia" w:hAnsi="Times New Roman" w:cs="Times New Roman"/>
          <w:sz w:val="24"/>
          <w:szCs w:val="24"/>
        </w:rPr>
        <w:t xml:space="preserve"> </w:t>
      </w:r>
      <w:r w:rsidR="7525C274" w:rsidRPr="00D44D33">
        <w:rPr>
          <w:rStyle w:val="articletitle"/>
          <w:rFonts w:ascii="Times New Roman" w:eastAsiaTheme="minorEastAsia" w:hAnsi="Times New Roman" w:cs="Times New Roman"/>
          <w:sz w:val="24"/>
          <w:szCs w:val="24"/>
        </w:rPr>
        <w:t>elektronicznej.</w:t>
      </w:r>
    </w:p>
    <w:p w14:paraId="74B67C51" w14:textId="0C0E0B6D" w:rsidR="000D404D" w:rsidRPr="00D44D33" w:rsidRDefault="00DE6EE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efektywności,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sprawności</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006D1401" w:rsidRPr="00D44D33">
        <w:rPr>
          <w:rFonts w:ascii="Times New Roman" w:eastAsiaTheme="minorEastAsia" w:hAnsi="Times New Roman" w:cs="Times New Roman"/>
          <w:sz w:val="24"/>
          <w:szCs w:val="24"/>
        </w:rPr>
        <w:t>kontroli</w:t>
      </w:r>
      <w:r w:rsidR="00A4729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wymagających</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eksperckiej</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wiedzy,</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utrzymano</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dopuszczającą</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udział</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czynnościach</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kontrolnych</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osób</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posiadających</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wiedzę</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specjalistyczną,</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pracownikami</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Osoby</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takie</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musiały</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dysponować</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upoważnieniem</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udzielonym</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A47296"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p>
    <w:p w14:paraId="17CC1435" w14:textId="6BD77A71" w:rsidR="009521ED" w:rsidRPr="00D44D33" w:rsidRDefault="009521E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katalog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upoważniony.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dokumentów,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obiektów,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nieruchomości,</w:t>
      </w:r>
      <w:r w:rsidR="00970B2E" w:rsidRPr="00D44D33">
        <w:rPr>
          <w:rFonts w:ascii="Times New Roman" w:eastAsiaTheme="minorEastAsia" w:hAnsi="Times New Roman" w:cs="Times New Roman"/>
          <w:sz w:val="24"/>
          <w:szCs w:val="24"/>
        </w:rPr>
        <w:t xml:space="preserve"> </w:t>
      </w:r>
      <w:r w:rsidR="0027212A" w:rsidRPr="00D44D33">
        <w:rPr>
          <w:rFonts w:ascii="Times New Roman" w:eastAsiaTheme="minorEastAsia" w:hAnsi="Times New Roman" w:cs="Times New Roman"/>
          <w:sz w:val="24"/>
          <w:szCs w:val="24"/>
        </w:rPr>
        <w:t>nieodpłatnego</w:t>
      </w:r>
      <w:r w:rsidR="00970B2E" w:rsidRPr="00D44D33">
        <w:rPr>
          <w:rFonts w:ascii="Times New Roman" w:eastAsiaTheme="minorEastAsia" w:hAnsi="Times New Roman" w:cs="Times New Roman"/>
          <w:sz w:val="24"/>
          <w:szCs w:val="24"/>
        </w:rPr>
        <w:t xml:space="preserve"> </w:t>
      </w:r>
      <w:r w:rsidR="0027212A" w:rsidRPr="00D44D33">
        <w:rPr>
          <w:rFonts w:ascii="Times New Roman" w:eastAsiaTheme="minorEastAsia" w:hAnsi="Times New Roman" w:cs="Times New Roman"/>
          <w:sz w:val="24"/>
          <w:szCs w:val="24"/>
        </w:rPr>
        <w:t>pobierania</w:t>
      </w:r>
      <w:r w:rsidR="00970B2E" w:rsidRPr="00D44D33">
        <w:rPr>
          <w:rFonts w:ascii="Times New Roman" w:eastAsiaTheme="minorEastAsia" w:hAnsi="Times New Roman" w:cs="Times New Roman"/>
          <w:sz w:val="24"/>
          <w:szCs w:val="24"/>
        </w:rPr>
        <w:t xml:space="preserve"> </w:t>
      </w:r>
      <w:r w:rsidR="0027212A" w:rsidRPr="00D44D33">
        <w:rPr>
          <w:rFonts w:ascii="Times New Roman" w:eastAsiaTheme="minorEastAsia" w:hAnsi="Times New Roman" w:cs="Times New Roman"/>
          <w:sz w:val="24"/>
          <w:szCs w:val="24"/>
        </w:rPr>
        <w:t>próbek,</w:t>
      </w:r>
      <w:r w:rsidR="00970B2E" w:rsidRPr="00D44D33">
        <w:rPr>
          <w:rFonts w:ascii="Times New Roman" w:eastAsiaTheme="minorEastAsia" w:hAnsi="Times New Roman" w:cs="Times New Roman"/>
          <w:sz w:val="24"/>
          <w:szCs w:val="24"/>
        </w:rPr>
        <w:t xml:space="preserve"> </w:t>
      </w:r>
      <w:r w:rsidR="0027212A" w:rsidRPr="00D44D33">
        <w:rPr>
          <w:rFonts w:ascii="Times New Roman" w:eastAsiaTheme="minorEastAsia" w:hAnsi="Times New Roman" w:cs="Times New Roman"/>
          <w:sz w:val="24"/>
          <w:szCs w:val="24"/>
        </w:rPr>
        <w:t>wykonywania</w:t>
      </w:r>
      <w:r w:rsidR="00970B2E" w:rsidRPr="00D44D33">
        <w:rPr>
          <w:rFonts w:ascii="Times New Roman" w:eastAsiaTheme="minorEastAsia" w:hAnsi="Times New Roman" w:cs="Times New Roman"/>
          <w:sz w:val="24"/>
          <w:szCs w:val="24"/>
        </w:rPr>
        <w:t xml:space="preserve"> </w:t>
      </w:r>
      <w:r w:rsidR="0027212A" w:rsidRPr="00D44D33">
        <w:rPr>
          <w:rFonts w:ascii="Times New Roman" w:eastAsiaTheme="minorEastAsia" w:hAnsi="Times New Roman" w:cs="Times New Roman"/>
          <w:sz w:val="24"/>
          <w:szCs w:val="24"/>
        </w:rPr>
        <w:t>czynności</w:t>
      </w:r>
      <w:r w:rsidR="00970B2E" w:rsidRPr="00D44D33">
        <w:rPr>
          <w:rFonts w:ascii="Times New Roman" w:eastAsiaTheme="minorEastAsia" w:hAnsi="Times New Roman" w:cs="Times New Roman"/>
          <w:sz w:val="24"/>
          <w:szCs w:val="24"/>
        </w:rPr>
        <w:t xml:space="preserve"> </w:t>
      </w:r>
      <w:r w:rsidR="0027212A" w:rsidRPr="00D44D33">
        <w:rPr>
          <w:rFonts w:ascii="Times New Roman" w:eastAsiaTheme="minorEastAsia" w:hAnsi="Times New Roman" w:cs="Times New Roman"/>
          <w:sz w:val="24"/>
          <w:szCs w:val="24"/>
        </w:rPr>
        <w:t>kontrolno-pomiarowych.</w:t>
      </w:r>
      <w:r w:rsidR="00970B2E" w:rsidRPr="00D44D33">
        <w:rPr>
          <w:rFonts w:ascii="Times New Roman" w:eastAsiaTheme="minorEastAsia" w:hAnsi="Times New Roman" w:cs="Times New Roman"/>
          <w:sz w:val="24"/>
          <w:szCs w:val="24"/>
        </w:rPr>
        <w:t xml:space="preserve"> </w:t>
      </w:r>
      <w:r w:rsidR="001519F9"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1519F9"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1519F9" w:rsidRPr="00D44D33">
        <w:rPr>
          <w:rFonts w:ascii="Times New Roman" w:eastAsiaTheme="minorEastAsia" w:hAnsi="Times New Roman" w:cs="Times New Roman"/>
          <w:sz w:val="24"/>
          <w:szCs w:val="24"/>
        </w:rPr>
        <w:t>sporządza</w:t>
      </w:r>
      <w:r w:rsidR="00970B2E" w:rsidRPr="00D44D33">
        <w:rPr>
          <w:rFonts w:ascii="Times New Roman" w:eastAsiaTheme="minorEastAsia" w:hAnsi="Times New Roman" w:cs="Times New Roman"/>
          <w:sz w:val="24"/>
          <w:szCs w:val="24"/>
        </w:rPr>
        <w:t xml:space="preserve"> </w:t>
      </w:r>
      <w:r w:rsidR="001519F9"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1519F9" w:rsidRPr="00D44D33">
        <w:rPr>
          <w:rFonts w:ascii="Times New Roman" w:eastAsiaTheme="minorEastAsia" w:hAnsi="Times New Roman" w:cs="Times New Roman"/>
          <w:sz w:val="24"/>
          <w:szCs w:val="24"/>
        </w:rPr>
        <w:t>protokół.</w:t>
      </w:r>
      <w:r w:rsidR="00371EEA">
        <w:rPr>
          <w:rFonts w:ascii="Times New Roman" w:eastAsiaTheme="minorEastAsia" w:hAnsi="Times New Roman" w:cs="Times New Roman"/>
          <w:sz w:val="24"/>
          <w:szCs w:val="24"/>
        </w:rPr>
        <w:t xml:space="preserve"> </w:t>
      </w:r>
    </w:p>
    <w:p w14:paraId="0B2FF492" w14:textId="058FCD8C" w:rsidR="00C17123" w:rsidRPr="00D44D33" w:rsidRDefault="00CF3E6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każdego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przestrzegania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zakresu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telekomunikacji.</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Kontrolę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pokontrolne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wszczyna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urzędu.</w:t>
      </w:r>
      <w:r w:rsidR="00970B2E" w:rsidRPr="00D44D33">
        <w:rPr>
          <w:rFonts w:ascii="Times New Roman" w:eastAsiaTheme="minorEastAsia" w:hAnsi="Times New Roman" w:cs="Times New Roman"/>
          <w:sz w:val="24"/>
          <w:szCs w:val="24"/>
        </w:rPr>
        <w:t xml:space="preserve"> </w:t>
      </w:r>
    </w:p>
    <w:p w14:paraId="49C64B2C" w14:textId="509B21E5" w:rsidR="66E92E14" w:rsidRPr="00D44D33" w:rsidRDefault="66E92E14"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Zakres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prowadzonych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4EDB6AEA"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Polski.</w:t>
      </w:r>
    </w:p>
    <w:p w14:paraId="573EB16C" w14:textId="4962F9A6" w:rsidR="5AF01528" w:rsidRPr="00D44D33" w:rsidRDefault="49D3B54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odpowiedzialny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zapewnia</w:t>
      </w:r>
      <w:r w:rsidR="008734AF">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ustanowiony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udzielający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potrzeby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wsparcia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zgłaszaniu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wykrytych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potencjalnie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wpływających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Biorąc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profil</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narzędzia,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posługiwać,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8734AF">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pełnił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rolę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Polska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informować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zidentyfikowanych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zgłoszeń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otrzymanych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grupowych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punktów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kontaktowych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PRS.</w:t>
      </w:r>
    </w:p>
    <w:p w14:paraId="1B295F4B" w14:textId="7DD49394" w:rsidR="00C17123" w:rsidRPr="00D44D33" w:rsidRDefault="00C5299A"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pokontrolnych</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stosuje</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70DEFB5A" w:rsidRPr="00D44D33">
        <w:rPr>
          <w:rFonts w:ascii="Times New Roman" w:eastAsiaTheme="minorEastAsia" w:hAnsi="Times New Roman" w:cs="Times New Roman"/>
          <w:sz w:val="24"/>
          <w:szCs w:val="24"/>
        </w:rPr>
        <w:t>rozdziału</w:t>
      </w:r>
      <w:r w:rsidR="00970B2E" w:rsidRPr="00D44D33">
        <w:rPr>
          <w:rFonts w:ascii="Times New Roman" w:eastAsiaTheme="minorEastAsia" w:hAnsi="Times New Roman" w:cs="Times New Roman"/>
          <w:sz w:val="24"/>
          <w:szCs w:val="24"/>
        </w:rPr>
        <w:t xml:space="preserve"> </w:t>
      </w:r>
      <w:r w:rsidR="70DEFB5A"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70DEFB5A"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70DEFB5A"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czerwca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1960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9A13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Kodeksu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korzystanie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doręczeń.</w:t>
      </w:r>
    </w:p>
    <w:p w14:paraId="1D3978AB" w14:textId="64D3F5B3" w:rsidR="00C17123" w:rsidRPr="00D44D33" w:rsidRDefault="00C17123"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4F3FAD" w:rsidRPr="00D44D33">
        <w:rPr>
          <w:rFonts w:ascii="Times New Roman" w:eastAsiaTheme="minorEastAsia" w:hAnsi="Times New Roman" w:cs="Times New Roman"/>
          <w:b/>
          <w:bCs/>
          <w:sz w:val="24"/>
          <w:szCs w:val="24"/>
        </w:rPr>
        <w:t>428</w:t>
      </w:r>
    </w:p>
    <w:p w14:paraId="40D70958" w14:textId="2D69DE7B" w:rsidR="00103B20" w:rsidRPr="00D44D33" w:rsidRDefault="2E40700F"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skutki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nieprawidłowości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następstwie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przeprowadzonej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pokontrolnych.</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zaleceniach</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pokontrolnych</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wzywa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kontrolowany</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nieprawidłowości</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udzielenia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wyjaśnień</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informuje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stanowiska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stwierdzonych</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obowiązujące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3B9A9DA5"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zawierały</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analogicznego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dotyczącego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stanowisk.</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wdraża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przepis</w:t>
      </w:r>
      <w:r w:rsidR="6F01610D"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właściwy</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organ,</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stwierdzi</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dane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przedsiębiorstwo</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1EF82614"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wpisu</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rejestru</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użytkowania</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widma,</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zasobów</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numeracyjnych</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szczególnych</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wynikających</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powiadamia</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przedsiębiorstwo</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zapewnia</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mu</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możliwość</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wypowiedzenia</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kwestii</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rozsądnym</w:t>
      </w:r>
      <w:r w:rsidR="00970B2E" w:rsidRPr="00D44D33">
        <w:rPr>
          <w:rFonts w:ascii="Times New Roman" w:eastAsiaTheme="minorEastAsia" w:hAnsi="Times New Roman" w:cs="Times New Roman"/>
          <w:sz w:val="24"/>
          <w:szCs w:val="24"/>
        </w:rPr>
        <w:t xml:space="preserve"> </w:t>
      </w:r>
      <w:r w:rsidR="6F01610D" w:rsidRPr="00D44D33">
        <w:rPr>
          <w:rFonts w:ascii="Times New Roman" w:eastAsiaTheme="minorEastAsia" w:hAnsi="Times New Roman" w:cs="Times New Roman"/>
          <w:sz w:val="24"/>
          <w:szCs w:val="24"/>
        </w:rPr>
        <w:t>terminie.</w:t>
      </w:r>
    </w:p>
    <w:p w14:paraId="148E4AEA" w14:textId="2C585ECB" w:rsidR="00A75946" w:rsidRPr="00D44D33" w:rsidRDefault="009B64F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Zasadne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utrzymanie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6C57BEFA" w:rsidRPr="00D44D33">
        <w:rPr>
          <w:rFonts w:ascii="Times New Roman" w:eastAsiaTheme="minorEastAsia" w:hAnsi="Times New Roman" w:cs="Times New Roman"/>
          <w:sz w:val="24"/>
          <w:szCs w:val="24"/>
        </w:rPr>
        <w:t>umożliwiającej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zaleceń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pokontrolnych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usunięcia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nieprawidłowości</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zaleceniu).</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Przeciwna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mogłaby</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stanowić</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zachętę</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nieprzestrzegania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gdyż</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kara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groziłaby</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dopiero</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za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nieusunięcie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nieprawidłowości</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wykazanych</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zaleceniu</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pokontrolnym.</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zdecydowano</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automatyczne</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nakładanie</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p</w:t>
      </w:r>
      <w:r w:rsidR="006B1F33"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stwierdzeniu</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naruszenia,</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pozostawiając</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wybór</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środka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wydanie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zaleceń</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pokontrolnych</w:t>
      </w:r>
      <w:r w:rsidR="00970B2E" w:rsidRPr="00D44D33">
        <w:rPr>
          <w:rFonts w:ascii="Times New Roman" w:eastAsiaTheme="minorEastAsia" w:hAnsi="Times New Roman" w:cs="Times New Roman"/>
          <w:sz w:val="24"/>
          <w:szCs w:val="24"/>
        </w:rPr>
        <w:t xml:space="preserve"> </w:t>
      </w:r>
      <w:r w:rsidR="009A139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podkreślić,</w:t>
      </w:r>
      <w:r w:rsidR="00970B2E" w:rsidRPr="00D44D33">
        <w:rPr>
          <w:rFonts w:ascii="Times New Roman" w:eastAsiaTheme="minorEastAsia" w:hAnsi="Times New Roman" w:cs="Times New Roman"/>
          <w:sz w:val="24"/>
          <w:szCs w:val="24"/>
        </w:rPr>
        <w:t xml:space="preserve"> </w:t>
      </w:r>
      <w:r w:rsidR="005949F7"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nakładać</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przeprowadzono</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kontroli</w:t>
      </w:r>
      <w:r w:rsidR="008734AF">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naruszenie</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wykazano</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inny</w:t>
      </w:r>
      <w:r w:rsidR="00970B2E" w:rsidRPr="00D44D33">
        <w:rPr>
          <w:rFonts w:ascii="Times New Roman" w:eastAsiaTheme="minorEastAsia" w:hAnsi="Times New Roman" w:cs="Times New Roman"/>
          <w:sz w:val="24"/>
          <w:szCs w:val="24"/>
        </w:rPr>
        <w:t xml:space="preserve"> </w:t>
      </w:r>
      <w:r w:rsidR="006B1F33" w:rsidRPr="00D44D33">
        <w:rPr>
          <w:rFonts w:ascii="Times New Roman" w:eastAsiaTheme="minorEastAsia" w:hAnsi="Times New Roman" w:cs="Times New Roman"/>
          <w:sz w:val="24"/>
          <w:szCs w:val="24"/>
        </w:rPr>
        <w:t>sposób.</w:t>
      </w:r>
    </w:p>
    <w:p w14:paraId="31DCB399" w14:textId="18D0C2F2" w:rsidR="00060834" w:rsidRPr="00D44D33" w:rsidRDefault="009C5C87" w:rsidP="00D44D33">
      <w:pPr>
        <w:pStyle w:val="USTustnpkodeksu"/>
        <w:spacing w:before="120" w:after="120"/>
        <w:ind w:firstLine="0"/>
        <w:rPr>
          <w:rFonts w:ascii="Times New Roman" w:hAnsi="Times New Roman" w:cs="Times New Roman"/>
          <w:szCs w:val="24"/>
        </w:rPr>
      </w:pPr>
      <w:r w:rsidRPr="00D44D33">
        <w:rPr>
          <w:rFonts w:ascii="Times New Roman" w:hAnsi="Times New Roman" w:cs="Times New Roman"/>
          <w:szCs w:val="24"/>
        </w:rPr>
        <w:t>Projektowane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przepisy</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wskazują,</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iż</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zaleceniach</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pokontrolnych</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wskazywał</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termin</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usunięcie</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nieprawidłowości</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udzielenie</w:t>
      </w:r>
      <w:r w:rsidR="00970B2E" w:rsidRPr="00D44D33">
        <w:rPr>
          <w:rFonts w:ascii="Times New Roman" w:hAnsi="Times New Roman" w:cs="Times New Roman"/>
          <w:szCs w:val="24"/>
        </w:rPr>
        <w:t xml:space="preserve"> </w:t>
      </w:r>
      <w:r w:rsidR="00C90BC1" w:rsidRPr="00D44D33">
        <w:rPr>
          <w:rFonts w:ascii="Times New Roman" w:hAnsi="Times New Roman" w:cs="Times New Roman"/>
          <w:szCs w:val="24"/>
        </w:rPr>
        <w:t>wyjaśnień</w:t>
      </w:r>
      <w:r w:rsidR="008539F3"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który</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co</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zasady</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może</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być</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krótszy</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niż</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30</w:t>
      </w:r>
      <w:r w:rsidR="00970B2E" w:rsidRPr="00D44D33">
        <w:rPr>
          <w:rFonts w:ascii="Times New Roman" w:hAnsi="Times New Roman" w:cs="Times New Roman"/>
          <w:szCs w:val="24"/>
        </w:rPr>
        <w:t xml:space="preserve"> </w:t>
      </w:r>
      <w:r w:rsidR="008539F3" w:rsidRPr="00D44D33">
        <w:rPr>
          <w:rFonts w:ascii="Times New Roman" w:hAnsi="Times New Roman" w:cs="Times New Roman"/>
          <w:szCs w:val="24"/>
        </w:rPr>
        <w:t>dni</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(wyjątkiem</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są</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sytuacje</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podm</w:t>
      </w:r>
      <w:r w:rsidR="00677E20" w:rsidRPr="00D44D33">
        <w:rPr>
          <w:rFonts w:ascii="Times New Roman" w:hAnsi="Times New Roman" w:cs="Times New Roman"/>
          <w:szCs w:val="24"/>
        </w:rPr>
        <w:t>iot</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kontrolowany</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wyraził</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zgodę</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naruszenia</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wskazane</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zaleceniach</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pokontrolnych</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powtarzały</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677E20" w:rsidRPr="00D44D33">
        <w:rPr>
          <w:rFonts w:ascii="Times New Roman" w:hAnsi="Times New Roman" w:cs="Times New Roman"/>
          <w:szCs w:val="24"/>
        </w:rPr>
        <w:t>przeszłości)</w:t>
      </w:r>
      <w:r w:rsidR="008539F3"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ustalając</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termin</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powinien</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praktyce</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brać</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pod</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uwagę</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wszystkie</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czynnik</w:t>
      </w:r>
      <w:r w:rsidR="03182D30" w:rsidRPr="00D44D33">
        <w:rPr>
          <w:rFonts w:ascii="Times New Roman" w:hAnsi="Times New Roman" w:cs="Times New Roman"/>
          <w:szCs w:val="24"/>
        </w:rPr>
        <w:t>i</w:t>
      </w:r>
      <w:r w:rsidR="002641F6"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które</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wpływają</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możliwość</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wykonania</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takie</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jak</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m.in.</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rodzaj</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stopień</w:t>
      </w:r>
      <w:r w:rsidR="00970B2E" w:rsidRPr="00D44D33">
        <w:rPr>
          <w:rFonts w:ascii="Times New Roman" w:hAnsi="Times New Roman" w:cs="Times New Roman"/>
          <w:szCs w:val="24"/>
        </w:rPr>
        <w:t xml:space="preserve"> </w:t>
      </w:r>
      <w:r w:rsidR="002641F6" w:rsidRPr="00D44D33">
        <w:rPr>
          <w:rFonts w:ascii="Times New Roman" w:hAnsi="Times New Roman" w:cs="Times New Roman"/>
          <w:szCs w:val="24"/>
        </w:rPr>
        <w:t>naruszeń.</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Projekt</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przewiduje</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regulacje</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charakterze</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dyscyplinującym</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podmiot</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kontrolowany</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sytuacji</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niewykonania</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zaleceń.</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takiej</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sytuacji</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może</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wydać</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decyzję</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nakazującą</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usunięcie</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stwierdzonych</w:t>
      </w:r>
      <w:r w:rsidR="00970B2E" w:rsidRPr="00D44D33">
        <w:rPr>
          <w:rFonts w:ascii="Times New Roman" w:hAnsi="Times New Roman" w:cs="Times New Roman"/>
          <w:szCs w:val="24"/>
        </w:rPr>
        <w:t xml:space="preserve"> </w:t>
      </w:r>
      <w:r w:rsidR="00103B20" w:rsidRPr="00D44D33">
        <w:rPr>
          <w:rFonts w:ascii="Times New Roman" w:hAnsi="Times New Roman" w:cs="Times New Roman"/>
          <w:szCs w:val="24"/>
        </w:rPr>
        <w:t>nieprawidłowości.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nieprawidłowości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występowały</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przeszłości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mają</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poważny</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charakter,</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podmiot</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kontrolowany</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zastosował</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decyzji</w:t>
      </w:r>
      <w:r w:rsidR="000B7C66"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UKE</w:t>
      </w:r>
      <w:r w:rsidR="00125BAC"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podstawie</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projektowanych</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przepisów</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mógł</w:t>
      </w:r>
      <w:r w:rsidR="000B7C66"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drodze</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zakazać</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podmiotowi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kontrolowanemu</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wykonywania</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0041025C" w:rsidRPr="00D44D33">
        <w:rPr>
          <w:rFonts w:ascii="Times New Roman" w:hAnsi="Times New Roman" w:cs="Times New Roman"/>
          <w:szCs w:val="24"/>
        </w:rPr>
        <w:t>cofnąć</w:t>
      </w:r>
      <w:r w:rsidR="00970B2E" w:rsidRPr="00D44D33">
        <w:rPr>
          <w:rFonts w:ascii="Times New Roman" w:hAnsi="Times New Roman" w:cs="Times New Roman"/>
          <w:szCs w:val="24"/>
        </w:rPr>
        <w:t xml:space="preserve"> </w:t>
      </w:r>
      <w:r w:rsidR="0041025C" w:rsidRPr="00D44D33">
        <w:rPr>
          <w:rFonts w:ascii="Times New Roman" w:hAnsi="Times New Roman" w:cs="Times New Roman"/>
          <w:szCs w:val="24"/>
        </w:rPr>
        <w:t>pozwolenie</w:t>
      </w:r>
      <w:r w:rsidR="5ED88415"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zmienić</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cofnąć</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rezerwację</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częstotliwości,</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zasobów</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orbitalnych</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przydział</w:t>
      </w:r>
      <w:r w:rsidR="00970B2E" w:rsidRPr="00D44D33">
        <w:rPr>
          <w:rFonts w:ascii="Times New Roman" w:hAnsi="Times New Roman" w:cs="Times New Roman"/>
          <w:szCs w:val="24"/>
        </w:rPr>
        <w:t xml:space="preserve"> </w:t>
      </w:r>
      <w:r w:rsidR="000B7C66" w:rsidRPr="00D44D33">
        <w:rPr>
          <w:rFonts w:ascii="Times New Roman" w:hAnsi="Times New Roman" w:cs="Times New Roman"/>
          <w:szCs w:val="24"/>
        </w:rPr>
        <w:t>numeracji.</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przeniesione</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zostały</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projektowanej</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rozwiązania</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zawarte</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wcześniej</w:t>
      </w:r>
      <w:r w:rsidR="00970B2E" w:rsidRPr="00D44D33">
        <w:rPr>
          <w:rFonts w:ascii="Times New Roman" w:hAnsi="Times New Roman" w:cs="Times New Roman"/>
          <w:szCs w:val="24"/>
        </w:rPr>
        <w:t xml:space="preserve"> </w:t>
      </w:r>
      <w:r w:rsidR="00125BA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CB38CF" w:rsidRPr="00D44D33">
        <w:rPr>
          <w:rFonts w:ascii="Times New Roman" w:hAnsi="Times New Roman" w:cs="Times New Roman"/>
          <w:szCs w:val="24"/>
        </w:rPr>
        <w:t>Pt</w:t>
      </w:r>
      <w:r w:rsidR="00125BAC"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Decyzja</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ta</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stanowić</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podstawę</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wykreślenia</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podmiotu</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kontrolowanego</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rejestru</w:t>
      </w:r>
      <w:r w:rsidR="00970B2E" w:rsidRPr="00D44D33">
        <w:rPr>
          <w:rFonts w:ascii="Times New Roman" w:hAnsi="Times New Roman" w:cs="Times New Roman"/>
          <w:szCs w:val="24"/>
        </w:rPr>
        <w:t xml:space="preserve"> </w:t>
      </w:r>
      <w:r w:rsidR="008B2797" w:rsidRPr="00D44D33">
        <w:rPr>
          <w:rFonts w:ascii="Times New Roman" w:hAnsi="Times New Roman" w:cs="Times New Roman"/>
          <w:szCs w:val="24"/>
        </w:rPr>
        <w:t>przedsiębiorców.</w:t>
      </w:r>
    </w:p>
    <w:p w14:paraId="0877CBD8"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7AE2BE15" w14:textId="028020D2" w:rsidR="00C17123" w:rsidRPr="00D44D33" w:rsidRDefault="00C17123"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4F3FAD" w:rsidRPr="00D44D33">
        <w:rPr>
          <w:rFonts w:ascii="Times New Roman" w:eastAsiaTheme="minorEastAsia" w:hAnsi="Times New Roman" w:cs="Times New Roman"/>
          <w:b/>
          <w:bCs/>
          <w:sz w:val="24"/>
          <w:szCs w:val="24"/>
        </w:rPr>
        <w:t>429</w:t>
      </w:r>
    </w:p>
    <w:p w14:paraId="67A33319" w14:textId="7991EC20" w:rsidR="0081742E" w:rsidRPr="00D44D33" w:rsidRDefault="0055671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analogiczne</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3D76FC"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003D76FC"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003D76FC"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CB38C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3D76FC" w:rsidRPr="00D44D33">
        <w:rPr>
          <w:rFonts w:ascii="Times New Roman" w:eastAsiaTheme="minorEastAsia" w:hAnsi="Times New Roman" w:cs="Times New Roman"/>
          <w:sz w:val="24"/>
          <w:szCs w:val="24"/>
        </w:rPr>
        <w:t>regulacje</w:t>
      </w:r>
      <w:r w:rsidR="00970B2E" w:rsidRPr="00D44D33">
        <w:rPr>
          <w:rFonts w:ascii="Times New Roman" w:eastAsiaTheme="minorEastAsia" w:hAnsi="Times New Roman" w:cs="Times New Roman"/>
          <w:sz w:val="24"/>
          <w:szCs w:val="24"/>
        </w:rPr>
        <w:t xml:space="preserve"> </w:t>
      </w:r>
      <w:r w:rsidR="003D76FC" w:rsidRPr="00D44D33">
        <w:rPr>
          <w:rFonts w:ascii="Times New Roman" w:eastAsiaTheme="minorEastAsia" w:hAnsi="Times New Roman" w:cs="Times New Roman"/>
          <w:sz w:val="24"/>
          <w:szCs w:val="24"/>
        </w:rPr>
        <w:t>odnośnie</w:t>
      </w:r>
      <w:r w:rsidR="00970B2E" w:rsidRPr="00D44D33">
        <w:rPr>
          <w:rFonts w:ascii="Times New Roman" w:eastAsiaTheme="minorEastAsia" w:hAnsi="Times New Roman" w:cs="Times New Roman"/>
          <w:sz w:val="24"/>
          <w:szCs w:val="24"/>
        </w:rPr>
        <w:t xml:space="preserve"> </w:t>
      </w:r>
      <w:r w:rsidR="003D76FC"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stwierdzonych</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wyniku</w:t>
      </w:r>
      <w:r w:rsidR="00970B2E" w:rsidRPr="00D44D33">
        <w:rPr>
          <w:rFonts w:ascii="Times New Roman" w:eastAsiaTheme="minorEastAsia" w:hAnsi="Times New Roman" w:cs="Times New Roman"/>
          <w:sz w:val="24"/>
          <w:szCs w:val="24"/>
        </w:rPr>
        <w:t xml:space="preserve"> </w:t>
      </w:r>
      <w:r w:rsidR="00EF7B17"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0EF7B17" w:rsidRPr="00D44D33">
        <w:rPr>
          <w:rFonts w:ascii="Times New Roman" w:eastAsiaTheme="minorEastAsia" w:hAnsi="Times New Roman" w:cs="Times New Roman"/>
          <w:sz w:val="24"/>
          <w:szCs w:val="24"/>
        </w:rPr>
        <w:t>naruszeń</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obowiązków</w:t>
      </w:r>
      <w:r w:rsidR="00970B2E" w:rsidRPr="00D44D33">
        <w:rPr>
          <w:rFonts w:ascii="Times New Roman" w:eastAsiaTheme="minorEastAsia" w:hAnsi="Times New Roman" w:cs="Times New Roman"/>
          <w:sz w:val="24"/>
          <w:szCs w:val="24"/>
        </w:rPr>
        <w:t xml:space="preserve"> </w:t>
      </w:r>
      <w:r w:rsidR="00EF7B1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EF7B17"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00EF7B17"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EF7B17" w:rsidRPr="00D44D33">
        <w:rPr>
          <w:rFonts w:ascii="Times New Roman" w:eastAsiaTheme="minorEastAsia" w:hAnsi="Times New Roman" w:cs="Times New Roman"/>
          <w:sz w:val="24"/>
          <w:szCs w:val="24"/>
        </w:rPr>
        <w:t>ż</w:t>
      </w:r>
      <w:r w:rsidR="0081742E"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powoduje</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obronności,</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bezpieczeństwa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życia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zdrowia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ludzi</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zagrożenie</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wywołania</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poważnej</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szkody</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majątkowej,</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poważnych</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utrudnień</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funkcjonowaniu</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telekomunikacyjnej</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0081742E"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p>
    <w:p w14:paraId="7AEC2F81" w14:textId="5DB71C41" w:rsidR="00977822" w:rsidRPr="00D44D33" w:rsidRDefault="0081742E" w:rsidP="00D44D33">
      <w:pPr>
        <w:pStyle w:val="ARTartustawynprozporzdzenia"/>
        <w:spacing w:after="120"/>
        <w:ind w:firstLine="0"/>
        <w:jc w:val="center"/>
        <w:rPr>
          <w:rFonts w:ascii="Times New Roman" w:hAnsi="Times New Roman" w:cs="Times New Roman"/>
          <w:szCs w:val="24"/>
          <w:lang w:eastAsia="en-US"/>
        </w:rPr>
      </w:pPr>
      <w:r w:rsidRPr="00D44D33">
        <w:rPr>
          <w:rFonts w:ascii="Times New Roman" w:hAnsi="Times New Roman" w:cs="Times New Roman"/>
          <w:b/>
          <w:szCs w:val="24"/>
          <w:lang w:eastAsia="en-US"/>
        </w:rPr>
        <w:t>Art.</w:t>
      </w:r>
      <w:r w:rsidR="00970B2E" w:rsidRPr="00D44D33">
        <w:rPr>
          <w:rFonts w:ascii="Times New Roman" w:hAnsi="Times New Roman" w:cs="Times New Roman"/>
          <w:b/>
          <w:szCs w:val="24"/>
          <w:lang w:eastAsia="en-US"/>
        </w:rPr>
        <w:t xml:space="preserve"> </w:t>
      </w:r>
      <w:r w:rsidR="004F3FAD" w:rsidRPr="00D44D33">
        <w:rPr>
          <w:rFonts w:ascii="Times New Roman" w:hAnsi="Times New Roman" w:cs="Times New Roman"/>
          <w:b/>
          <w:bCs/>
          <w:szCs w:val="24"/>
          <w:lang w:eastAsia="en-US"/>
        </w:rPr>
        <w:t>430</w:t>
      </w:r>
    </w:p>
    <w:p w14:paraId="51E75781" w14:textId="378A9A5E" w:rsidR="0081742E" w:rsidRPr="00D44D33" w:rsidRDefault="0081742E"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lang w:eastAsia="en-US"/>
        </w:rPr>
        <w:t>Projektowane</w:t>
      </w:r>
      <w:r w:rsidR="00970B2E" w:rsidRPr="00D44D33">
        <w:rPr>
          <w:rFonts w:ascii="Times New Roman" w:hAnsi="Times New Roman" w:cs="Times New Roman"/>
          <w:szCs w:val="24"/>
          <w:lang w:eastAsia="en-US"/>
        </w:rPr>
        <w:t xml:space="preserve"> </w:t>
      </w:r>
      <w:r w:rsidRPr="00D44D33">
        <w:rPr>
          <w:rFonts w:ascii="Times New Roman" w:hAnsi="Times New Roman" w:cs="Times New Roman"/>
          <w:szCs w:val="24"/>
          <w:lang w:eastAsia="en-US"/>
        </w:rPr>
        <w:t>przepis</w:t>
      </w:r>
      <w:r w:rsidR="00635794" w:rsidRPr="00D44D33">
        <w:rPr>
          <w:rFonts w:ascii="Times New Roman" w:hAnsi="Times New Roman" w:cs="Times New Roman"/>
          <w:szCs w:val="24"/>
          <w:lang w:eastAsia="en-US"/>
        </w:rPr>
        <w:t>y</w:t>
      </w:r>
      <w:r w:rsidR="00970B2E" w:rsidRPr="00D44D33">
        <w:rPr>
          <w:rFonts w:ascii="Times New Roman" w:hAnsi="Times New Roman" w:cs="Times New Roman"/>
          <w:szCs w:val="24"/>
          <w:lang w:eastAsia="en-US"/>
        </w:rPr>
        <w:t xml:space="preserve"> </w:t>
      </w:r>
      <w:r w:rsidR="00635794" w:rsidRPr="00D44D33">
        <w:rPr>
          <w:rFonts w:ascii="Times New Roman" w:hAnsi="Times New Roman" w:cs="Times New Roman"/>
          <w:szCs w:val="24"/>
          <w:lang w:eastAsia="en-US"/>
        </w:rPr>
        <w:t>regulują</w:t>
      </w:r>
      <w:r w:rsidR="00970B2E" w:rsidRPr="00D44D33">
        <w:rPr>
          <w:rFonts w:ascii="Times New Roman" w:hAnsi="Times New Roman" w:cs="Times New Roman"/>
          <w:szCs w:val="24"/>
          <w:lang w:eastAsia="en-US"/>
        </w:rPr>
        <w:t xml:space="preserve"> </w:t>
      </w:r>
      <w:r w:rsidR="00635794" w:rsidRPr="00D44D33">
        <w:rPr>
          <w:rFonts w:ascii="Times New Roman" w:hAnsi="Times New Roman" w:cs="Times New Roman"/>
          <w:szCs w:val="24"/>
          <w:lang w:eastAsia="en-US"/>
        </w:rPr>
        <w:t>kwestie</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używania</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urządzenia</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radiowego</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bez</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pozwolenia</w:t>
      </w:r>
      <w:r w:rsidR="00D51095"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a</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także</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bez</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określonych</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decyzji,</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wpisu</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do</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rejestru</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urządzeń</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radiowych</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używanych</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bez</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pozwolenia</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oraz</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przez</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osobę</w:t>
      </w:r>
      <w:r w:rsidR="00970B2E" w:rsidRPr="00D44D33">
        <w:rPr>
          <w:rFonts w:ascii="Times New Roman" w:hAnsi="Times New Roman" w:cs="Times New Roman"/>
          <w:szCs w:val="24"/>
          <w:lang w:eastAsia="en-US"/>
        </w:rPr>
        <w:t xml:space="preserve"> </w:t>
      </w:r>
      <w:r w:rsidR="007C2885" w:rsidRPr="00D44D33">
        <w:rPr>
          <w:rFonts w:ascii="Times New Roman" w:hAnsi="Times New Roman" w:cs="Times New Roman"/>
          <w:szCs w:val="24"/>
          <w:lang w:eastAsia="en-US"/>
        </w:rPr>
        <w:t>nieuprawnioną</w:t>
      </w:r>
      <w:r w:rsidR="00D51095" w:rsidRPr="00D44D33">
        <w:rPr>
          <w:rFonts w:ascii="Times New Roman" w:hAnsi="Times New Roman" w:cs="Times New Roman"/>
          <w:szCs w:val="24"/>
          <w:lang w:eastAsia="en-US"/>
        </w:rPr>
        <w:t>.</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Przepisy</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będą</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odnosiły</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się</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zatem</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również</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do</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używania</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urządzeń</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radiowych</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bez</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uzyskania</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decyzji</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Prezesa</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UKE</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dopuszczającej</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czasowe</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lang w:eastAsia="en-US"/>
        </w:rPr>
        <w:t>używanie</w:t>
      </w:r>
      <w:r w:rsidR="00970B2E" w:rsidRPr="00D44D33">
        <w:rPr>
          <w:rFonts w:ascii="Times New Roman" w:hAnsi="Times New Roman" w:cs="Times New Roman"/>
          <w:szCs w:val="24"/>
          <w:lang w:eastAsia="en-US"/>
        </w:rPr>
        <w:t xml:space="preserve"> </w:t>
      </w:r>
      <w:r w:rsidR="00D51095"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celu</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zapewnienia</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przekazu</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informacji</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okres</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nieprzekraczający</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30</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dni</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zezwalającej</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czasowe</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używanie</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nadawczego</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nadawczo-odbiorczego</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celu</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przeprowadzenia</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badań,</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testów</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D51095" w:rsidRPr="00D44D33">
        <w:rPr>
          <w:rFonts w:ascii="Times New Roman" w:hAnsi="Times New Roman" w:cs="Times New Roman"/>
          <w:szCs w:val="24"/>
        </w:rPr>
        <w:t>eksperymentów.</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Regulacje</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odbiegają</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tych</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zawartych</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dotychczas</w:t>
      </w:r>
      <w:r w:rsidR="00970B2E" w:rsidRPr="00D44D33">
        <w:rPr>
          <w:rFonts w:ascii="Times New Roman" w:hAnsi="Times New Roman" w:cs="Times New Roman"/>
          <w:szCs w:val="24"/>
        </w:rPr>
        <w:t xml:space="preserve"> </w:t>
      </w:r>
      <w:r w:rsidR="009B0851"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A75A8" w:rsidRPr="00D44D33">
        <w:rPr>
          <w:rFonts w:ascii="Times New Roman" w:hAnsi="Times New Roman" w:cs="Times New Roman"/>
          <w:szCs w:val="24"/>
        </w:rPr>
        <w:t>Pt</w:t>
      </w:r>
      <w:r w:rsidR="009B0851" w:rsidRPr="00D44D33">
        <w:rPr>
          <w:rFonts w:ascii="Times New Roman" w:hAnsi="Times New Roman" w:cs="Times New Roman"/>
          <w:szCs w:val="24"/>
        </w:rPr>
        <w:t>.</w:t>
      </w:r>
    </w:p>
    <w:p w14:paraId="3314E294" w14:textId="298D7FED" w:rsidR="00D737C1" w:rsidRPr="00D44D33" w:rsidRDefault="00D737C1"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Projektowane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przepisy</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określą</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przysługujące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Prezesowi</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kompetencje</w:t>
      </w:r>
      <w:r w:rsidR="00970B2E" w:rsidRPr="00D44D33">
        <w:rPr>
          <w:rFonts w:ascii="Times New Roman" w:hAnsi="Times New Roman" w:cs="Times New Roman"/>
          <w:szCs w:val="24"/>
        </w:rPr>
        <w:t xml:space="preserve"> </w:t>
      </w:r>
      <w:r w:rsidRPr="00D44D33">
        <w:rPr>
          <w:rFonts w:ascii="Times New Roman" w:hAnsi="Times New Roman" w:cs="Times New Roman"/>
          <w:szCs w:val="24"/>
        </w:rPr>
        <w:t>mające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celu</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zakazanie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bezprawnego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radiowych</w:t>
      </w:r>
      <w:r w:rsidR="008734AF">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Pr="00D44D33">
        <w:rPr>
          <w:rFonts w:ascii="Times New Roman" w:hAnsi="Times New Roman" w:cs="Times New Roman"/>
          <w:szCs w:val="24"/>
        </w:rPr>
        <w:t>także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zabezpieczenie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w:t>
      </w:r>
      <w:r w:rsidR="00970B2E" w:rsidRPr="00D44D33">
        <w:rPr>
          <w:rFonts w:ascii="Times New Roman" w:hAnsi="Times New Roman" w:cs="Times New Roman"/>
          <w:szCs w:val="24"/>
        </w:rPr>
        <w:t xml:space="preserve"> </w:t>
      </w:r>
      <w:r w:rsidRPr="00D44D33">
        <w:rPr>
          <w:rFonts w:ascii="Times New Roman" w:hAnsi="Times New Roman" w:cs="Times New Roman"/>
          <w:szCs w:val="24"/>
        </w:rPr>
        <w:t>dalszym</w:t>
      </w:r>
      <w:r w:rsidR="00970B2E" w:rsidRPr="00D44D33">
        <w:rPr>
          <w:rFonts w:ascii="Times New Roman" w:hAnsi="Times New Roman" w:cs="Times New Roman"/>
          <w:szCs w:val="24"/>
        </w:rPr>
        <w:t xml:space="preserve"> </w:t>
      </w:r>
      <w:r w:rsidRPr="00D44D33">
        <w:rPr>
          <w:rFonts w:ascii="Times New Roman" w:hAnsi="Times New Roman" w:cs="Times New Roman"/>
          <w:szCs w:val="24"/>
        </w:rPr>
        <w:t>ich</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używaniem</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Pr="00D44D33">
        <w:rPr>
          <w:rFonts w:ascii="Times New Roman" w:hAnsi="Times New Roman" w:cs="Times New Roman"/>
          <w:szCs w:val="24"/>
        </w:rPr>
        <w:t>obsługą</w:t>
      </w:r>
      <w:r w:rsidR="00970B2E" w:rsidRPr="00D44D33">
        <w:rPr>
          <w:rFonts w:ascii="Times New Roman" w:hAnsi="Times New Roman" w:cs="Times New Roman"/>
          <w:szCs w:val="24"/>
        </w:rPr>
        <w:t xml:space="preserve"> </w:t>
      </w:r>
      <w:r w:rsidR="002D2A86"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2D2A86" w:rsidRPr="00D44D33">
        <w:rPr>
          <w:rFonts w:ascii="Times New Roman" w:hAnsi="Times New Roman" w:cs="Times New Roman"/>
          <w:szCs w:val="24"/>
        </w:rPr>
        <w:t>przyjęcie</w:t>
      </w:r>
      <w:r w:rsidR="00970B2E" w:rsidRPr="00D44D33">
        <w:rPr>
          <w:rFonts w:ascii="Times New Roman" w:hAnsi="Times New Roman" w:cs="Times New Roman"/>
          <w:szCs w:val="24"/>
        </w:rPr>
        <w:t xml:space="preserve"> </w:t>
      </w:r>
      <w:r w:rsidR="002D2A86"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002D2A86"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2D2A86" w:rsidRPr="00D44D33">
        <w:rPr>
          <w:rFonts w:ascii="Times New Roman" w:hAnsi="Times New Roman" w:cs="Times New Roman"/>
          <w:szCs w:val="24"/>
        </w:rPr>
        <w:t>depozytu.</w:t>
      </w:r>
      <w:r w:rsidR="00970B2E" w:rsidRPr="00D44D33">
        <w:rPr>
          <w:rFonts w:ascii="Times New Roman" w:hAnsi="Times New Roman" w:cs="Times New Roman"/>
          <w:szCs w:val="24"/>
        </w:rPr>
        <w:t xml:space="preserve"> </w:t>
      </w:r>
    </w:p>
    <w:p w14:paraId="43452520" w14:textId="6F2C0FFE" w:rsidR="00D737C1" w:rsidRPr="00D44D33" w:rsidRDefault="002D2A86"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powyższych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kwestiach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wydaje</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decyzje</w:t>
      </w:r>
      <w:r w:rsidR="00970B2E" w:rsidRPr="00D44D33">
        <w:rPr>
          <w:rFonts w:ascii="Times New Roman" w:hAnsi="Times New Roman" w:cs="Times New Roman"/>
          <w:szCs w:val="24"/>
        </w:rPr>
        <w:t xml:space="preserve"> </w:t>
      </w:r>
      <w:r w:rsidRPr="00D44D33">
        <w:rPr>
          <w:rFonts w:ascii="Times New Roman" w:hAnsi="Times New Roman" w:cs="Times New Roman"/>
          <w:szCs w:val="24"/>
        </w:rPr>
        <w:t>administracyjne.</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Decyzje</w:t>
      </w:r>
      <w:r w:rsidR="00970B2E" w:rsidRPr="00D44D33">
        <w:rPr>
          <w:rFonts w:ascii="Times New Roman" w:hAnsi="Times New Roman" w:cs="Times New Roman"/>
          <w:szCs w:val="24"/>
        </w:rPr>
        <w:t xml:space="preserve"> </w:t>
      </w:r>
      <w:r w:rsidRPr="00D44D33">
        <w:rPr>
          <w:rFonts w:ascii="Times New Roman" w:hAnsi="Times New Roman" w:cs="Times New Roman"/>
          <w:szCs w:val="24"/>
        </w:rPr>
        <w:t>odnoszą</w:t>
      </w:r>
      <w:r w:rsidR="00970B2E" w:rsidRPr="00D44D33">
        <w:rPr>
          <w:rFonts w:ascii="Times New Roman" w:hAnsi="Times New Roman" w:cs="Times New Roman"/>
          <w:szCs w:val="24"/>
        </w:rPr>
        <w:t xml:space="preserve"> </w:t>
      </w:r>
      <w:r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Pr="00D44D33">
        <w:rPr>
          <w:rFonts w:ascii="Times New Roman" w:hAnsi="Times New Roman" w:cs="Times New Roman"/>
          <w:szCs w:val="24"/>
        </w:rPr>
        <w:t>ściśle</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wskazanych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przepisie</w:t>
      </w:r>
      <w:r w:rsidR="00970B2E" w:rsidRPr="00D44D33">
        <w:rPr>
          <w:rFonts w:ascii="Times New Roman" w:hAnsi="Times New Roman" w:cs="Times New Roman"/>
          <w:szCs w:val="24"/>
        </w:rPr>
        <w:t xml:space="preserve"> </w:t>
      </w:r>
      <w:r w:rsidRPr="00D44D33">
        <w:rPr>
          <w:rFonts w:ascii="Times New Roman" w:hAnsi="Times New Roman" w:cs="Times New Roman"/>
          <w:szCs w:val="24"/>
        </w:rPr>
        <w:t>form</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bezprawnego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Pr="00D44D33">
        <w:rPr>
          <w:rFonts w:ascii="Times New Roman" w:hAnsi="Times New Roman" w:cs="Times New Roman"/>
          <w:szCs w:val="24"/>
        </w:rPr>
        <w:t>obsługiwania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dotyczą</w:t>
      </w:r>
      <w:r w:rsidR="00970B2E" w:rsidRPr="00D44D33">
        <w:rPr>
          <w:rFonts w:ascii="Times New Roman" w:hAnsi="Times New Roman" w:cs="Times New Roman"/>
          <w:szCs w:val="24"/>
        </w:rPr>
        <w:t xml:space="preserve"> </w:t>
      </w:r>
      <w:r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sytuacji,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szczególności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naruszeń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warunków</w:t>
      </w:r>
      <w:r w:rsidR="00970B2E" w:rsidRPr="00D44D33">
        <w:rPr>
          <w:rFonts w:ascii="Times New Roman" w:hAnsi="Times New Roman" w:cs="Times New Roman"/>
          <w:szCs w:val="24"/>
        </w:rPr>
        <w:t xml:space="preserve"> </w:t>
      </w:r>
      <w:r w:rsidR="00DE0CB5" w:rsidRPr="00D44D33">
        <w:rPr>
          <w:rFonts w:ascii="Times New Roman" w:hAnsi="Times New Roman" w:cs="Times New Roman"/>
          <w:szCs w:val="24"/>
        </w:rPr>
        <w:t>wykorzystania</w:t>
      </w:r>
      <w:r w:rsidR="00970B2E" w:rsidRPr="00D44D33">
        <w:rPr>
          <w:rFonts w:ascii="Times New Roman" w:hAnsi="Times New Roman" w:cs="Times New Roman"/>
          <w:szCs w:val="24"/>
        </w:rPr>
        <w:t xml:space="preserve"> </w:t>
      </w:r>
      <w:r w:rsidR="00DE0CB5" w:rsidRPr="00D44D33">
        <w:rPr>
          <w:rFonts w:ascii="Times New Roman" w:hAnsi="Times New Roman" w:cs="Times New Roman"/>
          <w:szCs w:val="24"/>
        </w:rPr>
        <w:t>częstotliwości,</w:t>
      </w:r>
      <w:r w:rsidR="00970B2E" w:rsidRPr="00D44D33">
        <w:rPr>
          <w:rFonts w:ascii="Times New Roman" w:hAnsi="Times New Roman" w:cs="Times New Roman"/>
          <w:szCs w:val="24"/>
        </w:rPr>
        <w:t xml:space="preserve"> </w:t>
      </w:r>
      <w:r w:rsidR="00DE0CB5" w:rsidRPr="00D44D33">
        <w:rPr>
          <w:rFonts w:ascii="Times New Roman" w:hAnsi="Times New Roman" w:cs="Times New Roman"/>
          <w:szCs w:val="24"/>
        </w:rPr>
        <w:t>zalegania</w:t>
      </w:r>
      <w:r w:rsidR="00970B2E" w:rsidRPr="00D44D33">
        <w:rPr>
          <w:rFonts w:ascii="Times New Roman" w:hAnsi="Times New Roman" w:cs="Times New Roman"/>
          <w:szCs w:val="24"/>
        </w:rPr>
        <w:t xml:space="preserve"> </w:t>
      </w:r>
      <w:r w:rsidR="00DE0CB5"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DE0CB5" w:rsidRPr="00D44D33">
        <w:rPr>
          <w:rFonts w:ascii="Times New Roman" w:hAnsi="Times New Roman" w:cs="Times New Roman"/>
          <w:szCs w:val="24"/>
        </w:rPr>
        <w:t>opłatami.</w:t>
      </w:r>
      <w:r w:rsidR="00970B2E" w:rsidRPr="00D44D33">
        <w:rPr>
          <w:rFonts w:ascii="Times New Roman" w:hAnsi="Times New Roman" w:cs="Times New Roman"/>
          <w:szCs w:val="24"/>
        </w:rPr>
        <w:t xml:space="preserve"> </w:t>
      </w:r>
    </w:p>
    <w:p w14:paraId="4EAE22E7" w14:textId="3F6D6CB2" w:rsidR="00977822" w:rsidRPr="00D44D33" w:rsidRDefault="00DE0CB5"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Pr="00D44D33">
        <w:rPr>
          <w:rFonts w:ascii="Times New Roman" w:hAnsi="Times New Roman" w:cs="Times New Roman"/>
          <w:szCs w:val="24"/>
        </w:rPr>
        <w:t>aby</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podjąć</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decyzję</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zakazującą</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bezprawne</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używanie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radiowych</w:t>
      </w:r>
      <w:r w:rsidR="008734AF">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musi</w:t>
      </w:r>
      <w:r w:rsidR="00970B2E" w:rsidRPr="00D44D33">
        <w:rPr>
          <w:rFonts w:ascii="Times New Roman" w:hAnsi="Times New Roman" w:cs="Times New Roman"/>
          <w:szCs w:val="24"/>
        </w:rPr>
        <w:t xml:space="preserve"> </w:t>
      </w:r>
      <w:r w:rsidRPr="00D44D33">
        <w:rPr>
          <w:rFonts w:ascii="Times New Roman" w:hAnsi="Times New Roman" w:cs="Times New Roman"/>
          <w:szCs w:val="24"/>
        </w:rPr>
        <w:t>wykazać,</w:t>
      </w:r>
      <w:r w:rsidR="00970B2E" w:rsidRPr="00D44D33">
        <w:rPr>
          <w:rFonts w:ascii="Times New Roman" w:hAnsi="Times New Roman" w:cs="Times New Roman"/>
          <w:szCs w:val="24"/>
        </w:rPr>
        <w:t xml:space="preserve"> </w:t>
      </w:r>
      <w:r w:rsidRPr="00D44D33">
        <w:rPr>
          <w:rFonts w:ascii="Times New Roman" w:hAnsi="Times New Roman" w:cs="Times New Roman"/>
          <w:szCs w:val="24"/>
        </w:rPr>
        <w:t>iż</w:t>
      </w:r>
      <w:r w:rsidR="00970B2E" w:rsidRPr="00D44D33">
        <w:rPr>
          <w:rFonts w:ascii="Times New Roman" w:hAnsi="Times New Roman" w:cs="Times New Roman"/>
          <w:szCs w:val="24"/>
        </w:rPr>
        <w:t xml:space="preserve"> </w:t>
      </w:r>
      <w:r w:rsidRPr="00D44D33">
        <w:rPr>
          <w:rFonts w:ascii="Times New Roman" w:hAnsi="Times New Roman" w:cs="Times New Roman"/>
          <w:szCs w:val="24"/>
        </w:rPr>
        <w:t>faktycznie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zaistniał</w:t>
      </w:r>
      <w:r w:rsidR="00970B2E" w:rsidRPr="00D44D33">
        <w:rPr>
          <w:rFonts w:ascii="Times New Roman" w:hAnsi="Times New Roman" w:cs="Times New Roman"/>
          <w:szCs w:val="24"/>
        </w:rPr>
        <w:t xml:space="preserve"> </w:t>
      </w:r>
      <w:r w:rsidRPr="00D44D33">
        <w:rPr>
          <w:rFonts w:ascii="Times New Roman" w:hAnsi="Times New Roman" w:cs="Times New Roman"/>
          <w:szCs w:val="24"/>
        </w:rPr>
        <w:t>ten</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bezprawny</w:t>
      </w:r>
      <w:r w:rsidR="00970B2E" w:rsidRPr="00D44D33">
        <w:rPr>
          <w:rFonts w:ascii="Times New Roman" w:hAnsi="Times New Roman" w:cs="Times New Roman"/>
          <w:szCs w:val="24"/>
        </w:rPr>
        <w:t xml:space="preserve"> </w:t>
      </w:r>
      <w:r w:rsidRPr="00D44D33">
        <w:rPr>
          <w:rFonts w:ascii="Times New Roman" w:hAnsi="Times New Roman" w:cs="Times New Roman"/>
          <w:szCs w:val="24"/>
        </w:rPr>
        <w:t>stan.</w:t>
      </w:r>
      <w:r w:rsidR="00970B2E" w:rsidRPr="00D44D33">
        <w:rPr>
          <w:rFonts w:ascii="Times New Roman" w:hAnsi="Times New Roman" w:cs="Times New Roman"/>
          <w:szCs w:val="24"/>
        </w:rPr>
        <w:t xml:space="preserve"> </w:t>
      </w:r>
      <w:r w:rsidRPr="00D44D33">
        <w:rPr>
          <w:rFonts w:ascii="Times New Roman" w:hAnsi="Times New Roman" w:cs="Times New Roman"/>
          <w:szCs w:val="24"/>
        </w:rPr>
        <w:t>Może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to</w:t>
      </w:r>
      <w:r w:rsidR="00970B2E" w:rsidRPr="00D44D33">
        <w:rPr>
          <w:rFonts w:ascii="Times New Roman" w:hAnsi="Times New Roman" w:cs="Times New Roman"/>
          <w:szCs w:val="24"/>
        </w:rPr>
        <w:t xml:space="preserve"> </w:t>
      </w:r>
      <w:r w:rsidRPr="00D44D33">
        <w:rPr>
          <w:rFonts w:ascii="Times New Roman" w:hAnsi="Times New Roman" w:cs="Times New Roman"/>
          <w:szCs w:val="24"/>
        </w:rPr>
        <w:t>nastąpić</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A0528" w:rsidRPr="00D44D33">
        <w:rPr>
          <w:rFonts w:ascii="Times New Roman" w:hAnsi="Times New Roman" w:cs="Times New Roman"/>
          <w:szCs w:val="24"/>
        </w:rPr>
        <w:t>ramach</w:t>
      </w:r>
      <w:r w:rsidR="00970B2E" w:rsidRPr="00D44D33">
        <w:rPr>
          <w:rFonts w:ascii="Times New Roman" w:hAnsi="Times New Roman" w:cs="Times New Roman"/>
          <w:szCs w:val="24"/>
        </w:rPr>
        <w:t xml:space="preserve"> </w:t>
      </w:r>
      <w:r w:rsidR="00DA0528" w:rsidRPr="00D44D33">
        <w:rPr>
          <w:rFonts w:ascii="Times New Roman" w:hAnsi="Times New Roman" w:cs="Times New Roman"/>
          <w:szCs w:val="24"/>
        </w:rPr>
        <w:t>kontroli</w:t>
      </w:r>
      <w:r w:rsidR="00970B2E" w:rsidRPr="00D44D33">
        <w:rPr>
          <w:rFonts w:ascii="Times New Roman" w:hAnsi="Times New Roman" w:cs="Times New Roman"/>
          <w:szCs w:val="24"/>
        </w:rPr>
        <w:t xml:space="preserve"> </w:t>
      </w:r>
      <w:r w:rsidR="00DA0528"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DA0528" w:rsidRPr="00D44D33">
        <w:rPr>
          <w:rFonts w:ascii="Times New Roman" w:hAnsi="Times New Roman" w:cs="Times New Roman"/>
          <w:szCs w:val="24"/>
        </w:rPr>
        <w:t>monitorowania</w:t>
      </w:r>
      <w:r w:rsidR="00970B2E" w:rsidRPr="00D44D33">
        <w:rPr>
          <w:rFonts w:ascii="Times New Roman" w:hAnsi="Times New Roman" w:cs="Times New Roman"/>
          <w:szCs w:val="24"/>
        </w:rPr>
        <w:t xml:space="preserve"> </w:t>
      </w:r>
      <w:r w:rsidR="00E727ED" w:rsidRPr="00D44D33">
        <w:rPr>
          <w:rFonts w:ascii="Times New Roman" w:hAnsi="Times New Roman" w:cs="Times New Roman"/>
          <w:szCs w:val="24"/>
        </w:rPr>
        <w:t>widma.</w:t>
      </w:r>
      <w:r w:rsidR="00970B2E" w:rsidRPr="00D44D33">
        <w:rPr>
          <w:rFonts w:ascii="Times New Roman" w:hAnsi="Times New Roman" w:cs="Times New Roman"/>
          <w:szCs w:val="24"/>
        </w:rPr>
        <w:t xml:space="preserve"> </w:t>
      </w:r>
    </w:p>
    <w:p w14:paraId="097DCF70" w14:textId="1DFEC978" w:rsidR="00977822" w:rsidRPr="00D44D33" w:rsidRDefault="711195A7" w:rsidP="00D44D33">
      <w:pPr>
        <w:pStyle w:val="ARTartustawynprozporzdzenia"/>
        <w:spacing w:after="120"/>
        <w:ind w:firstLine="0"/>
        <w:jc w:val="center"/>
        <w:rPr>
          <w:rFonts w:ascii="Times New Roman" w:hAnsi="Times New Roman" w:cs="Times New Roman"/>
          <w:b/>
          <w:bCs/>
          <w:szCs w:val="24"/>
        </w:rPr>
      </w:pPr>
      <w:r w:rsidRPr="00D44D33">
        <w:rPr>
          <w:rFonts w:ascii="Times New Roman" w:hAnsi="Times New Roman" w:cs="Times New Roman"/>
          <w:b/>
          <w:bCs/>
          <w:szCs w:val="24"/>
        </w:rPr>
        <w:t>Art.</w:t>
      </w:r>
      <w:r w:rsidR="00970B2E" w:rsidRPr="00D44D33">
        <w:rPr>
          <w:rFonts w:ascii="Times New Roman" w:hAnsi="Times New Roman" w:cs="Times New Roman"/>
          <w:b/>
          <w:bCs/>
          <w:szCs w:val="24"/>
        </w:rPr>
        <w:t xml:space="preserve"> </w:t>
      </w:r>
      <w:r w:rsidR="004F3FAD" w:rsidRPr="00D44D33">
        <w:rPr>
          <w:rFonts w:ascii="Times New Roman" w:hAnsi="Times New Roman" w:cs="Times New Roman"/>
          <w:b/>
          <w:bCs/>
          <w:szCs w:val="24"/>
        </w:rPr>
        <w:t>431</w:t>
      </w:r>
      <w:r w:rsidR="009A1393" w:rsidRPr="00D44D33">
        <w:rPr>
          <w:rFonts w:ascii="Times New Roman" w:hAnsi="Times New Roman" w:cs="Times New Roman"/>
          <w:szCs w:val="24"/>
        </w:rPr>
        <w:t>–</w:t>
      </w:r>
      <w:r w:rsidR="004F3FAD" w:rsidRPr="00D44D33">
        <w:rPr>
          <w:rFonts w:ascii="Times New Roman" w:hAnsi="Times New Roman" w:cs="Times New Roman"/>
          <w:b/>
          <w:bCs/>
          <w:szCs w:val="24"/>
        </w:rPr>
        <w:t>433</w:t>
      </w:r>
    </w:p>
    <w:p w14:paraId="3A8BB528" w14:textId="1E7173DC" w:rsidR="00F607C9" w:rsidRPr="00D44D33" w:rsidRDefault="00444EC5"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treść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w:t>
      </w:r>
      <w:r w:rsidR="00265BA3" w:rsidRPr="00D44D33">
        <w:rPr>
          <w:rFonts w:ascii="Times New Roman" w:eastAsiaTheme="minorEastAsia" w:hAnsi="Times New Roman" w:cs="Times New Roman"/>
          <w:sz w:val="24"/>
          <w:szCs w:val="24"/>
        </w:rPr>
        <w: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5661D8" w:rsidRPr="00D44D33">
        <w:rPr>
          <w:rFonts w:ascii="Times New Roman" w:eastAsiaTheme="minorEastAsia" w:hAnsi="Times New Roman" w:cs="Times New Roman"/>
          <w:sz w:val="24"/>
          <w:szCs w:val="24"/>
        </w:rPr>
        <w:t>204</w:t>
      </w:r>
      <w:r w:rsidR="00970B2E" w:rsidRPr="00D44D33">
        <w:rPr>
          <w:rFonts w:ascii="Times New Roman" w:eastAsiaTheme="minorEastAsia" w:hAnsi="Times New Roman" w:cs="Times New Roman"/>
          <w:sz w:val="24"/>
          <w:szCs w:val="24"/>
        </w:rPr>
        <w:t xml:space="preserve"> </w:t>
      </w:r>
      <w:r w:rsidR="005661D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661D8" w:rsidRPr="00D44D33">
        <w:rPr>
          <w:rFonts w:ascii="Times New Roman" w:eastAsiaTheme="minorEastAsia" w:hAnsi="Times New Roman" w:cs="Times New Roman"/>
          <w:sz w:val="24"/>
          <w:szCs w:val="24"/>
        </w:rPr>
        <w:t>204</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00CB38C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005661D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5661D8" w:rsidRPr="00D44D33">
        <w:rPr>
          <w:rFonts w:ascii="Times New Roman" w:eastAsiaTheme="minorEastAsia" w:hAnsi="Times New Roman" w:cs="Times New Roman"/>
          <w:sz w:val="24"/>
          <w:szCs w:val="24"/>
        </w:rPr>
        <w:t>regulują</w:t>
      </w:r>
      <w:r w:rsidR="00970B2E" w:rsidRPr="00D44D33">
        <w:rPr>
          <w:rFonts w:ascii="Times New Roman" w:eastAsiaTheme="minorEastAsia" w:hAnsi="Times New Roman" w:cs="Times New Roman"/>
          <w:sz w:val="24"/>
          <w:szCs w:val="24"/>
        </w:rPr>
        <w:t xml:space="preserve"> </w:t>
      </w:r>
      <w:r w:rsidR="005661D8"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00C2034D"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C2034D"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00C2034D" w:rsidRPr="00D44D33">
        <w:rPr>
          <w:rFonts w:ascii="Times New Roman" w:eastAsiaTheme="minorEastAsia" w:hAnsi="Times New Roman" w:cs="Times New Roman"/>
          <w:sz w:val="24"/>
          <w:szCs w:val="24"/>
        </w:rPr>
        <w:t>możliwego</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powodowanych</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inne</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wytwarzające</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pole</w:t>
      </w:r>
      <w:r w:rsidR="00970B2E" w:rsidRPr="00D44D33">
        <w:rPr>
          <w:rFonts w:ascii="Times New Roman" w:eastAsiaTheme="minorEastAsia" w:hAnsi="Times New Roman" w:cs="Times New Roman"/>
          <w:sz w:val="24"/>
          <w:szCs w:val="24"/>
        </w:rPr>
        <w:t xml:space="preserve"> </w:t>
      </w:r>
      <w:r w:rsidR="009A794C"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p>
    <w:p w14:paraId="1CB1A596" w14:textId="00529E88" w:rsidR="00881F09" w:rsidRPr="00D44D33" w:rsidRDefault="00AA0616"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363E66" w:rsidRPr="00D44D33">
        <w:rPr>
          <w:rFonts w:ascii="Times New Roman" w:eastAsiaTheme="minorEastAsia" w:hAnsi="Times New Roman" w:cs="Times New Roman"/>
          <w:sz w:val="24"/>
          <w:szCs w:val="24"/>
        </w:rPr>
        <w:t xml:space="preserve">z dnia 13 kwietnia 2007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aparatury,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instalacji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stacjonarnej,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komponentu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instalacji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ruchomej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kontekście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zdolności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zadowalającego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środowisku</w:t>
      </w:r>
      <w:r w:rsidR="00970B2E" w:rsidRPr="00D44D33">
        <w:rPr>
          <w:rFonts w:ascii="Times New Roman" w:eastAsiaTheme="minorEastAsia" w:hAnsi="Times New Roman" w:cs="Times New Roman"/>
          <w:sz w:val="24"/>
          <w:szCs w:val="24"/>
        </w:rPr>
        <w:t xml:space="preserve"> </w:t>
      </w:r>
      <w:r w:rsidRPr="00D44D33">
        <w:rPr>
          <w:rStyle w:val="highlight-disabled"/>
          <w:rFonts w:ascii="Times New Roman" w:eastAsiaTheme="minorEastAsia" w:hAnsi="Times New Roman" w:cs="Times New Roman"/>
          <w:sz w:val="24"/>
          <w:szCs w:val="24"/>
        </w:rPr>
        <w:t>elektromagnetycznym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środowiska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niedopuszczalnych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Pr="00D44D33">
        <w:rPr>
          <w:rStyle w:val="highlight-disabled"/>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Pr="00D44D33">
        <w:rPr>
          <w:rStyle w:val="highlight-disabled"/>
          <w:rFonts w:ascii="Times New Roman" w:eastAsiaTheme="minorEastAsia" w:hAnsi="Times New Roman" w:cs="Times New Roman"/>
          <w:sz w:val="24"/>
          <w:szCs w:val="24"/>
        </w:rPr>
        <w:t>kompatybilność</w:t>
      </w:r>
      <w:r w:rsidR="00970B2E" w:rsidRPr="00D44D33">
        <w:rPr>
          <w:rFonts w:ascii="Times New Roman" w:eastAsiaTheme="minorEastAsia" w:hAnsi="Times New Roman" w:cs="Times New Roman"/>
          <w:sz w:val="24"/>
          <w:szCs w:val="24"/>
        </w:rPr>
        <w:t xml:space="preserve"> </w:t>
      </w:r>
      <w:r w:rsidRPr="00D44D33">
        <w:rPr>
          <w:rStyle w:val="highlight-disabled"/>
          <w:rFonts w:ascii="Times New Roman" w:eastAsiaTheme="minorEastAsia" w:hAnsi="Times New Roman" w:cs="Times New Roman"/>
          <w:sz w:val="24"/>
          <w:szCs w:val="24"/>
        </w:rPr>
        <w:t>elektromagnetyczna)</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kompatybilne</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elektromagnetycznie.</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zakłócanych</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w:t>
      </w:r>
      <w:r w:rsidR="00881F09" w:rsidRPr="00D44D33">
        <w:rPr>
          <w:rFonts w:ascii="Times New Roman" w:eastAsiaTheme="minorEastAsia" w:hAnsi="Times New Roman" w:cs="Times New Roman"/>
          <w:sz w:val="24"/>
          <w:szCs w:val="24"/>
        </w:rPr>
        <w:t>ne</w:t>
      </w:r>
      <w:r w:rsidR="00970B2E" w:rsidRPr="00D44D33">
        <w:rPr>
          <w:rFonts w:ascii="Times New Roman" w:eastAsiaTheme="minorEastAsia" w:hAnsi="Times New Roman" w:cs="Times New Roman"/>
          <w:sz w:val="24"/>
          <w:szCs w:val="24"/>
        </w:rPr>
        <w:t xml:space="preserve"> </w:t>
      </w:r>
      <w:r w:rsidR="00881F09"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odnoszą</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spełniają</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zasadnicze</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wymagania</w:t>
      </w:r>
      <w:r w:rsidR="00970B2E" w:rsidRPr="00D44D33">
        <w:rPr>
          <w:rFonts w:ascii="Times New Roman" w:eastAsia="Times New Roman" w:hAnsi="Times New Roman" w:cs="Times New Roman"/>
          <w:sz w:val="24"/>
          <w:szCs w:val="24"/>
        </w:rPr>
        <w:t xml:space="preserve"> </w:t>
      </w:r>
      <w:r w:rsidR="5B7832E8"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5B7832E8"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00D51037"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elektromagnetycznej.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lang w:eastAsia="pl-PL"/>
        </w:rPr>
        <w:t>wymagania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dotyczące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niewywoływania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swoim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środowisku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zaburzeń</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elektromagnetycznych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wartościach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przekraczających</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odporność</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te</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zaburzenia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innego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urządzenia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występującego</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tym</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środowisku</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oraz</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posiadania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wymaganej</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odporności</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zaburzenia</w:t>
      </w:r>
      <w:r w:rsidR="00970B2E" w:rsidRPr="00D44D33">
        <w:rPr>
          <w:rFonts w:ascii="Times New Roman" w:eastAsiaTheme="minorEastAsia" w:hAnsi="Times New Roman" w:cs="Times New Roman"/>
          <w:sz w:val="24"/>
          <w:szCs w:val="24"/>
          <w:lang w:eastAsia="pl-PL"/>
        </w:rPr>
        <w:t xml:space="preserve"> </w:t>
      </w:r>
      <w:r w:rsidRPr="00D44D33">
        <w:rPr>
          <w:rFonts w:ascii="Times New Roman" w:eastAsiaTheme="minorEastAsia" w:hAnsi="Times New Roman" w:cs="Times New Roman"/>
          <w:sz w:val="24"/>
          <w:szCs w:val="24"/>
          <w:lang w:eastAsia="pl-PL"/>
        </w:rPr>
        <w:t>elektromagnetyczne.</w:t>
      </w:r>
      <w:r w:rsidR="00970B2E" w:rsidRPr="00D44D33">
        <w:rPr>
          <w:rFonts w:ascii="Times New Roman" w:eastAsiaTheme="minorEastAsia" w:hAnsi="Times New Roman" w:cs="Times New Roman"/>
          <w:sz w:val="24"/>
          <w:szCs w:val="24"/>
          <w:lang w:eastAsia="pl-PL"/>
        </w:rPr>
        <w:t xml:space="preserve"> </w:t>
      </w:r>
      <w:r w:rsidR="00C27BE6" w:rsidRPr="00D44D33">
        <w:rPr>
          <w:rFonts w:ascii="Times New Roman" w:eastAsiaTheme="minorEastAsia" w:hAnsi="Times New Roman" w:cs="Times New Roman"/>
          <w:sz w:val="24"/>
          <w:szCs w:val="24"/>
          <w:lang w:eastAsia="pl-PL"/>
        </w:rPr>
        <w:t>Przez</w:t>
      </w:r>
      <w:r w:rsidR="00970B2E" w:rsidRPr="00D44D33">
        <w:rPr>
          <w:rFonts w:ascii="Times New Roman" w:eastAsiaTheme="minorEastAsia" w:hAnsi="Times New Roman" w:cs="Times New Roman"/>
          <w:sz w:val="24"/>
          <w:szCs w:val="24"/>
          <w:lang w:eastAsia="pl-PL"/>
        </w:rPr>
        <w:t xml:space="preserve"> </w:t>
      </w:r>
      <w:r w:rsidR="00C27BE6" w:rsidRPr="00D44D33">
        <w:rPr>
          <w:rFonts w:ascii="Times New Roman" w:eastAsiaTheme="minorEastAsia" w:hAnsi="Times New Roman" w:cs="Times New Roman"/>
          <w:sz w:val="24"/>
          <w:szCs w:val="24"/>
          <w:lang w:eastAsia="pl-PL"/>
        </w:rPr>
        <w:t>odporność</w:t>
      </w:r>
      <w:r w:rsidR="00970B2E" w:rsidRPr="00D44D33">
        <w:rPr>
          <w:rFonts w:ascii="Times New Roman" w:eastAsiaTheme="minorEastAsia" w:hAnsi="Times New Roman" w:cs="Times New Roman"/>
          <w:sz w:val="24"/>
          <w:szCs w:val="24"/>
          <w:lang w:eastAsia="pl-PL"/>
        </w:rPr>
        <w:t xml:space="preserve"> </w:t>
      </w:r>
      <w:r w:rsidR="00C27BE6" w:rsidRPr="00D44D33">
        <w:rPr>
          <w:rFonts w:ascii="Times New Roman" w:eastAsiaTheme="minorEastAsia" w:hAnsi="Times New Roman" w:cs="Times New Roman"/>
          <w:sz w:val="24"/>
          <w:szCs w:val="24"/>
          <w:lang w:eastAsia="pl-PL"/>
        </w:rPr>
        <w:t>na</w:t>
      </w:r>
      <w:r w:rsidR="00970B2E" w:rsidRPr="00D44D33">
        <w:rPr>
          <w:rFonts w:ascii="Times New Roman" w:eastAsiaTheme="minorEastAsia" w:hAnsi="Times New Roman" w:cs="Times New Roman"/>
          <w:sz w:val="24"/>
          <w:szCs w:val="24"/>
          <w:lang w:eastAsia="pl-PL"/>
        </w:rPr>
        <w:t xml:space="preserve"> </w:t>
      </w:r>
      <w:r w:rsidR="00C27BE6" w:rsidRPr="00D44D33">
        <w:rPr>
          <w:rFonts w:ascii="Times New Roman" w:eastAsiaTheme="minorEastAsia" w:hAnsi="Times New Roman" w:cs="Times New Roman"/>
          <w:sz w:val="24"/>
          <w:szCs w:val="24"/>
          <w:lang w:eastAsia="pl-PL"/>
        </w:rPr>
        <w:t>zaburzenia</w:t>
      </w:r>
      <w:r w:rsidR="00970B2E" w:rsidRPr="00D44D33">
        <w:rPr>
          <w:rFonts w:ascii="Times New Roman" w:eastAsiaTheme="minorEastAsia" w:hAnsi="Times New Roman" w:cs="Times New Roman"/>
          <w:sz w:val="24"/>
          <w:szCs w:val="24"/>
          <w:lang w:eastAsia="pl-PL"/>
        </w:rPr>
        <w:t xml:space="preserve"> </w:t>
      </w:r>
      <w:r w:rsidR="00C27BE6"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rozumieć</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zdolność</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przeznaczeniem</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ograniczania</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wykonywanych</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funkcji</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wystąpienia</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zaburzeń</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elektromagnetycznych.</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Zaburzeniem</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elektromagnetycznym</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dowolne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zjawisko</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obniżyć</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jakość</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niekorzystnie</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wpłynąć</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materię</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ożywioną</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C27BE6" w:rsidRPr="00D44D33">
        <w:rPr>
          <w:rFonts w:ascii="Times New Roman" w:eastAsiaTheme="minorEastAsia" w:hAnsi="Times New Roman" w:cs="Times New Roman"/>
          <w:sz w:val="24"/>
          <w:szCs w:val="24"/>
        </w:rPr>
        <w:t>nieożywioną.</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Należy</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ustalić</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zakłócane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warunki</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posiada</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odporność</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zaburzenia</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elektromagnetyczne.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spełnia</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wymagań</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wówczas</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ochronie</w:t>
      </w:r>
      <w:r w:rsidR="00970B2E" w:rsidRPr="00D44D33">
        <w:rPr>
          <w:rFonts w:ascii="Times New Roman" w:eastAsiaTheme="minorEastAsia" w:hAnsi="Times New Roman" w:cs="Times New Roman"/>
          <w:sz w:val="24"/>
          <w:szCs w:val="24"/>
        </w:rPr>
        <w:t xml:space="preserve"> </w:t>
      </w:r>
      <w:r w:rsidR="00F607C9"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00F607C9" w:rsidRPr="00D44D33">
        <w:rPr>
          <w:rFonts w:ascii="Times New Roman" w:eastAsiaTheme="minorEastAsia" w:hAnsi="Times New Roman" w:cs="Times New Roman"/>
          <w:sz w:val="24"/>
          <w:szCs w:val="24"/>
        </w:rPr>
        <w:t>szkodliwymi</w:t>
      </w:r>
      <w:r w:rsidR="00970B2E" w:rsidRPr="00D44D33">
        <w:rPr>
          <w:rFonts w:ascii="Times New Roman" w:eastAsiaTheme="minorEastAsia" w:hAnsi="Times New Roman" w:cs="Times New Roman"/>
          <w:sz w:val="24"/>
          <w:szCs w:val="24"/>
        </w:rPr>
        <w:t xml:space="preserve"> </w:t>
      </w:r>
      <w:r w:rsidR="00F607C9" w:rsidRPr="00D44D33">
        <w:rPr>
          <w:rFonts w:ascii="Times New Roman" w:eastAsiaTheme="minorEastAsia" w:hAnsi="Times New Roman" w:cs="Times New Roman"/>
          <w:sz w:val="24"/>
          <w:szCs w:val="24"/>
        </w:rPr>
        <w:t>zakłóceniami</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przewidzianej</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00430A1B" w:rsidRPr="00D44D33">
        <w:rPr>
          <w:rFonts w:ascii="Times New Roman" w:eastAsiaTheme="minorEastAsia" w:hAnsi="Times New Roman" w:cs="Times New Roman"/>
          <w:sz w:val="24"/>
          <w:szCs w:val="24"/>
        </w:rPr>
        <w:t>przepisach.</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zakłócające</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00975FD9" w:rsidRPr="00D44D33">
        <w:rPr>
          <w:rFonts w:ascii="Times New Roman" w:eastAsiaTheme="minorEastAsia" w:hAnsi="Times New Roman" w:cs="Times New Roman"/>
          <w:sz w:val="24"/>
          <w:szCs w:val="24"/>
        </w:rPr>
        <w:t>spełniać</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zasadnicze</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wymagania,</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ma</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ochronę</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002F6052" w:rsidRPr="00D44D33">
        <w:rPr>
          <w:rFonts w:ascii="Times New Roman" w:eastAsiaTheme="minorEastAsia" w:hAnsi="Times New Roman" w:cs="Times New Roman"/>
          <w:sz w:val="24"/>
          <w:szCs w:val="24"/>
        </w:rPr>
        <w:t>zakłócanych.</w:t>
      </w:r>
      <w:bookmarkStart w:id="26" w:name="highlightHit_5"/>
      <w:bookmarkStart w:id="27" w:name="highlightHit_6"/>
      <w:bookmarkStart w:id="28" w:name="highlightHit_7"/>
      <w:bookmarkStart w:id="29" w:name="highlightHit_8"/>
      <w:bookmarkEnd w:id="26"/>
      <w:bookmarkEnd w:id="27"/>
      <w:bookmarkEnd w:id="28"/>
      <w:bookmarkEnd w:id="29"/>
    </w:p>
    <w:p w14:paraId="662A2E1A" w14:textId="6D9A5222" w:rsidR="00975FD9" w:rsidRPr="00D44D33" w:rsidRDefault="00881F0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990239"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80392E" w:rsidRPr="00D44D33">
        <w:rPr>
          <w:rFonts w:ascii="Times New Roman" w:eastAsiaTheme="minorEastAsia" w:hAnsi="Times New Roman" w:cs="Times New Roman"/>
          <w:sz w:val="24"/>
          <w:szCs w:val="24"/>
        </w:rPr>
        <w:t>431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odnosi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stwierdzenia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wstrzymaniu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powodującego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zajęciu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przeprowadzenia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badań.</w:t>
      </w:r>
      <w:r w:rsidR="00970B2E" w:rsidRPr="00D44D33">
        <w:rPr>
          <w:rFonts w:ascii="Times New Roman" w:eastAsiaTheme="minorEastAsia" w:hAnsi="Times New Roman" w:cs="Times New Roman"/>
          <w:sz w:val="24"/>
          <w:szCs w:val="24"/>
        </w:rPr>
        <w:t xml:space="preserve"> </w:t>
      </w:r>
      <w:r w:rsidR="00BE49DF"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BE49DF"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4F3FAD" w:rsidRPr="00D44D33">
        <w:rPr>
          <w:rFonts w:ascii="Times New Roman" w:eastAsiaTheme="minorEastAsia" w:hAnsi="Times New Roman" w:cs="Times New Roman"/>
          <w:sz w:val="24"/>
          <w:szCs w:val="24"/>
        </w:rPr>
        <w:t>432</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dotyczy</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natomiast</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sytuacji,</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stwierdzi,</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urządzenie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powodować</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szkodliwe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zakłócenia</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wymienia</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możliwe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uprawnienia</w:t>
      </w:r>
      <w:r w:rsidR="00970B2E" w:rsidRPr="00D44D33">
        <w:rPr>
          <w:rFonts w:ascii="Times New Roman" w:eastAsiaTheme="minorEastAsia" w:hAnsi="Times New Roman" w:cs="Times New Roman"/>
          <w:sz w:val="24"/>
          <w:szCs w:val="24"/>
        </w:rPr>
        <w:t xml:space="preserve"> </w:t>
      </w:r>
      <w:r w:rsidR="7ABF0561" w:rsidRPr="00D44D33">
        <w:rPr>
          <w:rFonts w:ascii="Times New Roman" w:eastAsiaTheme="minorEastAsia" w:hAnsi="Times New Roman" w:cs="Times New Roman"/>
          <w:sz w:val="24"/>
          <w:szCs w:val="24"/>
        </w:rPr>
        <w:t>P</w:t>
      </w:r>
      <w:r w:rsidR="4C4738B9" w:rsidRPr="00D44D33">
        <w:rPr>
          <w:rFonts w:ascii="Times New Roman" w:eastAsiaTheme="minorEastAsia" w:hAnsi="Times New Roman" w:cs="Times New Roman"/>
          <w:sz w:val="24"/>
          <w:szCs w:val="24"/>
        </w:rPr>
        <w:t>rezesa</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D35531" w:rsidRPr="00D44D33">
        <w:rPr>
          <w:rFonts w:ascii="Times New Roman" w:eastAsiaTheme="minorEastAsia" w:hAnsi="Times New Roman" w:cs="Times New Roman"/>
          <w:sz w:val="24"/>
          <w:szCs w:val="24"/>
        </w:rPr>
        <w:t>zakresie</w:t>
      </w:r>
      <w:r w:rsidR="008B4110"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7B3787A3" w14:textId="2ADFACBF" w:rsidR="0045592B" w:rsidRPr="00D44D33" w:rsidRDefault="008B4110"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podjętych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w:t>
      </w:r>
      <w:r w:rsidR="005622E0" w:rsidRPr="00D44D33">
        <w:rPr>
          <w:rFonts w:ascii="Times New Roman" w:eastAsiaTheme="minorEastAsia" w:hAnsi="Times New Roman" w:cs="Times New Roman"/>
          <w:sz w:val="24"/>
          <w:szCs w:val="24"/>
        </w:rPr>
        <w:t>nia</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projektowanych</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dyrektywy</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Parlamentu</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Europejskiego</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2014/30/UE</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26</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lutego</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2014</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harmonizacji</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ustawodawstw</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państw</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członkowskich</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odnoszących</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kompatybilności</w:t>
      </w:r>
      <w:r w:rsidR="00970B2E" w:rsidRPr="00D44D33">
        <w:rPr>
          <w:rFonts w:ascii="Times New Roman" w:eastAsiaTheme="minorEastAsia" w:hAnsi="Times New Roman" w:cs="Times New Roman"/>
          <w:sz w:val="24"/>
          <w:szCs w:val="24"/>
        </w:rPr>
        <w:t xml:space="preserve"> </w:t>
      </w:r>
      <w:r w:rsidR="004E0B22" w:rsidRPr="00D44D33">
        <w:rPr>
          <w:rFonts w:ascii="Times New Roman" w:eastAsiaTheme="minorEastAsia" w:hAnsi="Times New Roman" w:cs="Times New Roman"/>
          <w:sz w:val="24"/>
          <w:szCs w:val="24"/>
        </w:rPr>
        <w:t>elektromagnetycznej.</w:t>
      </w:r>
      <w:r w:rsidR="00371EEA">
        <w:rPr>
          <w:rFonts w:ascii="Times New Roman" w:eastAsiaTheme="minorEastAsia" w:hAnsi="Times New Roman" w:cs="Times New Roman"/>
          <w:sz w:val="24"/>
          <w:szCs w:val="24"/>
        </w:rPr>
        <w:t xml:space="preserve"> </w:t>
      </w:r>
    </w:p>
    <w:p w14:paraId="0FCD3E73"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273E95D1" w14:textId="77777777" w:rsidR="00B61396" w:rsidRDefault="00B61396" w:rsidP="00D44D33">
      <w:pPr>
        <w:spacing w:before="120" w:after="120" w:line="360" w:lineRule="auto"/>
        <w:jc w:val="center"/>
        <w:rPr>
          <w:rFonts w:ascii="Times New Roman" w:eastAsiaTheme="minorEastAsia" w:hAnsi="Times New Roman" w:cs="Times New Roman"/>
          <w:b/>
          <w:sz w:val="24"/>
          <w:szCs w:val="24"/>
        </w:rPr>
      </w:pPr>
    </w:p>
    <w:p w14:paraId="1C5B8382" w14:textId="41F320D0" w:rsidR="008B4110" w:rsidRPr="00D44D33" w:rsidRDefault="0045592B"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3C5F3B" w:rsidRPr="00D44D33">
        <w:rPr>
          <w:rFonts w:ascii="Times New Roman" w:eastAsiaTheme="minorEastAsia" w:hAnsi="Times New Roman" w:cs="Times New Roman"/>
          <w:b/>
          <w:bCs/>
          <w:sz w:val="24"/>
          <w:szCs w:val="24"/>
        </w:rPr>
        <w:t>434</w:t>
      </w:r>
    </w:p>
    <w:p w14:paraId="7DD0DF79" w14:textId="0E10FE76" w:rsidR="00725614" w:rsidRPr="00D44D33" w:rsidRDefault="003667B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analogicznie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obowiązujących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B38C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wyłącza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zasadniczo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stosowanie</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005622E0"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odniesieniu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specyfiką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upoważnienie</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dla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wskazanych</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nim</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rządowych</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R</w:t>
      </w:r>
      <w:r w:rsidR="0049727B" w:rsidRPr="00D44D33">
        <w:rPr>
          <w:rFonts w:ascii="Times New Roman" w:eastAsiaTheme="minorEastAsia" w:hAnsi="Times New Roman" w:cs="Times New Roman"/>
          <w:sz w:val="24"/>
          <w:szCs w:val="24"/>
        </w:rPr>
        <w:t>ady</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M</w:t>
      </w:r>
      <w:r w:rsidR="0049727B" w:rsidRPr="00D44D33">
        <w:rPr>
          <w:rFonts w:ascii="Times New Roman" w:eastAsiaTheme="minorEastAsia" w:hAnsi="Times New Roman" w:cs="Times New Roman"/>
          <w:sz w:val="24"/>
          <w:szCs w:val="24"/>
        </w:rPr>
        <w:t>inistrów</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usuwania</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zakłóceń</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powodowanych</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942BED" w:rsidRPr="00D44D33">
        <w:rPr>
          <w:rFonts w:ascii="Times New Roman" w:eastAsiaTheme="minorEastAsia" w:hAnsi="Times New Roman" w:cs="Times New Roman"/>
          <w:sz w:val="24"/>
          <w:szCs w:val="24"/>
        </w:rPr>
        <w:t>urząd</w:t>
      </w:r>
      <w:r w:rsidR="0049727B" w:rsidRPr="00D44D33">
        <w:rPr>
          <w:rFonts w:ascii="Times New Roman" w:eastAsiaTheme="minorEastAsia" w:hAnsi="Times New Roman" w:cs="Times New Roman"/>
          <w:sz w:val="24"/>
          <w:szCs w:val="24"/>
        </w:rPr>
        <w:t>zenia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używane</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użytkowników.</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zawarto</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upoważnienie</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wydania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Ministra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Sprawiedliwości</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porozumieniu</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ministrem</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spraw</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informatyzacji</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określającego</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przeprowadzania</w:t>
      </w:r>
      <w:r w:rsidR="00970B2E" w:rsidRPr="00D44D33">
        <w:rPr>
          <w:rFonts w:ascii="Times New Roman" w:eastAsiaTheme="minorEastAsia" w:hAnsi="Times New Roman" w:cs="Times New Roman"/>
          <w:sz w:val="24"/>
          <w:szCs w:val="24"/>
        </w:rPr>
        <w:t xml:space="preserve"> </w:t>
      </w:r>
      <w:r w:rsidR="0B26AA68" w:rsidRPr="00D44D33">
        <w:rPr>
          <w:rFonts w:ascii="Times New Roman" w:eastAsiaTheme="minorEastAsia" w:hAnsi="Times New Roman" w:cs="Times New Roman"/>
          <w:sz w:val="24"/>
          <w:szCs w:val="24"/>
        </w:rPr>
        <w:t>kontroli</w:t>
      </w:r>
      <w:r w:rsidR="00970B2E" w:rsidRPr="00D44D33">
        <w:rPr>
          <w:rFonts w:ascii="Times New Roman" w:eastAsiaTheme="minorEastAsia" w:hAnsi="Times New Roman" w:cs="Times New Roman"/>
          <w:sz w:val="24"/>
          <w:szCs w:val="24"/>
        </w:rPr>
        <w:t xml:space="preserve"> </w:t>
      </w:r>
      <w:r w:rsidR="0B26AA68"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pokontrolnego</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wobec</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jednostek</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organizacyjnych</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Służby</w:t>
      </w:r>
      <w:r w:rsidR="00970B2E" w:rsidRPr="00D44D33">
        <w:rPr>
          <w:rFonts w:ascii="Times New Roman" w:eastAsiaTheme="minorEastAsia" w:hAnsi="Times New Roman" w:cs="Times New Roman"/>
          <w:sz w:val="24"/>
          <w:szCs w:val="24"/>
        </w:rPr>
        <w:t xml:space="preserve"> </w:t>
      </w:r>
      <w:r w:rsidR="0049727B" w:rsidRPr="00D44D33">
        <w:rPr>
          <w:rFonts w:ascii="Times New Roman" w:eastAsiaTheme="minorEastAsia" w:hAnsi="Times New Roman" w:cs="Times New Roman"/>
          <w:sz w:val="24"/>
          <w:szCs w:val="24"/>
        </w:rPr>
        <w:t>Więziennej.</w:t>
      </w:r>
    </w:p>
    <w:p w14:paraId="7FC0143E" w14:textId="37C2C2BC" w:rsidR="009A1393" w:rsidRPr="00D44D33" w:rsidRDefault="00983602" w:rsidP="00D44D33">
      <w:pPr>
        <w:pStyle w:val="ROZDZODDZOZNoznaczenierozdziauluboddziau"/>
        <w:spacing w:after="120"/>
        <w:rPr>
          <w:rFonts w:ascii="Times New Roman" w:hAnsi="Times New Roman" w:cs="Times New Roman"/>
          <w:b/>
          <w:lang w:eastAsia="en-US"/>
        </w:rPr>
      </w:pPr>
      <w:r w:rsidRPr="00D44D33">
        <w:rPr>
          <w:rFonts w:ascii="Times New Roman" w:hAnsi="Times New Roman" w:cs="Times New Roman"/>
          <w:b/>
          <w:lang w:eastAsia="en-US"/>
        </w:rPr>
        <w:t>R</w:t>
      </w:r>
      <w:r w:rsidR="00754575" w:rsidRPr="00D44D33">
        <w:rPr>
          <w:rFonts w:ascii="Times New Roman" w:hAnsi="Times New Roman" w:cs="Times New Roman"/>
          <w:b/>
          <w:lang w:eastAsia="en-US"/>
        </w:rPr>
        <w:t>ozdział</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3</w:t>
      </w:r>
    </w:p>
    <w:p w14:paraId="749FF5BD" w14:textId="06D594B9" w:rsidR="00983602" w:rsidRPr="00D44D33" w:rsidRDefault="00983602" w:rsidP="00D44D33">
      <w:pPr>
        <w:pStyle w:val="ROZDZODDZOZNoznaczenierozdziauluboddziau"/>
        <w:spacing w:after="120"/>
        <w:rPr>
          <w:rFonts w:ascii="Times New Roman" w:hAnsi="Times New Roman" w:cs="Times New Roman"/>
          <w:b/>
        </w:rPr>
      </w:pPr>
      <w:r w:rsidRPr="00D44D33">
        <w:rPr>
          <w:rFonts w:ascii="Times New Roman" w:hAnsi="Times New Roman" w:cs="Times New Roman"/>
          <w:b/>
          <w:lang w:eastAsia="en-US"/>
        </w:rPr>
        <w:t>Postępowanie</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przed</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Prezesem</w:t>
      </w:r>
      <w:r w:rsidR="00970B2E" w:rsidRPr="00D44D33">
        <w:rPr>
          <w:rFonts w:ascii="Times New Roman" w:hAnsi="Times New Roman" w:cs="Times New Roman"/>
          <w:b/>
          <w:lang w:eastAsia="en-US"/>
        </w:rPr>
        <w:t xml:space="preserve"> </w:t>
      </w:r>
      <w:r w:rsidRPr="00D44D33">
        <w:rPr>
          <w:rFonts w:ascii="Times New Roman" w:hAnsi="Times New Roman" w:cs="Times New Roman"/>
          <w:b/>
          <w:lang w:eastAsia="en-US"/>
        </w:rPr>
        <w:t>UKE</w:t>
      </w:r>
    </w:p>
    <w:p w14:paraId="37A33D9C" w14:textId="5283D483" w:rsidR="003A4E05" w:rsidRPr="00D44D33" w:rsidRDefault="003A4E05" w:rsidP="00D44D33">
      <w:pPr>
        <w:pStyle w:val="Akapitzlist"/>
        <w:spacing w:before="120" w:after="120" w:line="360" w:lineRule="auto"/>
        <w:ind w:left="0"/>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bazują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rozwiązaniach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wypracowanych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już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gruncie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15D44D29" w:rsidRPr="00D44D33">
        <w:rPr>
          <w:rFonts w:ascii="Times New Roman" w:eastAsiaTheme="minorEastAsia" w:hAnsi="Times New Roman" w:cs="Times New Roman"/>
          <w:sz w:val="24"/>
          <w:szCs w:val="24"/>
        </w:rPr>
        <w:t>Pt</w:t>
      </w:r>
      <w:r w:rsidR="62301D6A"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62301D6A" w:rsidRPr="00D44D33">
        <w:rPr>
          <w:rFonts w:ascii="Times New Roman" w:eastAsiaTheme="minorEastAsia" w:hAnsi="Times New Roman" w:cs="Times New Roman"/>
          <w:sz w:val="24"/>
          <w:szCs w:val="24"/>
        </w:rPr>
        <w:t>R</w:t>
      </w:r>
      <w:r w:rsidR="4F15C54F" w:rsidRPr="00D44D33">
        <w:rPr>
          <w:rFonts w:ascii="Times New Roman" w:eastAsiaTheme="minorEastAsia" w:hAnsi="Times New Roman" w:cs="Times New Roman"/>
          <w:sz w:val="24"/>
          <w:szCs w:val="24"/>
        </w:rPr>
        <w:t>egulacje</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zakresie</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Rozdział</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działu</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X</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4F15C54F"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594B38B9"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594B38B9" w:rsidRPr="00D44D33">
        <w:rPr>
          <w:rFonts w:ascii="Times New Roman" w:eastAsiaTheme="minorEastAsia" w:hAnsi="Times New Roman" w:cs="Times New Roman"/>
          <w:sz w:val="24"/>
          <w:szCs w:val="24"/>
        </w:rPr>
        <w:t>206</w:t>
      </w:r>
      <w:r w:rsidR="009A1393" w:rsidRPr="00D44D33">
        <w:rPr>
          <w:rFonts w:ascii="Times New Roman" w:eastAsiaTheme="minorEastAsia" w:hAnsi="Times New Roman" w:cs="Times New Roman"/>
          <w:sz w:val="24"/>
          <w:szCs w:val="24"/>
        </w:rPr>
        <w:t>–</w:t>
      </w:r>
      <w:r w:rsidR="594B38B9" w:rsidRPr="00D44D33">
        <w:rPr>
          <w:rFonts w:ascii="Times New Roman" w:eastAsiaTheme="minorEastAsia" w:hAnsi="Times New Roman" w:cs="Times New Roman"/>
          <w:sz w:val="24"/>
          <w:szCs w:val="24"/>
        </w:rPr>
        <w:t>207a</w:t>
      </w:r>
      <w:r w:rsidR="4F15C54F" w:rsidRPr="00D44D33">
        <w:rPr>
          <w:rFonts w:ascii="Times New Roman" w:eastAsiaTheme="minorEastAsia" w:hAnsi="Times New Roman" w:cs="Times New Roman"/>
          <w:sz w:val="24"/>
          <w:szCs w:val="24"/>
        </w:rPr>
        <w: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p>
    <w:p w14:paraId="0C7F5D85" w14:textId="2147CF59" w:rsidR="003A4E05" w:rsidRPr="00D44D33" w:rsidRDefault="00B6600D" w:rsidP="00D44D33">
      <w:pPr>
        <w:pStyle w:val="Akapitzlist"/>
        <w:spacing w:before="120" w:after="120" w:line="360" w:lineRule="auto"/>
        <w:ind w:left="0"/>
        <w:contextualSpacing w:val="0"/>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3C5F3B" w:rsidRPr="00D44D33">
        <w:rPr>
          <w:rFonts w:ascii="Times New Roman" w:eastAsiaTheme="minorEastAsia" w:hAnsi="Times New Roman" w:cs="Times New Roman"/>
          <w:b/>
          <w:sz w:val="24"/>
          <w:szCs w:val="24"/>
        </w:rPr>
        <w:t>435</w:t>
      </w:r>
    </w:p>
    <w:p w14:paraId="0D33749C" w14:textId="23FEF58F" w:rsidR="003A4E05" w:rsidRPr="00D44D33" w:rsidRDefault="789C0695" w:rsidP="00D44D33">
      <w:pPr>
        <w:pStyle w:val="Akapitzlist"/>
        <w:spacing w:before="120" w:after="120" w:line="360" w:lineRule="auto"/>
        <w:ind w:left="0"/>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proponowanym</w:t>
      </w:r>
      <w:r w:rsidR="00970B2E" w:rsidRPr="00D44D33">
        <w:rPr>
          <w:rFonts w:ascii="Times New Roman" w:eastAsiaTheme="minorEastAsia" w:hAnsi="Times New Roman" w:cs="Times New Roman"/>
          <w:sz w:val="24"/>
          <w:szCs w:val="24"/>
        </w:rPr>
        <w:t xml:space="preserve"> </w:t>
      </w:r>
      <w:r w:rsidR="216FC0CB"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kpa.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Odstępstwa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wynikać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43404BD5"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7C0314" w:rsidRPr="00D44D33">
        <w:rPr>
          <w:rFonts w:ascii="Times New Roman" w:eastAsiaTheme="minorEastAsia" w:hAnsi="Times New Roman" w:cs="Times New Roman"/>
          <w:sz w:val="24"/>
          <w:szCs w:val="24"/>
        </w:rPr>
        <w:t xml:space="preserve">z dnia 7 maja 2010 r.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konsolidacyjnego,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odrębny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zaskarżania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216FC0CB" w:rsidRPr="00D44D33">
        <w:rPr>
          <w:rFonts w:ascii="Times New Roman" w:eastAsiaTheme="minorEastAsia" w:hAnsi="Times New Roman" w:cs="Times New Roman"/>
          <w:sz w:val="24"/>
          <w:szCs w:val="24"/>
        </w:rPr>
        <w:t>kreślonych</w:t>
      </w:r>
      <w:r w:rsidR="00970B2E" w:rsidRPr="00D44D33">
        <w:rPr>
          <w:rFonts w:ascii="Times New Roman" w:eastAsiaTheme="minorEastAsia" w:hAnsi="Times New Roman" w:cs="Times New Roman"/>
          <w:sz w:val="24"/>
          <w:szCs w:val="24"/>
        </w:rPr>
        <w:t xml:space="preserve"> </w:t>
      </w:r>
      <w:r w:rsidR="216FC0CB"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216FC0CB"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216FC0CB" w:rsidRPr="00D44D33">
        <w:rPr>
          <w:rFonts w:ascii="Times New Roman" w:eastAsiaTheme="minorEastAsia" w:hAnsi="Times New Roman" w:cs="Times New Roman"/>
          <w:sz w:val="24"/>
          <w:szCs w:val="24"/>
        </w:rPr>
        <w:t>UKE.</w:t>
      </w:r>
    </w:p>
    <w:p w14:paraId="0A0D4E7B" w14:textId="53210113" w:rsidR="003A4E05" w:rsidRPr="00D44D33" w:rsidRDefault="003A4E05" w:rsidP="00D44D33">
      <w:pPr>
        <w:pStyle w:val="Akapitzlist"/>
        <w:autoSpaceDN w:val="0"/>
        <w:spacing w:before="120" w:after="120" w:line="360" w:lineRule="auto"/>
        <w:ind w:left="0"/>
        <w:contextualSpacing w:val="0"/>
        <w:jc w:val="both"/>
        <w:rPr>
          <w:rFonts w:ascii="Times New Roman" w:eastAsiaTheme="minorEastAsia" w:hAnsi="Times New Roman" w:cs="Times New Roman"/>
          <w:sz w:val="24"/>
          <w:szCs w:val="24"/>
          <w:lang w:eastAsia="zh-CN"/>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00983602"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w:t>
      </w:r>
      <w:r w:rsidR="00B6600D" w:rsidRPr="00D44D33">
        <w:rPr>
          <w:rFonts w:ascii="Times New Roman" w:eastAsiaTheme="minorEastAsia" w:hAnsi="Times New Roman" w:cs="Times New Roman"/>
          <w:sz w:val="24"/>
          <w:szCs w:val="24"/>
        </w:rPr>
        <w:t>nsekwencją</w:t>
      </w:r>
      <w:r w:rsidR="00970B2E" w:rsidRPr="00D44D33">
        <w:rPr>
          <w:rFonts w:ascii="Times New Roman" w:eastAsiaTheme="minorEastAsia" w:hAnsi="Times New Roman" w:cs="Times New Roman"/>
          <w:sz w:val="24"/>
          <w:szCs w:val="24"/>
        </w:rPr>
        <w:t xml:space="preserve"> </w:t>
      </w:r>
      <w:r w:rsidR="00B6600D" w:rsidRPr="00D44D33">
        <w:rPr>
          <w:rFonts w:ascii="Times New Roman" w:eastAsiaTheme="minorEastAsia" w:hAnsi="Times New Roman" w:cs="Times New Roman"/>
          <w:sz w:val="24"/>
          <w:szCs w:val="24"/>
        </w:rPr>
        <w:t>brzmienia</w:t>
      </w:r>
      <w:r w:rsidR="00970B2E" w:rsidRPr="00D44D33">
        <w:rPr>
          <w:rFonts w:ascii="Times New Roman" w:eastAsiaTheme="minorEastAsia" w:hAnsi="Times New Roman" w:cs="Times New Roman"/>
          <w:sz w:val="24"/>
          <w:szCs w:val="24"/>
        </w:rPr>
        <w:t xml:space="preserve"> </w:t>
      </w:r>
      <w:r w:rsidR="00B6600D"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00B6600D" w:rsidRPr="00D44D33">
        <w:rPr>
          <w:rFonts w:ascii="Times New Roman" w:eastAsiaTheme="minorEastAsia" w:hAnsi="Times New Roman" w:cs="Times New Roman"/>
          <w:sz w:val="24"/>
          <w:szCs w:val="24"/>
        </w:rPr>
        <w:t>31</w:t>
      </w:r>
      <w:r w:rsidR="00970B2E" w:rsidRPr="00D44D33">
        <w:rPr>
          <w:rFonts w:ascii="Times New Roman" w:eastAsiaTheme="minorEastAsia" w:hAnsi="Times New Roman" w:cs="Times New Roman"/>
          <w:sz w:val="24"/>
          <w:szCs w:val="24"/>
        </w:rPr>
        <w:t xml:space="preserve"> </w:t>
      </w:r>
      <w:r w:rsidR="00B6600D" w:rsidRPr="00D44D33">
        <w:rPr>
          <w:rFonts w:ascii="Times New Roman" w:eastAsiaTheme="minorEastAsia" w:hAnsi="Times New Roman" w:cs="Times New Roman"/>
          <w:sz w:val="24"/>
          <w:szCs w:val="24"/>
        </w:rPr>
        <w:t>EKŁ</w:t>
      </w:r>
      <w:r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zapewniają,</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aby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poziomie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krajowym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istniały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skuteczne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mechanizmy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umożliwiające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użytkownikom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lub</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przedsiębiorstwom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udostępniającym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sieci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lub</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świadczącym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usługi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łączności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elektronicznej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lub</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udostępniającym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urządzenia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towarzyszące,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których</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dotyczy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dana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decyzja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wydana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przez</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właściwy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korzystanie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prawa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odwołania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się</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takiej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decyzji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do</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organu</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odwoławczego</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niezależnego</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zaangażowanych</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stron</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oraz</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wszelkiej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zewnętrznej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interwencji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lub</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presji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politycznej,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która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mogłaby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przeszkodzić</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mu</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niezależnej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ocenie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zawisłych</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przed</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nim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spraw.</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taki,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który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może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być</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sądem,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dysponuje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odpowiednią</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wiedzą</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specjalistyczną</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pozwalającą</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mu</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skuteczne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wypełnianie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swoich</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funkcji.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Jeżeli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odwoławczy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jest</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organem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sądowym,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musi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on</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zawsze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sporządzić</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na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piśmie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uzasadnienie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swojej</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decyzji.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Ponadto</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takim</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przypadku</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decyzja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takiego</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organu</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musi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podlegać</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kontroli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przez</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organ</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sądowy.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Państwa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członkowskie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mają</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obowiązek</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zagwarantowania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istnienia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skutecznych</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środków</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odwoławczych.</w:t>
      </w:r>
    </w:p>
    <w:p w14:paraId="3B8874F0" w14:textId="00373B1D" w:rsidR="007919A2" w:rsidRPr="00D44D33" w:rsidRDefault="003A4E05" w:rsidP="00D44D33">
      <w:pPr>
        <w:pStyle w:val="CZWSPPKTczwsplnapunktw"/>
        <w:spacing w:before="120" w:after="120" w:line="360" w:lineRule="auto"/>
        <w:rPr>
          <w:rFonts w:eastAsiaTheme="minorEastAsia" w:cs="Times New Roman"/>
          <w:sz w:val="24"/>
          <w:szCs w:val="24"/>
          <w:lang w:eastAsia="zh-CN"/>
        </w:rPr>
      </w:pPr>
      <w:r w:rsidRPr="00D44D33">
        <w:rPr>
          <w:rFonts w:eastAsiaTheme="minorEastAsia" w:cs="Times New Roman"/>
          <w:sz w:val="24"/>
          <w:szCs w:val="24"/>
          <w:lang w:eastAsia="zh-CN"/>
        </w:rPr>
        <w:t>Projektowany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przepis</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przenosi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zakresie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procedury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odwoławczej</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regulacje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zawarte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w:t>
      </w:r>
      <w:r w:rsidR="00970B2E" w:rsidRPr="00D44D33">
        <w:rPr>
          <w:rFonts w:eastAsiaTheme="minorEastAsia" w:cs="Times New Roman"/>
          <w:sz w:val="24"/>
          <w:szCs w:val="24"/>
          <w:lang w:eastAsia="zh-CN"/>
        </w:rPr>
        <w:t xml:space="preserve"> </w:t>
      </w:r>
      <w:r w:rsidR="00CB38CF" w:rsidRPr="00D44D33">
        <w:rPr>
          <w:rFonts w:eastAsiaTheme="minorEastAsia" w:cs="Times New Roman"/>
          <w:sz w:val="24"/>
          <w:szCs w:val="24"/>
          <w:lang w:eastAsia="zh-CN"/>
        </w:rPr>
        <w:t>Pt</w:t>
      </w:r>
      <w:r w:rsidRPr="00D44D33">
        <w:rPr>
          <w:rFonts w:eastAsiaTheme="minorEastAsia" w:cs="Times New Roman"/>
          <w:sz w:val="24"/>
          <w:szCs w:val="24"/>
          <w:lang w:eastAsia="zh-CN"/>
        </w:rPr>
        <w:t>,</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zatem</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można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wyróżnić</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dwa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tryby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odwoławczego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decyzji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Prezesa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UKE.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Pierwszy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tryb</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wynikający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ze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stosowania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przepisów</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kpa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oraz</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ustawy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postępowaniu</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przed</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sądami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administracyjnymi.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trybie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tym</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stronie,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niezadowolonej</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z</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rozstrzygnięcia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Prezesa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UKE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przysługuje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wniosek</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ponowne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rozpatrzenie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sprawy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przez</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Prezesa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UKE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lub</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wniesienie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skargi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wprost</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do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sądu</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administracyjnego.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rPr>
        <w:t>Na</w:t>
      </w:r>
      <w:r w:rsidR="00970B2E" w:rsidRPr="00D44D33">
        <w:rPr>
          <w:rFonts w:eastAsiaTheme="minorEastAsia" w:cs="Times New Roman"/>
          <w:sz w:val="24"/>
          <w:szCs w:val="24"/>
        </w:rPr>
        <w:t xml:space="preserve"> </w:t>
      </w:r>
      <w:r w:rsidRPr="00D44D33">
        <w:rPr>
          <w:rFonts w:eastAsiaTheme="minorEastAsia" w:cs="Times New Roman"/>
          <w:sz w:val="24"/>
          <w:szCs w:val="24"/>
        </w:rPr>
        <w:t>decyzję</w:t>
      </w:r>
      <w:r w:rsidR="00970B2E" w:rsidRPr="00D44D33">
        <w:rPr>
          <w:rFonts w:eastAsiaTheme="minorEastAsia" w:cs="Times New Roman"/>
          <w:sz w:val="24"/>
          <w:szCs w:val="24"/>
        </w:rPr>
        <w:t xml:space="preserve"> </w:t>
      </w:r>
      <w:r w:rsidRPr="00D44D33">
        <w:rPr>
          <w:rFonts w:eastAsiaTheme="minorEastAsia" w:cs="Times New Roman"/>
          <w:sz w:val="24"/>
          <w:szCs w:val="24"/>
        </w:rPr>
        <w:t>wydaną</w:t>
      </w:r>
      <w:r w:rsidR="00970B2E" w:rsidRPr="00D44D33">
        <w:rPr>
          <w:rFonts w:eastAsiaTheme="minorEastAsia" w:cs="Times New Roman"/>
          <w:sz w:val="24"/>
          <w:szCs w:val="24"/>
        </w:rPr>
        <w:t xml:space="preserve"> </w:t>
      </w:r>
      <w:r w:rsidRPr="00D44D33">
        <w:rPr>
          <w:rFonts w:eastAsiaTheme="minorEastAsia" w:cs="Times New Roman"/>
          <w:sz w:val="24"/>
          <w:szCs w:val="24"/>
        </w:rPr>
        <w:t>w</w:t>
      </w:r>
      <w:r w:rsidR="00970B2E" w:rsidRPr="00D44D33">
        <w:rPr>
          <w:rFonts w:eastAsiaTheme="minorEastAsia" w:cs="Times New Roman"/>
          <w:sz w:val="24"/>
          <w:szCs w:val="24"/>
        </w:rPr>
        <w:t xml:space="preserve"> </w:t>
      </w:r>
      <w:r w:rsidRPr="00D44D33">
        <w:rPr>
          <w:rFonts w:eastAsiaTheme="minorEastAsia" w:cs="Times New Roman"/>
          <w:sz w:val="24"/>
          <w:szCs w:val="24"/>
        </w:rPr>
        <w:t>wyniku</w:t>
      </w:r>
      <w:r w:rsidR="00970B2E" w:rsidRPr="00D44D33">
        <w:rPr>
          <w:rFonts w:eastAsiaTheme="minorEastAsia" w:cs="Times New Roman"/>
          <w:sz w:val="24"/>
          <w:szCs w:val="24"/>
        </w:rPr>
        <w:t xml:space="preserve"> </w:t>
      </w:r>
      <w:r w:rsidRPr="00D44D33">
        <w:rPr>
          <w:rFonts w:eastAsiaTheme="minorEastAsia" w:cs="Times New Roman"/>
          <w:sz w:val="24"/>
          <w:szCs w:val="24"/>
        </w:rPr>
        <w:t>ponownego</w:t>
      </w:r>
      <w:r w:rsidR="00970B2E" w:rsidRPr="00D44D33">
        <w:rPr>
          <w:rFonts w:eastAsiaTheme="minorEastAsia" w:cs="Times New Roman"/>
          <w:sz w:val="24"/>
          <w:szCs w:val="24"/>
        </w:rPr>
        <w:t xml:space="preserve"> </w:t>
      </w:r>
      <w:r w:rsidRPr="00D44D33">
        <w:rPr>
          <w:rFonts w:eastAsiaTheme="minorEastAsia" w:cs="Times New Roman"/>
          <w:sz w:val="24"/>
          <w:szCs w:val="24"/>
        </w:rPr>
        <w:t>rozpatrzenia</w:t>
      </w:r>
      <w:r w:rsidR="00970B2E" w:rsidRPr="00D44D33">
        <w:rPr>
          <w:rFonts w:eastAsiaTheme="minorEastAsia" w:cs="Times New Roman"/>
          <w:sz w:val="24"/>
          <w:szCs w:val="24"/>
        </w:rPr>
        <w:t xml:space="preserve"> </w:t>
      </w:r>
      <w:r w:rsidRPr="00D44D33">
        <w:rPr>
          <w:rFonts w:eastAsiaTheme="minorEastAsia" w:cs="Times New Roman"/>
          <w:sz w:val="24"/>
          <w:szCs w:val="24"/>
        </w:rPr>
        <w:t>sprawy</w:t>
      </w:r>
      <w:r w:rsidR="00970B2E" w:rsidRPr="00D44D33">
        <w:rPr>
          <w:rFonts w:eastAsiaTheme="minorEastAsia" w:cs="Times New Roman"/>
          <w:sz w:val="24"/>
          <w:szCs w:val="24"/>
        </w:rPr>
        <w:t xml:space="preserve"> </w:t>
      </w:r>
      <w:r w:rsidRPr="00D44D33">
        <w:rPr>
          <w:rFonts w:eastAsiaTheme="minorEastAsia" w:cs="Times New Roman"/>
          <w:sz w:val="24"/>
          <w:szCs w:val="24"/>
        </w:rPr>
        <w:t>stronie</w:t>
      </w:r>
      <w:r w:rsidR="00970B2E" w:rsidRPr="00D44D33">
        <w:rPr>
          <w:rFonts w:eastAsiaTheme="minorEastAsia" w:cs="Times New Roman"/>
          <w:sz w:val="24"/>
          <w:szCs w:val="24"/>
        </w:rPr>
        <w:t xml:space="preserve"> </w:t>
      </w:r>
      <w:r w:rsidRPr="00D44D33">
        <w:rPr>
          <w:rFonts w:eastAsiaTheme="minorEastAsia" w:cs="Times New Roman"/>
          <w:sz w:val="24"/>
          <w:szCs w:val="24"/>
        </w:rPr>
        <w:t>przysługuje</w:t>
      </w:r>
      <w:r w:rsidR="00970B2E" w:rsidRPr="00D44D33">
        <w:rPr>
          <w:rFonts w:eastAsiaTheme="minorEastAsia" w:cs="Times New Roman"/>
          <w:sz w:val="24"/>
          <w:szCs w:val="24"/>
        </w:rPr>
        <w:t xml:space="preserve"> </w:t>
      </w:r>
      <w:r w:rsidRPr="00D44D33">
        <w:rPr>
          <w:rFonts w:eastAsiaTheme="minorEastAsia" w:cs="Times New Roman"/>
          <w:sz w:val="24"/>
          <w:szCs w:val="24"/>
        </w:rPr>
        <w:t>skarga</w:t>
      </w:r>
      <w:r w:rsidR="00970B2E" w:rsidRPr="00D44D33">
        <w:rPr>
          <w:rFonts w:eastAsiaTheme="minorEastAsia" w:cs="Times New Roman"/>
          <w:sz w:val="24"/>
          <w:szCs w:val="24"/>
        </w:rPr>
        <w:t xml:space="preserve"> </w:t>
      </w:r>
      <w:r w:rsidRPr="00D44D33">
        <w:rPr>
          <w:rFonts w:eastAsiaTheme="minorEastAsia" w:cs="Times New Roman"/>
          <w:sz w:val="24"/>
          <w:szCs w:val="24"/>
        </w:rPr>
        <w:t>do</w:t>
      </w:r>
      <w:r w:rsidR="00970B2E" w:rsidRPr="00D44D33">
        <w:rPr>
          <w:rFonts w:eastAsiaTheme="minorEastAsia" w:cs="Times New Roman"/>
          <w:sz w:val="24"/>
          <w:szCs w:val="24"/>
        </w:rPr>
        <w:t xml:space="preserve"> </w:t>
      </w:r>
      <w:r w:rsidRPr="00D44D33">
        <w:rPr>
          <w:rFonts w:eastAsiaTheme="minorEastAsia" w:cs="Times New Roman"/>
          <w:sz w:val="24"/>
          <w:szCs w:val="24"/>
        </w:rPr>
        <w:t>wojewódzkiego</w:t>
      </w:r>
      <w:r w:rsidR="00970B2E" w:rsidRPr="00D44D33">
        <w:rPr>
          <w:rFonts w:eastAsiaTheme="minorEastAsia" w:cs="Times New Roman"/>
          <w:sz w:val="24"/>
          <w:szCs w:val="24"/>
        </w:rPr>
        <w:t xml:space="preserve"> </w:t>
      </w:r>
      <w:r w:rsidRPr="00D44D33">
        <w:rPr>
          <w:rFonts w:eastAsiaTheme="minorEastAsia" w:cs="Times New Roman"/>
          <w:sz w:val="24"/>
          <w:szCs w:val="24"/>
        </w:rPr>
        <w:t>sądu</w:t>
      </w:r>
      <w:r w:rsidR="00970B2E" w:rsidRPr="00D44D33">
        <w:rPr>
          <w:rFonts w:eastAsiaTheme="minorEastAsia" w:cs="Times New Roman"/>
          <w:sz w:val="24"/>
          <w:szCs w:val="24"/>
        </w:rPr>
        <w:t xml:space="preserve"> </w:t>
      </w:r>
      <w:r w:rsidRPr="00D44D33">
        <w:rPr>
          <w:rFonts w:eastAsiaTheme="minorEastAsia" w:cs="Times New Roman"/>
          <w:sz w:val="24"/>
          <w:szCs w:val="24"/>
        </w:rPr>
        <w:t>administracyjnego</w:t>
      </w:r>
      <w:r w:rsidRPr="00D44D33">
        <w:rPr>
          <w:rFonts w:eastAsiaTheme="minorEastAsia" w:cs="Times New Roman"/>
          <w:sz w:val="24"/>
          <w:szCs w:val="24"/>
          <w:lang w:eastAsia="zh-CN"/>
        </w:rPr>
        <w:t>.</w:t>
      </w:r>
      <w:r w:rsidR="00970B2E" w:rsidRPr="00D44D33">
        <w:rPr>
          <w:rFonts w:eastAsiaTheme="minorEastAsia" w:cs="Times New Roman"/>
          <w:sz w:val="24"/>
          <w:szCs w:val="24"/>
          <w:lang w:eastAsia="zh-CN"/>
        </w:rPr>
        <w:t xml:space="preserve"> </w:t>
      </w:r>
    </w:p>
    <w:p w14:paraId="7CFAF420" w14:textId="7604777C" w:rsidR="00D34BAF" w:rsidRPr="00D44D33" w:rsidRDefault="003A4E05" w:rsidP="00D44D33">
      <w:pPr>
        <w:pStyle w:val="CZWSPPKTczwsplnapunktw"/>
        <w:spacing w:before="120" w:after="120" w:line="360" w:lineRule="auto"/>
        <w:rPr>
          <w:rFonts w:eastAsiaTheme="minorEastAsia" w:cs="Times New Roman"/>
          <w:sz w:val="24"/>
          <w:szCs w:val="24"/>
        </w:rPr>
      </w:pPr>
      <w:r w:rsidRPr="00D44D33">
        <w:rPr>
          <w:rFonts w:eastAsiaTheme="minorEastAsia" w:cs="Times New Roman"/>
          <w:sz w:val="24"/>
          <w:szCs w:val="24"/>
          <w:lang w:eastAsia="zh-CN"/>
        </w:rPr>
        <w:t>Drugi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tryb</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stanowi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odstępstwo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zasad</w:t>
      </w:r>
      <w:r w:rsidR="00970B2E" w:rsidRPr="00D44D33">
        <w:rPr>
          <w:rFonts w:eastAsiaTheme="minorEastAsia" w:cs="Times New Roman"/>
          <w:sz w:val="24"/>
          <w:szCs w:val="24"/>
          <w:lang w:eastAsia="zh-CN"/>
        </w:rPr>
        <w:t xml:space="preserve"> </w:t>
      </w:r>
      <w:r w:rsidR="007919A2" w:rsidRPr="00D44D33">
        <w:rPr>
          <w:rFonts w:eastAsiaTheme="minorEastAsia" w:cs="Times New Roman"/>
          <w:sz w:val="24"/>
          <w:szCs w:val="24"/>
          <w:lang w:eastAsia="zh-CN"/>
        </w:rPr>
        <w:t>przewidzianych</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kpa</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i</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jak</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wskazuje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projektowany</w:t>
      </w:r>
      <w:r w:rsidR="00970B2E" w:rsidRPr="00D44D33">
        <w:rPr>
          <w:rFonts w:eastAsiaTheme="minorEastAsia" w:cs="Times New Roman"/>
          <w:sz w:val="24"/>
          <w:szCs w:val="24"/>
          <w:lang w:eastAsia="zh-CN"/>
        </w:rPr>
        <w:t xml:space="preserve"> </w:t>
      </w:r>
      <w:r w:rsidR="00983602" w:rsidRPr="00D44D33">
        <w:rPr>
          <w:rFonts w:eastAsiaTheme="minorEastAsia" w:cs="Times New Roman"/>
          <w:sz w:val="24"/>
          <w:szCs w:val="24"/>
          <w:lang w:eastAsia="zh-CN"/>
        </w:rPr>
        <w:t>przepis</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decyzji</w:t>
      </w:r>
      <w:r w:rsidR="00970B2E" w:rsidRPr="00D44D33">
        <w:rPr>
          <w:rFonts w:eastAsiaTheme="minorEastAsia" w:cs="Times New Roman"/>
          <w:sz w:val="24"/>
          <w:szCs w:val="24"/>
          <w:lang w:eastAsia="zh-CN"/>
        </w:rPr>
        <w:t xml:space="preserve"> </w:t>
      </w:r>
      <w:r w:rsidR="6BAFE2A6" w:rsidRPr="00D44D33">
        <w:rPr>
          <w:rFonts w:eastAsiaTheme="minorEastAsia" w:cs="Times New Roman"/>
          <w:sz w:val="24"/>
          <w:szCs w:val="24"/>
          <w:lang w:eastAsia="zh-CN"/>
        </w:rPr>
        <w:t>i</w:t>
      </w:r>
      <w:r w:rsidR="00970B2E" w:rsidRPr="00D44D33">
        <w:rPr>
          <w:rFonts w:eastAsiaTheme="minorEastAsia" w:cs="Times New Roman"/>
          <w:sz w:val="24"/>
          <w:szCs w:val="24"/>
          <w:lang w:eastAsia="zh-CN"/>
        </w:rPr>
        <w:t xml:space="preserve"> </w:t>
      </w:r>
      <w:r w:rsidR="6BAFE2A6" w:rsidRPr="00D44D33">
        <w:rPr>
          <w:rFonts w:eastAsiaTheme="minorEastAsia" w:cs="Times New Roman"/>
          <w:sz w:val="24"/>
          <w:szCs w:val="24"/>
          <w:lang w:eastAsia="zh-CN"/>
        </w:rPr>
        <w:t>postanowień</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wymienionych</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w</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tym</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przepisie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służy</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odwołanie</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lang w:eastAsia="zh-CN"/>
        </w:rPr>
        <w:t>do</w:t>
      </w:r>
      <w:r w:rsidR="00970B2E" w:rsidRPr="00D44D33">
        <w:rPr>
          <w:rFonts w:eastAsiaTheme="minorEastAsia" w:cs="Times New Roman"/>
          <w:sz w:val="24"/>
          <w:szCs w:val="24"/>
          <w:lang w:eastAsia="zh-CN"/>
        </w:rPr>
        <w:t xml:space="preserve"> </w:t>
      </w:r>
      <w:r w:rsidRPr="00D44D33">
        <w:rPr>
          <w:rFonts w:eastAsiaTheme="minorEastAsia" w:cs="Times New Roman"/>
          <w:sz w:val="24"/>
          <w:szCs w:val="24"/>
        </w:rPr>
        <w:t>Sądu</w:t>
      </w:r>
      <w:r w:rsidR="00970B2E" w:rsidRPr="00D44D33">
        <w:rPr>
          <w:rFonts w:eastAsiaTheme="minorEastAsia" w:cs="Times New Roman"/>
          <w:sz w:val="24"/>
          <w:szCs w:val="24"/>
        </w:rPr>
        <w:t xml:space="preserve"> </w:t>
      </w:r>
      <w:r w:rsidRPr="00D44D33">
        <w:rPr>
          <w:rFonts w:eastAsiaTheme="minorEastAsia" w:cs="Times New Roman"/>
          <w:sz w:val="24"/>
          <w:szCs w:val="24"/>
        </w:rPr>
        <w:t>Okręgowego</w:t>
      </w:r>
      <w:r w:rsidR="00970B2E" w:rsidRPr="00D44D33">
        <w:rPr>
          <w:rFonts w:eastAsiaTheme="minorEastAsia" w:cs="Times New Roman"/>
          <w:sz w:val="24"/>
          <w:szCs w:val="24"/>
        </w:rPr>
        <w:t xml:space="preserve"> </w:t>
      </w:r>
      <w:r w:rsidRPr="00D44D33">
        <w:rPr>
          <w:rFonts w:eastAsiaTheme="minorEastAsia" w:cs="Times New Roman"/>
          <w:sz w:val="24"/>
          <w:szCs w:val="24"/>
        </w:rPr>
        <w:t>w</w:t>
      </w:r>
      <w:r w:rsidR="00970B2E" w:rsidRPr="00D44D33">
        <w:rPr>
          <w:rFonts w:eastAsiaTheme="minorEastAsia" w:cs="Times New Roman"/>
          <w:sz w:val="24"/>
          <w:szCs w:val="24"/>
        </w:rPr>
        <w:t xml:space="preserve"> </w:t>
      </w:r>
      <w:r w:rsidRPr="00D44D33">
        <w:rPr>
          <w:rFonts w:eastAsiaTheme="minorEastAsia" w:cs="Times New Roman"/>
          <w:sz w:val="24"/>
          <w:szCs w:val="24"/>
        </w:rPr>
        <w:t>Warszawie</w:t>
      </w:r>
      <w:r w:rsidR="00970B2E" w:rsidRPr="00D44D33">
        <w:rPr>
          <w:rFonts w:eastAsiaTheme="minorEastAsia" w:cs="Times New Roman"/>
          <w:sz w:val="24"/>
          <w:szCs w:val="24"/>
        </w:rPr>
        <w:t xml:space="preserve"> </w:t>
      </w:r>
      <w:r w:rsidR="009A1393" w:rsidRPr="00D44D33">
        <w:rPr>
          <w:rFonts w:eastAsiaTheme="minorEastAsia" w:cs="Times New Roman"/>
          <w:sz w:val="24"/>
          <w:szCs w:val="24"/>
        </w:rPr>
        <w:t>–</w:t>
      </w:r>
      <w:r w:rsidR="00970B2E" w:rsidRPr="00D44D33">
        <w:rPr>
          <w:rFonts w:eastAsiaTheme="minorEastAsia" w:cs="Times New Roman"/>
          <w:sz w:val="24"/>
          <w:szCs w:val="24"/>
        </w:rPr>
        <w:t xml:space="preserve"> </w:t>
      </w:r>
      <w:r w:rsidR="00AE480C" w:rsidRPr="00D44D33">
        <w:rPr>
          <w:rFonts w:eastAsiaTheme="minorEastAsia" w:cs="Times New Roman"/>
          <w:sz w:val="24"/>
          <w:szCs w:val="24"/>
        </w:rPr>
        <w:t>s</w:t>
      </w:r>
      <w:r w:rsidRPr="00D44D33">
        <w:rPr>
          <w:rFonts w:eastAsiaTheme="minorEastAsia" w:cs="Times New Roman"/>
          <w:sz w:val="24"/>
          <w:szCs w:val="24"/>
        </w:rPr>
        <w:t>ądu</w:t>
      </w:r>
      <w:r w:rsidR="00970B2E" w:rsidRPr="00D44D33">
        <w:rPr>
          <w:rFonts w:eastAsiaTheme="minorEastAsia" w:cs="Times New Roman"/>
          <w:sz w:val="24"/>
          <w:szCs w:val="24"/>
        </w:rPr>
        <w:t xml:space="preserve"> </w:t>
      </w:r>
      <w:r w:rsidR="00AE480C" w:rsidRPr="00D44D33">
        <w:rPr>
          <w:rFonts w:eastAsiaTheme="minorEastAsia" w:cs="Times New Roman"/>
          <w:sz w:val="24"/>
          <w:szCs w:val="24"/>
        </w:rPr>
        <w:t>o</w:t>
      </w:r>
      <w:r w:rsidRPr="00D44D33">
        <w:rPr>
          <w:rFonts w:eastAsiaTheme="minorEastAsia" w:cs="Times New Roman"/>
          <w:sz w:val="24"/>
          <w:szCs w:val="24"/>
        </w:rPr>
        <w:t>chrony</w:t>
      </w:r>
      <w:r w:rsidR="00970B2E" w:rsidRPr="00D44D33">
        <w:rPr>
          <w:rFonts w:eastAsiaTheme="minorEastAsia" w:cs="Times New Roman"/>
          <w:sz w:val="24"/>
          <w:szCs w:val="24"/>
        </w:rPr>
        <w:t xml:space="preserve"> </w:t>
      </w:r>
      <w:r w:rsidR="00AE480C" w:rsidRPr="00D44D33">
        <w:rPr>
          <w:rFonts w:eastAsiaTheme="minorEastAsia" w:cs="Times New Roman"/>
          <w:sz w:val="24"/>
          <w:szCs w:val="24"/>
        </w:rPr>
        <w:t>k</w:t>
      </w:r>
      <w:r w:rsidRPr="00D44D33">
        <w:rPr>
          <w:rFonts w:eastAsiaTheme="minorEastAsia" w:cs="Times New Roman"/>
          <w:sz w:val="24"/>
          <w:szCs w:val="24"/>
        </w:rPr>
        <w:t>onkurencji</w:t>
      </w:r>
      <w:r w:rsidR="00970B2E" w:rsidRPr="00D44D33">
        <w:rPr>
          <w:rFonts w:eastAsiaTheme="minorEastAsia" w:cs="Times New Roman"/>
          <w:sz w:val="24"/>
          <w:szCs w:val="24"/>
        </w:rPr>
        <w:t xml:space="preserve"> </w:t>
      </w:r>
      <w:r w:rsidRPr="00D44D33">
        <w:rPr>
          <w:rFonts w:eastAsiaTheme="minorEastAsia" w:cs="Times New Roman"/>
          <w:sz w:val="24"/>
          <w:szCs w:val="24"/>
        </w:rPr>
        <w:t>i</w:t>
      </w:r>
      <w:r w:rsidR="00970B2E" w:rsidRPr="00D44D33">
        <w:rPr>
          <w:rFonts w:eastAsiaTheme="minorEastAsia" w:cs="Times New Roman"/>
          <w:sz w:val="24"/>
          <w:szCs w:val="24"/>
        </w:rPr>
        <w:t xml:space="preserve"> </w:t>
      </w:r>
      <w:r w:rsidR="00AE480C" w:rsidRPr="00D44D33">
        <w:rPr>
          <w:rFonts w:eastAsiaTheme="minorEastAsia" w:cs="Times New Roman"/>
          <w:sz w:val="24"/>
          <w:szCs w:val="24"/>
        </w:rPr>
        <w:t>k</w:t>
      </w:r>
      <w:r w:rsidRPr="00D44D33">
        <w:rPr>
          <w:rFonts w:eastAsiaTheme="minorEastAsia" w:cs="Times New Roman"/>
          <w:sz w:val="24"/>
          <w:szCs w:val="24"/>
        </w:rPr>
        <w:t>onsumentów.</w:t>
      </w:r>
      <w:r w:rsidR="00970B2E" w:rsidRPr="00D44D33">
        <w:rPr>
          <w:rFonts w:eastAsiaTheme="minorEastAsia" w:cs="Times New Roman"/>
          <w:sz w:val="24"/>
          <w:szCs w:val="24"/>
        </w:rPr>
        <w:t xml:space="preserve"> </w:t>
      </w:r>
      <w:r w:rsidRPr="00D44D33">
        <w:rPr>
          <w:rFonts w:eastAsiaTheme="minorEastAsia" w:cs="Times New Roman"/>
          <w:sz w:val="24"/>
          <w:szCs w:val="24"/>
        </w:rPr>
        <w:t>Przepis</w:t>
      </w:r>
      <w:r w:rsidR="00970B2E" w:rsidRPr="00D44D33">
        <w:rPr>
          <w:rFonts w:eastAsiaTheme="minorEastAsia" w:cs="Times New Roman"/>
          <w:sz w:val="24"/>
          <w:szCs w:val="24"/>
        </w:rPr>
        <w:t xml:space="preserve"> </w:t>
      </w:r>
      <w:r w:rsidRPr="00D44D33">
        <w:rPr>
          <w:rFonts w:eastAsiaTheme="minorEastAsia" w:cs="Times New Roman"/>
          <w:sz w:val="24"/>
          <w:szCs w:val="24"/>
        </w:rPr>
        <w:t>dotyczy</w:t>
      </w:r>
      <w:r w:rsidR="00970B2E" w:rsidRPr="00D44D33">
        <w:rPr>
          <w:rFonts w:eastAsiaTheme="minorEastAsia" w:cs="Times New Roman"/>
          <w:sz w:val="24"/>
          <w:szCs w:val="24"/>
        </w:rPr>
        <w:t xml:space="preserve"> </w:t>
      </w:r>
      <w:r w:rsidR="4396FF8C" w:rsidRPr="00D44D33">
        <w:rPr>
          <w:rFonts w:eastAsiaTheme="minorEastAsia" w:cs="Times New Roman"/>
          <w:sz w:val="24"/>
          <w:szCs w:val="24"/>
        </w:rPr>
        <w:t>w</w:t>
      </w:r>
      <w:r w:rsidR="00970B2E" w:rsidRPr="00D44D33">
        <w:rPr>
          <w:rFonts w:eastAsiaTheme="minorEastAsia" w:cs="Times New Roman"/>
          <w:sz w:val="24"/>
          <w:szCs w:val="24"/>
        </w:rPr>
        <w:t xml:space="preserve"> </w:t>
      </w:r>
      <w:r w:rsidR="4396FF8C" w:rsidRPr="00D44D33">
        <w:rPr>
          <w:rFonts w:eastAsiaTheme="minorEastAsia" w:cs="Times New Roman"/>
          <w:sz w:val="24"/>
          <w:szCs w:val="24"/>
        </w:rPr>
        <w:t>szczególności</w:t>
      </w:r>
      <w:r w:rsidR="00970B2E" w:rsidRPr="00D44D33">
        <w:rPr>
          <w:rFonts w:eastAsiaTheme="minorEastAsia" w:cs="Times New Roman"/>
          <w:sz w:val="24"/>
          <w:szCs w:val="24"/>
        </w:rPr>
        <w:t xml:space="preserve"> </w:t>
      </w:r>
      <w:r w:rsidRPr="00D44D33">
        <w:rPr>
          <w:rFonts w:eastAsiaTheme="minorEastAsia" w:cs="Times New Roman"/>
          <w:sz w:val="24"/>
          <w:szCs w:val="24"/>
        </w:rPr>
        <w:t>decyzji</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o</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ustaleniu</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znaczącej</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pozycji</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rynkowej,</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w</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sprawie</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nałożenia,</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zniesienia,</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zmiany</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lub</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uchylenia</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obowiązków</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regulacyjnych</w:t>
      </w:r>
      <w:r w:rsidR="00970B2E" w:rsidRPr="00D44D33">
        <w:rPr>
          <w:rFonts w:eastAsiaTheme="minorEastAsia" w:cs="Times New Roman"/>
          <w:sz w:val="24"/>
          <w:szCs w:val="24"/>
        </w:rPr>
        <w:t xml:space="preserve"> </w:t>
      </w:r>
      <w:r w:rsidR="360C8831" w:rsidRPr="00D44D33">
        <w:rPr>
          <w:rFonts w:eastAsiaTheme="minorEastAsia" w:cs="Times New Roman"/>
          <w:sz w:val="24"/>
          <w:szCs w:val="24"/>
        </w:rPr>
        <w:t>oraz</w:t>
      </w:r>
      <w:r w:rsidR="00970B2E" w:rsidRPr="00D44D33">
        <w:rPr>
          <w:rFonts w:eastAsiaTheme="minorEastAsia" w:cs="Times New Roman"/>
          <w:sz w:val="24"/>
          <w:szCs w:val="24"/>
        </w:rPr>
        <w:t xml:space="preserve"> </w:t>
      </w:r>
      <w:r w:rsidR="360C8831" w:rsidRPr="00D44D33">
        <w:rPr>
          <w:rFonts w:eastAsiaTheme="minorEastAsia" w:cs="Times New Roman"/>
          <w:sz w:val="24"/>
          <w:szCs w:val="24"/>
        </w:rPr>
        <w:t>obowiązków</w:t>
      </w:r>
      <w:r w:rsidR="00970B2E" w:rsidRPr="00D44D33">
        <w:rPr>
          <w:rFonts w:eastAsiaTheme="minorEastAsia" w:cs="Times New Roman"/>
          <w:sz w:val="24"/>
          <w:szCs w:val="24"/>
        </w:rPr>
        <w:t xml:space="preserve"> </w:t>
      </w:r>
      <w:r w:rsidR="360C8831" w:rsidRPr="00D44D33">
        <w:rPr>
          <w:rFonts w:eastAsiaTheme="minorEastAsia" w:cs="Times New Roman"/>
          <w:sz w:val="24"/>
          <w:szCs w:val="24"/>
        </w:rPr>
        <w:t>dostępowych</w:t>
      </w:r>
      <w:r w:rsidR="00970B2E" w:rsidRPr="00D44D33">
        <w:rPr>
          <w:rFonts w:eastAsiaTheme="minorEastAsia" w:cs="Times New Roman"/>
          <w:sz w:val="24"/>
          <w:szCs w:val="24"/>
        </w:rPr>
        <w:t xml:space="preserve"> </w:t>
      </w:r>
      <w:r w:rsidR="360C8831" w:rsidRPr="00D44D33">
        <w:rPr>
          <w:rFonts w:eastAsiaTheme="minorEastAsia" w:cs="Times New Roman"/>
          <w:sz w:val="24"/>
          <w:szCs w:val="24"/>
        </w:rPr>
        <w:t>symetrycznych</w:t>
      </w:r>
      <w:r w:rsidRPr="00D44D33">
        <w:rPr>
          <w:rFonts w:eastAsiaTheme="minorEastAsia" w:cs="Times New Roman"/>
          <w:sz w:val="24"/>
          <w:szCs w:val="24"/>
        </w:rPr>
        <w:t>,</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w</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sprawie</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nałożenia</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kar,</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wydawanych</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w</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sprawach</w:t>
      </w:r>
      <w:r w:rsidR="00970B2E" w:rsidRPr="00D44D33">
        <w:rPr>
          <w:rFonts w:eastAsiaTheme="minorEastAsia" w:cs="Times New Roman"/>
          <w:sz w:val="24"/>
          <w:szCs w:val="24"/>
        </w:rPr>
        <w:t xml:space="preserve"> </w:t>
      </w:r>
      <w:r w:rsidR="007F413D" w:rsidRPr="00D44D33">
        <w:rPr>
          <w:rFonts w:eastAsiaTheme="minorEastAsia" w:cs="Times New Roman"/>
          <w:sz w:val="24"/>
          <w:szCs w:val="24"/>
        </w:rPr>
        <w:t>spornych</w:t>
      </w:r>
      <w:r w:rsidR="1929F84D" w:rsidRPr="00D44D33">
        <w:rPr>
          <w:rFonts w:eastAsiaTheme="minorEastAsia" w:cs="Times New Roman"/>
          <w:sz w:val="24"/>
          <w:szCs w:val="24"/>
        </w:rPr>
        <w:t>,</w:t>
      </w:r>
      <w:r w:rsidR="00970B2E" w:rsidRPr="00D44D33">
        <w:rPr>
          <w:rFonts w:eastAsiaTheme="minorEastAsia" w:cs="Times New Roman"/>
          <w:sz w:val="24"/>
          <w:szCs w:val="24"/>
        </w:rPr>
        <w:t xml:space="preserve"> </w:t>
      </w:r>
      <w:r w:rsidR="1929F84D" w:rsidRPr="00D44D33">
        <w:rPr>
          <w:rFonts w:eastAsiaTheme="minorEastAsia" w:cs="Times New Roman"/>
          <w:sz w:val="24"/>
          <w:szCs w:val="24"/>
        </w:rPr>
        <w:t>wydawanych</w:t>
      </w:r>
      <w:r w:rsidR="00970B2E" w:rsidRPr="00D44D33">
        <w:rPr>
          <w:rFonts w:eastAsiaTheme="minorEastAsia" w:cs="Times New Roman"/>
          <w:sz w:val="24"/>
          <w:szCs w:val="24"/>
        </w:rPr>
        <w:t xml:space="preserve"> </w:t>
      </w:r>
      <w:r w:rsidR="1929F84D" w:rsidRPr="00D44D33">
        <w:rPr>
          <w:rFonts w:eastAsiaTheme="minorEastAsia" w:cs="Times New Roman"/>
          <w:sz w:val="24"/>
          <w:szCs w:val="24"/>
        </w:rPr>
        <w:t>w</w:t>
      </w:r>
      <w:r w:rsidR="00970B2E" w:rsidRPr="00D44D33">
        <w:rPr>
          <w:rFonts w:eastAsiaTheme="minorEastAsia" w:cs="Times New Roman"/>
          <w:sz w:val="24"/>
          <w:szCs w:val="24"/>
        </w:rPr>
        <w:t xml:space="preserve"> </w:t>
      </w:r>
      <w:r w:rsidR="1929F84D" w:rsidRPr="00D44D33">
        <w:rPr>
          <w:rFonts w:eastAsiaTheme="minorEastAsia" w:cs="Times New Roman"/>
          <w:sz w:val="24"/>
          <w:szCs w:val="24"/>
        </w:rPr>
        <w:t>związku</w:t>
      </w:r>
      <w:r w:rsidR="00970B2E" w:rsidRPr="00D44D33">
        <w:rPr>
          <w:rFonts w:eastAsiaTheme="minorEastAsia" w:cs="Times New Roman"/>
          <w:sz w:val="24"/>
          <w:szCs w:val="24"/>
        </w:rPr>
        <w:t xml:space="preserve"> </w:t>
      </w:r>
      <w:r w:rsidR="1929F84D" w:rsidRPr="00D44D33">
        <w:rPr>
          <w:rFonts w:eastAsiaTheme="minorEastAsia" w:cs="Times New Roman"/>
          <w:sz w:val="24"/>
          <w:szCs w:val="24"/>
        </w:rPr>
        <w:t>z</w:t>
      </w:r>
      <w:r w:rsidR="00970B2E" w:rsidRPr="00D44D33">
        <w:rPr>
          <w:rFonts w:eastAsiaTheme="minorEastAsia" w:cs="Times New Roman"/>
          <w:sz w:val="24"/>
          <w:szCs w:val="24"/>
        </w:rPr>
        <w:t xml:space="preserve"> </w:t>
      </w:r>
      <w:r w:rsidR="1929F84D" w:rsidRPr="00D44D33">
        <w:rPr>
          <w:rFonts w:eastAsiaTheme="minorEastAsia" w:cs="Times New Roman"/>
          <w:sz w:val="24"/>
          <w:szCs w:val="24"/>
        </w:rPr>
        <w:t>działani</w:t>
      </w:r>
      <w:r w:rsidR="0E559ED9" w:rsidRPr="00D44D33">
        <w:rPr>
          <w:rFonts w:eastAsiaTheme="minorEastAsia" w:cs="Times New Roman"/>
          <w:sz w:val="24"/>
          <w:szCs w:val="24"/>
        </w:rPr>
        <w:t>ami</w:t>
      </w:r>
      <w:r w:rsidR="00970B2E" w:rsidRPr="00D44D33">
        <w:rPr>
          <w:rFonts w:eastAsiaTheme="minorEastAsia" w:cs="Times New Roman"/>
          <w:sz w:val="24"/>
          <w:szCs w:val="24"/>
        </w:rPr>
        <w:t xml:space="preserve"> </w:t>
      </w:r>
      <w:r w:rsidR="0E559ED9" w:rsidRPr="00D44D33">
        <w:rPr>
          <w:rFonts w:eastAsiaTheme="minorEastAsia" w:cs="Times New Roman"/>
          <w:sz w:val="24"/>
          <w:szCs w:val="24"/>
        </w:rPr>
        <w:t>kontrolnymi</w:t>
      </w:r>
      <w:r w:rsidR="00970B2E" w:rsidRPr="00D44D33">
        <w:rPr>
          <w:rFonts w:eastAsiaTheme="minorEastAsia" w:cs="Times New Roman"/>
          <w:sz w:val="24"/>
          <w:szCs w:val="24"/>
        </w:rPr>
        <w:t xml:space="preserve"> </w:t>
      </w:r>
      <w:r w:rsidR="0E559ED9" w:rsidRPr="00D44D33">
        <w:rPr>
          <w:rFonts w:eastAsiaTheme="minorEastAsia" w:cs="Times New Roman"/>
          <w:sz w:val="24"/>
          <w:szCs w:val="24"/>
        </w:rPr>
        <w:t>Prezesa</w:t>
      </w:r>
      <w:r w:rsidR="00970B2E" w:rsidRPr="00D44D33">
        <w:rPr>
          <w:rFonts w:eastAsiaTheme="minorEastAsia" w:cs="Times New Roman"/>
          <w:sz w:val="24"/>
          <w:szCs w:val="24"/>
        </w:rPr>
        <w:t xml:space="preserve"> </w:t>
      </w:r>
      <w:r w:rsidR="0E559ED9" w:rsidRPr="00D44D33">
        <w:rPr>
          <w:rFonts w:eastAsiaTheme="minorEastAsia" w:cs="Times New Roman"/>
          <w:sz w:val="24"/>
          <w:szCs w:val="24"/>
        </w:rPr>
        <w:t>UKE</w:t>
      </w:r>
      <w:r w:rsidR="007F413D" w:rsidRPr="00D44D33">
        <w:rPr>
          <w:rFonts w:eastAsiaTheme="minorEastAsia" w:cs="Times New Roman"/>
          <w:sz w:val="24"/>
          <w:szCs w:val="24"/>
        </w:rPr>
        <w:t>.</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Rozpatrywanie</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tych</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spraw</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przez</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SOKiK</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wynika</w:t>
      </w:r>
      <w:r w:rsidR="00970B2E" w:rsidRPr="00D44D33">
        <w:rPr>
          <w:rFonts w:eastAsiaTheme="minorEastAsia" w:cs="Times New Roman"/>
          <w:sz w:val="24"/>
          <w:szCs w:val="24"/>
        </w:rPr>
        <w:t xml:space="preserve"> </w:t>
      </w:r>
      <w:r w:rsidR="00AF68F3" w:rsidRPr="00D44D33">
        <w:rPr>
          <w:rFonts w:eastAsiaTheme="minorEastAsia" w:cs="Times New Roman"/>
          <w:sz w:val="24"/>
          <w:szCs w:val="24"/>
        </w:rPr>
        <w:t>z</w:t>
      </w:r>
      <w:r w:rsidR="00970B2E" w:rsidRPr="00D44D33">
        <w:rPr>
          <w:rFonts w:eastAsiaTheme="minorEastAsia" w:cs="Times New Roman"/>
          <w:sz w:val="24"/>
          <w:szCs w:val="24"/>
        </w:rPr>
        <w:t xml:space="preserve"> </w:t>
      </w:r>
      <w:r w:rsidR="00AF68F3" w:rsidRPr="00D44D33">
        <w:rPr>
          <w:rFonts w:eastAsiaTheme="minorEastAsia" w:cs="Times New Roman"/>
          <w:sz w:val="24"/>
          <w:szCs w:val="24"/>
        </w:rPr>
        <w:t>ich</w:t>
      </w:r>
      <w:r w:rsidR="00970B2E" w:rsidRPr="00D44D33">
        <w:rPr>
          <w:rFonts w:eastAsiaTheme="minorEastAsia" w:cs="Times New Roman"/>
          <w:sz w:val="24"/>
          <w:szCs w:val="24"/>
        </w:rPr>
        <w:t xml:space="preserve"> </w:t>
      </w:r>
      <w:r w:rsidR="00AF68F3" w:rsidRPr="00D44D33">
        <w:rPr>
          <w:rFonts w:eastAsiaTheme="minorEastAsia" w:cs="Times New Roman"/>
          <w:sz w:val="24"/>
          <w:szCs w:val="24"/>
        </w:rPr>
        <w:t>specyfiki,</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potrzeby</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zagwarantowania,</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że</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odwołanie</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zostanie</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rozpatrzone</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również</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merytorycznie</w:t>
      </w:r>
      <w:r w:rsidR="00970B2E" w:rsidRPr="00D44D33">
        <w:rPr>
          <w:rFonts w:eastAsiaTheme="minorEastAsia" w:cs="Times New Roman"/>
          <w:sz w:val="24"/>
          <w:szCs w:val="24"/>
        </w:rPr>
        <w:t xml:space="preserve"> </w:t>
      </w:r>
      <w:r w:rsidR="00C55F47" w:rsidRPr="00D44D33">
        <w:rPr>
          <w:rFonts w:eastAsiaTheme="minorEastAsia" w:cs="Times New Roman"/>
          <w:sz w:val="24"/>
          <w:szCs w:val="24"/>
        </w:rPr>
        <w:t>przez</w:t>
      </w:r>
      <w:r w:rsidR="00970B2E" w:rsidRPr="00D44D33">
        <w:rPr>
          <w:rFonts w:eastAsiaTheme="minorEastAsia" w:cs="Times New Roman"/>
          <w:sz w:val="24"/>
          <w:szCs w:val="24"/>
        </w:rPr>
        <w:t xml:space="preserve"> </w:t>
      </w:r>
      <w:r w:rsidR="00AF68F3" w:rsidRPr="00D44D33">
        <w:rPr>
          <w:rFonts w:eastAsiaTheme="minorEastAsia" w:cs="Times New Roman"/>
          <w:sz w:val="24"/>
          <w:szCs w:val="24"/>
        </w:rPr>
        <w:t>organ</w:t>
      </w:r>
      <w:r w:rsidR="00970B2E" w:rsidRPr="00D44D33">
        <w:rPr>
          <w:rFonts w:eastAsiaTheme="minorEastAsia" w:cs="Times New Roman"/>
          <w:sz w:val="24"/>
          <w:szCs w:val="24"/>
        </w:rPr>
        <w:t xml:space="preserve"> </w:t>
      </w:r>
      <w:r w:rsidR="00922E6B" w:rsidRPr="00D44D33">
        <w:rPr>
          <w:rFonts w:eastAsiaTheme="minorEastAsia" w:cs="Times New Roman"/>
          <w:sz w:val="24"/>
          <w:szCs w:val="24"/>
        </w:rPr>
        <w:t>odwoławczy</w:t>
      </w:r>
      <w:r w:rsidR="00970B2E" w:rsidRPr="00D44D33">
        <w:rPr>
          <w:rFonts w:eastAsiaTheme="minorEastAsia" w:cs="Times New Roman"/>
          <w:sz w:val="24"/>
          <w:szCs w:val="24"/>
        </w:rPr>
        <w:t xml:space="preserve"> </w:t>
      </w:r>
      <w:r w:rsidR="00922E6B" w:rsidRPr="00D44D33">
        <w:rPr>
          <w:rFonts w:eastAsiaTheme="minorEastAsia" w:cs="Times New Roman"/>
          <w:sz w:val="24"/>
          <w:szCs w:val="24"/>
        </w:rPr>
        <w:t>w</w:t>
      </w:r>
      <w:r w:rsidR="00970B2E" w:rsidRPr="00D44D33">
        <w:rPr>
          <w:rFonts w:eastAsiaTheme="minorEastAsia" w:cs="Times New Roman"/>
          <w:sz w:val="24"/>
          <w:szCs w:val="24"/>
        </w:rPr>
        <w:t xml:space="preserve"> </w:t>
      </w:r>
      <w:r w:rsidR="00922E6B" w:rsidRPr="00D44D33">
        <w:rPr>
          <w:rFonts w:eastAsiaTheme="minorEastAsia" w:cs="Times New Roman"/>
          <w:sz w:val="24"/>
          <w:szCs w:val="24"/>
        </w:rPr>
        <w:t>rozumieniu</w:t>
      </w:r>
      <w:r w:rsidR="00970B2E" w:rsidRPr="00D44D33">
        <w:rPr>
          <w:rFonts w:eastAsiaTheme="minorEastAsia" w:cs="Times New Roman"/>
          <w:sz w:val="24"/>
          <w:szCs w:val="24"/>
        </w:rPr>
        <w:t xml:space="preserve"> </w:t>
      </w:r>
      <w:r w:rsidR="00922E6B" w:rsidRPr="00D44D33">
        <w:rPr>
          <w:rFonts w:eastAsiaTheme="minorEastAsia" w:cs="Times New Roman"/>
          <w:sz w:val="24"/>
          <w:szCs w:val="24"/>
        </w:rPr>
        <w:t>przepisów</w:t>
      </w:r>
      <w:r w:rsidR="00970B2E" w:rsidRPr="00D44D33">
        <w:rPr>
          <w:rFonts w:eastAsiaTheme="minorEastAsia" w:cs="Times New Roman"/>
          <w:sz w:val="24"/>
          <w:szCs w:val="24"/>
        </w:rPr>
        <w:t xml:space="preserve"> </w:t>
      </w:r>
      <w:r w:rsidR="00922E6B" w:rsidRPr="00D44D33">
        <w:rPr>
          <w:rFonts w:eastAsiaTheme="minorEastAsia" w:cs="Times New Roman"/>
          <w:sz w:val="24"/>
          <w:szCs w:val="24"/>
        </w:rPr>
        <w:t>EKŁE.</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Postępowania</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w</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sprawach</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odwołań,</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o</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których</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mowa</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w</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ust.</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2</w:t>
      </w:r>
      <w:r w:rsidR="00970B2E" w:rsidRPr="00D44D33">
        <w:rPr>
          <w:rFonts w:eastAsiaTheme="minorEastAsia" w:cs="Times New Roman"/>
          <w:sz w:val="24"/>
          <w:szCs w:val="24"/>
        </w:rPr>
        <w:t xml:space="preserve"> </w:t>
      </w:r>
      <w:r w:rsidR="6CF24C7B" w:rsidRPr="00D44D33">
        <w:rPr>
          <w:rFonts w:eastAsiaTheme="minorEastAsia" w:cs="Times New Roman"/>
          <w:sz w:val="24"/>
          <w:szCs w:val="24"/>
        </w:rPr>
        <w:t>i</w:t>
      </w:r>
      <w:r w:rsidR="00970B2E" w:rsidRPr="00D44D33">
        <w:rPr>
          <w:rFonts w:eastAsiaTheme="minorEastAsia" w:cs="Times New Roman"/>
          <w:sz w:val="24"/>
          <w:szCs w:val="24"/>
        </w:rPr>
        <w:t xml:space="preserve"> </w:t>
      </w:r>
      <w:r w:rsidR="6CF24C7B" w:rsidRPr="00D44D33">
        <w:rPr>
          <w:rFonts w:eastAsiaTheme="minorEastAsia" w:cs="Times New Roman"/>
          <w:sz w:val="24"/>
          <w:szCs w:val="24"/>
        </w:rPr>
        <w:t>3</w:t>
      </w:r>
      <w:r w:rsidR="00720DB3" w:rsidRPr="00D44D33">
        <w:rPr>
          <w:rFonts w:eastAsiaTheme="minorEastAsia" w:cs="Times New Roman"/>
          <w:sz w:val="24"/>
          <w:szCs w:val="24"/>
        </w:rPr>
        <w:t>,</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toczą</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się</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według</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przepisów</w:t>
      </w:r>
      <w:r w:rsidR="00970B2E" w:rsidRPr="00D44D33">
        <w:rPr>
          <w:rFonts w:eastAsiaTheme="minorEastAsia" w:cs="Times New Roman"/>
          <w:sz w:val="24"/>
          <w:szCs w:val="24"/>
        </w:rPr>
        <w:t xml:space="preserve"> </w:t>
      </w:r>
      <w:r w:rsidR="00F6284A" w:rsidRPr="00D44D33">
        <w:rPr>
          <w:rFonts w:eastAsiaTheme="minorEastAsia" w:cs="Times New Roman"/>
          <w:sz w:val="24"/>
          <w:szCs w:val="24"/>
        </w:rPr>
        <w:t>kpc</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o</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postępowaniu</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w</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sprawach</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z</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zakresu</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regulacji</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telekomunikacji</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i</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poczty</w:t>
      </w:r>
      <w:r w:rsidR="00970B2E" w:rsidRPr="00D44D33">
        <w:rPr>
          <w:rFonts w:eastAsiaTheme="minorEastAsia" w:cs="Times New Roman"/>
          <w:sz w:val="24"/>
          <w:szCs w:val="24"/>
        </w:rPr>
        <w:t xml:space="preserve"> </w:t>
      </w:r>
      <w:r w:rsidR="00720DB3" w:rsidRPr="00D44D33">
        <w:rPr>
          <w:rFonts w:eastAsiaTheme="minorEastAsia" w:cs="Times New Roman"/>
          <w:sz w:val="24"/>
          <w:szCs w:val="24"/>
        </w:rPr>
        <w:t>(</w:t>
      </w:r>
      <w:r w:rsidR="00720DB3" w:rsidRPr="00D44D33">
        <w:rPr>
          <w:rStyle w:val="articletitle"/>
          <w:rFonts w:eastAsiaTheme="minorEastAsia" w:cs="Times New Roman"/>
          <w:sz w:val="24"/>
          <w:szCs w:val="24"/>
        </w:rPr>
        <w:t>479</w:t>
      </w:r>
      <w:r w:rsidR="00720DB3" w:rsidRPr="00D44D33">
        <w:rPr>
          <w:rStyle w:val="articletitle"/>
          <w:rFonts w:eastAsiaTheme="minorEastAsia" w:cs="Times New Roman"/>
          <w:sz w:val="24"/>
          <w:szCs w:val="24"/>
          <w:vertAlign w:val="superscript"/>
        </w:rPr>
        <w:t>57</w:t>
      </w:r>
      <w:r w:rsidR="00720DB3" w:rsidRPr="00D44D33">
        <w:rPr>
          <w:rStyle w:val="articletitle"/>
          <w:rFonts w:eastAsiaTheme="minorEastAsia" w:cs="Times New Roman"/>
          <w:sz w:val="24"/>
          <w:szCs w:val="24"/>
        </w:rPr>
        <w:t>–479</w:t>
      </w:r>
      <w:r w:rsidR="00720DB3" w:rsidRPr="00D44D33">
        <w:rPr>
          <w:rStyle w:val="articletitle"/>
          <w:rFonts w:eastAsiaTheme="minorEastAsia" w:cs="Times New Roman"/>
          <w:sz w:val="24"/>
          <w:szCs w:val="24"/>
          <w:vertAlign w:val="superscript"/>
        </w:rPr>
        <w:t>67</w:t>
      </w:r>
      <w:r w:rsidR="00970B2E" w:rsidRPr="00D44D33">
        <w:rPr>
          <w:rStyle w:val="articletitle"/>
          <w:rFonts w:eastAsiaTheme="minorEastAsia" w:cs="Times New Roman"/>
          <w:sz w:val="24"/>
          <w:szCs w:val="24"/>
          <w:vertAlign w:val="superscript"/>
        </w:rPr>
        <w:t xml:space="preserve"> </w:t>
      </w:r>
      <w:r w:rsidR="00B6600D" w:rsidRPr="00D44D33">
        <w:rPr>
          <w:rStyle w:val="articletitle"/>
          <w:rFonts w:eastAsiaTheme="minorEastAsia" w:cs="Times New Roman"/>
          <w:sz w:val="24"/>
          <w:szCs w:val="24"/>
        </w:rPr>
        <w:t>kpc).</w:t>
      </w:r>
    </w:p>
    <w:p w14:paraId="427460C4" w14:textId="7C62B944" w:rsidR="00145DC4" w:rsidRPr="00D44D33" w:rsidRDefault="00145DC4" w:rsidP="00D44D33">
      <w:pPr>
        <w:pStyle w:val="Akapitzlist"/>
        <w:autoSpaceDN w:val="0"/>
        <w:spacing w:before="120" w:after="120" w:line="360" w:lineRule="auto"/>
        <w:ind w:left="0"/>
        <w:contextualSpacing w:val="0"/>
        <w:jc w:val="center"/>
        <w:rPr>
          <w:rFonts w:ascii="Times New Roman" w:eastAsiaTheme="minorEastAsia" w:hAnsi="Times New Roman" w:cs="Times New Roman"/>
          <w:b/>
          <w:sz w:val="24"/>
          <w:szCs w:val="24"/>
          <w:lang w:eastAsia="zh-CN"/>
        </w:rPr>
      </w:pPr>
      <w:r w:rsidRPr="00D44D33">
        <w:rPr>
          <w:rFonts w:ascii="Times New Roman" w:eastAsiaTheme="minorEastAsia" w:hAnsi="Times New Roman" w:cs="Times New Roman"/>
          <w:b/>
          <w:sz w:val="24"/>
          <w:szCs w:val="24"/>
          <w:lang w:eastAsia="zh-CN"/>
        </w:rPr>
        <w:t>Art.</w:t>
      </w:r>
      <w:r w:rsidR="00970B2E" w:rsidRPr="00D44D33">
        <w:rPr>
          <w:rFonts w:ascii="Times New Roman" w:eastAsiaTheme="minorEastAsia" w:hAnsi="Times New Roman" w:cs="Times New Roman"/>
          <w:b/>
          <w:sz w:val="24"/>
          <w:szCs w:val="24"/>
          <w:lang w:eastAsia="zh-CN"/>
        </w:rPr>
        <w:t xml:space="preserve"> </w:t>
      </w:r>
      <w:r w:rsidR="003C5F3B" w:rsidRPr="00D44D33">
        <w:rPr>
          <w:rFonts w:ascii="Times New Roman" w:eastAsiaTheme="minorEastAsia" w:hAnsi="Times New Roman" w:cs="Times New Roman"/>
          <w:b/>
          <w:bCs/>
          <w:sz w:val="24"/>
          <w:szCs w:val="24"/>
          <w:lang w:eastAsia="zh-CN"/>
        </w:rPr>
        <w:t>436</w:t>
      </w:r>
    </w:p>
    <w:p w14:paraId="05B123D6" w14:textId="08CFA3B1" w:rsidR="00797D4B" w:rsidRPr="00D44D33" w:rsidRDefault="00145DC4" w:rsidP="00D44D33">
      <w:pPr>
        <w:pStyle w:val="Akapitzlist"/>
        <w:autoSpaceDN w:val="0"/>
        <w:spacing w:before="120" w:after="120" w:line="360" w:lineRule="auto"/>
        <w:ind w:left="0"/>
        <w:contextualSpacing w:val="0"/>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lang w:eastAsia="zh-CN"/>
        </w:rPr>
        <w:t>Przepis</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stanowi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wdrożenie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art.</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31</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ust.</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3</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EKŁE,</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który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dotyczy</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obowiązku</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państw</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członkowskich</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gromadzenia</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lang w:eastAsia="zh-CN"/>
        </w:rPr>
        <w:t>informacji</w:t>
      </w:r>
      <w:r w:rsidR="00970B2E" w:rsidRPr="00D44D33">
        <w:rPr>
          <w:rFonts w:ascii="Times New Roman" w:eastAsiaTheme="minorEastAsia" w:hAnsi="Times New Roman" w:cs="Times New Roman"/>
          <w:sz w:val="24"/>
          <w:szCs w:val="24"/>
          <w:lang w:eastAsia="zh-CN"/>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temat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ogólnego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czasu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odwoławczych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liczby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zastoso</w:t>
      </w:r>
      <w:r w:rsidR="00C030EC" w:rsidRPr="00D44D33">
        <w:rPr>
          <w:rFonts w:ascii="Times New Roman" w:eastAsiaTheme="minorEastAsia" w:hAnsi="Times New Roman" w:cs="Times New Roman"/>
          <w:sz w:val="24"/>
          <w:szCs w:val="24"/>
        </w:rPr>
        <w:t>waniu</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środków</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tymczasowych.</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EKŁE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członkowskie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powinny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uzasadniony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wniosek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BEREC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przekazywać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powyższe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orzeczenia.</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Obowiązki</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te</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znalazły</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odzwierciedlenie</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projektowanym</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00C030EC" w:rsidRPr="00D44D33">
        <w:rPr>
          <w:rFonts w:ascii="Times New Roman" w:eastAsiaTheme="minorEastAsia" w:hAnsi="Times New Roman" w:cs="Times New Roman"/>
          <w:sz w:val="24"/>
          <w:szCs w:val="24"/>
        </w:rPr>
        <w:t>a</w:t>
      </w:r>
      <w:r w:rsidR="00376423" w:rsidRPr="00D44D33">
        <w:rPr>
          <w:rFonts w:ascii="Times New Roman" w:eastAsiaTheme="minorEastAsia" w:hAnsi="Times New Roman" w:cs="Times New Roman"/>
          <w:sz w:val="24"/>
          <w:szCs w:val="24"/>
        </w:rPr>
        <w:t>dresatem</w:t>
      </w:r>
      <w:r w:rsidR="00970B2E" w:rsidRPr="00D44D33">
        <w:rPr>
          <w:rFonts w:ascii="Times New Roman" w:eastAsiaTheme="minorEastAsia" w:hAnsi="Times New Roman" w:cs="Times New Roman"/>
          <w:sz w:val="24"/>
          <w:szCs w:val="24"/>
        </w:rPr>
        <w:t xml:space="preserve"> </w:t>
      </w:r>
      <w:r w:rsidR="00376423"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00376423"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00376423" w:rsidRPr="00D44D33">
        <w:rPr>
          <w:rFonts w:ascii="Times New Roman" w:eastAsiaTheme="minorEastAsia" w:hAnsi="Times New Roman" w:cs="Times New Roman"/>
          <w:sz w:val="24"/>
          <w:szCs w:val="24"/>
        </w:rPr>
        <w:t>UKE.</w:t>
      </w:r>
    </w:p>
    <w:p w14:paraId="77B87A0B" w14:textId="20C78024" w:rsidR="00D34BAF" w:rsidRPr="00D44D33" w:rsidRDefault="00376423" w:rsidP="00D44D33">
      <w:pPr>
        <w:pStyle w:val="ARTartustawynprozporzdzenia"/>
        <w:spacing w:after="120"/>
        <w:ind w:firstLine="0"/>
        <w:jc w:val="center"/>
        <w:rPr>
          <w:rFonts w:ascii="Times New Roman" w:hAnsi="Times New Roman" w:cs="Times New Roman"/>
          <w:b/>
          <w:szCs w:val="24"/>
        </w:rPr>
      </w:pPr>
      <w:r w:rsidRPr="00D44D33">
        <w:rPr>
          <w:rFonts w:ascii="Times New Roman" w:hAnsi="Times New Roman" w:cs="Times New Roman"/>
          <w:b/>
          <w:szCs w:val="24"/>
        </w:rPr>
        <w:t>Art.</w:t>
      </w:r>
      <w:r w:rsidR="00970B2E" w:rsidRPr="00D44D33">
        <w:rPr>
          <w:rFonts w:ascii="Times New Roman" w:hAnsi="Times New Roman" w:cs="Times New Roman"/>
          <w:b/>
          <w:szCs w:val="24"/>
        </w:rPr>
        <w:t xml:space="preserve"> </w:t>
      </w:r>
      <w:r w:rsidR="002B4794" w:rsidRPr="00D44D33">
        <w:rPr>
          <w:rFonts w:ascii="Times New Roman" w:hAnsi="Times New Roman" w:cs="Times New Roman"/>
          <w:b/>
          <w:bCs/>
          <w:szCs w:val="24"/>
        </w:rPr>
        <w:t>437</w:t>
      </w:r>
    </w:p>
    <w:p w14:paraId="7B2EE5C3" w14:textId="00D8D918" w:rsidR="001E67DA" w:rsidRPr="00D44D33" w:rsidRDefault="006F1ADA"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Projektowany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kwestie</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ograniczeń</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wglądu</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akt</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65C1486" w:rsidRPr="00D44D33">
        <w:rPr>
          <w:rFonts w:ascii="Times New Roman" w:hAnsi="Times New Roman" w:cs="Times New Roman"/>
          <w:szCs w:val="24"/>
        </w:rPr>
        <w:t>sytuacjach,</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udostępnienie</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materiału</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dowodowego</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grozi</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ujawnieniem</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tajemnicy</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przedsiębiorstwa</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tajemnic</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prawnie</w:t>
      </w:r>
      <w:r w:rsidR="00970B2E" w:rsidRPr="00D44D33">
        <w:rPr>
          <w:rFonts w:ascii="Times New Roman" w:hAnsi="Times New Roman" w:cs="Times New Roman"/>
          <w:szCs w:val="24"/>
        </w:rPr>
        <w:t xml:space="preserve"> </w:t>
      </w:r>
      <w:r w:rsidR="004C2CFC" w:rsidRPr="00D44D33">
        <w:rPr>
          <w:rFonts w:ascii="Times New Roman" w:hAnsi="Times New Roman" w:cs="Times New Roman"/>
          <w:szCs w:val="24"/>
        </w:rPr>
        <w:t>chronionych.</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odnosi</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postępowań,</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które</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dotyczą</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spraw</w:t>
      </w:r>
      <w:r w:rsidR="00970B2E" w:rsidRPr="00D44D33">
        <w:rPr>
          <w:rFonts w:ascii="Times New Roman" w:hAnsi="Times New Roman" w:cs="Times New Roman"/>
          <w:szCs w:val="24"/>
        </w:rPr>
        <w:t xml:space="preserve"> </w:t>
      </w:r>
      <w:r w:rsidR="001E67DA" w:rsidRPr="00D44D33">
        <w:rPr>
          <w:rFonts w:ascii="Times New Roman" w:hAnsi="Times New Roman" w:cs="Times New Roman"/>
          <w:szCs w:val="24"/>
        </w:rPr>
        <w:t>spornych</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zachodzi</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potrzeba</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uniemożliwienia</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dostępu</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pozostałych</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stron</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wszystkich</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zgromadzonych</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postępowaniu</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materiałów</w:t>
      </w:r>
      <w:r w:rsidR="00D75B3E"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Regulacja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u</w:t>
      </w:r>
      <w:r w:rsidR="00D75B3E" w:rsidRPr="00D44D33">
        <w:rPr>
          <w:rFonts w:ascii="Times New Roman" w:hAnsi="Times New Roman" w:cs="Times New Roman"/>
          <w:szCs w:val="24"/>
        </w:rPr>
        <w:t>zupełnia</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ogólne</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regulacje</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zawarte</w:t>
      </w:r>
      <w:r w:rsidR="00970B2E" w:rsidRPr="00D44D33">
        <w:rPr>
          <w:rFonts w:ascii="Times New Roman" w:hAnsi="Times New Roman" w:cs="Times New Roman"/>
          <w:szCs w:val="24"/>
        </w:rPr>
        <w:t xml:space="preserve"> </w:t>
      </w:r>
      <w:r w:rsidR="00D75B3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F6284A" w:rsidRPr="00D44D33">
        <w:rPr>
          <w:rFonts w:ascii="Times New Roman" w:hAnsi="Times New Roman" w:cs="Times New Roman"/>
          <w:szCs w:val="24"/>
        </w:rPr>
        <w:t>kpa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odnoszące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m.in.</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ograniczenia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zasady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jawności</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postępowania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dla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stron</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odniesieniu</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akt</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sprawy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zawierających</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informacje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niejawne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klauzuli</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tajności</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„tajne”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„ściśle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tajne”,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także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akt,</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które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organ</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administracji</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publicznej</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wyłączy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ze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względu</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ważny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interes</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państwowy.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Ograniczenie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dostępu</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strony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akt</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ze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względu</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potrzebę</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zapewnienia</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ochrony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pozostałych</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tajemnic,</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w:t>
      </w:r>
      <w:r w:rsidR="00EB51CF" w:rsidRPr="00D44D33">
        <w:rPr>
          <w:rFonts w:ascii="Times New Roman" w:hAnsi="Times New Roman" w:cs="Times New Roman"/>
          <w:szCs w:val="24"/>
        </w:rPr>
        <w:t>jemnicy</w:t>
      </w:r>
      <w:r w:rsidR="00970B2E" w:rsidRPr="00D44D33">
        <w:rPr>
          <w:rFonts w:ascii="Times New Roman" w:hAnsi="Times New Roman" w:cs="Times New Roman"/>
          <w:szCs w:val="24"/>
        </w:rPr>
        <w:t xml:space="preserve"> </w:t>
      </w:r>
      <w:r w:rsidR="00EB51CF" w:rsidRPr="00D44D33">
        <w:rPr>
          <w:rFonts w:ascii="Times New Roman" w:hAnsi="Times New Roman" w:cs="Times New Roman"/>
          <w:szCs w:val="24"/>
        </w:rPr>
        <w:t>telekomunikacyjnej</w:t>
      </w:r>
      <w:r w:rsidR="00970B2E" w:rsidRPr="00D44D33">
        <w:rPr>
          <w:rFonts w:ascii="Times New Roman" w:hAnsi="Times New Roman" w:cs="Times New Roman"/>
          <w:szCs w:val="24"/>
        </w:rPr>
        <w:t xml:space="preserve"> </w:t>
      </w:r>
      <w:r w:rsidR="00EB51CF"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tajemnic</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zawodowych</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odbywać</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oparciu</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projektowany</w:t>
      </w:r>
      <w:r w:rsidR="00970B2E" w:rsidRPr="00D44D33">
        <w:rPr>
          <w:rFonts w:ascii="Times New Roman" w:hAnsi="Times New Roman" w:cs="Times New Roman"/>
          <w:szCs w:val="24"/>
        </w:rPr>
        <w:t xml:space="preserve"> </w:t>
      </w:r>
      <w:r w:rsidR="003E486E" w:rsidRPr="00D44D33">
        <w:rPr>
          <w:rFonts w:ascii="Times New Roman" w:hAnsi="Times New Roman" w:cs="Times New Roman"/>
          <w:szCs w:val="24"/>
        </w:rPr>
        <w:t>przepis.</w:t>
      </w:r>
    </w:p>
    <w:p w14:paraId="51316E16" w14:textId="4EC1AF89" w:rsidR="003E486E" w:rsidRPr="00D44D33" w:rsidRDefault="00D31EE0"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Ograniczenie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wglądu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akt</w:t>
      </w:r>
      <w:r w:rsidR="00970B2E" w:rsidRPr="00D44D33">
        <w:rPr>
          <w:rFonts w:ascii="Times New Roman" w:hAnsi="Times New Roman" w:cs="Times New Roman"/>
          <w:szCs w:val="24"/>
        </w:rPr>
        <w:t xml:space="preserve"> </w:t>
      </w:r>
      <w:r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następowało</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wniosek</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urzędu,</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czym</w:t>
      </w:r>
      <w:r w:rsidR="00970B2E" w:rsidRPr="00D44D33">
        <w:rPr>
          <w:rFonts w:ascii="Times New Roman" w:hAnsi="Times New Roman" w:cs="Times New Roman"/>
          <w:szCs w:val="24"/>
        </w:rPr>
        <w:t xml:space="preserve"> </w:t>
      </w:r>
      <w:r w:rsidR="00C2400D" w:rsidRPr="00D44D33">
        <w:rPr>
          <w:rFonts w:ascii="Times New Roman" w:hAnsi="Times New Roman" w:cs="Times New Roman"/>
          <w:szCs w:val="24"/>
        </w:rPr>
        <w:t>działanie</w:t>
      </w:r>
      <w:r w:rsidR="00970B2E" w:rsidRPr="00D44D33">
        <w:rPr>
          <w:rFonts w:ascii="Times New Roman" w:hAnsi="Times New Roman" w:cs="Times New Roman"/>
          <w:szCs w:val="24"/>
        </w:rPr>
        <w:t xml:space="preserve"> </w:t>
      </w:r>
      <w:r w:rsidR="00C2400D"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00C2400D"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C2400D"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C2400D" w:rsidRPr="00D44D33">
        <w:rPr>
          <w:rFonts w:ascii="Times New Roman" w:hAnsi="Times New Roman" w:cs="Times New Roman"/>
          <w:szCs w:val="24"/>
        </w:rPr>
        <w:t>urzędu</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dotyczy</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tajemnic,</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ochrony</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wynika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przepisów.</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natomiast,</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złożenia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wniosku</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ograniczenie,</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strona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wnioskująca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powinna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przedłożyć</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wersję</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dokumentu</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niezawierającą</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informacji</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objętych</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ograniczeniem,</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która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zostanie</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udostępniona</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stronom.</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Ograniczenie</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wglądu</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materiały</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dowodowego</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następuje</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drodze</w:t>
      </w:r>
      <w:r w:rsidR="00970B2E" w:rsidRPr="00D44D33">
        <w:rPr>
          <w:rFonts w:ascii="Times New Roman" w:hAnsi="Times New Roman" w:cs="Times New Roman"/>
          <w:szCs w:val="24"/>
        </w:rPr>
        <w:t xml:space="preserve"> </w:t>
      </w:r>
      <w:r w:rsidR="00802C44" w:rsidRPr="00D44D33">
        <w:rPr>
          <w:rFonts w:ascii="Times New Roman" w:hAnsi="Times New Roman" w:cs="Times New Roman"/>
          <w:szCs w:val="24"/>
        </w:rPr>
        <w:t>postanowienia.</w:t>
      </w:r>
    </w:p>
    <w:p w14:paraId="705932C2" w14:textId="29EBB0D4" w:rsidR="00192BD2" w:rsidRPr="00D44D33" w:rsidRDefault="00192BD2"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Projektowany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umożliwia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zastrzeżenie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informacji,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dokumentów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lub</w:t>
      </w:r>
      <w:r w:rsidR="00970B2E" w:rsidRPr="00D44D33">
        <w:rPr>
          <w:rFonts w:ascii="Times New Roman" w:hAnsi="Times New Roman" w:cs="Times New Roman"/>
          <w:szCs w:val="24"/>
        </w:rPr>
        <w:t xml:space="preserve"> </w:t>
      </w:r>
      <w:r w:rsidRPr="00D44D33">
        <w:rPr>
          <w:rFonts w:ascii="Times New Roman" w:hAnsi="Times New Roman" w:cs="Times New Roman"/>
          <w:szCs w:val="24"/>
        </w:rPr>
        <w:t>ich</w:t>
      </w:r>
      <w:r w:rsidR="00970B2E" w:rsidRPr="00D44D33">
        <w:rPr>
          <w:rFonts w:ascii="Times New Roman" w:hAnsi="Times New Roman" w:cs="Times New Roman"/>
          <w:szCs w:val="24"/>
        </w:rPr>
        <w:t xml:space="preserve"> </w:t>
      </w:r>
      <w:r w:rsidRPr="00D44D33">
        <w:rPr>
          <w:rFonts w:ascii="Times New Roman" w:hAnsi="Times New Roman" w:cs="Times New Roman"/>
          <w:szCs w:val="24"/>
        </w:rPr>
        <w:t>części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zawierających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tajemnicę</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przedsiębiorstwa,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przedstawianych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Prezesowi</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p>
    <w:p w14:paraId="28FD247B" w14:textId="6B0A865B" w:rsidR="00974F28" w:rsidRPr="00D44D33" w:rsidRDefault="0AEFF4EF" w:rsidP="00D44D33">
      <w:pPr>
        <w:pStyle w:val="ARTartustawynprozporzdzenia"/>
        <w:spacing w:after="120"/>
        <w:ind w:firstLine="0"/>
        <w:rPr>
          <w:rFonts w:ascii="Times New Roman" w:hAnsi="Times New Roman" w:cs="Times New Roman"/>
          <w:b/>
          <w:bCs/>
          <w:szCs w:val="24"/>
        </w:rPr>
      </w:pP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bazuje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treści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207</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Pr="00D44D33">
        <w:rPr>
          <w:rFonts w:ascii="Times New Roman" w:hAnsi="Times New Roman" w:cs="Times New Roman"/>
          <w:szCs w:val="24"/>
        </w:rPr>
        <w:t>Pt</w:t>
      </w:r>
      <w:r w:rsidR="00970B2E" w:rsidRPr="00D44D33">
        <w:rPr>
          <w:rFonts w:ascii="Times New Roman" w:hAnsi="Times New Roman" w:cs="Times New Roman"/>
          <w:szCs w:val="24"/>
        </w:rPr>
        <w:t xml:space="preserve"> </w:t>
      </w:r>
      <w:r w:rsidRPr="00D44D33">
        <w:rPr>
          <w:rFonts w:ascii="Times New Roman" w:hAnsi="Times New Roman" w:cs="Times New Roman"/>
          <w:szCs w:val="24"/>
        </w:rPr>
        <w:t>jednak</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zawiera</w:t>
      </w:r>
      <w:r w:rsidR="00970B2E" w:rsidRPr="00D44D33">
        <w:rPr>
          <w:rFonts w:ascii="Times New Roman" w:hAnsi="Times New Roman" w:cs="Times New Roman"/>
          <w:szCs w:val="24"/>
        </w:rPr>
        <w:t xml:space="preserve"> </w:t>
      </w:r>
      <w:r w:rsidRPr="00D44D33">
        <w:rPr>
          <w:rFonts w:ascii="Times New Roman" w:hAnsi="Times New Roman" w:cs="Times New Roman"/>
          <w:szCs w:val="24"/>
        </w:rPr>
        <w:t>modyfikacje</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zakresie</w:t>
      </w:r>
      <w:r w:rsidR="00970B2E" w:rsidRPr="00D44D33">
        <w:rPr>
          <w:rFonts w:ascii="Times New Roman" w:hAnsi="Times New Roman" w:cs="Times New Roman"/>
          <w:szCs w:val="24"/>
        </w:rPr>
        <w:t xml:space="preserve"> </w:t>
      </w:r>
      <w:r w:rsidRPr="00D44D33">
        <w:rPr>
          <w:rFonts w:ascii="Times New Roman" w:hAnsi="Times New Roman" w:cs="Times New Roman"/>
          <w:szCs w:val="24"/>
        </w:rPr>
        <w:t>kwestii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zastrzegania</w:t>
      </w:r>
      <w:r w:rsidR="00970B2E" w:rsidRPr="00D44D33">
        <w:rPr>
          <w:rFonts w:ascii="Times New Roman" w:hAnsi="Times New Roman" w:cs="Times New Roman"/>
          <w:szCs w:val="24"/>
        </w:rPr>
        <w:t xml:space="preserve"> </w:t>
      </w:r>
      <w:r w:rsidR="0BF35405" w:rsidRPr="00D44D33">
        <w:rPr>
          <w:rFonts w:ascii="Times New Roman" w:hAnsi="Times New Roman" w:cs="Times New Roman"/>
          <w:szCs w:val="24"/>
        </w:rPr>
        <w:t>informacji.</w:t>
      </w:r>
      <w:r w:rsidR="00970B2E" w:rsidRPr="00D44D33">
        <w:rPr>
          <w:rFonts w:ascii="Times New Roman" w:hAnsi="Times New Roman" w:cs="Times New Roman"/>
          <w:szCs w:val="24"/>
        </w:rPr>
        <w:t xml:space="preserve"> </w:t>
      </w:r>
      <w:r w:rsidR="0BF35405"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przeciwieństwie</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regulacji</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Pt</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będzie</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miał</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zastosowanie</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nie</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tylko</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postępowań</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objętych</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ta</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ustawą</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ale</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również</w:t>
      </w:r>
      <w:r w:rsidR="00970B2E" w:rsidRPr="00D44D33">
        <w:rPr>
          <w:rFonts w:ascii="Times New Roman" w:hAnsi="Times New Roman" w:cs="Times New Roman"/>
          <w:szCs w:val="24"/>
        </w:rPr>
        <w:t xml:space="preserve"> </w:t>
      </w:r>
      <w:r w:rsidR="7730C54E" w:rsidRPr="00D44D33">
        <w:rPr>
          <w:rFonts w:ascii="Times New Roman" w:hAnsi="Times New Roman" w:cs="Times New Roman"/>
          <w:szCs w:val="24"/>
        </w:rPr>
        <w:t>ustawą</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z</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dnia</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7</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maja</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2010</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r.</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o</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wspieraniu</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rozwoju</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usług</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i</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sieci</w:t>
      </w:r>
      <w:r w:rsidR="00970B2E" w:rsidRPr="00D44D33">
        <w:rPr>
          <w:rFonts w:ascii="Times New Roman" w:eastAsia="Times New Roman" w:hAnsi="Times New Roman" w:cs="Times New Roman"/>
          <w:szCs w:val="24"/>
        </w:rPr>
        <w:t xml:space="preserve"> </w:t>
      </w:r>
      <w:r w:rsidR="7730C54E" w:rsidRPr="00D44D33">
        <w:rPr>
          <w:rFonts w:ascii="Times New Roman" w:eastAsia="Times New Roman" w:hAnsi="Times New Roman" w:cs="Times New Roman"/>
          <w:szCs w:val="24"/>
        </w:rPr>
        <w:t>telekomunikacyjnych.</w:t>
      </w:r>
    </w:p>
    <w:p w14:paraId="126D3AA8" w14:textId="0DD13B76" w:rsidR="00974F28" w:rsidRPr="00D44D33" w:rsidRDefault="00974F28" w:rsidP="00D44D33">
      <w:pPr>
        <w:pStyle w:val="ARTartustawynprozporzdzenia"/>
        <w:spacing w:after="120"/>
        <w:ind w:firstLine="0"/>
        <w:jc w:val="center"/>
        <w:rPr>
          <w:rFonts w:ascii="Times New Roman" w:hAnsi="Times New Roman" w:cs="Times New Roman"/>
          <w:b/>
          <w:bCs/>
          <w:szCs w:val="24"/>
        </w:rPr>
      </w:pPr>
      <w:r w:rsidRPr="00D44D33">
        <w:rPr>
          <w:rFonts w:ascii="Times New Roman" w:hAnsi="Times New Roman" w:cs="Times New Roman"/>
          <w:b/>
          <w:bCs/>
          <w:szCs w:val="24"/>
        </w:rPr>
        <w:t>Art.</w:t>
      </w:r>
      <w:r w:rsidR="00970B2E" w:rsidRPr="00D44D33">
        <w:rPr>
          <w:rFonts w:ascii="Times New Roman" w:hAnsi="Times New Roman" w:cs="Times New Roman"/>
          <w:b/>
          <w:bCs/>
          <w:szCs w:val="24"/>
        </w:rPr>
        <w:t xml:space="preserve"> </w:t>
      </w:r>
      <w:r w:rsidR="002B4794" w:rsidRPr="00D44D33">
        <w:rPr>
          <w:rFonts w:ascii="Times New Roman" w:hAnsi="Times New Roman" w:cs="Times New Roman"/>
          <w:b/>
          <w:bCs/>
          <w:szCs w:val="24"/>
        </w:rPr>
        <w:t>438</w:t>
      </w:r>
    </w:p>
    <w:p w14:paraId="03700CD0" w14:textId="45B579EB" w:rsidR="00C17D1B" w:rsidRPr="00D44D33" w:rsidRDefault="00B20C43"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Projektowany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kwestie</w:t>
      </w:r>
      <w:r w:rsidR="00970B2E" w:rsidRPr="00D44D33">
        <w:rPr>
          <w:rFonts w:ascii="Times New Roman" w:hAnsi="Times New Roman" w:cs="Times New Roman"/>
          <w:szCs w:val="24"/>
        </w:rPr>
        <w:t xml:space="preserve"> </w:t>
      </w:r>
      <w:r w:rsidRPr="00D44D33">
        <w:rPr>
          <w:rFonts w:ascii="Times New Roman" w:hAnsi="Times New Roman" w:cs="Times New Roman"/>
          <w:szCs w:val="24"/>
        </w:rPr>
        <w:t>odstępstwa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od</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przewidzianego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kpa</w:t>
      </w:r>
      <w:r w:rsidR="00970B2E" w:rsidRPr="00D44D33">
        <w:rPr>
          <w:rFonts w:ascii="Times New Roman" w:hAnsi="Times New Roman" w:cs="Times New Roman"/>
          <w:szCs w:val="24"/>
        </w:rPr>
        <w:t xml:space="preserve"> </w:t>
      </w:r>
      <w:r w:rsidRPr="00D44D33">
        <w:rPr>
          <w:rFonts w:ascii="Times New Roman" w:hAnsi="Times New Roman" w:cs="Times New Roman"/>
          <w:szCs w:val="24"/>
        </w:rPr>
        <w:t>sposobu</w:t>
      </w:r>
      <w:r w:rsidR="00970B2E" w:rsidRPr="00D44D33">
        <w:rPr>
          <w:rFonts w:ascii="Times New Roman" w:hAnsi="Times New Roman" w:cs="Times New Roman"/>
          <w:szCs w:val="24"/>
        </w:rPr>
        <w:t xml:space="preserve"> </w:t>
      </w:r>
      <w:r w:rsidRPr="00D44D33">
        <w:rPr>
          <w:rFonts w:ascii="Times New Roman" w:hAnsi="Times New Roman" w:cs="Times New Roman"/>
          <w:szCs w:val="24"/>
        </w:rPr>
        <w:t>doręczania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Pr="00D44D33">
        <w:rPr>
          <w:rFonts w:ascii="Times New Roman" w:hAnsi="Times New Roman" w:cs="Times New Roman"/>
          <w:szCs w:val="24"/>
        </w:rPr>
        <w:t>informowania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czynnościach.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Pr="00D44D33">
        <w:rPr>
          <w:rFonts w:ascii="Times New Roman" w:hAnsi="Times New Roman" w:cs="Times New Roman"/>
          <w:szCs w:val="24"/>
        </w:rPr>
        <w:t>postępowań</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prowadzonych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sprawach</w:t>
      </w:r>
      <w:r w:rsidR="00970B2E" w:rsidRPr="00D44D33">
        <w:rPr>
          <w:rFonts w:ascii="Times New Roman" w:hAnsi="Times New Roman" w:cs="Times New Roman"/>
          <w:szCs w:val="24"/>
        </w:rPr>
        <w:t xml:space="preserve"> </w:t>
      </w:r>
      <w:r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pozwoleń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rezerwacji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częstotliwości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czasowego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celu</w:t>
      </w:r>
      <w:r w:rsidR="00970B2E" w:rsidRPr="00D44D33">
        <w:rPr>
          <w:rFonts w:ascii="Times New Roman" w:hAnsi="Times New Roman" w:cs="Times New Roman"/>
          <w:szCs w:val="24"/>
        </w:rPr>
        <w:t xml:space="preserve"> </w:t>
      </w:r>
      <w:r w:rsidRPr="00D44D33">
        <w:rPr>
          <w:rFonts w:ascii="Times New Roman" w:hAnsi="Times New Roman" w:cs="Times New Roman"/>
          <w:szCs w:val="24"/>
        </w:rPr>
        <w:t>zapewnienia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przekazu</w:t>
      </w:r>
      <w:r w:rsidR="00970B2E" w:rsidRPr="00D44D33">
        <w:rPr>
          <w:rFonts w:ascii="Times New Roman" w:hAnsi="Times New Roman" w:cs="Times New Roman"/>
          <w:szCs w:val="24"/>
        </w:rPr>
        <w:t xml:space="preserve"> </w:t>
      </w:r>
      <w:r w:rsidRPr="00D44D33">
        <w:rPr>
          <w:rFonts w:ascii="Times New Roman" w:hAnsi="Times New Roman" w:cs="Times New Roman"/>
          <w:szCs w:val="24"/>
        </w:rPr>
        <w:t>informacji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zawiadomienia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można</w:t>
      </w:r>
      <w:r w:rsidR="00970B2E" w:rsidRPr="00D44D33">
        <w:rPr>
          <w:rFonts w:ascii="Times New Roman" w:hAnsi="Times New Roman" w:cs="Times New Roman"/>
          <w:szCs w:val="24"/>
        </w:rPr>
        <w:t xml:space="preserve"> </w:t>
      </w:r>
      <w:r w:rsidRPr="00D44D33">
        <w:rPr>
          <w:rFonts w:ascii="Times New Roman" w:hAnsi="Times New Roman" w:cs="Times New Roman"/>
          <w:szCs w:val="24"/>
        </w:rPr>
        <w:t>dokonać</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obwieszczenie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stronie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podmiotowej</w:t>
      </w:r>
      <w:r w:rsidR="00970B2E" w:rsidRPr="00D44D33">
        <w:rPr>
          <w:rFonts w:ascii="Times New Roman" w:hAnsi="Times New Roman" w:cs="Times New Roman"/>
          <w:szCs w:val="24"/>
        </w:rPr>
        <w:t xml:space="preserve"> </w:t>
      </w:r>
      <w:r w:rsidRPr="00D44D33">
        <w:rPr>
          <w:rFonts w:ascii="Times New Roman" w:hAnsi="Times New Roman" w:cs="Times New Roman"/>
          <w:szCs w:val="24"/>
        </w:rPr>
        <w:t>BIP</w:t>
      </w:r>
      <w:r w:rsidR="00970B2E" w:rsidRPr="00D44D33">
        <w:rPr>
          <w:rFonts w:ascii="Times New Roman" w:hAnsi="Times New Roman" w:cs="Times New Roman"/>
          <w:szCs w:val="24"/>
        </w:rPr>
        <w:t xml:space="preserve"> </w:t>
      </w:r>
      <w:r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Dokonywanie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obwieszczenia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zamiast</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doręczania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stronie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innych</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zawiadomień</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uzasadnione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sytuacjach</w:t>
      </w:r>
      <w:r w:rsidR="4B86164D"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niezbędne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przyspieszenie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postępowań,</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np.</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organizacji</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dużych</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imprez</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masowych,</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potrzeby</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wydawane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są</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m.in.</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pozwolenia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radiowe,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czy</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decyzje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sprawie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czasowego</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używania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urządzenia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radiowego.</w:t>
      </w:r>
      <w:r w:rsidR="00970B2E" w:rsidRPr="00D44D33">
        <w:rPr>
          <w:rFonts w:ascii="Times New Roman" w:hAnsi="Times New Roman" w:cs="Times New Roman"/>
          <w:szCs w:val="24"/>
        </w:rPr>
        <w:t xml:space="preserve"> </w:t>
      </w:r>
    </w:p>
    <w:p w14:paraId="7CA82980" w14:textId="73957219" w:rsidR="00974F28" w:rsidRPr="00D44D33" w:rsidRDefault="00B20C43"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Warunkiem</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zastosowania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takiego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trybu</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zawiadamiania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stron</w:t>
      </w:r>
      <w:r w:rsidR="00970B2E" w:rsidRPr="00D44D33">
        <w:rPr>
          <w:rFonts w:ascii="Times New Roman" w:hAnsi="Times New Roman" w:cs="Times New Roman"/>
          <w:szCs w:val="24"/>
        </w:rPr>
        <w:t xml:space="preserve"> </w:t>
      </w:r>
      <w:r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Pr="00D44D33">
        <w:rPr>
          <w:rFonts w:ascii="Times New Roman" w:hAnsi="Times New Roman" w:cs="Times New Roman"/>
          <w:szCs w:val="24"/>
        </w:rPr>
        <w:t>wystąpienie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Pr="00D44D33">
        <w:rPr>
          <w:rFonts w:ascii="Times New Roman" w:hAnsi="Times New Roman" w:cs="Times New Roman"/>
          <w:szCs w:val="24"/>
        </w:rPr>
        <w:t>to</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stronę</w:t>
      </w:r>
      <w:r w:rsidR="00970B2E" w:rsidRPr="00D44D33">
        <w:rPr>
          <w:rFonts w:ascii="Times New Roman" w:hAnsi="Times New Roman" w:cs="Times New Roman"/>
          <w:szCs w:val="24"/>
        </w:rPr>
        <w:t xml:space="preserve"> </w:t>
      </w:r>
      <w:r w:rsidRPr="00D44D33">
        <w:rPr>
          <w:rFonts w:ascii="Times New Roman" w:hAnsi="Times New Roman" w:cs="Times New Roman"/>
          <w:szCs w:val="24"/>
        </w:rPr>
        <w:t>albo</w:t>
      </w:r>
      <w:r w:rsidR="00970B2E" w:rsidRPr="00D44D33">
        <w:rPr>
          <w:rFonts w:ascii="Times New Roman" w:hAnsi="Times New Roman" w:cs="Times New Roman"/>
          <w:szCs w:val="24"/>
        </w:rPr>
        <w:t xml:space="preserve"> </w:t>
      </w:r>
      <w:r w:rsidRPr="00D44D33">
        <w:rPr>
          <w:rFonts w:ascii="Times New Roman" w:hAnsi="Times New Roman" w:cs="Times New Roman"/>
          <w:szCs w:val="24"/>
        </w:rPr>
        <w:t>wyrażenie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Pr="00D44D33">
        <w:rPr>
          <w:rFonts w:ascii="Times New Roman" w:hAnsi="Times New Roman" w:cs="Times New Roman"/>
          <w:szCs w:val="24"/>
        </w:rPr>
        <w:t>stronę</w:t>
      </w:r>
      <w:r w:rsidR="00970B2E" w:rsidRPr="00D44D33">
        <w:rPr>
          <w:rFonts w:ascii="Times New Roman" w:hAnsi="Times New Roman" w:cs="Times New Roman"/>
          <w:szCs w:val="24"/>
        </w:rPr>
        <w:t xml:space="preserve"> </w:t>
      </w:r>
      <w:r w:rsidRPr="00D44D33">
        <w:rPr>
          <w:rFonts w:ascii="Times New Roman" w:hAnsi="Times New Roman" w:cs="Times New Roman"/>
          <w:szCs w:val="24"/>
        </w:rPr>
        <w:t>zgody</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taki</w:t>
      </w:r>
      <w:r w:rsidR="00970B2E" w:rsidRPr="00D44D33">
        <w:rPr>
          <w:rFonts w:ascii="Times New Roman" w:hAnsi="Times New Roman" w:cs="Times New Roman"/>
          <w:szCs w:val="24"/>
        </w:rPr>
        <w:t xml:space="preserve"> </w:t>
      </w:r>
      <w:r w:rsidRPr="00D44D33">
        <w:rPr>
          <w:rFonts w:ascii="Times New Roman" w:hAnsi="Times New Roman" w:cs="Times New Roman"/>
          <w:szCs w:val="24"/>
        </w:rPr>
        <w:t>sposób</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zawiadamiania.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sytuacji</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gdy</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warunek</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ten</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spełniony,</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domniemywa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że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doręczenie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pisma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zostało</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dokonane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dniem</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opublikowania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stronie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podmiotowej</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BIP</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00C17D1B" w:rsidRPr="00D44D33">
        <w:rPr>
          <w:rFonts w:ascii="Times New Roman" w:hAnsi="Times New Roman" w:cs="Times New Roman"/>
          <w:szCs w:val="24"/>
        </w:rPr>
        <w:t>obwieszczenia.</w:t>
      </w:r>
    </w:p>
    <w:p w14:paraId="5B9A7F4F" w14:textId="2183E43B" w:rsidR="00696205" w:rsidRPr="00D44D33" w:rsidRDefault="4197B68D"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powt</w:t>
      </w:r>
      <w:r w:rsidR="00DC2102" w:rsidRPr="00D44D33">
        <w:rPr>
          <w:rFonts w:ascii="Times New Roman" w:hAnsi="Times New Roman" w:cs="Times New Roman"/>
          <w:szCs w:val="24"/>
        </w:rPr>
        <w:t>arza</w:t>
      </w:r>
      <w:r w:rsidR="00970B2E" w:rsidRPr="00D44D33">
        <w:rPr>
          <w:rFonts w:ascii="Times New Roman" w:hAnsi="Times New Roman" w:cs="Times New Roman"/>
          <w:szCs w:val="24"/>
        </w:rPr>
        <w:t xml:space="preserve"> </w:t>
      </w:r>
      <w:r w:rsidR="00DC2102" w:rsidRPr="00D44D33">
        <w:rPr>
          <w:rFonts w:ascii="Times New Roman" w:hAnsi="Times New Roman" w:cs="Times New Roman"/>
          <w:szCs w:val="24"/>
        </w:rPr>
        <w:t>treść</w:t>
      </w:r>
      <w:r w:rsidR="00970B2E" w:rsidRPr="00D44D33">
        <w:rPr>
          <w:rFonts w:ascii="Times New Roman" w:hAnsi="Times New Roman" w:cs="Times New Roman"/>
          <w:szCs w:val="24"/>
        </w:rPr>
        <w:t xml:space="preserve"> </w:t>
      </w:r>
      <w:r w:rsidR="00DC2102"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00DC2102" w:rsidRPr="00D44D33">
        <w:rPr>
          <w:rFonts w:ascii="Times New Roman" w:hAnsi="Times New Roman" w:cs="Times New Roman"/>
          <w:szCs w:val="24"/>
        </w:rPr>
        <w:t>207a</w:t>
      </w:r>
      <w:r w:rsidR="00970B2E" w:rsidRPr="00D44D33">
        <w:rPr>
          <w:rFonts w:ascii="Times New Roman" w:hAnsi="Times New Roman" w:cs="Times New Roman"/>
          <w:szCs w:val="24"/>
        </w:rPr>
        <w:t xml:space="preserve"> </w:t>
      </w:r>
      <w:r w:rsidR="00DC2102"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00DC2102" w:rsidRPr="00D44D33">
        <w:rPr>
          <w:rFonts w:ascii="Times New Roman" w:hAnsi="Times New Roman" w:cs="Times New Roman"/>
          <w:szCs w:val="24"/>
        </w:rPr>
        <w:t>Pt.</w:t>
      </w:r>
    </w:p>
    <w:p w14:paraId="6AC762DE" w14:textId="1938AA6F" w:rsidR="009A1393" w:rsidRPr="00D44D33" w:rsidRDefault="0034315E" w:rsidP="00D44D33">
      <w:pPr>
        <w:pStyle w:val="ROZDZODDZPRZEDMprzedmiotregulacjirozdziauluboddziau"/>
        <w:spacing w:after="120"/>
        <w:rPr>
          <w:rFonts w:ascii="Times New Roman" w:hAnsi="Times New Roman"/>
          <w:lang w:eastAsia="en-US"/>
        </w:rPr>
      </w:pPr>
      <w:r w:rsidRPr="00D44D33">
        <w:rPr>
          <w:rFonts w:ascii="Times New Roman" w:hAnsi="Times New Roman"/>
          <w:lang w:eastAsia="en-US"/>
        </w:rPr>
        <w:t>D</w:t>
      </w:r>
      <w:r w:rsidR="00754575" w:rsidRPr="00D44D33">
        <w:rPr>
          <w:rFonts w:ascii="Times New Roman" w:hAnsi="Times New Roman"/>
          <w:lang w:eastAsia="en-US"/>
        </w:rPr>
        <w:t>ZIAŁ</w:t>
      </w:r>
      <w:r w:rsidR="00970B2E" w:rsidRPr="00D44D33">
        <w:rPr>
          <w:rFonts w:ascii="Times New Roman" w:hAnsi="Times New Roman"/>
          <w:lang w:eastAsia="en-US"/>
        </w:rPr>
        <w:t xml:space="preserve"> </w:t>
      </w:r>
      <w:r w:rsidRPr="00D44D33">
        <w:rPr>
          <w:rFonts w:ascii="Times New Roman" w:hAnsi="Times New Roman"/>
          <w:lang w:eastAsia="en-US"/>
        </w:rPr>
        <w:t>IX</w:t>
      </w:r>
    </w:p>
    <w:p w14:paraId="5112E359" w14:textId="1FFDBFCC" w:rsidR="0034315E" w:rsidRPr="00D44D33" w:rsidRDefault="00AE480C" w:rsidP="00D44D33">
      <w:pPr>
        <w:pStyle w:val="ROZDZODDZPRZEDMprzedmiotregulacjirozdziauluboddziau"/>
        <w:spacing w:after="120"/>
        <w:rPr>
          <w:rFonts w:ascii="Times New Roman" w:hAnsi="Times New Roman"/>
          <w:lang w:eastAsia="en-US"/>
        </w:rPr>
      </w:pPr>
      <w:r w:rsidRPr="00D44D33">
        <w:rPr>
          <w:rFonts w:ascii="Times New Roman" w:hAnsi="Times New Roman"/>
        </w:rPr>
        <w:t>Przepisy o karach pieniężnych i przepisy karne</w:t>
      </w:r>
    </w:p>
    <w:p w14:paraId="3BACD5F0" w14:textId="77777777" w:rsidR="00AE480C" w:rsidRPr="00D44D33" w:rsidRDefault="00AE480C" w:rsidP="00D44D33">
      <w:pPr>
        <w:pStyle w:val="ARTartustawynprozporzdzenia"/>
        <w:spacing w:after="120"/>
        <w:ind w:firstLine="0"/>
        <w:jc w:val="center"/>
        <w:rPr>
          <w:rFonts w:ascii="Times New Roman" w:hAnsi="Times New Roman" w:cs="Times New Roman"/>
          <w:b/>
          <w:bCs/>
          <w:szCs w:val="24"/>
        </w:rPr>
      </w:pPr>
      <w:r w:rsidRPr="00D44D33">
        <w:rPr>
          <w:rFonts w:ascii="Times New Roman" w:hAnsi="Times New Roman" w:cs="Times New Roman"/>
          <w:b/>
          <w:bCs/>
          <w:szCs w:val="24"/>
        </w:rPr>
        <w:t>Art. 439</w:t>
      </w:r>
    </w:p>
    <w:p w14:paraId="125AAD08" w14:textId="0EAF1EC4" w:rsidR="00AE480C" w:rsidRPr="00D44D33" w:rsidRDefault="00AE480C"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 xml:space="preserve">EKŁE zobowiązuje państwa członkowskie do ustanowienia sankcji za naruszenia przepisów prawa krajowego. W art. </w:t>
      </w:r>
      <w:r w:rsidR="008B5856" w:rsidRPr="00D44D33">
        <w:rPr>
          <w:rFonts w:ascii="Times New Roman" w:hAnsi="Times New Roman" w:cs="Times New Roman"/>
          <w:szCs w:val="24"/>
        </w:rPr>
        <w:t xml:space="preserve">439 </w:t>
      </w:r>
      <w:r w:rsidRPr="00D44D33">
        <w:rPr>
          <w:rFonts w:ascii="Times New Roman" w:hAnsi="Times New Roman" w:cs="Times New Roman"/>
          <w:szCs w:val="24"/>
        </w:rPr>
        <w:t>ust. 1 projektu zawarte zostały sankcje mające na celu zabezpieczenie wykonania obowiązków ciążących na przedsiębiorcach komunikacji elektronicznej oraz na innych podmiotach, które dopuściły się naruszeń. Dotyczą one m.in. naruszenia obowiązków w zakresie wpisu do rejestru, warunków dostępu, przekazywania Prezesowi UKE informacji, używania urządzenia radiowego bez wymaganego wpisu do rejestru urządzeń, niewykorzystywania częstotliwości przyznanych w rezerwacji częstotliwości czy wykorzystywania zasobów numeracji niezgodnie z przeznaczeniem. Katalog kar różni się od funkcjonującego na gruncie ustawy Pt (art. 209 Pt). Projektowany rozszerzony katalog kar wynika z dotychczasowych doświadczeń regulatora i powinien stać się skutecznym instrumentem służącym mobilizowaniu do terminowego i prawidłowego wykonywania podstawowych obowiązków wynikających z nowych regulacji. Projektowane przepisy upoważniają Prezesa UKE do nakładania w stosownych przypadkach odstraszających sankcji finansowych. Postępowanie w sprawie nałożenia kary pieniężnej odbywa się w trybie administracyjnym i na Prezesie UKE ciąży obowiązek wykazania, że doszło do naruszenia przepisów prawa. Nałożone kary, tak jak obecnie, podlegają ściągnięciu w trybie przepisów o postępowaniu egzekucyjnym w administracji.</w:t>
      </w:r>
    </w:p>
    <w:p w14:paraId="5CA8AB84" w14:textId="64B3BB64" w:rsidR="0034315E" w:rsidRPr="00D44D33" w:rsidRDefault="0034315E" w:rsidP="00D44D33">
      <w:pPr>
        <w:pStyle w:val="ARTartustawynprozporzdzenia"/>
        <w:spacing w:after="120"/>
        <w:ind w:firstLine="0"/>
        <w:jc w:val="center"/>
        <w:rPr>
          <w:rFonts w:ascii="Times New Roman" w:hAnsi="Times New Roman" w:cs="Times New Roman"/>
          <w:b/>
          <w:szCs w:val="24"/>
        </w:rPr>
      </w:pPr>
      <w:r w:rsidRPr="00D44D33">
        <w:rPr>
          <w:rFonts w:ascii="Times New Roman" w:hAnsi="Times New Roman" w:cs="Times New Roman"/>
          <w:b/>
          <w:szCs w:val="24"/>
          <w:lang w:eastAsia="en-US"/>
        </w:rPr>
        <w:t>Art.</w:t>
      </w:r>
      <w:r w:rsidR="00970B2E" w:rsidRPr="00D44D33">
        <w:rPr>
          <w:rFonts w:ascii="Times New Roman" w:hAnsi="Times New Roman" w:cs="Times New Roman"/>
          <w:b/>
          <w:szCs w:val="24"/>
          <w:lang w:eastAsia="en-US"/>
        </w:rPr>
        <w:t xml:space="preserve"> </w:t>
      </w:r>
      <w:r w:rsidR="002B4794" w:rsidRPr="00D44D33">
        <w:rPr>
          <w:rFonts w:ascii="Times New Roman" w:hAnsi="Times New Roman" w:cs="Times New Roman"/>
          <w:b/>
          <w:bCs/>
          <w:szCs w:val="24"/>
          <w:lang w:eastAsia="en-US"/>
        </w:rPr>
        <w:t>4</w:t>
      </w:r>
      <w:r w:rsidR="00AE480C" w:rsidRPr="00D44D33">
        <w:rPr>
          <w:rFonts w:ascii="Times New Roman" w:hAnsi="Times New Roman" w:cs="Times New Roman"/>
          <w:b/>
          <w:bCs/>
          <w:szCs w:val="24"/>
          <w:lang w:eastAsia="en-US"/>
        </w:rPr>
        <w:t>40</w:t>
      </w:r>
    </w:p>
    <w:p w14:paraId="4DC8CD28" w14:textId="406EA6FA" w:rsidR="003E7809" w:rsidRPr="00D44D33" w:rsidRDefault="2774B297"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wskazuje,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nadawczo-odbiorczego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4E61BB" w:rsidRPr="00D44D33">
        <w:rPr>
          <w:rFonts w:ascii="Times New Roman" w:eastAsiaTheme="minorEastAsia" w:hAnsi="Times New Roman" w:cs="Times New Roman"/>
          <w:sz w:val="24"/>
          <w:szCs w:val="24"/>
        </w:rPr>
        <w:t xml:space="preserve">138 </w:t>
      </w:r>
      <w:r w:rsidR="7F0C4941" w:rsidRPr="00D44D33">
        <w:rPr>
          <w:rFonts w:ascii="Times New Roman" w:eastAsiaTheme="minorEastAsia" w:hAnsi="Times New Roman" w:cs="Times New Roman"/>
          <w:sz w:val="24"/>
          <w:szCs w:val="24"/>
        </w:rPr>
        <w:t>Pke</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wykroczenie.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obejmuje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dyspozycją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pozwolenie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odbiorczych.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porównaniu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sankcji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przewidzianych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grzywny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surowszą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grzywny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wynoszącą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niższą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jednak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Wyższa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górna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granica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grzywny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podyktowane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aby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wystarczająco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odstraszająca.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chroni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same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używają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radiowe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legalny.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Orzekanie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następowało,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003652FB"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003652FB" w:rsidRPr="00D44D33">
        <w:rPr>
          <w:rFonts w:ascii="Times New Roman" w:hAnsi="Times New Roman" w:cs="Times New Roman"/>
          <w:sz w:val="24"/>
          <w:szCs w:val="24"/>
        </w:rPr>
        <w:t>z</w:t>
      </w:r>
      <w:r w:rsidR="00970B2E" w:rsidRPr="00D44D33">
        <w:rPr>
          <w:rFonts w:ascii="Times New Roman" w:hAnsi="Times New Roman" w:cs="Times New Roman"/>
          <w:sz w:val="24"/>
          <w:szCs w:val="24"/>
        </w:rPr>
        <w:t xml:space="preserve"> </w:t>
      </w:r>
      <w:r w:rsidR="003652FB" w:rsidRPr="00D44D33">
        <w:rPr>
          <w:rFonts w:ascii="Times New Roman" w:hAnsi="Times New Roman" w:cs="Times New Roman"/>
          <w:sz w:val="24"/>
          <w:szCs w:val="24"/>
        </w:rPr>
        <w:t>dnia</w:t>
      </w:r>
      <w:r w:rsidR="00970B2E" w:rsidRPr="00D44D33">
        <w:rPr>
          <w:rFonts w:ascii="Times New Roman" w:hAnsi="Times New Roman" w:cs="Times New Roman"/>
          <w:sz w:val="24"/>
          <w:szCs w:val="24"/>
        </w:rPr>
        <w:t xml:space="preserve"> </w:t>
      </w:r>
      <w:r w:rsidR="003652FB" w:rsidRPr="00D44D33">
        <w:rPr>
          <w:rFonts w:ascii="Times New Roman" w:hAnsi="Times New Roman" w:cs="Times New Roman"/>
          <w:sz w:val="24"/>
          <w:szCs w:val="24"/>
        </w:rPr>
        <w:t>24</w:t>
      </w:r>
      <w:r w:rsidR="00970B2E" w:rsidRPr="00D44D33">
        <w:rPr>
          <w:rFonts w:ascii="Times New Roman" w:hAnsi="Times New Roman" w:cs="Times New Roman"/>
          <w:sz w:val="24"/>
          <w:szCs w:val="24"/>
        </w:rPr>
        <w:t xml:space="preserve"> </w:t>
      </w:r>
      <w:r w:rsidR="003652FB" w:rsidRPr="00D44D33">
        <w:rPr>
          <w:rFonts w:ascii="Times New Roman" w:hAnsi="Times New Roman" w:cs="Times New Roman"/>
          <w:sz w:val="24"/>
          <w:szCs w:val="24"/>
        </w:rPr>
        <w:t>sierpnia</w:t>
      </w:r>
      <w:r w:rsidR="00970B2E" w:rsidRPr="00D44D33">
        <w:rPr>
          <w:rFonts w:ascii="Times New Roman" w:hAnsi="Times New Roman" w:cs="Times New Roman"/>
          <w:sz w:val="24"/>
          <w:szCs w:val="24"/>
        </w:rPr>
        <w:t xml:space="preserve"> </w:t>
      </w:r>
      <w:r w:rsidR="003652FB" w:rsidRPr="00D44D33">
        <w:rPr>
          <w:rFonts w:ascii="Times New Roman" w:hAnsi="Times New Roman" w:cs="Times New Roman"/>
          <w:sz w:val="24"/>
          <w:szCs w:val="24"/>
        </w:rPr>
        <w:t>2001</w:t>
      </w:r>
      <w:r w:rsidR="00970B2E" w:rsidRPr="00D44D33">
        <w:rPr>
          <w:rFonts w:ascii="Times New Roman" w:hAnsi="Times New Roman" w:cs="Times New Roman"/>
          <w:sz w:val="24"/>
          <w:szCs w:val="24"/>
        </w:rPr>
        <w:t xml:space="preserve"> </w:t>
      </w:r>
      <w:r w:rsidR="003652FB"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9A1393" w:rsidRPr="00D44D33">
        <w:rPr>
          <w:rFonts w:ascii="Times New Roman" w:eastAsiaTheme="minorEastAsia" w:hAnsi="Times New Roman" w:cs="Times New Roman"/>
          <w:sz w:val="24"/>
          <w:szCs w:val="24"/>
        </w:rPr>
        <w:t>–</w:t>
      </w:r>
      <w:r w:rsidR="00970B2E" w:rsidRPr="00D44D33">
        <w:rPr>
          <w:rFonts w:ascii="Times New Roman" w:hAnsi="Times New Roman" w:cs="Times New Roman"/>
          <w:sz w:val="24"/>
          <w:szCs w:val="24"/>
        </w:rPr>
        <w:t xml:space="preserve"> </w:t>
      </w:r>
      <w:r w:rsidRPr="00D44D33">
        <w:rPr>
          <w:rFonts w:ascii="Times New Roman" w:eastAsiaTheme="minorEastAsia" w:hAnsi="Times New Roman" w:cs="Times New Roman"/>
          <w:sz w:val="24"/>
          <w:szCs w:val="24"/>
        </w:rPr>
        <w:t>Kodeks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wykroczenia.</w:t>
      </w:r>
      <w:r w:rsidR="00371EEA">
        <w:rPr>
          <w:rFonts w:ascii="Times New Roman" w:hAnsi="Times New Roman" w:cs="Times New Roman"/>
          <w:sz w:val="24"/>
          <w:szCs w:val="24"/>
        </w:rPr>
        <w:t xml:space="preserve"> </w:t>
      </w:r>
    </w:p>
    <w:p w14:paraId="2B734815" w14:textId="6D777A7D" w:rsidR="003E7809" w:rsidRPr="00D44D33" w:rsidRDefault="2774B297" w:rsidP="00D44D33">
      <w:pPr>
        <w:spacing w:before="120" w:after="120" w:line="360" w:lineRule="auto"/>
        <w:jc w:val="both"/>
        <w:rPr>
          <w:rFonts w:ascii="Times New Roman" w:eastAsiaTheme="minorEastAsia" w:hAnsi="Times New Roman" w:cs="Times New Roman"/>
          <w:sz w:val="24"/>
          <w:szCs w:val="24"/>
          <w:lang w:eastAsia="pl-PL"/>
        </w:rPr>
      </w:pPr>
      <w:r w:rsidRPr="00D44D33">
        <w:rPr>
          <w:rFonts w:ascii="Times New Roman" w:eastAsiaTheme="minorEastAsia" w:hAnsi="Times New Roman" w:cs="Times New Roman"/>
          <w:sz w:val="24"/>
          <w:szCs w:val="24"/>
        </w:rPr>
        <w:t>Projektowane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C29C6"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wzór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obecnych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zawartych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6AFDFF8F"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6AFDFF8F" w:rsidRPr="00D44D33">
        <w:rPr>
          <w:rFonts w:ascii="Times New Roman" w:eastAsiaTheme="minorEastAsia" w:hAnsi="Times New Roman" w:cs="Times New Roman"/>
          <w:sz w:val="24"/>
          <w:szCs w:val="24"/>
        </w:rPr>
        <w:t>Pt</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grzywny,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ograniczenia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pozbawienia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wolności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sposób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uporczywy.</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Ze</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względu</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grożącą</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sankcję,</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czyn,</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ustępie</w:t>
      </w:r>
      <w:r w:rsidR="000C0599">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stanowi</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przestępstwo.</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Doprecyzowano</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zatem,</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orzekanie</w:t>
      </w:r>
      <w:r w:rsidR="00970B2E" w:rsidRPr="00D44D33">
        <w:rPr>
          <w:rFonts w:ascii="Times New Roman" w:eastAsiaTheme="minorEastAsia" w:hAnsi="Times New Roman" w:cs="Times New Roman"/>
          <w:sz w:val="24"/>
          <w:szCs w:val="24"/>
        </w:rPr>
        <w:t xml:space="preserve"> </w:t>
      </w:r>
      <w:r w:rsidR="000F7C4E"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000F7C4E" w:rsidRPr="00D44D33">
        <w:rPr>
          <w:rFonts w:ascii="Times New Roman" w:eastAsia="MS Mincho" w:hAnsi="Times New Roman" w:cs="Times New Roman"/>
          <w:sz w:val="24"/>
          <w:szCs w:val="24"/>
        </w:rPr>
        <w:t>następowało</w:t>
      </w:r>
      <w:r w:rsidR="00970B2E" w:rsidRPr="00D44D33">
        <w:rPr>
          <w:rFonts w:ascii="Times New Roman" w:eastAsia="MS Mincho" w:hAnsi="Times New Roman" w:cs="Times New Roman"/>
          <w:sz w:val="24"/>
          <w:szCs w:val="24"/>
        </w:rPr>
        <w:t xml:space="preserve"> </w:t>
      </w:r>
      <w:r w:rsidR="000F7C4E" w:rsidRPr="00D44D33">
        <w:rPr>
          <w:rFonts w:ascii="Times New Roman" w:eastAsia="MS Mincho" w:hAnsi="Times New Roman" w:cs="Times New Roman"/>
          <w:sz w:val="24"/>
          <w:szCs w:val="24"/>
        </w:rPr>
        <w:t>w</w:t>
      </w:r>
      <w:r w:rsidR="00970B2E" w:rsidRPr="00D44D33">
        <w:rPr>
          <w:rFonts w:ascii="Times New Roman" w:eastAsia="MS Mincho" w:hAnsi="Times New Roman" w:cs="Times New Roman"/>
          <w:sz w:val="24"/>
          <w:szCs w:val="24"/>
        </w:rPr>
        <w:t xml:space="preserve"> </w:t>
      </w:r>
      <w:r w:rsidR="000F7C4E" w:rsidRPr="00D44D33">
        <w:rPr>
          <w:rFonts w:ascii="Times New Roman" w:eastAsia="MS Mincho" w:hAnsi="Times New Roman" w:cs="Times New Roman"/>
          <w:sz w:val="24"/>
          <w:szCs w:val="24"/>
        </w:rPr>
        <w:t>trybie</w:t>
      </w:r>
      <w:r w:rsidR="00970B2E" w:rsidRPr="00D44D33">
        <w:rPr>
          <w:rFonts w:ascii="Times New Roman" w:eastAsia="MS Mincho" w:hAnsi="Times New Roman" w:cs="Times New Roman"/>
          <w:sz w:val="24"/>
          <w:szCs w:val="24"/>
        </w:rPr>
        <w:t xml:space="preserve"> </w:t>
      </w:r>
      <w:r w:rsidR="000F7C4E" w:rsidRPr="00D44D33">
        <w:rPr>
          <w:rFonts w:ascii="Times New Roman" w:eastAsia="MS Mincho" w:hAnsi="Times New Roman" w:cs="Times New Roman"/>
          <w:sz w:val="24"/>
          <w:szCs w:val="24"/>
        </w:rPr>
        <w:t>przepisów</w:t>
      </w:r>
      <w:r w:rsidR="00970B2E" w:rsidRPr="00D44D33">
        <w:rPr>
          <w:rFonts w:ascii="Times New Roman" w:eastAsia="MS Mincho" w:hAnsi="Times New Roman" w:cs="Times New Roman"/>
          <w:sz w:val="24"/>
          <w:szCs w:val="24"/>
        </w:rPr>
        <w:t xml:space="preserve"> </w:t>
      </w:r>
      <w:r w:rsidR="000F7C4E" w:rsidRPr="00D44D33">
        <w:rPr>
          <w:rFonts w:ascii="Times New Roman" w:eastAsia="MS Mincho" w:hAnsi="Times New Roman" w:cs="Times New Roman"/>
          <w:sz w:val="24"/>
          <w:szCs w:val="24"/>
        </w:rPr>
        <w:t>ustawy</w:t>
      </w:r>
      <w:r w:rsidR="00970B2E" w:rsidRPr="00D44D33">
        <w:rPr>
          <w:rFonts w:ascii="Times New Roman" w:eastAsia="MS Mincho" w:hAnsi="Times New Roman" w:cs="Times New Roman"/>
          <w:sz w:val="24"/>
          <w:szCs w:val="24"/>
        </w:rPr>
        <w:t xml:space="preserve"> </w:t>
      </w:r>
      <w:r w:rsidR="000F7C4E" w:rsidRPr="00D44D33">
        <w:rPr>
          <w:rFonts w:ascii="Times New Roman" w:eastAsia="MS Mincho" w:hAnsi="Times New Roman" w:cs="Times New Roman"/>
          <w:sz w:val="24"/>
          <w:szCs w:val="24"/>
        </w:rPr>
        <w:t>z</w:t>
      </w:r>
      <w:r w:rsidR="00970B2E" w:rsidRPr="00D44D33">
        <w:rPr>
          <w:rFonts w:ascii="Times New Roman" w:eastAsia="MS Mincho" w:hAnsi="Times New Roman" w:cs="Times New Roman"/>
          <w:sz w:val="24"/>
          <w:szCs w:val="24"/>
        </w:rPr>
        <w:t xml:space="preserve"> </w:t>
      </w:r>
      <w:r w:rsidR="000F7C4E" w:rsidRPr="00D44D33">
        <w:rPr>
          <w:rFonts w:ascii="Times New Roman" w:eastAsia="MS Mincho" w:hAnsi="Times New Roman" w:cs="Times New Roman"/>
          <w:sz w:val="24"/>
          <w:szCs w:val="24"/>
        </w:rPr>
        <w:t>dnia</w:t>
      </w:r>
      <w:r w:rsidR="00970B2E" w:rsidRPr="00D44D33">
        <w:rPr>
          <w:rFonts w:ascii="Times New Roman" w:hAnsi="Times New Roman" w:cs="Times New Roman"/>
          <w:b/>
          <w:bCs/>
          <w:sz w:val="24"/>
          <w:szCs w:val="24"/>
        </w:rPr>
        <w:t xml:space="preserve"> </w:t>
      </w:r>
      <w:r w:rsidR="000F7C4E" w:rsidRPr="00D44D33">
        <w:rPr>
          <w:rFonts w:ascii="Times New Roman" w:hAnsi="Times New Roman" w:cs="Times New Roman"/>
          <w:sz w:val="24"/>
          <w:szCs w:val="24"/>
        </w:rPr>
        <w:t>6</w:t>
      </w:r>
      <w:r w:rsidR="00970B2E" w:rsidRPr="00D44D33">
        <w:rPr>
          <w:rFonts w:ascii="Times New Roman" w:hAnsi="Times New Roman" w:cs="Times New Roman"/>
          <w:sz w:val="24"/>
          <w:szCs w:val="24"/>
        </w:rPr>
        <w:t xml:space="preserve"> </w:t>
      </w:r>
      <w:r w:rsidR="000F7C4E" w:rsidRPr="00D44D33">
        <w:rPr>
          <w:rFonts w:ascii="Times New Roman" w:hAnsi="Times New Roman" w:cs="Times New Roman"/>
          <w:sz w:val="24"/>
          <w:szCs w:val="24"/>
        </w:rPr>
        <w:t>czerwca</w:t>
      </w:r>
      <w:r w:rsidR="00970B2E" w:rsidRPr="00D44D33">
        <w:rPr>
          <w:rFonts w:ascii="Times New Roman" w:hAnsi="Times New Roman" w:cs="Times New Roman"/>
          <w:sz w:val="24"/>
          <w:szCs w:val="24"/>
        </w:rPr>
        <w:t xml:space="preserve"> </w:t>
      </w:r>
      <w:r w:rsidR="000F7C4E" w:rsidRPr="00D44D33">
        <w:rPr>
          <w:rFonts w:ascii="Times New Roman" w:hAnsi="Times New Roman" w:cs="Times New Roman"/>
          <w:sz w:val="24"/>
          <w:szCs w:val="24"/>
        </w:rPr>
        <w:t>1997</w:t>
      </w:r>
      <w:r w:rsidR="00970B2E" w:rsidRPr="00D44D33">
        <w:rPr>
          <w:rFonts w:ascii="Times New Roman" w:hAnsi="Times New Roman" w:cs="Times New Roman"/>
          <w:sz w:val="24"/>
          <w:szCs w:val="24"/>
        </w:rPr>
        <w:t xml:space="preserve"> </w:t>
      </w:r>
      <w:r w:rsidR="000F7C4E" w:rsidRPr="00D44D33">
        <w:rPr>
          <w:rFonts w:ascii="Times New Roman" w:hAnsi="Times New Roman" w:cs="Times New Roman"/>
          <w:sz w:val="24"/>
          <w:szCs w:val="24"/>
        </w:rPr>
        <w:t>r.</w:t>
      </w:r>
      <w:r w:rsidR="00970B2E" w:rsidRPr="00D44D33">
        <w:rPr>
          <w:rFonts w:ascii="Times New Roman" w:hAnsi="Times New Roman" w:cs="Times New Roman"/>
          <w:sz w:val="24"/>
          <w:szCs w:val="24"/>
        </w:rPr>
        <w:t xml:space="preserve"> </w:t>
      </w:r>
      <w:r w:rsidR="009A1393" w:rsidRPr="00D44D33">
        <w:rPr>
          <w:rFonts w:ascii="Times New Roman" w:eastAsiaTheme="minorEastAsia" w:hAnsi="Times New Roman" w:cs="Times New Roman"/>
          <w:sz w:val="24"/>
          <w:szCs w:val="24"/>
        </w:rPr>
        <w:t>–</w:t>
      </w:r>
      <w:r w:rsidR="00970B2E" w:rsidRPr="00D44D33">
        <w:rPr>
          <w:rFonts w:ascii="Times New Roman" w:hAnsi="Times New Roman" w:cs="Times New Roman"/>
          <w:sz w:val="24"/>
          <w:szCs w:val="24"/>
        </w:rPr>
        <w:t xml:space="preserve"> </w:t>
      </w:r>
      <w:r w:rsidR="000F7C4E" w:rsidRPr="00D44D33">
        <w:rPr>
          <w:rFonts w:ascii="Times New Roman" w:hAnsi="Times New Roman" w:cs="Times New Roman"/>
          <w:sz w:val="24"/>
          <w:szCs w:val="24"/>
        </w:rPr>
        <w:t>Kodeks</w:t>
      </w:r>
      <w:r w:rsidR="00970B2E" w:rsidRPr="00D44D33">
        <w:rPr>
          <w:rFonts w:ascii="Times New Roman" w:hAnsi="Times New Roman" w:cs="Times New Roman"/>
          <w:sz w:val="24"/>
          <w:szCs w:val="24"/>
        </w:rPr>
        <w:t xml:space="preserve"> </w:t>
      </w:r>
      <w:r w:rsidR="000F7C4E" w:rsidRPr="00D44D33">
        <w:rPr>
          <w:rFonts w:ascii="Times New Roman" w:hAnsi="Times New Roman" w:cs="Times New Roman"/>
          <w:sz w:val="24"/>
          <w:szCs w:val="24"/>
        </w:rPr>
        <w:t>postępowania</w:t>
      </w:r>
      <w:r w:rsidR="00970B2E" w:rsidRPr="00D44D33">
        <w:rPr>
          <w:rFonts w:ascii="Times New Roman" w:hAnsi="Times New Roman" w:cs="Times New Roman"/>
          <w:sz w:val="24"/>
          <w:szCs w:val="24"/>
        </w:rPr>
        <w:t xml:space="preserve"> </w:t>
      </w:r>
      <w:r w:rsidR="000F7C4E" w:rsidRPr="00D44D33">
        <w:rPr>
          <w:rFonts w:ascii="Times New Roman" w:hAnsi="Times New Roman" w:cs="Times New Roman"/>
          <w:sz w:val="24"/>
          <w:szCs w:val="24"/>
        </w:rPr>
        <w:t>karnego.</w:t>
      </w:r>
    </w:p>
    <w:p w14:paraId="00A10B39" w14:textId="66079B65" w:rsidR="003E7809" w:rsidRPr="00D44D33" w:rsidRDefault="003E7809"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wprowadzono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zasadę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urządzeń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przeznaczonych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służących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popełnienia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czynu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zabronionego,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00D924B7" w:rsidRPr="00D44D33">
        <w:rPr>
          <w:rFonts w:ascii="Times New Roman" w:eastAsiaTheme="minorEastAsia" w:hAnsi="Times New Roman" w:cs="Times New Roman"/>
          <w:sz w:val="24"/>
          <w:szCs w:val="24"/>
        </w:rPr>
        <w:t>2</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objęty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przepadkiem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przechodzi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własność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Skarbu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chwilą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uprawomocnienia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shd w:val="clear" w:color="auto" w:fill="FFFFFF"/>
        </w:rPr>
        <w:t>Zasada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stosuje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się</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również</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przedmiotów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niestanowiących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własności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sprawcy</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mając</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na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celu</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zabezpieczenie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przed</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ponownym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użyciem.</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Orzeczenie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przepadku</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przedmiotów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jest</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fakultatywne,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chyba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że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wystąpią</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dodatkowe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okoliczności</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wymienione</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ust.</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5.</w:t>
      </w:r>
    </w:p>
    <w:p w14:paraId="3D384906" w14:textId="6EC3349D" w:rsidR="003E7809" w:rsidRPr="00D44D33" w:rsidRDefault="6BDD0278"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Nowością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D924B7" w:rsidRPr="00D44D33">
        <w:rPr>
          <w:rFonts w:ascii="Times New Roman" w:eastAsiaTheme="minorEastAsia" w:hAnsi="Times New Roman" w:cs="Times New Roman"/>
          <w:sz w:val="24"/>
          <w:szCs w:val="24"/>
        </w:rPr>
        <w:t>3</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penalizuje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uniemożliwianie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dostępu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materiałów,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shd w:val="clear" w:color="auto" w:fill="FFFFFF"/>
        </w:rPr>
        <w:t>dokumentów</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oraz</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innych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danych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niezbędnych</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do</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przeprowadzenia</w:t>
      </w:r>
      <w:r w:rsidR="00970B2E" w:rsidRPr="00D44D33">
        <w:rPr>
          <w:rFonts w:ascii="Times New Roman" w:eastAsiaTheme="minorEastAsia" w:hAnsi="Times New Roman" w:cs="Times New Roman"/>
          <w:sz w:val="24"/>
          <w:szCs w:val="24"/>
          <w:shd w:val="clear" w:color="auto" w:fill="FFFFFF"/>
        </w:rPr>
        <w:t xml:space="preserve"> </w:t>
      </w:r>
      <w:r w:rsidRPr="00D44D33">
        <w:rPr>
          <w:rFonts w:ascii="Times New Roman" w:eastAsiaTheme="minorEastAsia" w:hAnsi="Times New Roman" w:cs="Times New Roman"/>
          <w:sz w:val="24"/>
          <w:szCs w:val="24"/>
          <w:shd w:val="clear" w:color="auto" w:fill="FFFFFF"/>
        </w:rPr>
        <w:t>kontroli.</w:t>
      </w:r>
      <w:r w:rsidR="00970B2E" w:rsidRPr="00D44D33">
        <w:rPr>
          <w:rFonts w:ascii="Times New Roman" w:eastAsiaTheme="minorEastAsia" w:hAnsi="Times New Roman" w:cs="Times New Roman"/>
          <w:sz w:val="24"/>
          <w:szCs w:val="24"/>
        </w:rPr>
        <w:t xml:space="preserve"> </w:t>
      </w:r>
      <w:r w:rsidR="00D736AA" w:rsidRPr="00D44D33">
        <w:rPr>
          <w:rFonts w:ascii="Times New Roman" w:eastAsiaTheme="minorEastAsia" w:hAnsi="Times New Roman" w:cs="Times New Roman"/>
          <w:sz w:val="24"/>
          <w:szCs w:val="24"/>
        </w:rPr>
        <w:t>Wykroczenie</w:t>
      </w:r>
      <w:r w:rsidR="00970B2E" w:rsidRPr="00D44D33">
        <w:rPr>
          <w:rFonts w:ascii="Times New Roman" w:eastAsiaTheme="minorEastAsia" w:hAnsi="Times New Roman" w:cs="Times New Roman"/>
          <w:sz w:val="24"/>
          <w:szCs w:val="24"/>
        </w:rPr>
        <w:t xml:space="preserve"> </w:t>
      </w:r>
      <w:r w:rsidR="00D736AA" w:rsidRPr="00D44D33">
        <w:rPr>
          <w:rFonts w:ascii="Times New Roman" w:eastAsiaTheme="minorEastAsia" w:hAnsi="Times New Roman" w:cs="Times New Roman"/>
          <w:sz w:val="24"/>
          <w:szCs w:val="24"/>
        </w:rPr>
        <w:t>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również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zagrożon</w:t>
      </w:r>
      <w:r w:rsidR="00D736AA" w:rsidRPr="00D44D33">
        <w:rPr>
          <w:rFonts w:ascii="Times New Roman" w:eastAsiaTheme="minorEastAsia" w:hAnsi="Times New Roman" w:cs="Times New Roman"/>
          <w:sz w:val="24"/>
          <w:szCs w:val="24"/>
        </w:rPr>
        <w:t>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karą</w:t>
      </w:r>
      <w:r w:rsidR="00970B2E" w:rsidRPr="00D44D33">
        <w:rPr>
          <w:rFonts w:ascii="Times New Roman" w:eastAsiaTheme="minorEastAsia" w:hAnsi="Times New Roman" w:cs="Times New Roman"/>
          <w:sz w:val="24"/>
          <w:szCs w:val="24"/>
        </w:rPr>
        <w:t xml:space="preserve"> </w:t>
      </w:r>
      <w:r w:rsidR="00D736AA" w:rsidRPr="00D44D33">
        <w:rPr>
          <w:rFonts w:ascii="Times New Roman" w:eastAsiaTheme="minorEastAsia" w:hAnsi="Times New Roman" w:cs="Times New Roman"/>
          <w:sz w:val="24"/>
          <w:szCs w:val="24"/>
        </w:rPr>
        <w:t>grzywny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55F30D9D" w:rsidRPr="00D44D33">
        <w:rPr>
          <w:rFonts w:ascii="Times New Roman" w:eastAsia="Times New Roman" w:hAnsi="Times New Roman" w:cs="Times New Roman"/>
          <w:sz w:val="24"/>
          <w:szCs w:val="24"/>
        </w:rPr>
        <w:t>nie</w:t>
      </w:r>
      <w:r w:rsidR="00970B2E" w:rsidRPr="00D44D33">
        <w:rPr>
          <w:rFonts w:ascii="Times New Roman" w:eastAsia="Times New Roman" w:hAnsi="Times New Roman" w:cs="Times New Roman"/>
          <w:sz w:val="24"/>
          <w:szCs w:val="24"/>
        </w:rPr>
        <w:t xml:space="preserve"> </w:t>
      </w:r>
      <w:r w:rsidR="55F30D9D" w:rsidRPr="00D44D33">
        <w:rPr>
          <w:rFonts w:ascii="Times New Roman" w:eastAsia="Times New Roman" w:hAnsi="Times New Roman" w:cs="Times New Roman"/>
          <w:sz w:val="24"/>
          <w:szCs w:val="24"/>
        </w:rPr>
        <w:t>niższ</w:t>
      </w:r>
      <w:r w:rsidR="00C02277" w:rsidRPr="00D44D33">
        <w:rPr>
          <w:rFonts w:ascii="Times New Roman" w:eastAsia="Times New Roman" w:hAnsi="Times New Roman" w:cs="Times New Roman"/>
          <w:sz w:val="24"/>
          <w:szCs w:val="24"/>
        </w:rPr>
        <w:t>ej</w:t>
      </w:r>
      <w:r w:rsidR="00970B2E" w:rsidRPr="00D44D33">
        <w:rPr>
          <w:rFonts w:ascii="Times New Roman" w:eastAsia="Times New Roman" w:hAnsi="Times New Roman" w:cs="Times New Roman"/>
          <w:sz w:val="24"/>
          <w:szCs w:val="24"/>
        </w:rPr>
        <w:t xml:space="preserve"> </w:t>
      </w:r>
      <w:r w:rsidR="55F30D9D" w:rsidRPr="00D44D33">
        <w:rPr>
          <w:rFonts w:ascii="Times New Roman" w:eastAsia="Times New Roman" w:hAnsi="Times New Roman" w:cs="Times New Roman"/>
          <w:sz w:val="24"/>
          <w:szCs w:val="24"/>
        </w:rPr>
        <w:t>niż</w:t>
      </w:r>
      <w:r w:rsidR="00970B2E" w:rsidRPr="00D44D33">
        <w:rPr>
          <w:rFonts w:ascii="Times New Roman" w:eastAsia="Times New Roman" w:hAnsi="Times New Roman" w:cs="Times New Roman"/>
          <w:sz w:val="24"/>
          <w:szCs w:val="24"/>
        </w:rPr>
        <w:t xml:space="preserve"> </w:t>
      </w:r>
      <w:r w:rsidR="55F30D9D" w:rsidRPr="00D44D33">
        <w:rPr>
          <w:rFonts w:ascii="Times New Roman" w:eastAsia="Times New Roman" w:hAnsi="Times New Roman" w:cs="Times New Roman"/>
          <w:sz w:val="24"/>
          <w:szCs w:val="24"/>
        </w:rPr>
        <w:t>500</w:t>
      </w:r>
      <w:r w:rsidR="00970B2E" w:rsidRPr="00D44D33">
        <w:rPr>
          <w:rFonts w:ascii="Times New Roman" w:eastAsia="Times New Roman" w:hAnsi="Times New Roman" w:cs="Times New Roman"/>
          <w:sz w:val="24"/>
          <w:szCs w:val="24"/>
        </w:rPr>
        <w:t xml:space="preserve"> </w:t>
      </w:r>
      <w:r w:rsidR="55F30D9D" w:rsidRPr="00D44D33">
        <w:rPr>
          <w:rFonts w:ascii="Times New Roman" w:eastAsia="Times New Roman"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r w:rsidR="55F30D9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55F30D9D"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55F30D9D" w:rsidRPr="00D44D33">
        <w:rPr>
          <w:rFonts w:ascii="Times New Roman" w:eastAsiaTheme="minorEastAsia" w:hAnsi="Times New Roman" w:cs="Times New Roman"/>
          <w:sz w:val="24"/>
          <w:szCs w:val="24"/>
        </w:rPr>
        <w:t>wyższ</w:t>
      </w:r>
      <w:r w:rsidR="55F30D9D" w:rsidRPr="00D44D33" w:rsidDel="00C02277">
        <w:rPr>
          <w:rFonts w:ascii="Times New Roman" w:eastAsiaTheme="minorEastAsia" w:hAnsi="Times New Roman" w:cs="Times New Roman"/>
          <w:sz w:val="24"/>
          <w:szCs w:val="24"/>
        </w:rPr>
        <w:t>ą</w:t>
      </w:r>
      <w:r w:rsidR="00970B2E" w:rsidRPr="00D44D33">
        <w:rPr>
          <w:rFonts w:ascii="Times New Roman" w:eastAsiaTheme="minorEastAsia" w:hAnsi="Times New Roman" w:cs="Times New Roman"/>
          <w:sz w:val="24"/>
          <w:szCs w:val="24"/>
        </w:rPr>
        <w:t xml:space="preserve"> </w:t>
      </w:r>
      <w:r w:rsidR="55F30D9D" w:rsidRPr="00D44D33">
        <w:rPr>
          <w:rFonts w:ascii="Times New Roman" w:eastAsiaTheme="minorEastAsia" w:hAnsi="Times New Roman" w:cs="Times New Roman"/>
          <w:sz w:val="24"/>
          <w:szCs w:val="24"/>
        </w:rPr>
        <w:t>niż</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p>
    <w:p w14:paraId="33563151" w14:textId="5E28D3B4" w:rsidR="416DAE9E" w:rsidRPr="00D44D33" w:rsidRDefault="416DAE9E" w:rsidP="00D44D33">
      <w:pPr>
        <w:spacing w:before="120" w:after="120" w:line="360" w:lineRule="auto"/>
        <w:jc w:val="center"/>
        <w:rPr>
          <w:rFonts w:ascii="Times New Roman" w:eastAsiaTheme="minorEastAsia" w:hAnsi="Times New Roman" w:cs="Times New Roman"/>
          <w:b/>
          <w:sz w:val="24"/>
          <w:szCs w:val="24"/>
        </w:rPr>
      </w:pPr>
      <w:r w:rsidRPr="00D44D33">
        <w:rPr>
          <w:rFonts w:ascii="Times New Roman" w:eastAsiaTheme="minorEastAsia" w:hAnsi="Times New Roman" w:cs="Times New Roman"/>
          <w:b/>
          <w:sz w:val="24"/>
          <w:szCs w:val="24"/>
        </w:rPr>
        <w:t>Art.</w:t>
      </w:r>
      <w:r w:rsidR="00970B2E" w:rsidRPr="00D44D33">
        <w:rPr>
          <w:rFonts w:ascii="Times New Roman" w:eastAsiaTheme="minorEastAsia" w:hAnsi="Times New Roman" w:cs="Times New Roman"/>
          <w:b/>
          <w:sz w:val="24"/>
          <w:szCs w:val="24"/>
        </w:rPr>
        <w:t xml:space="preserve"> </w:t>
      </w:r>
      <w:r w:rsidR="002B4794" w:rsidRPr="00D44D33">
        <w:rPr>
          <w:rFonts w:ascii="Times New Roman" w:eastAsiaTheme="minorEastAsia" w:hAnsi="Times New Roman" w:cs="Times New Roman"/>
          <w:b/>
          <w:sz w:val="24"/>
          <w:szCs w:val="24"/>
        </w:rPr>
        <w:t>44</w:t>
      </w:r>
      <w:r w:rsidR="00AE480C" w:rsidRPr="00D44D33">
        <w:rPr>
          <w:rFonts w:ascii="Times New Roman" w:eastAsiaTheme="minorEastAsia" w:hAnsi="Times New Roman" w:cs="Times New Roman"/>
          <w:b/>
          <w:sz w:val="24"/>
          <w:szCs w:val="24"/>
        </w:rPr>
        <w:t>1</w:t>
      </w:r>
    </w:p>
    <w:p w14:paraId="0CAEAFF8" w14:textId="6C99D62A" w:rsidR="416DAE9E" w:rsidRPr="00D44D33" w:rsidRDefault="416DAE9E"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wprowadzeniem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projektu</w:t>
      </w:r>
      <w:r w:rsidR="00970B2E" w:rsidRPr="00D44D33">
        <w:rPr>
          <w:rFonts w:ascii="Times New Roman" w:eastAsiaTheme="minorEastAsia" w:hAnsi="Times New Roman" w:cs="Times New Roman"/>
          <w:sz w:val="24"/>
          <w:szCs w:val="24"/>
        </w:rPr>
        <w:t xml:space="preserve"> </w:t>
      </w:r>
      <w:r w:rsidR="2CD27192" w:rsidRPr="00D44D33">
        <w:rPr>
          <w:rFonts w:ascii="Times New Roman" w:eastAsiaTheme="minorEastAsia" w:hAnsi="Times New Roman" w:cs="Times New Roman"/>
          <w:sz w:val="24"/>
          <w:szCs w:val="24"/>
        </w:rPr>
        <w:t>PKE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60F7DC32" w:rsidRPr="00D44D33">
        <w:rPr>
          <w:rFonts w:ascii="Times New Roman" w:eastAsiaTheme="minorEastAsia" w:hAnsi="Times New Roman" w:cs="Times New Roman"/>
          <w:sz w:val="24"/>
          <w:szCs w:val="24"/>
        </w:rPr>
        <w:t>dotyczą</w:t>
      </w:r>
      <w:r w:rsidR="2C06DE82" w:rsidRPr="00D44D33">
        <w:rPr>
          <w:rFonts w:ascii="Times New Roman" w:eastAsiaTheme="minorEastAsia" w:hAnsi="Times New Roman" w:cs="Times New Roman"/>
          <w:sz w:val="24"/>
          <w:szCs w:val="24"/>
        </w:rPr>
        <w:t>cych</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przesyłania</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niezamówionej</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handlowej</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znajdujących</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ustawie</w:t>
      </w:r>
      <w:r w:rsidR="00970B2E" w:rsidRPr="00D44D33">
        <w:rPr>
          <w:rFonts w:ascii="Times New Roman" w:eastAsiaTheme="minorEastAsia" w:hAnsi="Times New Roman" w:cs="Times New Roman"/>
          <w:sz w:val="24"/>
          <w:szCs w:val="24"/>
        </w:rPr>
        <w:t xml:space="preserve"> </w:t>
      </w:r>
      <w:r w:rsidR="00F16293" w:rsidRPr="00D44D33">
        <w:rPr>
          <w:rFonts w:ascii="Times New Roman" w:eastAsiaTheme="minorEastAsia" w:hAnsi="Times New Roman" w:cs="Times New Roman"/>
          <w:sz w:val="24"/>
          <w:szCs w:val="24"/>
        </w:rPr>
        <w:t xml:space="preserve">z dnia 18 lipca 2020 r. </w:t>
      </w:r>
      <w:r w:rsidR="2C06DE8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zasadnym</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przeniesienie</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karnych</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ustawy</w:t>
      </w:r>
      <w:r w:rsidR="00F16293" w:rsidRPr="00D44D33">
        <w:rPr>
          <w:rFonts w:ascii="Times New Roman" w:eastAsiaTheme="minorEastAsia" w:hAnsi="Times New Roman" w:cs="Times New Roman"/>
          <w:sz w:val="24"/>
          <w:szCs w:val="24"/>
        </w:rPr>
        <w:t xml:space="preserve"> z dnia 18 lipca 2020 r. </w:t>
      </w:r>
      <w:r w:rsidR="2C06DE82"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świadczeniu</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drogą</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elektroniczną</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Prawo</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2C06DE82" w:rsidRPr="00D44D33">
        <w:rPr>
          <w:rFonts w:ascii="Times New Roman" w:eastAsiaTheme="minorEastAsia" w:hAnsi="Times New Roman" w:cs="Times New Roman"/>
          <w:sz w:val="24"/>
          <w:szCs w:val="24"/>
        </w:rPr>
        <w:t>elektronicznej.</w:t>
      </w:r>
    </w:p>
    <w:p w14:paraId="040657C3" w14:textId="2F629081" w:rsidR="001F1843" w:rsidRPr="00D44D33" w:rsidRDefault="001F1843" w:rsidP="00D44D33">
      <w:pPr>
        <w:pStyle w:val="ARTartustawynprozporzdzenia"/>
        <w:spacing w:after="120"/>
        <w:ind w:firstLine="0"/>
        <w:jc w:val="center"/>
        <w:rPr>
          <w:rFonts w:ascii="Times New Roman" w:hAnsi="Times New Roman" w:cs="Times New Roman"/>
          <w:b/>
          <w:bCs/>
          <w:szCs w:val="24"/>
          <w:lang w:eastAsia="en-US"/>
        </w:rPr>
      </w:pPr>
      <w:r w:rsidRPr="00D44D33">
        <w:rPr>
          <w:rFonts w:ascii="Times New Roman" w:hAnsi="Times New Roman" w:cs="Times New Roman"/>
          <w:b/>
          <w:bCs/>
          <w:szCs w:val="24"/>
          <w:lang w:eastAsia="en-US"/>
        </w:rPr>
        <w:t>Art.</w:t>
      </w:r>
      <w:r w:rsidR="00970B2E" w:rsidRPr="00D44D33">
        <w:rPr>
          <w:rFonts w:ascii="Times New Roman" w:hAnsi="Times New Roman" w:cs="Times New Roman"/>
          <w:b/>
          <w:bCs/>
          <w:szCs w:val="24"/>
          <w:lang w:eastAsia="en-US"/>
        </w:rPr>
        <w:t xml:space="preserve"> </w:t>
      </w:r>
      <w:r w:rsidR="0093679F" w:rsidRPr="00D44D33">
        <w:rPr>
          <w:rFonts w:ascii="Times New Roman" w:hAnsi="Times New Roman" w:cs="Times New Roman"/>
          <w:b/>
          <w:bCs/>
          <w:szCs w:val="24"/>
          <w:lang w:eastAsia="en-US"/>
        </w:rPr>
        <w:t>442</w:t>
      </w:r>
    </w:p>
    <w:p w14:paraId="026181B3" w14:textId="3EE9BC3D" w:rsidR="001F1843" w:rsidRPr="00D44D33" w:rsidRDefault="001F184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niniejszym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uregulowane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kwestie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przedsiębiorców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komunikacji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elektronicznej,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wbrew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stosują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nakazów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zakazów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określonych.</w:t>
      </w:r>
      <w:r w:rsidR="00970B2E" w:rsidRPr="00D44D33">
        <w:rPr>
          <w:rFonts w:ascii="Times New Roman" w:eastAsiaTheme="minorEastAsia" w:hAnsi="Times New Roman" w:cs="Times New Roman"/>
          <w:sz w:val="24"/>
          <w:szCs w:val="24"/>
        </w:rPr>
        <w:t xml:space="preserve"> </w:t>
      </w:r>
      <w:r w:rsidR="2FAE7A74" w:rsidRPr="00D44D33">
        <w:rPr>
          <w:rFonts w:ascii="Times New Roman" w:eastAsiaTheme="minorEastAsia" w:hAnsi="Times New Roman" w:cs="Times New Roman"/>
          <w:sz w:val="24"/>
          <w:szCs w:val="24"/>
        </w:rPr>
        <w:t>Odpowiednikiem</w:t>
      </w:r>
      <w:r w:rsidR="00970B2E" w:rsidRPr="00D44D33">
        <w:rPr>
          <w:rFonts w:ascii="Times New Roman" w:eastAsiaTheme="minorEastAsia" w:hAnsi="Times New Roman" w:cs="Times New Roman"/>
          <w:sz w:val="24"/>
          <w:szCs w:val="24"/>
        </w:rPr>
        <w:t xml:space="preserve"> </w:t>
      </w:r>
      <w:r w:rsidR="2FAE7A74" w:rsidRPr="00D44D33">
        <w:rPr>
          <w:rFonts w:ascii="Times New Roman" w:eastAsiaTheme="minorEastAsia" w:hAnsi="Times New Roman" w:cs="Times New Roman"/>
          <w:sz w:val="24"/>
          <w:szCs w:val="24"/>
        </w:rPr>
        <w:t>tego</w:t>
      </w:r>
      <w:r w:rsidR="00970B2E" w:rsidRPr="00D44D33">
        <w:rPr>
          <w:rFonts w:ascii="Times New Roman" w:eastAsiaTheme="minorEastAsia" w:hAnsi="Times New Roman" w:cs="Times New Roman"/>
          <w:sz w:val="24"/>
          <w:szCs w:val="24"/>
        </w:rPr>
        <w:t xml:space="preserve"> </w:t>
      </w:r>
      <w:r w:rsidR="2FAE7A74" w:rsidRPr="00D44D33">
        <w:rPr>
          <w:rFonts w:ascii="Times New Roman" w:eastAsiaTheme="minorEastAsia" w:hAnsi="Times New Roman" w:cs="Times New Roman"/>
          <w:sz w:val="24"/>
          <w:szCs w:val="24"/>
        </w:rPr>
        <w:t>przepisu</w:t>
      </w:r>
      <w:r w:rsidR="00970B2E" w:rsidRPr="00D44D33">
        <w:rPr>
          <w:rFonts w:ascii="Times New Roman" w:eastAsiaTheme="minorEastAsia" w:hAnsi="Times New Roman" w:cs="Times New Roman"/>
          <w:sz w:val="24"/>
          <w:szCs w:val="24"/>
        </w:rPr>
        <w:t xml:space="preserve"> </w:t>
      </w:r>
      <w:r w:rsidR="2B15D562"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2FAE7A74"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2FAE7A74" w:rsidRPr="00D44D33">
        <w:rPr>
          <w:rFonts w:ascii="Times New Roman" w:eastAsiaTheme="minorEastAsia" w:hAnsi="Times New Roman" w:cs="Times New Roman"/>
          <w:sz w:val="24"/>
          <w:szCs w:val="24"/>
        </w:rPr>
        <w:t>210</w:t>
      </w:r>
      <w:r w:rsidR="00970B2E" w:rsidRPr="00D44D33">
        <w:rPr>
          <w:rFonts w:ascii="Times New Roman" w:eastAsiaTheme="minorEastAsia" w:hAnsi="Times New Roman" w:cs="Times New Roman"/>
          <w:sz w:val="24"/>
          <w:szCs w:val="24"/>
        </w:rPr>
        <w:t xml:space="preserve"> </w:t>
      </w:r>
      <w:r w:rsidR="2FAE7A74" w:rsidRPr="00D44D33">
        <w:rPr>
          <w:rFonts w:ascii="Times New Roman" w:eastAsiaTheme="minorEastAsia" w:hAnsi="Times New Roman" w:cs="Times New Roman"/>
          <w:sz w:val="24"/>
          <w:szCs w:val="24"/>
        </w:rPr>
        <w:t>Pt</w:t>
      </w:r>
      <w:r w:rsidR="00970B2E" w:rsidRPr="00D44D33">
        <w:rPr>
          <w:rFonts w:ascii="Times New Roman" w:eastAsiaTheme="minorEastAsia" w:hAnsi="Times New Roman" w:cs="Times New Roman"/>
          <w:sz w:val="24"/>
          <w:szCs w:val="24"/>
        </w:rPr>
        <w:t xml:space="preserve"> </w:t>
      </w:r>
      <w:r w:rsidR="4508CC43"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4508CC43" w:rsidRPr="00D44D33">
        <w:rPr>
          <w:rFonts w:ascii="Times New Roman" w:eastAsiaTheme="minorEastAsia" w:hAnsi="Times New Roman" w:cs="Times New Roman"/>
          <w:sz w:val="24"/>
          <w:szCs w:val="24"/>
        </w:rPr>
        <w:t>modyfikacjami.</w:t>
      </w:r>
    </w:p>
    <w:p w14:paraId="71B969CB" w14:textId="2D55BDA2" w:rsidR="001F1843" w:rsidRPr="00D44D33" w:rsidRDefault="001F184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formie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decyzji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przekroczyć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ukaranego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osiągniętego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czym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przewiduje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dolnej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granicy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pieniężnej.</w:t>
      </w:r>
      <w:r w:rsidR="00970B2E" w:rsidRPr="00D44D33">
        <w:rPr>
          <w:rFonts w:ascii="Times New Roman" w:eastAsiaTheme="minorEastAsia" w:hAnsi="Times New Roman" w:cs="Times New Roman"/>
          <w:sz w:val="24"/>
          <w:szCs w:val="24"/>
        </w:rPr>
        <w:t xml:space="preserve"> </w:t>
      </w:r>
    </w:p>
    <w:p w14:paraId="711C92AC" w14:textId="1A0C8CD7" w:rsidR="001F1843" w:rsidRPr="00D44D33" w:rsidRDefault="001F184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poprzednim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osiągnął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osiągnął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nieprzekraczającej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średniego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trzech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kolejnych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latach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kalendarzowych,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poprzedzających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Jeżeli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zaś</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przekroczy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mógł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wymierzyć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w:t>
      </w:r>
    </w:p>
    <w:p w14:paraId="7033C00D" w14:textId="464E71C8" w:rsidR="001F1843" w:rsidRPr="00D44D33" w:rsidRDefault="001F184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0C0599">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ustalając</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pieniężnej</w:t>
      </w:r>
      <w:r w:rsidR="000C0599">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musi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wziąć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uwagę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okoliczności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umożliwienia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żądać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odpowiednich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będącego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nałożenie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określony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być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skracany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odmowy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niedostarczenia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ustalonym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terminie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lub</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braku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możliwości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dostarczonych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danych,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uprawniony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szacunkowego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wymiaru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ustala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minimalną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wysokość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przychodu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przedsiębiorstwa</w:t>
      </w:r>
      <w:r w:rsidR="0022C0D4"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wymierzana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000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złotych.</w:t>
      </w:r>
      <w:r w:rsidR="00970B2E" w:rsidRPr="00D44D33">
        <w:rPr>
          <w:rFonts w:ascii="Times New Roman" w:eastAsiaTheme="minorEastAsia" w:hAnsi="Times New Roman" w:cs="Times New Roman"/>
          <w:sz w:val="24"/>
          <w:szCs w:val="24"/>
        </w:rPr>
        <w:t xml:space="preserve"> </w:t>
      </w:r>
    </w:p>
    <w:p w14:paraId="0C5B9E66" w14:textId="4C5A6138" w:rsidR="008B5EBD" w:rsidRPr="00D44D33" w:rsidRDefault="008B5EBD"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szczególną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regulację</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niewypełniania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obowiązku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mowa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393.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takim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przypadku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w:t>
      </w:r>
      <w:r w:rsidR="00970B2E" w:rsidRPr="00D44D33">
        <w:rPr>
          <w:rFonts w:ascii="Times New Roman" w:eastAsiaTheme="minorEastAsia" w:hAnsi="Times New Roman" w:cs="Times New Roman"/>
          <w:sz w:val="24"/>
          <w:szCs w:val="24"/>
        </w:rPr>
        <w:t xml:space="preserve"> </w:t>
      </w:r>
      <w:r w:rsidRPr="00D44D33">
        <w:rPr>
          <w:rFonts w:ascii="Times New Roman" w:hAnsi="Times New Roman" w:cs="Times New Roman"/>
          <w:sz w:val="24"/>
          <w:szCs w:val="24"/>
        </w:rPr>
        <w:t>biorąc</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uwagę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charakter</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zakres</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naruszenia,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na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karę</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pieniężną</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wysokości</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3%</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przychodu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ukaranego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podmiotu,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osiągniętego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poprzednim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roku</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kalendarzowym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lub</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do</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1</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mln</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zł,</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przy</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czym</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zastosowanie</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ma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kwota</w:t>
      </w:r>
      <w:r w:rsidR="00970B2E" w:rsidRPr="00D44D33">
        <w:rPr>
          <w:rFonts w:ascii="Times New Roman" w:hAnsi="Times New Roman" w:cs="Times New Roman"/>
          <w:sz w:val="24"/>
          <w:szCs w:val="24"/>
        </w:rPr>
        <w:t xml:space="preserve"> </w:t>
      </w:r>
      <w:r w:rsidRPr="00D44D33">
        <w:rPr>
          <w:rFonts w:ascii="Times New Roman" w:hAnsi="Times New Roman" w:cs="Times New Roman"/>
          <w:sz w:val="24"/>
          <w:szCs w:val="24"/>
        </w:rPr>
        <w:t>wyższa.</w:t>
      </w:r>
    </w:p>
    <w:p w14:paraId="31D86348" w14:textId="5F8997B1" w:rsidR="00AA640E" w:rsidRPr="00D44D33" w:rsidRDefault="001F1843"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008B5EBD" w:rsidRPr="00D44D33">
        <w:rPr>
          <w:rFonts w:ascii="Times New Roman" w:eastAsiaTheme="minorEastAsia" w:hAnsi="Times New Roman" w:cs="Times New Roman"/>
          <w:sz w:val="24"/>
          <w:szCs w:val="24"/>
        </w:rPr>
        <w:t>9</w:t>
      </w:r>
      <w:r w:rsidR="00970B2E" w:rsidRPr="00D44D33">
        <w:rPr>
          <w:rFonts w:ascii="Times New Roman" w:eastAsiaTheme="minorEastAsia" w:hAnsi="Times New Roman" w:cs="Times New Roman"/>
          <w:sz w:val="24"/>
          <w:szCs w:val="24"/>
        </w:rPr>
        <w:t xml:space="preserve"> </w:t>
      </w:r>
      <w:r w:rsidR="008B5EBD"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podobnie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które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miały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wejść</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życie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stycznia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2021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ramach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sierpnia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zmianie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wspieraniu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rozwoju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usług</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sieci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telekomunikacyjnych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oraz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niektórych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1815</w:t>
      </w:r>
      <w:r w:rsidR="00E75C57" w:rsidRPr="00D44D33">
        <w:rPr>
          <w:rFonts w:ascii="Times New Roman" w:eastAsiaTheme="minorEastAsia" w:hAnsi="Times New Roman" w:cs="Times New Roman"/>
          <w:sz w:val="24"/>
          <w:szCs w:val="24"/>
        </w:rPr>
        <w:t>, z późn. zm.</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dookreślają,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że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administracyjne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kary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pieniężne,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nakładane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Prezesa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UKE,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stanowią</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przychód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Funduszu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Szerokopasmowego</w:t>
      </w:r>
      <w:r w:rsidR="00040597"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dotychczas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dochód</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budżetu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państwa.</w:t>
      </w:r>
    </w:p>
    <w:p w14:paraId="39E08FD0" w14:textId="77777777" w:rsidR="00B61396" w:rsidRDefault="00B61396" w:rsidP="00D44D33">
      <w:pPr>
        <w:pStyle w:val="ARTartustawynprozporzdzenia"/>
        <w:spacing w:after="120"/>
        <w:ind w:firstLine="0"/>
        <w:jc w:val="center"/>
        <w:rPr>
          <w:rFonts w:ascii="Times New Roman" w:hAnsi="Times New Roman" w:cs="Times New Roman"/>
          <w:b/>
          <w:szCs w:val="24"/>
        </w:rPr>
      </w:pPr>
    </w:p>
    <w:p w14:paraId="69D586D8" w14:textId="77777777" w:rsidR="00B61396" w:rsidRDefault="00B61396" w:rsidP="00D44D33">
      <w:pPr>
        <w:pStyle w:val="ARTartustawynprozporzdzenia"/>
        <w:spacing w:after="120"/>
        <w:ind w:firstLine="0"/>
        <w:jc w:val="center"/>
        <w:rPr>
          <w:rFonts w:ascii="Times New Roman" w:hAnsi="Times New Roman" w:cs="Times New Roman"/>
          <w:b/>
          <w:szCs w:val="24"/>
        </w:rPr>
      </w:pPr>
    </w:p>
    <w:p w14:paraId="55658BC9" w14:textId="5B265D48" w:rsidR="00941ECD" w:rsidRPr="00D44D33" w:rsidRDefault="00941ECD" w:rsidP="00D44D33">
      <w:pPr>
        <w:pStyle w:val="ARTartustawynprozporzdzenia"/>
        <w:spacing w:after="120"/>
        <w:ind w:firstLine="0"/>
        <w:jc w:val="center"/>
        <w:rPr>
          <w:rFonts w:ascii="Times New Roman" w:hAnsi="Times New Roman" w:cs="Times New Roman"/>
          <w:b/>
          <w:szCs w:val="24"/>
        </w:rPr>
      </w:pPr>
      <w:r w:rsidRPr="00D44D33">
        <w:rPr>
          <w:rFonts w:ascii="Times New Roman" w:hAnsi="Times New Roman" w:cs="Times New Roman"/>
          <w:b/>
          <w:szCs w:val="24"/>
        </w:rPr>
        <w:t>Art.</w:t>
      </w:r>
      <w:r w:rsidR="00970B2E" w:rsidRPr="00D44D33">
        <w:rPr>
          <w:rFonts w:ascii="Times New Roman" w:hAnsi="Times New Roman" w:cs="Times New Roman"/>
          <w:b/>
          <w:szCs w:val="24"/>
        </w:rPr>
        <w:t xml:space="preserve"> </w:t>
      </w:r>
      <w:r w:rsidR="00615253" w:rsidRPr="00D44D33">
        <w:rPr>
          <w:rFonts w:ascii="Times New Roman" w:hAnsi="Times New Roman" w:cs="Times New Roman"/>
          <w:b/>
          <w:bCs/>
          <w:szCs w:val="24"/>
        </w:rPr>
        <w:t>443</w:t>
      </w:r>
    </w:p>
    <w:p w14:paraId="33B07490" w14:textId="29D00EE3" w:rsidR="5AF01528" w:rsidRPr="00D44D33" w:rsidRDefault="506DB1EE"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Pr="00D44D33">
        <w:rPr>
          <w:rFonts w:ascii="Times New Roman" w:hAnsi="Times New Roman" w:cs="Times New Roman"/>
          <w:szCs w:val="24"/>
        </w:rPr>
        <w:t>stanowi</w:t>
      </w:r>
      <w:r w:rsidR="00970B2E" w:rsidRPr="00D44D33">
        <w:rPr>
          <w:rFonts w:ascii="Times New Roman" w:hAnsi="Times New Roman" w:cs="Times New Roman"/>
          <w:szCs w:val="24"/>
        </w:rPr>
        <w:t xml:space="preserve"> </w:t>
      </w:r>
      <w:r w:rsidRPr="00D44D33">
        <w:rPr>
          <w:rFonts w:ascii="Times New Roman" w:hAnsi="Times New Roman" w:cs="Times New Roman"/>
          <w:szCs w:val="24"/>
        </w:rPr>
        <w:t>powtórzenie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regulacji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zawartej</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Pr="00D44D33">
        <w:rPr>
          <w:rFonts w:ascii="Times New Roman" w:hAnsi="Times New Roman" w:cs="Times New Roman"/>
          <w:szCs w:val="24"/>
        </w:rPr>
        <w:t>210a</w:t>
      </w:r>
      <w:r w:rsidR="00970B2E" w:rsidRPr="00D44D33">
        <w:rPr>
          <w:rFonts w:ascii="Times New Roman" w:hAnsi="Times New Roman" w:cs="Times New Roman"/>
          <w:szCs w:val="24"/>
        </w:rPr>
        <w:t xml:space="preserve"> </w:t>
      </w:r>
      <w:r w:rsidRPr="00D44D33">
        <w:rPr>
          <w:rFonts w:ascii="Times New Roman" w:hAnsi="Times New Roman" w:cs="Times New Roman"/>
          <w:szCs w:val="24"/>
        </w:rPr>
        <w:t>Pt</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reguluje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kwestię</w:t>
      </w:r>
      <w:r w:rsidR="00970B2E" w:rsidRPr="00D44D33">
        <w:rPr>
          <w:rFonts w:ascii="Times New Roman" w:hAnsi="Times New Roman" w:cs="Times New Roman"/>
          <w:szCs w:val="24"/>
        </w:rPr>
        <w:t xml:space="preserve"> </w:t>
      </w:r>
      <w:r w:rsidRPr="00D44D33">
        <w:rPr>
          <w:rFonts w:ascii="Times New Roman" w:hAnsi="Times New Roman" w:cs="Times New Roman"/>
          <w:szCs w:val="24"/>
        </w:rPr>
        <w:t>sankcji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naruszenie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obowiązków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bezpieczeństwa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przetwarzania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tym</w:t>
      </w:r>
      <w:r w:rsidR="00970B2E" w:rsidRPr="00D44D33">
        <w:rPr>
          <w:rFonts w:ascii="Times New Roman" w:hAnsi="Times New Roman" w:cs="Times New Roman"/>
          <w:szCs w:val="24"/>
        </w:rPr>
        <w:t xml:space="preserve"> </w:t>
      </w:r>
      <w:r w:rsidRPr="00D44D33">
        <w:rPr>
          <w:rFonts w:ascii="Times New Roman" w:hAnsi="Times New Roman" w:cs="Times New Roman"/>
          <w:szCs w:val="24"/>
        </w:rPr>
        <w:t>wdrożenia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technicznych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organizacyjnych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środków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ochrony,</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obowiązków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informacyjnych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względem</w:t>
      </w:r>
      <w:r w:rsidR="00970B2E" w:rsidRPr="00D44D33">
        <w:rPr>
          <w:rFonts w:ascii="Times New Roman" w:hAnsi="Times New Roman" w:cs="Times New Roman"/>
          <w:szCs w:val="24"/>
        </w:rPr>
        <w:t xml:space="preserve"> </w:t>
      </w:r>
      <w:r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Pr="00D44D33">
        <w:rPr>
          <w:rFonts w:ascii="Times New Roman" w:hAnsi="Times New Roman" w:cs="Times New Roman"/>
          <w:szCs w:val="24"/>
        </w:rPr>
        <w:t>Urzędu</w:t>
      </w:r>
      <w:r w:rsidR="00970B2E" w:rsidRPr="00D44D33">
        <w:rPr>
          <w:rFonts w:ascii="Times New Roman" w:hAnsi="Times New Roman" w:cs="Times New Roman"/>
          <w:szCs w:val="24"/>
        </w:rPr>
        <w:t xml:space="preserve"> </w:t>
      </w:r>
      <w:r w:rsidRPr="00D44D33">
        <w:rPr>
          <w:rFonts w:ascii="Times New Roman" w:hAnsi="Times New Roman" w:cs="Times New Roman"/>
          <w:szCs w:val="24"/>
        </w:rPr>
        <w:t>Ochrony</w:t>
      </w:r>
      <w:r w:rsidR="00970B2E" w:rsidRPr="00D44D33">
        <w:rPr>
          <w:rFonts w:ascii="Times New Roman" w:hAnsi="Times New Roman" w:cs="Times New Roman"/>
          <w:szCs w:val="24"/>
        </w:rPr>
        <w:t xml:space="preserve"> </w:t>
      </w:r>
      <w:r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użytkownika</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naruszenia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Pr="00D44D33">
        <w:rPr>
          <w:rFonts w:ascii="Times New Roman" w:hAnsi="Times New Roman" w:cs="Times New Roman"/>
          <w:szCs w:val="24"/>
        </w:rPr>
        <w:t>także</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obowiązków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dotyczących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prowadzenia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rejestru</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naruszeń</w:t>
      </w:r>
      <w:r w:rsidR="00970B2E" w:rsidRPr="00D44D33">
        <w:rPr>
          <w:rFonts w:ascii="Times New Roman" w:hAnsi="Times New Roman" w:cs="Times New Roman"/>
          <w:szCs w:val="24"/>
        </w:rPr>
        <w:t xml:space="preserve"> </w:t>
      </w:r>
      <w:r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Obowiązki</w:t>
      </w:r>
      <w:r w:rsidR="00970B2E" w:rsidRPr="00D44D33">
        <w:rPr>
          <w:rFonts w:ascii="Times New Roman" w:hAnsi="Times New Roman" w:cs="Times New Roman"/>
          <w:szCs w:val="24"/>
        </w:rPr>
        <w:t xml:space="preserve"> </w:t>
      </w:r>
      <w:r w:rsidRPr="00D44D33">
        <w:rPr>
          <w:rFonts w:ascii="Times New Roman" w:hAnsi="Times New Roman" w:cs="Times New Roman"/>
          <w:szCs w:val="24"/>
        </w:rPr>
        <w:t>te</w:t>
      </w:r>
      <w:r w:rsidR="00970B2E" w:rsidRPr="00D44D33">
        <w:rPr>
          <w:rFonts w:ascii="Times New Roman" w:hAnsi="Times New Roman" w:cs="Times New Roman"/>
          <w:szCs w:val="24"/>
        </w:rPr>
        <w:t xml:space="preserve"> </w:t>
      </w:r>
      <w:r w:rsidRPr="00D44D33">
        <w:rPr>
          <w:rFonts w:ascii="Times New Roman" w:hAnsi="Times New Roman" w:cs="Times New Roman"/>
          <w:szCs w:val="24"/>
        </w:rPr>
        <w:t>zostały</w:t>
      </w:r>
      <w:r w:rsidR="00970B2E" w:rsidRPr="00D44D33">
        <w:rPr>
          <w:rFonts w:ascii="Times New Roman" w:hAnsi="Times New Roman" w:cs="Times New Roman"/>
          <w:szCs w:val="24"/>
        </w:rPr>
        <w:t xml:space="preserve"> </w:t>
      </w:r>
      <w:r w:rsidRPr="00D44D33">
        <w:rPr>
          <w:rFonts w:ascii="Times New Roman" w:hAnsi="Times New Roman" w:cs="Times New Roman"/>
          <w:szCs w:val="24"/>
        </w:rPr>
        <w:t>nałożone</w:t>
      </w:r>
      <w:r w:rsidR="00970B2E" w:rsidRPr="00D44D33">
        <w:rPr>
          <w:rFonts w:ascii="Times New Roman" w:hAnsi="Times New Roman" w:cs="Times New Roman"/>
          <w:szCs w:val="24"/>
        </w:rPr>
        <w:t xml:space="preserve"> </w:t>
      </w:r>
      <w:r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podstawie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projektowanych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art.</w:t>
      </w:r>
      <w:r w:rsidR="00970B2E" w:rsidRPr="00D44D33">
        <w:rPr>
          <w:rFonts w:ascii="Times New Roman" w:hAnsi="Times New Roman" w:cs="Times New Roman"/>
          <w:szCs w:val="24"/>
        </w:rPr>
        <w:t xml:space="preserve"> </w:t>
      </w:r>
      <w:r w:rsidR="00324207" w:rsidRPr="00D44D33">
        <w:rPr>
          <w:rFonts w:ascii="Times New Roman" w:hAnsi="Times New Roman" w:cs="Times New Roman"/>
          <w:szCs w:val="24"/>
        </w:rPr>
        <w:t>396 i art.</w:t>
      </w:r>
      <w:r w:rsidR="00970B2E" w:rsidRPr="00D44D33">
        <w:rPr>
          <w:rFonts w:ascii="Times New Roman" w:hAnsi="Times New Roman" w:cs="Times New Roman"/>
          <w:szCs w:val="24"/>
        </w:rPr>
        <w:t xml:space="preserve"> </w:t>
      </w:r>
      <w:r w:rsidR="00324207" w:rsidRPr="00D44D33">
        <w:rPr>
          <w:rFonts w:ascii="Times New Roman" w:hAnsi="Times New Roman" w:cs="Times New Roman"/>
          <w:szCs w:val="24"/>
        </w:rPr>
        <w:t xml:space="preserve">397 </w:t>
      </w:r>
      <w:r w:rsidR="43404BD5" w:rsidRPr="00D44D33">
        <w:rPr>
          <w:rFonts w:ascii="Times New Roman" w:hAnsi="Times New Roman" w:cs="Times New Roman"/>
          <w:szCs w:val="24"/>
        </w:rPr>
        <w:t>Pke</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dostawcę</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publicznie</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dostępnych</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usług</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komunikacji</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Organem</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uprawnionym</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nakładania</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kar</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jest</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Prezes</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Urzędu</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Ochrony</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Zastosowanie</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znajdą</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tu</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odpowiednio</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przepis</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dotyczące</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nakładania</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kar</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przez</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Prezesa</w:t>
      </w:r>
      <w:r w:rsidR="00970B2E" w:rsidRPr="00D44D33">
        <w:rPr>
          <w:rFonts w:ascii="Times New Roman" w:hAnsi="Times New Roman" w:cs="Times New Roman"/>
          <w:szCs w:val="24"/>
        </w:rPr>
        <w:t xml:space="preserve"> </w:t>
      </w:r>
      <w:r w:rsidR="4732F0F1" w:rsidRPr="00D44D33">
        <w:rPr>
          <w:rFonts w:ascii="Times New Roman" w:hAnsi="Times New Roman" w:cs="Times New Roman"/>
          <w:szCs w:val="24"/>
        </w:rPr>
        <w:t>UKE.</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Obowiązki,</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których</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dotyczy</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kara</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pieniężna</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przewidziana</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projektowanym</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przepisie</w:t>
      </w:r>
      <w:r w:rsidR="003F1364">
        <w:rPr>
          <w:rFonts w:ascii="Times New Roman" w:hAnsi="Times New Roman" w:cs="Times New Roman"/>
          <w:szCs w:val="24"/>
        </w:rPr>
        <w:t>,</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obowiązek</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ustanowienia</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sankcji</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wynika</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48E0F546" w:rsidRPr="00D44D33">
        <w:rPr>
          <w:rFonts w:ascii="Times New Roman" w:hAnsi="Times New Roman" w:cs="Times New Roman"/>
          <w:szCs w:val="24"/>
        </w:rPr>
        <w:t>wdrożenia</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rozporządzenia</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Komisji</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(UE)</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nr</w:t>
      </w:r>
      <w:r w:rsidR="00970B2E" w:rsidRPr="00D44D33">
        <w:rPr>
          <w:rFonts w:ascii="Times New Roman" w:hAnsi="Times New Roman" w:cs="Times New Roman"/>
          <w:szCs w:val="24"/>
        </w:rPr>
        <w:t xml:space="preserve"> </w:t>
      </w:r>
      <w:hyperlink r:id="rId26">
        <w:r w:rsidR="655466D0" w:rsidRPr="00D44D33">
          <w:rPr>
            <w:rStyle w:val="Hipercze"/>
            <w:rFonts w:ascii="Times New Roman" w:hAnsi="Times New Roman" w:cs="Times New Roman"/>
            <w:color w:val="auto"/>
            <w:szCs w:val="24"/>
            <w:u w:val="none"/>
          </w:rPr>
          <w:t>611/2013</w:t>
        </w:r>
      </w:hyperlink>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dnia</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24</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czerwca</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2013</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r.</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sprawie</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środków</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mających</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zastosowanie</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przy</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powiadamianiu</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przypadkach</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naruszenia</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danych</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osobowych,</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mocy</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dyrektywy</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2002/58/WE</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Parlamentu</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Europejskiego</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Rady</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prywatności</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łączności</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elektronicznej</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dyrektywy</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2002/58/WE</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o</w:t>
      </w:r>
      <w:r w:rsidR="00970B2E" w:rsidRPr="00D44D33">
        <w:rPr>
          <w:rFonts w:ascii="Times New Roman" w:hAnsi="Times New Roman" w:cs="Times New Roman"/>
          <w:szCs w:val="24"/>
        </w:rPr>
        <w:t xml:space="preserve"> </w:t>
      </w:r>
      <w:r w:rsidR="655466D0" w:rsidRPr="00D44D33">
        <w:rPr>
          <w:rFonts w:ascii="Times New Roman" w:hAnsi="Times New Roman" w:cs="Times New Roman"/>
          <w:szCs w:val="24"/>
        </w:rPr>
        <w:t>prywatności.</w:t>
      </w:r>
    </w:p>
    <w:p w14:paraId="13748A49" w14:textId="291CD96D" w:rsidR="0E5AFEB7" w:rsidRPr="00D44D33" w:rsidRDefault="0E5AFEB7" w:rsidP="00D44D33">
      <w:pPr>
        <w:pStyle w:val="ARTartustawynprozporzdzenia"/>
        <w:spacing w:after="120"/>
        <w:ind w:firstLine="0"/>
        <w:jc w:val="center"/>
        <w:rPr>
          <w:rFonts w:ascii="Times New Roman" w:hAnsi="Times New Roman" w:cs="Times New Roman"/>
          <w:b/>
          <w:szCs w:val="24"/>
        </w:rPr>
      </w:pPr>
      <w:r w:rsidRPr="00D44D33">
        <w:rPr>
          <w:rFonts w:ascii="Times New Roman" w:hAnsi="Times New Roman" w:cs="Times New Roman"/>
          <w:b/>
          <w:szCs w:val="24"/>
        </w:rPr>
        <w:t>Art.</w:t>
      </w:r>
      <w:r w:rsidR="00970B2E" w:rsidRPr="00D44D33">
        <w:rPr>
          <w:rFonts w:ascii="Times New Roman" w:hAnsi="Times New Roman" w:cs="Times New Roman"/>
          <w:b/>
          <w:szCs w:val="24"/>
        </w:rPr>
        <w:t xml:space="preserve"> </w:t>
      </w:r>
      <w:r w:rsidR="00D73BFE" w:rsidRPr="00D44D33">
        <w:rPr>
          <w:rFonts w:ascii="Times New Roman" w:hAnsi="Times New Roman" w:cs="Times New Roman"/>
          <w:b/>
          <w:szCs w:val="24"/>
        </w:rPr>
        <w:t>444</w:t>
      </w:r>
    </w:p>
    <w:p w14:paraId="3F79A9FA" w14:textId="6D49A2F3" w:rsidR="002D7566" w:rsidRPr="00D44D33" w:rsidRDefault="0E5AFEB7" w:rsidP="00D44D33">
      <w:pPr>
        <w:pStyle w:val="ARTartustawynprozporzdzenia"/>
        <w:spacing w:after="120"/>
        <w:ind w:firstLine="0"/>
        <w:rPr>
          <w:rFonts w:ascii="Times New Roman" w:hAnsi="Times New Roman" w:cs="Times New Roman"/>
          <w:szCs w:val="24"/>
        </w:rPr>
      </w:pPr>
      <w:r w:rsidRPr="00D44D33">
        <w:rPr>
          <w:rFonts w:ascii="Times New Roman" w:hAnsi="Times New Roman" w:cs="Times New Roman"/>
          <w:szCs w:val="24"/>
        </w:rPr>
        <w:t>Decyzja</w:t>
      </w:r>
      <w:r w:rsidR="00970B2E" w:rsidRPr="00D44D33">
        <w:rPr>
          <w:rFonts w:ascii="Times New Roman" w:hAnsi="Times New Roman" w:cs="Times New Roman"/>
          <w:szCs w:val="24"/>
        </w:rPr>
        <w:t xml:space="preserve"> </w:t>
      </w:r>
      <w:r w:rsidRPr="00D44D33">
        <w:rPr>
          <w:rFonts w:ascii="Times New Roman" w:hAnsi="Times New Roman" w:cs="Times New Roman"/>
          <w:szCs w:val="24"/>
        </w:rPr>
        <w:t>PRS</w:t>
      </w:r>
      <w:r w:rsidR="00970B2E" w:rsidRPr="00D44D33">
        <w:rPr>
          <w:rFonts w:ascii="Times New Roman" w:hAnsi="Times New Roman" w:cs="Times New Roman"/>
          <w:szCs w:val="24"/>
        </w:rPr>
        <w:t xml:space="preserve"> </w:t>
      </w:r>
      <w:r w:rsidRPr="00D44D33">
        <w:rPr>
          <w:rFonts w:ascii="Times New Roman" w:hAnsi="Times New Roman" w:cs="Times New Roman"/>
          <w:szCs w:val="24"/>
        </w:rPr>
        <w:t>zobowiązuje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państwa</w:t>
      </w:r>
      <w:r w:rsidR="00970B2E" w:rsidRPr="00D44D33">
        <w:rPr>
          <w:rFonts w:ascii="Times New Roman" w:hAnsi="Times New Roman" w:cs="Times New Roman"/>
          <w:szCs w:val="24"/>
        </w:rPr>
        <w:t xml:space="preserve"> </w:t>
      </w:r>
      <w:r w:rsidRPr="00D44D33">
        <w:rPr>
          <w:rFonts w:ascii="Times New Roman" w:hAnsi="Times New Roman" w:cs="Times New Roman"/>
          <w:szCs w:val="24"/>
        </w:rPr>
        <w:t>członkowskie</w:t>
      </w:r>
      <w:r w:rsidR="00970B2E" w:rsidRPr="00D44D33">
        <w:rPr>
          <w:rFonts w:ascii="Times New Roman" w:hAnsi="Times New Roman" w:cs="Times New Roman"/>
          <w:szCs w:val="24"/>
        </w:rPr>
        <w:t xml:space="preserve"> </w:t>
      </w:r>
      <w:r w:rsidR="009E7D3A" w:rsidRPr="00D44D33">
        <w:rPr>
          <w:rFonts w:ascii="Times New Roman" w:hAnsi="Times New Roman" w:cs="Times New Roman"/>
          <w:szCs w:val="24"/>
        </w:rPr>
        <w:t>UE</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określenia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sankcji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mających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zastosowanie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243F2A" w:rsidRPr="00D44D33">
        <w:rPr>
          <w:rFonts w:ascii="Times New Roman" w:hAnsi="Times New Roman" w:cs="Times New Roman"/>
          <w:szCs w:val="24"/>
        </w:rPr>
        <w:t>przypadku</w:t>
      </w:r>
      <w:r w:rsidR="00970B2E" w:rsidRPr="00D44D33">
        <w:rPr>
          <w:rFonts w:ascii="Times New Roman" w:hAnsi="Times New Roman" w:cs="Times New Roman"/>
          <w:szCs w:val="24"/>
        </w:rPr>
        <w:t xml:space="preserve"> </w:t>
      </w:r>
      <w:r w:rsidRPr="00D44D33">
        <w:rPr>
          <w:rFonts w:ascii="Times New Roman" w:hAnsi="Times New Roman" w:cs="Times New Roman"/>
          <w:szCs w:val="24"/>
        </w:rPr>
        <w:t>naruszenia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obowiązków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wynikających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Pr="00D44D33">
        <w:rPr>
          <w:rFonts w:ascii="Times New Roman" w:hAnsi="Times New Roman" w:cs="Times New Roman"/>
          <w:szCs w:val="24"/>
        </w:rPr>
        <w:t>Decyzji</w:t>
      </w:r>
      <w:r w:rsidR="00970B2E" w:rsidRPr="00D44D33">
        <w:rPr>
          <w:rFonts w:ascii="Times New Roman" w:hAnsi="Times New Roman" w:cs="Times New Roman"/>
          <w:szCs w:val="24"/>
        </w:rPr>
        <w:t xml:space="preserve"> </w:t>
      </w:r>
      <w:r w:rsidRPr="00D44D33">
        <w:rPr>
          <w:rFonts w:ascii="Times New Roman" w:hAnsi="Times New Roman" w:cs="Times New Roman"/>
          <w:szCs w:val="24"/>
        </w:rPr>
        <w:t>PRS</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do</w:t>
      </w:r>
      <w:r w:rsidR="00970B2E" w:rsidRPr="00D44D33">
        <w:rPr>
          <w:rFonts w:ascii="Times New Roman" w:hAnsi="Times New Roman" w:cs="Times New Roman"/>
          <w:szCs w:val="24"/>
        </w:rPr>
        <w:t xml:space="preserve"> </w:t>
      </w:r>
      <w:r w:rsidRPr="00D44D33">
        <w:rPr>
          <w:rFonts w:ascii="Times New Roman" w:hAnsi="Times New Roman" w:cs="Times New Roman"/>
          <w:szCs w:val="24"/>
        </w:rPr>
        <w:t>zapewnienia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stosowania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tych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sankcji.</w:t>
      </w:r>
      <w:r w:rsidR="00970B2E" w:rsidRPr="00D44D33">
        <w:rPr>
          <w:rFonts w:ascii="Times New Roman" w:hAnsi="Times New Roman" w:cs="Times New Roman"/>
          <w:szCs w:val="24"/>
        </w:rPr>
        <w:t xml:space="preserve"> </w:t>
      </w:r>
      <w:r w:rsidRPr="00D44D33">
        <w:rPr>
          <w:rFonts w:ascii="Times New Roman" w:hAnsi="Times New Roman" w:cs="Times New Roman"/>
          <w:szCs w:val="24"/>
        </w:rPr>
        <w:t>Sankcje</w:t>
      </w:r>
      <w:r w:rsidR="00970B2E" w:rsidRPr="00D44D33">
        <w:rPr>
          <w:rFonts w:ascii="Times New Roman" w:hAnsi="Times New Roman" w:cs="Times New Roman"/>
          <w:szCs w:val="24"/>
        </w:rPr>
        <w:t xml:space="preserve"> </w:t>
      </w:r>
      <w:r w:rsidRPr="00D44D33">
        <w:rPr>
          <w:rFonts w:ascii="Times New Roman" w:hAnsi="Times New Roman" w:cs="Times New Roman"/>
          <w:szCs w:val="24"/>
        </w:rPr>
        <w:t>te</w:t>
      </w:r>
      <w:r w:rsidR="00970B2E" w:rsidRPr="00D44D33">
        <w:rPr>
          <w:rFonts w:ascii="Times New Roman" w:hAnsi="Times New Roman" w:cs="Times New Roman"/>
          <w:szCs w:val="24"/>
        </w:rPr>
        <w:t xml:space="preserve"> </w:t>
      </w:r>
      <w:r w:rsidRPr="00D44D33">
        <w:rPr>
          <w:rFonts w:ascii="Times New Roman" w:hAnsi="Times New Roman" w:cs="Times New Roman"/>
          <w:szCs w:val="24"/>
        </w:rPr>
        <w:t>muszą</w:t>
      </w:r>
      <w:r w:rsidR="00970B2E" w:rsidRPr="00D44D33">
        <w:rPr>
          <w:rFonts w:ascii="Times New Roman" w:hAnsi="Times New Roman" w:cs="Times New Roman"/>
          <w:szCs w:val="24"/>
        </w:rPr>
        <w:t xml:space="preserve"> </w:t>
      </w:r>
      <w:r w:rsidRPr="00D44D33">
        <w:rPr>
          <w:rFonts w:ascii="Times New Roman" w:hAnsi="Times New Roman" w:cs="Times New Roman"/>
          <w:szCs w:val="24"/>
        </w:rPr>
        <w:t>być</w:t>
      </w:r>
      <w:r w:rsidR="00970B2E" w:rsidRPr="00D44D33">
        <w:rPr>
          <w:rFonts w:ascii="Times New Roman" w:hAnsi="Times New Roman" w:cs="Times New Roman"/>
          <w:szCs w:val="24"/>
        </w:rPr>
        <w:t xml:space="preserve"> </w:t>
      </w:r>
      <w:r w:rsidRPr="00D44D33">
        <w:rPr>
          <w:rFonts w:ascii="Times New Roman" w:hAnsi="Times New Roman" w:cs="Times New Roman"/>
          <w:szCs w:val="24"/>
        </w:rPr>
        <w:t>skuteczne,</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proporcjonalne</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odstraszające.</w:t>
      </w:r>
      <w:r w:rsidR="00970B2E" w:rsidRPr="00D44D33">
        <w:rPr>
          <w:rFonts w:ascii="Times New Roman" w:hAnsi="Times New Roman" w:cs="Times New Roman"/>
          <w:szCs w:val="24"/>
        </w:rPr>
        <w:t xml:space="preserve"> </w:t>
      </w:r>
      <w:r w:rsidRPr="00D44D33">
        <w:rPr>
          <w:rFonts w:ascii="Times New Roman" w:hAnsi="Times New Roman" w:cs="Times New Roman"/>
          <w:szCs w:val="24"/>
        </w:rPr>
        <w:t>Dlatego</w:t>
      </w:r>
      <w:r w:rsidR="00970B2E" w:rsidRPr="00D44D33">
        <w:rPr>
          <w:rFonts w:ascii="Times New Roman" w:hAnsi="Times New Roman" w:cs="Times New Roman"/>
          <w:szCs w:val="24"/>
        </w:rPr>
        <w:t xml:space="preserve"> </w:t>
      </w:r>
      <w:r w:rsidRPr="00D44D33">
        <w:rPr>
          <w:rFonts w:ascii="Times New Roman" w:hAnsi="Times New Roman" w:cs="Times New Roman"/>
          <w:szCs w:val="24"/>
        </w:rPr>
        <w:t>też</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projekt</w:t>
      </w:r>
      <w:r w:rsidR="00970B2E" w:rsidRPr="00D44D33">
        <w:rPr>
          <w:rFonts w:ascii="Times New Roman" w:hAnsi="Times New Roman" w:cs="Times New Roman"/>
          <w:szCs w:val="24"/>
        </w:rPr>
        <w:t xml:space="preserve"> </w:t>
      </w:r>
      <w:r w:rsidRPr="00D44D33">
        <w:rPr>
          <w:rFonts w:ascii="Times New Roman" w:hAnsi="Times New Roman" w:cs="Times New Roman"/>
          <w:szCs w:val="24"/>
        </w:rPr>
        <w:t>ustawy</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przewiduje</w:t>
      </w:r>
      <w:r w:rsidR="00970B2E" w:rsidRPr="00D44D33">
        <w:rPr>
          <w:rFonts w:ascii="Times New Roman" w:hAnsi="Times New Roman" w:cs="Times New Roman"/>
          <w:szCs w:val="24"/>
        </w:rPr>
        <w:t xml:space="preserve"> </w:t>
      </w:r>
      <w:r w:rsidRPr="00D44D33">
        <w:rPr>
          <w:rFonts w:ascii="Times New Roman" w:hAnsi="Times New Roman" w:cs="Times New Roman"/>
          <w:szCs w:val="24"/>
        </w:rPr>
        <w:t>wprowadzenie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kar</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podejmowanie</w:t>
      </w:r>
      <w:r w:rsidR="00970B2E" w:rsidRPr="00D44D33">
        <w:rPr>
          <w:rFonts w:ascii="Times New Roman" w:hAnsi="Times New Roman" w:cs="Times New Roman"/>
          <w:szCs w:val="24"/>
        </w:rPr>
        <w:t xml:space="preserve"> </w:t>
      </w:r>
      <w:r w:rsidRPr="00D44D33">
        <w:rPr>
          <w:rFonts w:ascii="Times New Roman" w:hAnsi="Times New Roman" w:cs="Times New Roman"/>
          <w:szCs w:val="24"/>
        </w:rPr>
        <w:t>działalności</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pozwolenia</w:t>
      </w:r>
      <w:r w:rsidR="00970B2E" w:rsidRPr="00D44D33">
        <w:rPr>
          <w:rFonts w:ascii="Times New Roman" w:hAnsi="Times New Roman" w:cs="Times New Roman"/>
          <w:szCs w:val="24"/>
        </w:rPr>
        <w:t xml:space="preserve"> </w:t>
      </w:r>
      <w:r w:rsidR="00FC269E" w:rsidRPr="00D44D33">
        <w:rPr>
          <w:rFonts w:ascii="Times New Roman" w:hAnsi="Times New Roman" w:cs="Times New Roman"/>
          <w:szCs w:val="24"/>
        </w:rPr>
        <w:t>PRS</w:t>
      </w:r>
      <w:r w:rsidR="00970B2E" w:rsidRPr="00D44D33">
        <w:rPr>
          <w:rFonts w:ascii="Times New Roman" w:hAnsi="Times New Roman" w:cs="Times New Roman"/>
          <w:szCs w:val="24"/>
        </w:rPr>
        <w:t xml:space="preserve"> </w:t>
      </w:r>
      <w:r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Pr="00D44D33">
        <w:rPr>
          <w:rFonts w:ascii="Times New Roman" w:hAnsi="Times New Roman" w:cs="Times New Roman"/>
          <w:szCs w:val="24"/>
        </w:rPr>
        <w:t>podejmowanych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bez</w:t>
      </w:r>
      <w:r w:rsidR="00970B2E" w:rsidRPr="00D44D33">
        <w:rPr>
          <w:rFonts w:ascii="Times New Roman" w:hAnsi="Times New Roman" w:cs="Times New Roman"/>
          <w:szCs w:val="24"/>
        </w:rPr>
        <w:t xml:space="preserve"> </w:t>
      </w:r>
      <w:r w:rsidRPr="00D44D33">
        <w:rPr>
          <w:rFonts w:ascii="Times New Roman" w:hAnsi="Times New Roman" w:cs="Times New Roman"/>
          <w:szCs w:val="24"/>
        </w:rPr>
        <w:t>przestrzegania</w:t>
      </w:r>
      <w:r w:rsidR="00970B2E" w:rsidRPr="00D44D33">
        <w:rPr>
          <w:rFonts w:ascii="Times New Roman" w:hAnsi="Times New Roman" w:cs="Times New Roman"/>
          <w:szCs w:val="24"/>
        </w:rPr>
        <w:t xml:space="preserve"> </w:t>
      </w:r>
      <w:r w:rsidRPr="00D44D33">
        <w:rPr>
          <w:rFonts w:ascii="Times New Roman" w:hAnsi="Times New Roman" w:cs="Times New Roman"/>
          <w:szCs w:val="24"/>
        </w:rPr>
        <w:t>warunków</w:t>
      </w:r>
      <w:r w:rsidR="00970B2E" w:rsidRPr="00D44D33">
        <w:rPr>
          <w:rFonts w:ascii="Times New Roman" w:hAnsi="Times New Roman" w:cs="Times New Roman"/>
          <w:szCs w:val="24"/>
        </w:rPr>
        <w:t xml:space="preserve"> </w:t>
      </w:r>
      <w:r w:rsidRPr="00D44D33">
        <w:rPr>
          <w:rFonts w:ascii="Times New Roman" w:hAnsi="Times New Roman" w:cs="Times New Roman"/>
          <w:szCs w:val="24"/>
        </w:rPr>
        <w:t>zawartych</w:t>
      </w:r>
      <w:r w:rsidR="00970B2E" w:rsidRPr="00D44D33">
        <w:rPr>
          <w:rFonts w:ascii="Times New Roman" w:hAnsi="Times New Roman" w:cs="Times New Roman"/>
          <w:szCs w:val="24"/>
        </w:rPr>
        <w:t xml:space="preserve"> </w:t>
      </w:r>
      <w:r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Pr="00D44D33">
        <w:rPr>
          <w:rFonts w:ascii="Times New Roman" w:hAnsi="Times New Roman" w:cs="Times New Roman"/>
          <w:szCs w:val="24"/>
        </w:rPr>
        <w:t>pozwoleniu</w:t>
      </w:r>
      <w:r w:rsidR="00970B2E" w:rsidRPr="00D44D33">
        <w:rPr>
          <w:rFonts w:ascii="Times New Roman" w:hAnsi="Times New Roman" w:cs="Times New Roman"/>
          <w:szCs w:val="24"/>
        </w:rPr>
        <w:t xml:space="preserve"> </w:t>
      </w:r>
      <w:r w:rsidR="00FC269E" w:rsidRPr="00D44D33">
        <w:rPr>
          <w:rFonts w:ascii="Times New Roman" w:hAnsi="Times New Roman" w:cs="Times New Roman"/>
          <w:szCs w:val="24"/>
        </w:rPr>
        <w:t>PRS</w:t>
      </w:r>
      <w:r w:rsidR="00737511"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00737511" w:rsidRPr="00D44D33">
        <w:rPr>
          <w:rFonts w:ascii="Times New Roman" w:hAnsi="Times New Roman" w:cs="Times New Roman"/>
          <w:szCs w:val="24"/>
        </w:rPr>
        <w:t>a</w:t>
      </w:r>
      <w:r w:rsidR="00970B2E" w:rsidRPr="00D44D33">
        <w:rPr>
          <w:rFonts w:ascii="Times New Roman" w:hAnsi="Times New Roman" w:cs="Times New Roman"/>
          <w:szCs w:val="24"/>
        </w:rPr>
        <w:t xml:space="preserve"> </w:t>
      </w:r>
      <w:r w:rsidR="00737511" w:rsidRPr="00D44D33">
        <w:rPr>
          <w:rFonts w:ascii="Times New Roman" w:hAnsi="Times New Roman" w:cs="Times New Roman"/>
          <w:szCs w:val="24"/>
        </w:rPr>
        <w:t>także</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za</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wywóz</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transfer</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wewnątrzunijny</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sprzętu</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potrzeby</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PRS</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technologii</w:t>
      </w:r>
      <w:r w:rsidR="00970B2E" w:rsidRPr="00D44D33">
        <w:rPr>
          <w:rFonts w:ascii="Times New Roman" w:hAnsi="Times New Roman" w:cs="Times New Roman"/>
          <w:szCs w:val="24"/>
        </w:rPr>
        <w:t xml:space="preserve"> </w:t>
      </w:r>
      <w:r w:rsidR="007D7FBD" w:rsidRPr="00D44D33">
        <w:rPr>
          <w:rFonts w:ascii="Times New Roman" w:hAnsi="Times New Roman" w:cs="Times New Roman"/>
          <w:szCs w:val="24"/>
        </w:rPr>
        <w:t>PRS</w:t>
      </w:r>
      <w:r w:rsidR="00970B2E" w:rsidRPr="00D44D33">
        <w:rPr>
          <w:rFonts w:ascii="Times New Roman" w:hAnsi="Times New Roman" w:cs="Times New Roman"/>
          <w:szCs w:val="24"/>
        </w:rPr>
        <w:t xml:space="preserve"> </w:t>
      </w:r>
      <w:r w:rsidR="000E0446" w:rsidRPr="00D44D33">
        <w:rPr>
          <w:rFonts w:ascii="Times New Roman" w:hAnsi="Times New Roman" w:cs="Times New Roman"/>
          <w:szCs w:val="24"/>
        </w:rPr>
        <w:t>bez</w:t>
      </w:r>
      <w:r w:rsidR="00970B2E" w:rsidRPr="00D44D33">
        <w:rPr>
          <w:rFonts w:ascii="Times New Roman" w:hAnsi="Times New Roman" w:cs="Times New Roman"/>
          <w:szCs w:val="24"/>
        </w:rPr>
        <w:t xml:space="preserve"> </w:t>
      </w:r>
      <w:r w:rsidR="000E0446" w:rsidRPr="00D44D33">
        <w:rPr>
          <w:rFonts w:ascii="Times New Roman" w:hAnsi="Times New Roman" w:cs="Times New Roman"/>
          <w:szCs w:val="24"/>
        </w:rPr>
        <w:t>odpowiednich</w:t>
      </w:r>
      <w:r w:rsidR="00970B2E" w:rsidRPr="00D44D33">
        <w:rPr>
          <w:rFonts w:ascii="Times New Roman" w:hAnsi="Times New Roman" w:cs="Times New Roman"/>
          <w:szCs w:val="24"/>
        </w:rPr>
        <w:t xml:space="preserve"> </w:t>
      </w:r>
      <w:r w:rsidR="00AA5087" w:rsidRPr="00D44D33">
        <w:rPr>
          <w:rFonts w:ascii="Times New Roman" w:hAnsi="Times New Roman" w:cs="Times New Roman"/>
          <w:szCs w:val="24"/>
        </w:rPr>
        <w:t>zezwoleń</w:t>
      </w:r>
      <w:r w:rsidR="00970B2E" w:rsidRPr="00D44D33">
        <w:rPr>
          <w:rFonts w:ascii="Times New Roman" w:hAnsi="Times New Roman" w:cs="Times New Roman"/>
          <w:szCs w:val="24"/>
        </w:rPr>
        <w:t xml:space="preserve"> </w:t>
      </w:r>
      <w:r w:rsidR="00AA5087"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7E5C14" w:rsidRPr="00D44D33">
        <w:rPr>
          <w:rFonts w:ascii="Times New Roman" w:hAnsi="Times New Roman" w:cs="Times New Roman"/>
          <w:szCs w:val="24"/>
        </w:rPr>
        <w:t>bez</w:t>
      </w:r>
      <w:r w:rsidR="00970B2E" w:rsidRPr="00D44D33">
        <w:rPr>
          <w:rFonts w:ascii="Times New Roman" w:hAnsi="Times New Roman" w:cs="Times New Roman"/>
          <w:szCs w:val="24"/>
        </w:rPr>
        <w:t xml:space="preserve"> </w:t>
      </w:r>
      <w:r w:rsidR="007E5C14" w:rsidRPr="00D44D33">
        <w:rPr>
          <w:rFonts w:ascii="Times New Roman" w:hAnsi="Times New Roman" w:cs="Times New Roman"/>
          <w:szCs w:val="24"/>
        </w:rPr>
        <w:t>przestrzegania</w:t>
      </w:r>
      <w:r w:rsidR="00970B2E" w:rsidRPr="00D44D33">
        <w:rPr>
          <w:rFonts w:ascii="Times New Roman" w:hAnsi="Times New Roman" w:cs="Times New Roman"/>
          <w:szCs w:val="24"/>
        </w:rPr>
        <w:t xml:space="preserve"> </w:t>
      </w:r>
      <w:r w:rsidR="007E5C14" w:rsidRPr="00D44D33">
        <w:rPr>
          <w:rFonts w:ascii="Times New Roman" w:hAnsi="Times New Roman" w:cs="Times New Roman"/>
          <w:szCs w:val="24"/>
        </w:rPr>
        <w:t>określonych</w:t>
      </w:r>
      <w:r w:rsidR="00970B2E" w:rsidRPr="00D44D33">
        <w:rPr>
          <w:rFonts w:ascii="Times New Roman" w:hAnsi="Times New Roman" w:cs="Times New Roman"/>
          <w:szCs w:val="24"/>
        </w:rPr>
        <w:t xml:space="preserve"> </w:t>
      </w:r>
      <w:r w:rsidR="00DE530D"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DE530D" w:rsidRPr="00D44D33">
        <w:rPr>
          <w:rFonts w:ascii="Times New Roman" w:hAnsi="Times New Roman" w:cs="Times New Roman"/>
          <w:szCs w:val="24"/>
        </w:rPr>
        <w:t>nich</w:t>
      </w:r>
      <w:r w:rsidR="00970B2E" w:rsidRPr="00D44D33">
        <w:rPr>
          <w:rFonts w:ascii="Times New Roman" w:hAnsi="Times New Roman" w:cs="Times New Roman"/>
          <w:szCs w:val="24"/>
        </w:rPr>
        <w:t xml:space="preserve"> </w:t>
      </w:r>
      <w:r w:rsidR="00B72FB9" w:rsidRPr="00D44D33">
        <w:rPr>
          <w:rFonts w:ascii="Times New Roman" w:hAnsi="Times New Roman" w:cs="Times New Roman"/>
          <w:szCs w:val="24"/>
        </w:rPr>
        <w:t>warunków</w:t>
      </w:r>
      <w:r w:rsidRPr="00D44D33">
        <w:rPr>
          <w:rFonts w:ascii="Times New Roman" w:hAnsi="Times New Roman" w:cs="Times New Roman"/>
          <w:szCs w:val="24"/>
        </w:rPr>
        <w:t>.</w:t>
      </w:r>
      <w:r w:rsidR="00970B2E" w:rsidRPr="00D44D33">
        <w:rPr>
          <w:rFonts w:ascii="Times New Roman" w:hAnsi="Times New Roman" w:cs="Times New Roman"/>
          <w:szCs w:val="24"/>
        </w:rPr>
        <w:t xml:space="preserve"> </w:t>
      </w:r>
      <w:r w:rsidRPr="00D44D33">
        <w:rPr>
          <w:rFonts w:ascii="Times New Roman" w:hAnsi="Times New Roman" w:cs="Times New Roman"/>
          <w:szCs w:val="24"/>
        </w:rPr>
        <w:t>Sankcje</w:t>
      </w:r>
      <w:r w:rsidR="00970B2E" w:rsidRPr="00D44D33">
        <w:rPr>
          <w:rFonts w:ascii="Times New Roman" w:hAnsi="Times New Roman" w:cs="Times New Roman"/>
          <w:szCs w:val="24"/>
        </w:rPr>
        <w:t xml:space="preserve"> </w:t>
      </w:r>
      <w:r w:rsidRPr="00D44D33">
        <w:rPr>
          <w:rFonts w:ascii="Times New Roman" w:hAnsi="Times New Roman" w:cs="Times New Roman"/>
          <w:szCs w:val="24"/>
        </w:rPr>
        <w:t>mają</w:t>
      </w:r>
      <w:r w:rsidR="00970B2E" w:rsidRPr="00D44D33">
        <w:rPr>
          <w:rFonts w:ascii="Times New Roman" w:hAnsi="Times New Roman" w:cs="Times New Roman"/>
          <w:szCs w:val="24"/>
        </w:rPr>
        <w:t xml:space="preserve"> </w:t>
      </w:r>
      <w:r w:rsidRPr="00D44D33">
        <w:rPr>
          <w:rFonts w:ascii="Times New Roman" w:hAnsi="Times New Roman" w:cs="Times New Roman"/>
          <w:szCs w:val="24"/>
        </w:rPr>
        <w:t>charakter</w:t>
      </w:r>
      <w:r w:rsidR="00970B2E" w:rsidRPr="00D44D33">
        <w:rPr>
          <w:rFonts w:ascii="Times New Roman" w:hAnsi="Times New Roman" w:cs="Times New Roman"/>
          <w:szCs w:val="24"/>
        </w:rPr>
        <w:t xml:space="preserve"> </w:t>
      </w:r>
      <w:r w:rsidRPr="00D44D33">
        <w:rPr>
          <w:rFonts w:ascii="Times New Roman" w:hAnsi="Times New Roman" w:cs="Times New Roman"/>
          <w:szCs w:val="24"/>
        </w:rPr>
        <w:t>proporcjonalny</w:t>
      </w:r>
      <w:r w:rsidR="00970B2E" w:rsidRPr="00D44D33">
        <w:rPr>
          <w:rFonts w:ascii="Times New Roman" w:hAnsi="Times New Roman" w:cs="Times New Roman"/>
          <w:szCs w:val="24"/>
        </w:rPr>
        <w:t xml:space="preserve"> </w:t>
      </w:r>
      <w:r w:rsidRPr="00D44D33">
        <w:rPr>
          <w:rFonts w:ascii="Times New Roman" w:hAnsi="Times New Roman" w:cs="Times New Roman"/>
          <w:szCs w:val="24"/>
        </w:rPr>
        <w:t>i</w:t>
      </w:r>
      <w:r w:rsidR="00970B2E" w:rsidRPr="00D44D33">
        <w:rPr>
          <w:rFonts w:ascii="Times New Roman" w:hAnsi="Times New Roman" w:cs="Times New Roman"/>
          <w:szCs w:val="24"/>
        </w:rPr>
        <w:t xml:space="preserve"> </w:t>
      </w:r>
      <w:r w:rsidRPr="00D44D33">
        <w:rPr>
          <w:rFonts w:ascii="Times New Roman" w:hAnsi="Times New Roman" w:cs="Times New Roman"/>
          <w:szCs w:val="24"/>
        </w:rPr>
        <w:t>odstraszający.</w:t>
      </w:r>
      <w:r w:rsidR="00970B2E" w:rsidRPr="00D44D33">
        <w:rPr>
          <w:rFonts w:ascii="Times New Roman" w:hAnsi="Times New Roman" w:cs="Times New Roman"/>
          <w:szCs w:val="24"/>
        </w:rPr>
        <w:t xml:space="preserve"> </w:t>
      </w:r>
      <w:r w:rsidR="008B2D75" w:rsidRPr="00D44D33">
        <w:rPr>
          <w:rFonts w:ascii="Times New Roman" w:hAnsi="Times New Roman" w:cs="Times New Roman"/>
          <w:szCs w:val="24"/>
        </w:rPr>
        <w:t>Określając</w:t>
      </w:r>
      <w:r w:rsidR="00970B2E" w:rsidRPr="00D44D33">
        <w:rPr>
          <w:rFonts w:ascii="Times New Roman" w:hAnsi="Times New Roman" w:cs="Times New Roman"/>
          <w:szCs w:val="24"/>
        </w:rPr>
        <w:t xml:space="preserve"> </w:t>
      </w:r>
      <w:r w:rsidR="008B2D75" w:rsidRPr="00D44D33">
        <w:rPr>
          <w:rFonts w:ascii="Times New Roman" w:hAnsi="Times New Roman" w:cs="Times New Roman"/>
          <w:szCs w:val="24"/>
        </w:rPr>
        <w:t>wysokości</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grzywny</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oraz</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kar</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dodatkowych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wzorowano</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się</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kwotach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przyjętych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prawie</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francuskim</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dotyczącym</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PRS,</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mając</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na</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względzie</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potrzebę</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zachowania</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jednolitych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rozwiązań</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w</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krajach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członkowskich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UE</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korzystających</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z</w:t>
      </w:r>
      <w:r w:rsidR="00970B2E" w:rsidRPr="00D44D33">
        <w:rPr>
          <w:rFonts w:ascii="Times New Roman" w:hAnsi="Times New Roman" w:cs="Times New Roman"/>
          <w:szCs w:val="24"/>
        </w:rPr>
        <w:t xml:space="preserve"> </w:t>
      </w:r>
      <w:r w:rsidR="002D7566" w:rsidRPr="00D44D33">
        <w:rPr>
          <w:rFonts w:ascii="Times New Roman" w:hAnsi="Times New Roman" w:cs="Times New Roman"/>
          <w:szCs w:val="24"/>
        </w:rPr>
        <w:t>PRS.</w:t>
      </w:r>
    </w:p>
    <w:p w14:paraId="1FB1A4C0" w14:textId="4318737B" w:rsidR="003F6E43" w:rsidRPr="00D44D33" w:rsidRDefault="003F6E43" w:rsidP="00D44D33">
      <w:pPr>
        <w:pStyle w:val="ARTartustawynprozporzdzenia"/>
        <w:spacing w:after="120"/>
        <w:ind w:firstLine="0"/>
        <w:jc w:val="center"/>
        <w:rPr>
          <w:rFonts w:ascii="Times New Roman" w:hAnsi="Times New Roman" w:cs="Times New Roman"/>
          <w:szCs w:val="24"/>
        </w:rPr>
      </w:pPr>
      <w:r w:rsidRPr="00D44D33">
        <w:rPr>
          <w:rFonts w:ascii="Times New Roman" w:hAnsi="Times New Roman" w:cs="Times New Roman"/>
          <w:b/>
          <w:szCs w:val="24"/>
        </w:rPr>
        <w:t>Art. 445</w:t>
      </w:r>
    </w:p>
    <w:p w14:paraId="37C3F84D" w14:textId="2D4FB85D" w:rsidR="00193FDD" w:rsidRPr="00D44D33" w:rsidRDefault="003F6E43" w:rsidP="00D44D33">
      <w:pPr>
        <w:pStyle w:val="USTustnpkodeksu"/>
        <w:ind w:firstLine="0"/>
        <w:rPr>
          <w:rFonts w:ascii="Times New Roman" w:hAnsi="Times New Roman" w:cs="Times New Roman"/>
          <w:bCs w:val="0"/>
          <w:szCs w:val="24"/>
        </w:rPr>
      </w:pPr>
      <w:r w:rsidRPr="00D44D33">
        <w:rPr>
          <w:rFonts w:ascii="Times New Roman" w:hAnsi="Times New Roman" w:cs="Times New Roman"/>
          <w:bCs w:val="0"/>
          <w:szCs w:val="24"/>
        </w:rPr>
        <w:t>Przepis o wejściu w życie stanowi, że u</w:t>
      </w:r>
      <w:r w:rsidR="00193FDD" w:rsidRPr="00D44D33">
        <w:rPr>
          <w:rFonts w:ascii="Times New Roman" w:hAnsi="Times New Roman" w:cs="Times New Roman"/>
          <w:bCs w:val="0"/>
          <w:szCs w:val="24"/>
        </w:rPr>
        <w:t>stawa wchodzi w życie w terminie i na zasadach określonych w ustawie z dnia …. Przepisy wprowadzające ustawę – Prawo komunikacji elektronicznej (Dz.</w:t>
      </w:r>
      <w:r w:rsidR="00F265B5" w:rsidRPr="00D44D33">
        <w:rPr>
          <w:rFonts w:ascii="Times New Roman" w:hAnsi="Times New Roman" w:cs="Times New Roman"/>
          <w:bCs w:val="0"/>
          <w:szCs w:val="24"/>
        </w:rPr>
        <w:t xml:space="preserve"> </w:t>
      </w:r>
      <w:r w:rsidR="00193FDD" w:rsidRPr="00D44D33">
        <w:rPr>
          <w:rFonts w:ascii="Times New Roman" w:hAnsi="Times New Roman" w:cs="Times New Roman"/>
          <w:bCs w:val="0"/>
          <w:szCs w:val="24"/>
        </w:rPr>
        <w:t>U …).</w:t>
      </w:r>
    </w:p>
    <w:p w14:paraId="124C7FEF" w14:textId="1EE8104B" w:rsidR="00EC475B" w:rsidRPr="00D44D33" w:rsidRDefault="00EC475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jest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prawem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p>
    <w:p w14:paraId="1BD4A175" w14:textId="038A7705" w:rsidR="00EC475B" w:rsidRPr="00D44D33" w:rsidRDefault="00EC475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zawiera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przepisów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technicznych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rozumieniu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rozporządzenia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grudnia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sposobu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funkcjonowania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systemu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norm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aktów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prawnych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2039</w:t>
      </w:r>
      <w:r w:rsidR="00E07874" w:rsidRPr="00D44D33">
        <w:rPr>
          <w:rFonts w:ascii="Times New Roman" w:eastAsiaTheme="minorEastAsia" w:hAnsi="Times New Roman" w:cs="Times New Roman"/>
          <w:sz w:val="24"/>
          <w:szCs w:val="24"/>
        </w:rPr>
        <w:t xml:space="preserve"> oraz z 2004 r. poz. 597</w:t>
      </w:r>
      <w:r w:rsidR="00C9157B"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podlega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p>
    <w:p w14:paraId="4742D0BB" w14:textId="30D9EA3D" w:rsidR="00EC475B" w:rsidRPr="00D44D33" w:rsidRDefault="00EC475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Projektowana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regulacja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będzie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wymagała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notyfikacji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trybie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30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kwietnia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2004</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postępowaniu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sprawach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dotyczących</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pomocy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9E2667" w:rsidRPr="00D44D33">
        <w:rPr>
          <w:rFonts w:ascii="Times New Roman" w:eastAsiaTheme="minorEastAsia" w:hAnsi="Times New Roman" w:cs="Times New Roman"/>
          <w:sz w:val="24"/>
          <w:szCs w:val="24"/>
        </w:rPr>
        <w:t>21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9E2667" w:rsidRPr="00D44D33">
        <w:rPr>
          <w:rFonts w:ascii="Times New Roman" w:eastAsiaTheme="minorEastAsia" w:hAnsi="Times New Roman" w:cs="Times New Roman"/>
          <w:sz w:val="24"/>
          <w:szCs w:val="24"/>
        </w:rPr>
        <w:t>743</w:t>
      </w:r>
      <w:r w:rsidR="00E07874" w:rsidRPr="00D44D33">
        <w:rPr>
          <w:rFonts w:ascii="Times New Roman" w:eastAsiaTheme="minorEastAsia" w:hAnsi="Times New Roman" w:cs="Times New Roman"/>
          <w:sz w:val="24"/>
          <w:szCs w:val="24"/>
        </w:rPr>
        <w:t xml:space="preserve"> oraz z 2022 r. poz. 807</w:t>
      </w:r>
      <w:r w:rsidRPr="00D44D33">
        <w:rPr>
          <w:rFonts w:ascii="Times New Roman" w:eastAsiaTheme="minorEastAsia" w:hAnsi="Times New Roman" w:cs="Times New Roman"/>
          <w:sz w:val="24"/>
          <w:szCs w:val="24"/>
        </w:rPr>
        <w:t>).</w:t>
      </w:r>
    </w:p>
    <w:p w14:paraId="694E7DDB" w14:textId="3291399B" w:rsidR="00EC475B" w:rsidRPr="00D44D33" w:rsidRDefault="00EC475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wymaga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przedstawienia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właściwym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organom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instytucjom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tym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Bankowi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Centralnemu,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celu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uzyskania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opinii,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dokonania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powiadomienia,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konsultacji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albo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uzgodnienia.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Ogłoszona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Dzienniku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przekazana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Komisji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Europejskiej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jako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krajowy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środek</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wykonawczy.</w:t>
      </w:r>
    </w:p>
    <w:p w14:paraId="033F384B" w14:textId="09377B36" w:rsidR="0055671D" w:rsidRPr="00D44D33" w:rsidRDefault="00EC475B" w:rsidP="00D44D33">
      <w:pPr>
        <w:spacing w:before="120" w:after="120" w:line="360" w:lineRule="auto"/>
        <w:jc w:val="both"/>
        <w:rPr>
          <w:rFonts w:ascii="Times New Roman" w:eastAsiaTheme="minorEastAsia" w:hAnsi="Times New Roman" w:cs="Times New Roman"/>
          <w:sz w:val="24"/>
          <w:szCs w:val="24"/>
        </w:rPr>
      </w:pPr>
      <w:r w:rsidRPr="00D44D33">
        <w:rPr>
          <w:rFonts w:ascii="Times New Roman" w:eastAsiaTheme="minorEastAsia" w:hAnsi="Times New Roman" w:cs="Times New Roman"/>
          <w:sz w:val="24"/>
          <w:szCs w:val="24"/>
        </w:rPr>
        <w:t>Stosownie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postanowień</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art.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ustawy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lipca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2005</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działalności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lobbingowej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stanowienia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prawa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2017</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248),</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projekt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zosta</w:t>
      </w:r>
      <w:r w:rsidR="009E2667" w:rsidRPr="00D44D33">
        <w:rPr>
          <w:rFonts w:ascii="Times New Roman" w:eastAsiaTheme="minorEastAsia" w:hAnsi="Times New Roman" w:cs="Times New Roman"/>
          <w:sz w:val="24"/>
          <w:szCs w:val="24"/>
        </w:rPr>
        <w:t>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371EEA">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Biuletynie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Ponadto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zgodnie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52</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ust.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uchwały</w:t>
      </w:r>
      <w:r w:rsidR="00970B2E" w:rsidRPr="00D44D33">
        <w:rPr>
          <w:rFonts w:ascii="Times New Roman" w:eastAsiaTheme="minorEastAsia" w:hAnsi="Times New Roman" w:cs="Times New Roman"/>
          <w:sz w:val="24"/>
          <w:szCs w:val="24"/>
        </w:rPr>
        <w:t xml:space="preserve"> </w:t>
      </w:r>
      <w:r w:rsidR="009E2667" w:rsidRPr="00D44D33">
        <w:rPr>
          <w:rFonts w:ascii="Times New Roman" w:eastAsiaTheme="minorEastAsia" w:hAnsi="Times New Roman" w:cs="Times New Roman"/>
          <w:sz w:val="24"/>
          <w:szCs w:val="24"/>
        </w:rPr>
        <w:t>n</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190</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dnia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29</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października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2013</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Regulamin</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pracy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Rady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Ministrów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(M.P.</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z</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20</w:t>
      </w:r>
      <w:r w:rsidR="00E07874" w:rsidRPr="00D44D33">
        <w:rPr>
          <w:rFonts w:ascii="Times New Roman" w:eastAsiaTheme="minorEastAsia" w:hAnsi="Times New Roman" w:cs="Times New Roman"/>
          <w:sz w:val="24"/>
          <w:szCs w:val="24"/>
        </w:rPr>
        <w:t xml:space="preserve">22 </w:t>
      </w:r>
      <w:r w:rsidRPr="00D44D33">
        <w:rPr>
          <w:rFonts w:ascii="Times New Roman" w:eastAsiaTheme="minorEastAsia" w:hAnsi="Times New Roman" w:cs="Times New Roman"/>
          <w:sz w:val="24"/>
          <w:szCs w:val="24"/>
        </w:rPr>
        <w:t>r.</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poz.</w:t>
      </w:r>
      <w:r w:rsidR="00970B2E" w:rsidRPr="00D44D33">
        <w:rPr>
          <w:rFonts w:ascii="Times New Roman" w:eastAsiaTheme="minorEastAsia" w:hAnsi="Times New Roman" w:cs="Times New Roman"/>
          <w:sz w:val="24"/>
          <w:szCs w:val="24"/>
        </w:rPr>
        <w:t xml:space="preserve"> </w:t>
      </w:r>
      <w:r w:rsidR="00BC561F" w:rsidRPr="00D44D33">
        <w:rPr>
          <w:rFonts w:ascii="Times New Roman" w:eastAsiaTheme="minorEastAsia" w:hAnsi="Times New Roman" w:cs="Times New Roman"/>
          <w:sz w:val="24"/>
          <w:szCs w:val="24"/>
        </w:rPr>
        <w:t>3</w:t>
      </w:r>
      <w:r w:rsidR="00E07874" w:rsidRPr="00D44D33">
        <w:rPr>
          <w:rFonts w:ascii="Times New Roman" w:eastAsiaTheme="minorEastAsia" w:hAnsi="Times New Roman" w:cs="Times New Roman"/>
          <w:sz w:val="24"/>
          <w:szCs w:val="24"/>
        </w:rPr>
        <w:t>48)</w:t>
      </w:r>
      <w:r w:rsidR="00BC561F" w:rsidRPr="00D44D33">
        <w:rPr>
          <w:rFonts w:ascii="Times New Roman" w:eastAsiaTheme="minorEastAsia" w:hAnsi="Times New Roman" w:cs="Times New Roman"/>
          <w:sz w:val="24"/>
          <w:szCs w:val="24"/>
        </w:rPr>
        <w:t xml:space="preserve"> </w:t>
      </w:r>
      <w:r w:rsidR="00280ECE">
        <w:rPr>
          <w:rFonts w:ascii="Times New Roman" w:eastAsiaTheme="minorEastAsia" w:hAnsi="Times New Roman" w:cs="Times New Roman"/>
          <w:sz w:val="24"/>
          <w:szCs w:val="24"/>
        </w:rPr>
        <w:t xml:space="preserve">projekt </w:t>
      </w:r>
      <w:r w:rsidRPr="00D44D33">
        <w:rPr>
          <w:rFonts w:ascii="Times New Roman" w:eastAsiaTheme="minorEastAsia" w:hAnsi="Times New Roman" w:cs="Times New Roman"/>
          <w:sz w:val="24"/>
          <w:szCs w:val="24"/>
        </w:rPr>
        <w:t>zosta</w:t>
      </w:r>
      <w:r w:rsidR="009E2667" w:rsidRPr="00D44D33">
        <w:rPr>
          <w:rFonts w:ascii="Times New Roman" w:eastAsiaTheme="minorEastAsia" w:hAnsi="Times New Roman" w:cs="Times New Roman"/>
          <w:sz w:val="24"/>
          <w:szCs w:val="24"/>
        </w:rPr>
        <w:t>ł</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udostępniony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Biuletynie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Informacji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Publicznej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na</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stronie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podmiotowej</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Rządowego</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Centrum</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Legislacji,</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w</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serwisie</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Rządowy</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Proces</w:t>
      </w:r>
      <w:r w:rsidR="00970B2E" w:rsidRPr="00D44D33">
        <w:rPr>
          <w:rFonts w:ascii="Times New Roman" w:eastAsiaTheme="minorEastAsia" w:hAnsi="Times New Roman" w:cs="Times New Roman"/>
          <w:sz w:val="24"/>
          <w:szCs w:val="24"/>
        </w:rPr>
        <w:t xml:space="preserve"> </w:t>
      </w:r>
      <w:r w:rsidRPr="00D44D33">
        <w:rPr>
          <w:rFonts w:ascii="Times New Roman" w:eastAsiaTheme="minorEastAsia" w:hAnsi="Times New Roman" w:cs="Times New Roman"/>
          <w:sz w:val="24"/>
          <w:szCs w:val="24"/>
        </w:rPr>
        <w:t>Legislacyjny.</w:t>
      </w:r>
    </w:p>
    <w:sectPr w:rsidR="0055671D" w:rsidRPr="00D44D33" w:rsidSect="00D44D33">
      <w:headerReference w:type="default" r:id="rId27"/>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90BA" w14:textId="77777777" w:rsidR="008420FE" w:rsidRDefault="008420FE" w:rsidP="004E7184">
      <w:pPr>
        <w:spacing w:after="0" w:line="240" w:lineRule="auto"/>
      </w:pPr>
      <w:r>
        <w:separator/>
      </w:r>
    </w:p>
  </w:endnote>
  <w:endnote w:type="continuationSeparator" w:id="0">
    <w:p w14:paraId="2917AE8D" w14:textId="77777777" w:rsidR="008420FE" w:rsidRDefault="008420FE" w:rsidP="004E7184">
      <w:pPr>
        <w:spacing w:after="0" w:line="240" w:lineRule="auto"/>
      </w:pPr>
      <w:r>
        <w:continuationSeparator/>
      </w:r>
    </w:p>
  </w:endnote>
  <w:endnote w:type="continuationNotice" w:id="1">
    <w:p w14:paraId="0F83C958" w14:textId="77777777" w:rsidR="008420FE" w:rsidRDefault="00842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3B4B" w14:textId="1C9B2ED5" w:rsidR="008A6BFE" w:rsidRPr="00D44D33" w:rsidRDefault="00007460">
    <w:pPr>
      <w:pStyle w:val="Stopka"/>
      <w:jc w:val="center"/>
      <w:rPr>
        <w:rFonts w:ascii="Times New Roman" w:hAnsi="Times New Roman" w:cs="Times New Roman"/>
        <w:sz w:val="24"/>
        <w:szCs w:val="24"/>
      </w:rPr>
    </w:pPr>
    <w:sdt>
      <w:sdtPr>
        <w:rPr>
          <w:rFonts w:ascii="Times New Roman" w:hAnsi="Times New Roman" w:cs="Times New Roman"/>
          <w:sz w:val="24"/>
          <w:szCs w:val="24"/>
        </w:rPr>
        <w:id w:val="-95788027"/>
        <w:docPartObj>
          <w:docPartGallery w:val="Page Numbers (Bottom of Page)"/>
          <w:docPartUnique/>
        </w:docPartObj>
      </w:sdtPr>
      <w:sdtEndPr/>
      <w:sdtContent>
        <w:r w:rsidR="008A6BFE" w:rsidRPr="00D44D33">
          <w:rPr>
            <w:rFonts w:ascii="Times New Roman" w:hAnsi="Times New Roman" w:cs="Times New Roman"/>
            <w:sz w:val="24"/>
            <w:szCs w:val="24"/>
          </w:rPr>
          <w:fldChar w:fldCharType="begin"/>
        </w:r>
        <w:r w:rsidR="008A6BFE" w:rsidRPr="00D44D33">
          <w:rPr>
            <w:rFonts w:ascii="Times New Roman" w:hAnsi="Times New Roman" w:cs="Times New Roman"/>
            <w:sz w:val="24"/>
            <w:szCs w:val="24"/>
          </w:rPr>
          <w:instrText>PAGE   \* MERGEFORMAT</w:instrText>
        </w:r>
        <w:r w:rsidR="008A6BFE" w:rsidRPr="00D44D33">
          <w:rPr>
            <w:rFonts w:ascii="Times New Roman" w:hAnsi="Times New Roman" w:cs="Times New Roman"/>
            <w:sz w:val="24"/>
            <w:szCs w:val="24"/>
          </w:rPr>
          <w:fldChar w:fldCharType="separate"/>
        </w:r>
        <w:r>
          <w:rPr>
            <w:rFonts w:ascii="Times New Roman" w:hAnsi="Times New Roman" w:cs="Times New Roman"/>
            <w:noProof/>
            <w:sz w:val="24"/>
            <w:szCs w:val="24"/>
          </w:rPr>
          <w:t>302</w:t>
        </w:r>
        <w:r w:rsidR="008A6BFE" w:rsidRPr="00D44D33">
          <w:rPr>
            <w:rFonts w:ascii="Times New Roman" w:hAnsi="Times New Roman" w:cs="Times New Roman"/>
            <w:sz w:val="24"/>
            <w:szCs w:val="24"/>
          </w:rPr>
          <w:fldChar w:fldCharType="end"/>
        </w:r>
      </w:sdtContent>
    </w:sdt>
  </w:p>
  <w:p w14:paraId="787F2084" w14:textId="77777777" w:rsidR="008A6BFE" w:rsidRDefault="008A6B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46BE" w14:textId="77777777" w:rsidR="008420FE" w:rsidRDefault="008420FE" w:rsidP="004E7184">
      <w:pPr>
        <w:spacing w:after="0" w:line="240" w:lineRule="auto"/>
      </w:pPr>
      <w:r>
        <w:separator/>
      </w:r>
    </w:p>
  </w:footnote>
  <w:footnote w:type="continuationSeparator" w:id="0">
    <w:p w14:paraId="071C2307" w14:textId="77777777" w:rsidR="008420FE" w:rsidRDefault="008420FE" w:rsidP="004E7184">
      <w:pPr>
        <w:spacing w:after="0" w:line="240" w:lineRule="auto"/>
      </w:pPr>
      <w:r>
        <w:continuationSeparator/>
      </w:r>
    </w:p>
  </w:footnote>
  <w:footnote w:type="continuationNotice" w:id="1">
    <w:p w14:paraId="72EABBEF" w14:textId="77777777" w:rsidR="008420FE" w:rsidRDefault="008420FE">
      <w:pPr>
        <w:spacing w:after="0" w:line="240" w:lineRule="auto"/>
      </w:pPr>
    </w:p>
  </w:footnote>
  <w:footnote w:id="2">
    <w:p w14:paraId="5A838741" w14:textId="77777777" w:rsidR="008A6BFE" w:rsidRPr="00C53EAB" w:rsidRDefault="008A6BFE" w:rsidP="00086786">
      <w:pPr>
        <w:pStyle w:val="Tekstprzypisudolnego"/>
        <w:jc w:val="both"/>
        <w:rPr>
          <w:rFonts w:ascii="Times New Roman" w:hAnsi="Times New Roman" w:cs="Times New Roman"/>
        </w:rPr>
      </w:pPr>
      <w:r w:rsidRPr="00C53EAB">
        <w:rPr>
          <w:rStyle w:val="Odwoanieprzypisudolnego"/>
          <w:rFonts w:ascii="Times New Roman" w:hAnsi="Times New Roman" w:cs="Times New Roman"/>
        </w:rPr>
        <w:footnoteRef/>
      </w:r>
      <w:r w:rsidRPr="00C53EAB">
        <w:rPr>
          <w:rFonts w:ascii="Times New Roman" w:hAnsi="Times New Roman" w:cs="Times New Roman"/>
        </w:rPr>
        <w:t xml:space="preserve"> wyr. SN z 6.11.1991 r., </w:t>
      </w:r>
      <w:hyperlink r:id="rId1" w:history="1">
        <w:r w:rsidRPr="00C53EAB">
          <w:rPr>
            <w:rStyle w:val="Hipercze"/>
            <w:rFonts w:ascii="Times New Roman" w:hAnsi="Times New Roman" w:cs="Times New Roman"/>
            <w:color w:val="auto"/>
            <w:u w:val="none"/>
          </w:rPr>
          <w:t>I PRN 47/91</w:t>
        </w:r>
      </w:hyperlink>
      <w:r w:rsidRPr="00C53EAB">
        <w:rPr>
          <w:rFonts w:ascii="Times New Roman" w:hAnsi="Times New Roman" w:cs="Times New Roman"/>
        </w:rPr>
        <w:t>, OSP 1992, Nr 7–8, poz. 151</w:t>
      </w:r>
    </w:p>
  </w:footnote>
  <w:footnote w:id="3">
    <w:p w14:paraId="02E8B4F7" w14:textId="77777777" w:rsidR="008A6BFE" w:rsidRPr="00C53EAB" w:rsidRDefault="008A6BFE" w:rsidP="00086786">
      <w:pPr>
        <w:pStyle w:val="Tekstprzypisudolnego"/>
        <w:jc w:val="both"/>
        <w:rPr>
          <w:rFonts w:ascii="Times New Roman" w:hAnsi="Times New Roman" w:cs="Times New Roman"/>
        </w:rPr>
      </w:pPr>
      <w:r w:rsidRPr="00C53EAB">
        <w:rPr>
          <w:rStyle w:val="Odwoanieprzypisudolnego"/>
          <w:rFonts w:ascii="Times New Roman" w:hAnsi="Times New Roman" w:cs="Times New Roman"/>
        </w:rPr>
        <w:footnoteRef/>
      </w:r>
      <w:r w:rsidRPr="00C53EAB">
        <w:rPr>
          <w:rFonts w:ascii="Times New Roman" w:hAnsi="Times New Roman" w:cs="Times New Roman"/>
        </w:rPr>
        <w:t xml:space="preserve"> </w:t>
      </w:r>
      <w:r w:rsidRPr="00C53EAB">
        <w:rPr>
          <w:rFonts w:ascii="Times New Roman" w:eastAsia="Times New Roman" w:hAnsi="Times New Roman" w:cs="Times New Roman"/>
          <w:lang w:eastAsia="pl-PL"/>
        </w:rPr>
        <w:t xml:space="preserve">Kodeks pracy. Komentarz, red. prof. dr hab. Wojciech Muszalski, </w:t>
      </w:r>
      <w:r w:rsidRPr="00C53EAB">
        <w:rPr>
          <w:rFonts w:ascii="Times New Roman" w:hAnsi="Times New Roman" w:cs="Times New Roman"/>
        </w:rPr>
        <w:t>Wyd. 12, Warszawa 2019</w:t>
      </w:r>
    </w:p>
    <w:p w14:paraId="34730DDF" w14:textId="77777777" w:rsidR="008A6BFE" w:rsidRPr="00C53EAB" w:rsidRDefault="008A6BFE" w:rsidP="00086786">
      <w:pPr>
        <w:pStyle w:val="Tekstprzypisudolnego"/>
        <w:rPr>
          <w:rFonts w:ascii="Times New Roman" w:hAnsi="Times New Roman" w:cs="Times New Roman"/>
        </w:rPr>
      </w:pPr>
    </w:p>
  </w:footnote>
  <w:footnote w:id="4">
    <w:p w14:paraId="3CE7E8F3" w14:textId="280C062C" w:rsidR="008A6BFE" w:rsidRPr="00AA3879" w:rsidRDefault="008A6BFE">
      <w:pPr>
        <w:pStyle w:val="Tekstprzypisudolnego"/>
        <w:rPr>
          <w:rFonts w:ascii="Times New Roman" w:hAnsi="Times New Roman" w:cs="Times New Roman"/>
        </w:rPr>
      </w:pPr>
      <w:r w:rsidRPr="00AA3879">
        <w:rPr>
          <w:rStyle w:val="Odwoanieprzypisudolnego"/>
          <w:rFonts w:ascii="Times New Roman" w:hAnsi="Times New Roman" w:cs="Times New Roman"/>
        </w:rPr>
        <w:footnoteRef/>
      </w:r>
      <w:r w:rsidRPr="00291A70">
        <w:rPr>
          <w:rFonts w:ascii="Times New Roman" w:hAnsi="Times New Roman" w:cs="Times New Roman"/>
          <w:vertAlign w:val="superscript"/>
        </w:rPr>
        <w:t>)</w:t>
      </w:r>
      <w:r w:rsidRPr="00AA3879">
        <w:rPr>
          <w:rFonts w:ascii="Times New Roman" w:hAnsi="Times New Roman" w:cs="Times New Roman"/>
        </w:rPr>
        <w:t xml:space="preserve"> Patrz decyzje UOKiK, m.in. </w:t>
      </w:r>
      <w:r w:rsidRPr="00AA3879">
        <w:rPr>
          <w:rFonts w:ascii="Times New Roman" w:eastAsia="Times New Roman" w:hAnsi="Times New Roman" w:cs="Times New Roman"/>
          <w:color w:val="212529"/>
          <w:lang w:eastAsia="pl-PL"/>
        </w:rPr>
        <w:t xml:space="preserve">decyzja UOKiK w sprawie Netii z 30 maja 2019 r. nr </w:t>
      </w:r>
      <w:r w:rsidRPr="00AA3879">
        <w:rPr>
          <w:rFonts w:ascii="Times New Roman" w:hAnsi="Times New Roman" w:cs="Times New Roman"/>
        </w:rPr>
        <w:t>DOZIK 3/2019</w:t>
      </w:r>
      <w:r w:rsidRPr="00902FA6">
        <w:rPr>
          <w:rFonts w:ascii="Times New Roman" w:hAnsi="Times New Roman" w:cs="Times New Roman"/>
        </w:rPr>
        <w:t xml:space="preserve">; </w:t>
      </w:r>
      <w:r w:rsidRPr="00B61396">
        <w:rPr>
          <w:rFonts w:ascii="Times New Roman" w:hAnsi="Times New Roman" w:cs="Times New Roman"/>
        </w:rPr>
        <w:t>https://www.uokik.gov.pl/aktualnosci.php?news_id=15607</w:t>
      </w:r>
      <w:r w:rsidRPr="00AA3879">
        <w:rPr>
          <w:rStyle w:val="Hipercze"/>
          <w:rFonts w:ascii="Times New Roman" w:hAnsi="Times New Roman" w:cs="Times New Roman"/>
        </w:rPr>
        <w:t xml:space="preserve"> </w:t>
      </w:r>
    </w:p>
  </w:footnote>
  <w:footnote w:id="5">
    <w:p w14:paraId="27E080F4" w14:textId="3ACCE981" w:rsidR="008A6BFE" w:rsidRPr="00AA3879" w:rsidRDefault="008A6BFE" w:rsidP="00AA3879">
      <w:pPr>
        <w:spacing w:after="120" w:line="240" w:lineRule="auto"/>
        <w:jc w:val="both"/>
        <w:rPr>
          <w:rFonts w:ascii="Times New Roman" w:eastAsia="Times New Roman" w:hAnsi="Times New Roman" w:cs="Times New Roman"/>
          <w:sz w:val="20"/>
          <w:szCs w:val="20"/>
          <w:lang w:eastAsia="pl-PL"/>
        </w:rPr>
      </w:pPr>
      <w:r w:rsidRPr="00AA3879">
        <w:rPr>
          <w:rStyle w:val="Odwoanieprzypisudolnego"/>
          <w:rFonts w:ascii="Times New Roman" w:hAnsi="Times New Roman" w:cs="Times New Roman"/>
          <w:sz w:val="20"/>
          <w:szCs w:val="20"/>
        </w:rPr>
        <w:footnoteRef/>
      </w:r>
      <w:r w:rsidRPr="00291A70">
        <w:rPr>
          <w:rFonts w:ascii="Times New Roman" w:hAnsi="Times New Roman" w:cs="Times New Roman"/>
          <w:sz w:val="20"/>
          <w:szCs w:val="20"/>
          <w:vertAlign w:val="superscript"/>
        </w:rPr>
        <w:t>)</w:t>
      </w:r>
      <w:r w:rsidRPr="00AA3879">
        <w:rPr>
          <w:rFonts w:ascii="Times New Roman" w:hAnsi="Times New Roman" w:cs="Times New Roman"/>
          <w:sz w:val="20"/>
          <w:szCs w:val="20"/>
        </w:rPr>
        <w:t xml:space="preserve"> Wyrok WSA </w:t>
      </w:r>
      <w:r w:rsidRPr="00AA3879">
        <w:rPr>
          <w:rFonts w:ascii="Times New Roman" w:hAnsi="Times New Roman" w:cs="Times New Roman"/>
          <w:bCs/>
          <w:color w:val="000000"/>
          <w:sz w:val="20"/>
          <w:szCs w:val="20"/>
          <w:shd w:val="clear" w:color="auto" w:fill="FFFFFF"/>
        </w:rPr>
        <w:t>w Warszawie, sygn. II SA/Wa 269/11. W zaskarżonej do WSA decyzji GIODO wskazano, iż</w:t>
      </w:r>
      <w:r>
        <w:rPr>
          <w:rFonts w:ascii="Times New Roman" w:hAnsi="Times New Roman" w:cs="Times New Roman"/>
          <w:bCs/>
          <w:color w:val="000000"/>
          <w:sz w:val="20"/>
          <w:szCs w:val="20"/>
          <w:shd w:val="clear" w:color="auto" w:fill="FFFFFF"/>
        </w:rPr>
        <w:t xml:space="preserve"> </w:t>
      </w:r>
      <w:r w:rsidRPr="00AA3879">
        <w:rPr>
          <w:rFonts w:ascii="Times New Roman" w:hAnsi="Times New Roman" w:cs="Times New Roman"/>
          <w:i/>
          <w:color w:val="333333"/>
          <w:sz w:val="20"/>
          <w:szCs w:val="20"/>
          <w:shd w:val="clear" w:color="auto" w:fill="FFFFFF"/>
        </w:rPr>
        <w:t>w</w:t>
      </w:r>
      <w:r w:rsidRPr="00AA3879">
        <w:rPr>
          <w:rFonts w:ascii="Times New Roman" w:eastAsia="Times New Roman" w:hAnsi="Times New Roman" w:cs="Times New Roman"/>
          <w:i/>
          <w:color w:val="333333"/>
          <w:sz w:val="20"/>
          <w:szCs w:val="20"/>
          <w:shd w:val="clear" w:color="auto" w:fill="FFFFFF"/>
          <w:lang w:eastAsia="pl-PL"/>
        </w:rPr>
        <w:t xml:space="preserve"> przypadku sformułowania jednego oświadczenia woli zawierającego w swej treści zgodę, o której mowa w przepisach uodo oraz tą wskazaną w uśude, trudno mówić o spełnieniu przez administratora danych określonego w ustawie o ochronie danych osobowych wymogu zapewnienia osobie, której dane dotyczą, swobodnego i nieskrępowanego podjęcia decyzji i wyrażenia woli w sprawie zgody na przetwarzanie jej danych osobowych. Podmiot danych wyrażając chęć otrzymywania informacji handlowych na adres poczty elektronicznej musi jednocześnie złożyć oświadczenie woli w przedmiocie zgody na przetwarzanie jego danych osobowych w celach marketingowych wynikającą z przepisów ustawy o ochronie danych osobowych. Osoba, której dane dotyczą, zainteresowana otrzymywaniem materiałów reklamowych dotyczących usług i produktów oferowanych przez inne niż administrator danych podmioty, wyłącznie tzw. "pocztą tradycyjną", zobowiązana jest jednocześnie do wyrażenia woli na przesyłanie na jej adres poczty elektronicznej informacji handlowych</w:t>
      </w:r>
      <w:r w:rsidRPr="00AA3879">
        <w:rPr>
          <w:rFonts w:ascii="Times New Roman" w:eastAsia="Times New Roman" w:hAnsi="Times New Roman" w:cs="Times New Roman"/>
          <w:color w:val="333333"/>
          <w:sz w:val="20"/>
          <w:szCs w:val="20"/>
          <w:shd w:val="clear" w:color="auto" w:fill="FFFFFF"/>
          <w:lang w:eastAsia="pl-PL"/>
        </w:rPr>
        <w:t xml:space="preserve">. WSA wskazał, iż </w:t>
      </w:r>
      <w:r w:rsidRPr="00AA3879">
        <w:rPr>
          <w:rFonts w:ascii="Times New Roman" w:eastAsia="Times New Roman" w:hAnsi="Times New Roman" w:cs="Times New Roman"/>
          <w:i/>
          <w:color w:val="333333"/>
          <w:sz w:val="20"/>
          <w:szCs w:val="20"/>
          <w:shd w:val="clear" w:color="auto" w:fill="FFFFFF"/>
          <w:lang w:eastAsia="pl-PL"/>
        </w:rPr>
        <w:t>niekorzystne jest to dla osoby, która chce, aby w ograniczonym stopniu były przetwarzane jej dane osobowe, np. chciałaby otrzymywać informacje o produktach grupy (...) pocztą elektroniczną, ale nie jest zainteresowana innymi formami marketingu np. marketingiem telefonicznym. (…). Klauzula zgody na przetwarzanie danych osobowych w celach marketingowych i klauzula przetwarzania danych w celach związanych z otrzymywaniem informacji handlowych powinny być zatem oddzielone</w:t>
      </w:r>
      <w:r w:rsidRPr="00B96FBC">
        <w:rPr>
          <w:rFonts w:ascii="Times New Roman" w:eastAsia="Times New Roman" w:hAnsi="Times New Roman" w:cs="Times New Roman"/>
          <w:color w:val="333333"/>
          <w:sz w:val="20"/>
          <w:szCs w:val="20"/>
          <w:shd w:val="clear" w:color="auto" w:fill="FFFFFF"/>
          <w:lang w:eastAsia="pl-PL"/>
        </w:rPr>
        <w:t>. Warto przy tym wskazać, że zarzuty dotyczyły ogólnie sformułowanej zgody na przetwarzanie danych osobowych</w:t>
      </w:r>
      <w:r>
        <w:rPr>
          <w:rFonts w:ascii="Times New Roman" w:eastAsia="Times New Roman" w:hAnsi="Times New Roman" w:cs="Times New Roman"/>
          <w:color w:val="333333"/>
          <w:sz w:val="20"/>
          <w:szCs w:val="20"/>
          <w:shd w:val="clear" w:color="auto" w:fill="FFFFFF"/>
          <w:lang w:eastAsia="pl-PL"/>
        </w:rPr>
        <w:t xml:space="preserve"> w celach marketingowych. </w:t>
      </w:r>
    </w:p>
    <w:p w14:paraId="6ABFDFD6" w14:textId="77777777" w:rsidR="008A6BFE" w:rsidRPr="00AA3879" w:rsidRDefault="008A6BFE" w:rsidP="00AA3879">
      <w:pPr>
        <w:pStyle w:val="Tekstprzypisudolnego"/>
        <w:jc w:val="both"/>
        <w:rPr>
          <w:rFonts w:ascii="Times New Roman" w:hAnsi="Times New Roman" w:cs="Times New Roman"/>
        </w:rPr>
      </w:pPr>
    </w:p>
  </w:footnote>
  <w:footnote w:id="6">
    <w:p w14:paraId="5DFB14B8" w14:textId="04D9C5FC" w:rsidR="008A6BFE" w:rsidRDefault="008A6BFE">
      <w:pPr>
        <w:pStyle w:val="Tekstprzypisudolnego"/>
      </w:pPr>
      <w:r w:rsidRPr="00AA3879">
        <w:rPr>
          <w:rStyle w:val="Odwoanieprzypisudolnego"/>
          <w:rFonts w:ascii="Times New Roman" w:hAnsi="Times New Roman" w:cs="Times New Roman"/>
        </w:rPr>
        <w:footnoteRef/>
      </w:r>
      <w:r w:rsidRPr="00291A70">
        <w:rPr>
          <w:rFonts w:ascii="Times New Roman" w:hAnsi="Times New Roman" w:cs="Times New Roman"/>
          <w:vertAlign w:val="superscript"/>
        </w:rPr>
        <w:t>)</w:t>
      </w:r>
      <w:r>
        <w:rPr>
          <w:rFonts w:ascii="Times New Roman" w:hAnsi="Times New Roman" w:cs="Times New Roman"/>
        </w:rPr>
        <w:t xml:space="preserve"> </w:t>
      </w:r>
      <w:r w:rsidRPr="00AA3879">
        <w:rPr>
          <w:rFonts w:ascii="Times New Roman" w:hAnsi="Times New Roman" w:cs="Times New Roman"/>
        </w:rPr>
        <w:t>W tym zakresie warto przywołać wytyczne brytyjskiego organu ochrony danych osobowych</w:t>
      </w:r>
      <w:r>
        <w:rPr>
          <w:rFonts w:ascii="Times New Roman" w:hAnsi="Times New Roman" w:cs="Times New Roman"/>
        </w:rPr>
        <w:t xml:space="preserve">, </w:t>
      </w:r>
      <w:r w:rsidRPr="00D44D33">
        <w:t>https://ico.org.uk/media/for-organisations/documents/1555/direct-marketing-guidance.pdf</w:t>
      </w:r>
      <w:r>
        <w:rPr>
          <w:rStyle w:val="Hipercz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A6BFE" w14:paraId="506E9909" w14:textId="77777777" w:rsidTr="005F69BF">
      <w:tc>
        <w:tcPr>
          <w:tcW w:w="3020" w:type="dxa"/>
        </w:tcPr>
        <w:p w14:paraId="0BADCA19" w14:textId="77777777" w:rsidR="008A6BFE" w:rsidRDefault="008A6BFE" w:rsidP="005F69BF">
          <w:pPr>
            <w:pStyle w:val="Nagwek"/>
            <w:ind w:left="-115"/>
          </w:pPr>
        </w:p>
      </w:tc>
      <w:tc>
        <w:tcPr>
          <w:tcW w:w="3020" w:type="dxa"/>
        </w:tcPr>
        <w:p w14:paraId="252EE724" w14:textId="77777777" w:rsidR="008A6BFE" w:rsidRDefault="008A6BFE" w:rsidP="005F69BF">
          <w:pPr>
            <w:pStyle w:val="Nagwek"/>
            <w:jc w:val="center"/>
          </w:pPr>
        </w:p>
      </w:tc>
      <w:tc>
        <w:tcPr>
          <w:tcW w:w="3020" w:type="dxa"/>
        </w:tcPr>
        <w:p w14:paraId="1366238D" w14:textId="77777777" w:rsidR="008A6BFE" w:rsidRDefault="008A6BFE" w:rsidP="005F69BF">
          <w:pPr>
            <w:pStyle w:val="Nagwek"/>
            <w:ind w:right="-115"/>
            <w:jc w:val="right"/>
          </w:pPr>
        </w:p>
      </w:tc>
    </w:tr>
  </w:tbl>
  <w:p w14:paraId="3DF1CCAE" w14:textId="77777777" w:rsidR="008A6BFE" w:rsidRDefault="008A6BFE" w:rsidP="005F69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2"/>
      <w:numFmt w:val="decimal"/>
      <w:suff w:val="space"/>
      <w:lvlText w:val="%1."/>
      <w:lvlJc w:val="left"/>
    </w:lvl>
  </w:abstractNum>
  <w:abstractNum w:abstractNumId="1" w15:restartNumberingAfterBreak="0">
    <w:nsid w:val="00000010"/>
    <w:multiLevelType w:val="hybridMultilevel"/>
    <w:tmpl w:val="00000010"/>
    <w:lvl w:ilvl="0" w:tplc="150E3CD0">
      <w:start w:val="1"/>
      <w:numFmt w:val="decimal"/>
      <w:suff w:val="space"/>
      <w:lvlText w:val="%1."/>
      <w:lvlJc w:val="left"/>
    </w:lvl>
    <w:lvl w:ilvl="1" w:tplc="434635D8">
      <w:numFmt w:val="decimal"/>
      <w:lvlText w:val=""/>
      <w:lvlJc w:val="left"/>
    </w:lvl>
    <w:lvl w:ilvl="2" w:tplc="2E98D53C">
      <w:numFmt w:val="decimal"/>
      <w:lvlText w:val=""/>
      <w:lvlJc w:val="left"/>
    </w:lvl>
    <w:lvl w:ilvl="3" w:tplc="089A7C06">
      <w:numFmt w:val="decimal"/>
      <w:lvlText w:val=""/>
      <w:lvlJc w:val="left"/>
    </w:lvl>
    <w:lvl w:ilvl="4" w:tplc="7B5E24FE">
      <w:numFmt w:val="decimal"/>
      <w:lvlText w:val=""/>
      <w:lvlJc w:val="left"/>
    </w:lvl>
    <w:lvl w:ilvl="5" w:tplc="8788D0D8">
      <w:numFmt w:val="decimal"/>
      <w:lvlText w:val=""/>
      <w:lvlJc w:val="left"/>
    </w:lvl>
    <w:lvl w:ilvl="6" w:tplc="6CE0454E">
      <w:numFmt w:val="decimal"/>
      <w:lvlText w:val=""/>
      <w:lvlJc w:val="left"/>
    </w:lvl>
    <w:lvl w:ilvl="7" w:tplc="17B0FC9A">
      <w:numFmt w:val="decimal"/>
      <w:lvlText w:val=""/>
      <w:lvlJc w:val="left"/>
    </w:lvl>
    <w:lvl w:ilvl="8" w:tplc="4E6AA2EE">
      <w:numFmt w:val="decimal"/>
      <w:lvlText w:val=""/>
      <w:lvlJc w:val="left"/>
    </w:lvl>
  </w:abstractNum>
  <w:abstractNum w:abstractNumId="2" w15:restartNumberingAfterBreak="0">
    <w:nsid w:val="00000015"/>
    <w:multiLevelType w:val="hybridMultilevel"/>
    <w:tmpl w:val="00000015"/>
    <w:lvl w:ilvl="0" w:tplc="61CA1D86">
      <w:start w:val="1"/>
      <w:numFmt w:val="decimal"/>
      <w:lvlText w:val="%1)"/>
      <w:lvlJc w:val="left"/>
      <w:pPr>
        <w:ind w:left="1080" w:hanging="360"/>
      </w:pPr>
      <w:rPr>
        <w:rFonts w:hint="default"/>
      </w:rPr>
    </w:lvl>
    <w:lvl w:ilvl="1" w:tplc="0F96646C">
      <w:start w:val="1"/>
      <w:numFmt w:val="lowerLetter"/>
      <w:lvlText w:val="%2."/>
      <w:lvlJc w:val="left"/>
      <w:pPr>
        <w:ind w:left="1800" w:hanging="360"/>
      </w:pPr>
    </w:lvl>
    <w:lvl w:ilvl="2" w:tplc="EBFCE1E8">
      <w:start w:val="1"/>
      <w:numFmt w:val="lowerRoman"/>
      <w:lvlText w:val="%3."/>
      <w:lvlJc w:val="right"/>
      <w:pPr>
        <w:ind w:left="2520" w:hanging="180"/>
      </w:pPr>
    </w:lvl>
    <w:lvl w:ilvl="3" w:tplc="35C42D3A">
      <w:start w:val="1"/>
      <w:numFmt w:val="decimal"/>
      <w:lvlText w:val="%4."/>
      <w:lvlJc w:val="left"/>
      <w:pPr>
        <w:ind w:left="3240" w:hanging="360"/>
      </w:pPr>
    </w:lvl>
    <w:lvl w:ilvl="4" w:tplc="784A2C10">
      <w:start w:val="1"/>
      <w:numFmt w:val="lowerLetter"/>
      <w:lvlText w:val="%5."/>
      <w:lvlJc w:val="left"/>
      <w:pPr>
        <w:ind w:left="3960" w:hanging="360"/>
      </w:pPr>
    </w:lvl>
    <w:lvl w:ilvl="5" w:tplc="D6667E80">
      <w:start w:val="1"/>
      <w:numFmt w:val="lowerRoman"/>
      <w:lvlText w:val="%6."/>
      <w:lvlJc w:val="right"/>
      <w:pPr>
        <w:ind w:left="4680" w:hanging="180"/>
      </w:pPr>
    </w:lvl>
    <w:lvl w:ilvl="6" w:tplc="77E05AB2">
      <w:start w:val="1"/>
      <w:numFmt w:val="decimal"/>
      <w:lvlText w:val="%7."/>
      <w:lvlJc w:val="left"/>
      <w:pPr>
        <w:ind w:left="5400" w:hanging="360"/>
      </w:pPr>
    </w:lvl>
    <w:lvl w:ilvl="7" w:tplc="D2CC5782">
      <w:start w:val="1"/>
      <w:numFmt w:val="lowerLetter"/>
      <w:lvlText w:val="%8."/>
      <w:lvlJc w:val="left"/>
      <w:pPr>
        <w:ind w:left="6120" w:hanging="360"/>
      </w:pPr>
    </w:lvl>
    <w:lvl w:ilvl="8" w:tplc="6B1A318E">
      <w:start w:val="1"/>
      <w:numFmt w:val="lowerRoman"/>
      <w:lvlText w:val="%9."/>
      <w:lvlJc w:val="right"/>
      <w:pPr>
        <w:ind w:left="6840" w:hanging="180"/>
      </w:pPr>
    </w:lvl>
  </w:abstractNum>
  <w:abstractNum w:abstractNumId="3" w15:restartNumberingAfterBreak="0">
    <w:nsid w:val="000C6777"/>
    <w:multiLevelType w:val="hybridMultilevel"/>
    <w:tmpl w:val="26EA52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1234FA"/>
    <w:multiLevelType w:val="hybridMultilevel"/>
    <w:tmpl w:val="122C6790"/>
    <w:lvl w:ilvl="0" w:tplc="8CC28F1C">
      <w:start w:val="1"/>
      <w:numFmt w:val="bullet"/>
      <w:lvlText w:val=""/>
      <w:lvlJc w:val="left"/>
      <w:pPr>
        <w:ind w:left="720" w:hanging="360"/>
      </w:pPr>
      <w:rPr>
        <w:rFonts w:ascii="Symbol" w:hAnsi="Symbol" w:hint="default"/>
      </w:rPr>
    </w:lvl>
    <w:lvl w:ilvl="1" w:tplc="C6C2B9C4">
      <w:start w:val="1"/>
      <w:numFmt w:val="bullet"/>
      <w:lvlText w:val="o"/>
      <w:lvlJc w:val="left"/>
      <w:pPr>
        <w:ind w:left="1440" w:hanging="360"/>
      </w:pPr>
      <w:rPr>
        <w:rFonts w:ascii="Courier New" w:hAnsi="Courier New" w:hint="default"/>
      </w:rPr>
    </w:lvl>
    <w:lvl w:ilvl="2" w:tplc="1A54706E">
      <w:start w:val="1"/>
      <w:numFmt w:val="bullet"/>
      <w:lvlText w:val=""/>
      <w:lvlJc w:val="left"/>
      <w:pPr>
        <w:ind w:left="2160" w:hanging="360"/>
      </w:pPr>
      <w:rPr>
        <w:rFonts w:ascii="Wingdings" w:hAnsi="Wingdings" w:hint="default"/>
      </w:rPr>
    </w:lvl>
    <w:lvl w:ilvl="3" w:tplc="8834CD62">
      <w:start w:val="1"/>
      <w:numFmt w:val="bullet"/>
      <w:lvlText w:val=""/>
      <w:lvlJc w:val="left"/>
      <w:pPr>
        <w:ind w:left="2880" w:hanging="360"/>
      </w:pPr>
      <w:rPr>
        <w:rFonts w:ascii="Symbol" w:hAnsi="Symbol" w:hint="default"/>
      </w:rPr>
    </w:lvl>
    <w:lvl w:ilvl="4" w:tplc="B87CE0C6">
      <w:start w:val="1"/>
      <w:numFmt w:val="bullet"/>
      <w:lvlText w:val="o"/>
      <w:lvlJc w:val="left"/>
      <w:pPr>
        <w:ind w:left="3600" w:hanging="360"/>
      </w:pPr>
      <w:rPr>
        <w:rFonts w:ascii="Courier New" w:hAnsi="Courier New" w:hint="default"/>
      </w:rPr>
    </w:lvl>
    <w:lvl w:ilvl="5" w:tplc="8BEEC33E">
      <w:start w:val="1"/>
      <w:numFmt w:val="bullet"/>
      <w:lvlText w:val=""/>
      <w:lvlJc w:val="left"/>
      <w:pPr>
        <w:ind w:left="4320" w:hanging="360"/>
      </w:pPr>
      <w:rPr>
        <w:rFonts w:ascii="Wingdings" w:hAnsi="Wingdings" w:hint="default"/>
      </w:rPr>
    </w:lvl>
    <w:lvl w:ilvl="6" w:tplc="957C2574">
      <w:start w:val="1"/>
      <w:numFmt w:val="bullet"/>
      <w:lvlText w:val=""/>
      <w:lvlJc w:val="left"/>
      <w:pPr>
        <w:ind w:left="5040" w:hanging="360"/>
      </w:pPr>
      <w:rPr>
        <w:rFonts w:ascii="Symbol" w:hAnsi="Symbol" w:hint="default"/>
      </w:rPr>
    </w:lvl>
    <w:lvl w:ilvl="7" w:tplc="5752624A">
      <w:start w:val="1"/>
      <w:numFmt w:val="bullet"/>
      <w:lvlText w:val="o"/>
      <w:lvlJc w:val="left"/>
      <w:pPr>
        <w:ind w:left="5760" w:hanging="360"/>
      </w:pPr>
      <w:rPr>
        <w:rFonts w:ascii="Courier New" w:hAnsi="Courier New" w:hint="default"/>
      </w:rPr>
    </w:lvl>
    <w:lvl w:ilvl="8" w:tplc="4986F80C">
      <w:start w:val="1"/>
      <w:numFmt w:val="bullet"/>
      <w:lvlText w:val=""/>
      <w:lvlJc w:val="left"/>
      <w:pPr>
        <w:ind w:left="6480" w:hanging="360"/>
      </w:pPr>
      <w:rPr>
        <w:rFonts w:ascii="Wingdings" w:hAnsi="Wingdings" w:hint="default"/>
      </w:rPr>
    </w:lvl>
  </w:abstractNum>
  <w:abstractNum w:abstractNumId="5" w15:restartNumberingAfterBreak="0">
    <w:nsid w:val="021F1EBC"/>
    <w:multiLevelType w:val="hybridMultilevel"/>
    <w:tmpl w:val="A12EEBF4"/>
    <w:lvl w:ilvl="0" w:tplc="04150011">
      <w:start w:val="1"/>
      <w:numFmt w:val="decimal"/>
      <w:lvlText w:val="%1)"/>
      <w:lvlJc w:val="left"/>
      <w:pPr>
        <w:ind w:left="720" w:hanging="360"/>
      </w:pPr>
    </w:lvl>
    <w:lvl w:ilvl="1" w:tplc="0734D516">
      <w:start w:val="1"/>
      <w:numFmt w:val="lowerLetter"/>
      <w:lvlText w:val="%2."/>
      <w:lvlJc w:val="left"/>
      <w:pPr>
        <w:ind w:left="1440" w:hanging="360"/>
      </w:pPr>
    </w:lvl>
    <w:lvl w:ilvl="2" w:tplc="4FA4B6E4">
      <w:start w:val="1"/>
      <w:numFmt w:val="lowerRoman"/>
      <w:lvlText w:val="%3."/>
      <w:lvlJc w:val="right"/>
      <w:pPr>
        <w:ind w:left="2160" w:hanging="180"/>
      </w:pPr>
    </w:lvl>
    <w:lvl w:ilvl="3" w:tplc="C7C2F9DC">
      <w:start w:val="1"/>
      <w:numFmt w:val="decimal"/>
      <w:lvlText w:val="%4."/>
      <w:lvlJc w:val="left"/>
      <w:pPr>
        <w:ind w:left="2880" w:hanging="360"/>
      </w:pPr>
    </w:lvl>
    <w:lvl w:ilvl="4" w:tplc="3946B568">
      <w:start w:val="1"/>
      <w:numFmt w:val="lowerLetter"/>
      <w:lvlText w:val="%5."/>
      <w:lvlJc w:val="left"/>
      <w:pPr>
        <w:ind w:left="3600" w:hanging="360"/>
      </w:pPr>
    </w:lvl>
    <w:lvl w:ilvl="5" w:tplc="0CC6864A">
      <w:start w:val="1"/>
      <w:numFmt w:val="lowerRoman"/>
      <w:lvlText w:val="%6."/>
      <w:lvlJc w:val="right"/>
      <w:pPr>
        <w:ind w:left="4320" w:hanging="180"/>
      </w:pPr>
    </w:lvl>
    <w:lvl w:ilvl="6" w:tplc="4CFE1EC6">
      <w:start w:val="1"/>
      <w:numFmt w:val="decimal"/>
      <w:lvlText w:val="%7."/>
      <w:lvlJc w:val="left"/>
      <w:pPr>
        <w:ind w:left="5040" w:hanging="360"/>
      </w:pPr>
    </w:lvl>
    <w:lvl w:ilvl="7" w:tplc="09B85800">
      <w:start w:val="1"/>
      <w:numFmt w:val="lowerLetter"/>
      <w:lvlText w:val="%8."/>
      <w:lvlJc w:val="left"/>
      <w:pPr>
        <w:ind w:left="5760" w:hanging="360"/>
      </w:pPr>
    </w:lvl>
    <w:lvl w:ilvl="8" w:tplc="736673C0">
      <w:start w:val="1"/>
      <w:numFmt w:val="lowerRoman"/>
      <w:lvlText w:val="%9."/>
      <w:lvlJc w:val="right"/>
      <w:pPr>
        <w:ind w:left="6480" w:hanging="180"/>
      </w:pPr>
    </w:lvl>
  </w:abstractNum>
  <w:abstractNum w:abstractNumId="6" w15:restartNumberingAfterBreak="0">
    <w:nsid w:val="02440D5E"/>
    <w:multiLevelType w:val="hybridMultilevel"/>
    <w:tmpl w:val="C68A2C40"/>
    <w:lvl w:ilvl="0" w:tplc="04150001">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4412F9"/>
    <w:multiLevelType w:val="hybridMultilevel"/>
    <w:tmpl w:val="1CF06A4A"/>
    <w:lvl w:ilvl="0" w:tplc="356A79A8">
      <w:start w:val="1"/>
      <w:numFmt w:val="bullet"/>
      <w:lvlText w:val=""/>
      <w:lvlJc w:val="left"/>
      <w:pPr>
        <w:ind w:left="720" w:hanging="360"/>
      </w:pPr>
      <w:rPr>
        <w:rFonts w:ascii="Symbol" w:hAnsi="Symbol" w:hint="default"/>
      </w:rPr>
    </w:lvl>
    <w:lvl w:ilvl="1" w:tplc="C1067A24">
      <w:start w:val="1"/>
      <w:numFmt w:val="bullet"/>
      <w:lvlText w:val=""/>
      <w:lvlJc w:val="left"/>
      <w:pPr>
        <w:ind w:left="1440" w:hanging="360"/>
      </w:pPr>
      <w:rPr>
        <w:rFonts w:ascii="Symbol" w:hAnsi="Symbol" w:hint="default"/>
      </w:rPr>
    </w:lvl>
    <w:lvl w:ilvl="2" w:tplc="222A0812">
      <w:start w:val="1"/>
      <w:numFmt w:val="bullet"/>
      <w:lvlText w:val=""/>
      <w:lvlJc w:val="left"/>
      <w:pPr>
        <w:ind w:left="2160" w:hanging="360"/>
      </w:pPr>
      <w:rPr>
        <w:rFonts w:ascii="Wingdings" w:hAnsi="Wingdings" w:hint="default"/>
      </w:rPr>
    </w:lvl>
    <w:lvl w:ilvl="3" w:tplc="EFD8C0EA">
      <w:start w:val="1"/>
      <w:numFmt w:val="bullet"/>
      <w:lvlText w:val=""/>
      <w:lvlJc w:val="left"/>
      <w:pPr>
        <w:ind w:left="2880" w:hanging="360"/>
      </w:pPr>
      <w:rPr>
        <w:rFonts w:ascii="Symbol" w:hAnsi="Symbol" w:hint="default"/>
      </w:rPr>
    </w:lvl>
    <w:lvl w:ilvl="4" w:tplc="654A4202">
      <w:start w:val="1"/>
      <w:numFmt w:val="bullet"/>
      <w:lvlText w:val="o"/>
      <w:lvlJc w:val="left"/>
      <w:pPr>
        <w:ind w:left="3600" w:hanging="360"/>
      </w:pPr>
      <w:rPr>
        <w:rFonts w:ascii="Courier New" w:hAnsi="Courier New" w:hint="default"/>
      </w:rPr>
    </w:lvl>
    <w:lvl w:ilvl="5" w:tplc="D9947EB0">
      <w:start w:val="1"/>
      <w:numFmt w:val="bullet"/>
      <w:lvlText w:val=""/>
      <w:lvlJc w:val="left"/>
      <w:pPr>
        <w:ind w:left="4320" w:hanging="360"/>
      </w:pPr>
      <w:rPr>
        <w:rFonts w:ascii="Wingdings" w:hAnsi="Wingdings" w:hint="default"/>
      </w:rPr>
    </w:lvl>
    <w:lvl w:ilvl="6" w:tplc="978C7996">
      <w:start w:val="1"/>
      <w:numFmt w:val="bullet"/>
      <w:lvlText w:val=""/>
      <w:lvlJc w:val="left"/>
      <w:pPr>
        <w:ind w:left="5040" w:hanging="360"/>
      </w:pPr>
      <w:rPr>
        <w:rFonts w:ascii="Symbol" w:hAnsi="Symbol" w:hint="default"/>
      </w:rPr>
    </w:lvl>
    <w:lvl w:ilvl="7" w:tplc="DE643BB0">
      <w:start w:val="1"/>
      <w:numFmt w:val="bullet"/>
      <w:lvlText w:val="o"/>
      <w:lvlJc w:val="left"/>
      <w:pPr>
        <w:ind w:left="5760" w:hanging="360"/>
      </w:pPr>
      <w:rPr>
        <w:rFonts w:ascii="Courier New" w:hAnsi="Courier New" w:hint="default"/>
      </w:rPr>
    </w:lvl>
    <w:lvl w:ilvl="8" w:tplc="36721800">
      <w:start w:val="1"/>
      <w:numFmt w:val="bullet"/>
      <w:lvlText w:val=""/>
      <w:lvlJc w:val="left"/>
      <w:pPr>
        <w:ind w:left="6480" w:hanging="360"/>
      </w:pPr>
      <w:rPr>
        <w:rFonts w:ascii="Wingdings" w:hAnsi="Wingdings" w:hint="default"/>
      </w:rPr>
    </w:lvl>
  </w:abstractNum>
  <w:abstractNum w:abstractNumId="8" w15:restartNumberingAfterBreak="0">
    <w:nsid w:val="03532912"/>
    <w:multiLevelType w:val="hybridMultilevel"/>
    <w:tmpl w:val="9E103E04"/>
    <w:lvl w:ilvl="0" w:tplc="8F60F3EE">
      <w:start w:val="1"/>
      <w:numFmt w:val="lowerLetter"/>
      <w:lvlText w:val="%1."/>
      <w:lvlJc w:val="left"/>
      <w:pPr>
        <w:ind w:left="720" w:hanging="360"/>
      </w:pPr>
    </w:lvl>
    <w:lvl w:ilvl="1" w:tplc="957E7F8C">
      <w:start w:val="1"/>
      <w:numFmt w:val="lowerLetter"/>
      <w:lvlText w:val="%2."/>
      <w:lvlJc w:val="left"/>
      <w:pPr>
        <w:ind w:left="1440" w:hanging="360"/>
      </w:pPr>
    </w:lvl>
    <w:lvl w:ilvl="2" w:tplc="7DA224FE">
      <w:start w:val="1"/>
      <w:numFmt w:val="lowerRoman"/>
      <w:lvlText w:val="%3."/>
      <w:lvlJc w:val="right"/>
      <w:pPr>
        <w:ind w:left="2160" w:hanging="180"/>
      </w:pPr>
    </w:lvl>
    <w:lvl w:ilvl="3" w:tplc="9C669086">
      <w:start w:val="1"/>
      <w:numFmt w:val="decimal"/>
      <w:lvlText w:val="%4."/>
      <w:lvlJc w:val="left"/>
      <w:pPr>
        <w:ind w:left="2880" w:hanging="360"/>
      </w:pPr>
    </w:lvl>
    <w:lvl w:ilvl="4" w:tplc="D9C4D636">
      <w:start w:val="1"/>
      <w:numFmt w:val="lowerLetter"/>
      <w:lvlText w:val="%5."/>
      <w:lvlJc w:val="left"/>
      <w:pPr>
        <w:ind w:left="3600" w:hanging="360"/>
      </w:pPr>
    </w:lvl>
    <w:lvl w:ilvl="5" w:tplc="9894D52E">
      <w:start w:val="1"/>
      <w:numFmt w:val="lowerRoman"/>
      <w:lvlText w:val="%6."/>
      <w:lvlJc w:val="right"/>
      <w:pPr>
        <w:ind w:left="4320" w:hanging="180"/>
      </w:pPr>
    </w:lvl>
    <w:lvl w:ilvl="6" w:tplc="BF301314">
      <w:start w:val="1"/>
      <w:numFmt w:val="decimal"/>
      <w:lvlText w:val="%7."/>
      <w:lvlJc w:val="left"/>
      <w:pPr>
        <w:ind w:left="5040" w:hanging="360"/>
      </w:pPr>
    </w:lvl>
    <w:lvl w:ilvl="7" w:tplc="38F0B398">
      <w:start w:val="1"/>
      <w:numFmt w:val="lowerLetter"/>
      <w:lvlText w:val="%8."/>
      <w:lvlJc w:val="left"/>
      <w:pPr>
        <w:ind w:left="5760" w:hanging="360"/>
      </w:pPr>
    </w:lvl>
    <w:lvl w:ilvl="8" w:tplc="3C6C6166">
      <w:start w:val="1"/>
      <w:numFmt w:val="lowerRoman"/>
      <w:lvlText w:val="%9."/>
      <w:lvlJc w:val="right"/>
      <w:pPr>
        <w:ind w:left="6480" w:hanging="180"/>
      </w:pPr>
    </w:lvl>
  </w:abstractNum>
  <w:abstractNum w:abstractNumId="9" w15:restartNumberingAfterBreak="0">
    <w:nsid w:val="046677C1"/>
    <w:multiLevelType w:val="hybridMultilevel"/>
    <w:tmpl w:val="E3BA0F4C"/>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F0120A"/>
    <w:multiLevelType w:val="hybridMultilevel"/>
    <w:tmpl w:val="84F64DB0"/>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965C3"/>
    <w:multiLevelType w:val="hybridMultilevel"/>
    <w:tmpl w:val="86B0845A"/>
    <w:lvl w:ilvl="0" w:tplc="1642584A">
      <w:start w:val="1"/>
      <w:numFmt w:val="bullet"/>
      <w:lvlText w:val=""/>
      <w:lvlJc w:val="left"/>
      <w:pPr>
        <w:ind w:left="720" w:hanging="360"/>
      </w:pPr>
      <w:rPr>
        <w:rFonts w:ascii="Symbol" w:hAnsi="Symbol" w:hint="default"/>
      </w:rPr>
    </w:lvl>
    <w:lvl w:ilvl="1" w:tplc="7652CB02">
      <w:start w:val="1"/>
      <w:numFmt w:val="bullet"/>
      <w:lvlText w:val="o"/>
      <w:lvlJc w:val="left"/>
      <w:pPr>
        <w:ind w:left="1440" w:hanging="360"/>
      </w:pPr>
      <w:rPr>
        <w:rFonts w:ascii="Courier New" w:hAnsi="Courier New" w:hint="default"/>
      </w:rPr>
    </w:lvl>
    <w:lvl w:ilvl="2" w:tplc="B4B8AD92">
      <w:start w:val="1"/>
      <w:numFmt w:val="bullet"/>
      <w:lvlText w:val=""/>
      <w:lvlJc w:val="left"/>
      <w:pPr>
        <w:ind w:left="2160" w:hanging="360"/>
      </w:pPr>
      <w:rPr>
        <w:rFonts w:ascii="Wingdings" w:hAnsi="Wingdings" w:hint="default"/>
      </w:rPr>
    </w:lvl>
    <w:lvl w:ilvl="3" w:tplc="3B7EADAE">
      <w:start w:val="1"/>
      <w:numFmt w:val="bullet"/>
      <w:lvlText w:val=""/>
      <w:lvlJc w:val="left"/>
      <w:pPr>
        <w:ind w:left="2880" w:hanging="360"/>
      </w:pPr>
      <w:rPr>
        <w:rFonts w:ascii="Symbol" w:hAnsi="Symbol" w:hint="default"/>
      </w:rPr>
    </w:lvl>
    <w:lvl w:ilvl="4" w:tplc="702E1508">
      <w:start w:val="1"/>
      <w:numFmt w:val="bullet"/>
      <w:lvlText w:val="o"/>
      <w:lvlJc w:val="left"/>
      <w:pPr>
        <w:ind w:left="3600" w:hanging="360"/>
      </w:pPr>
      <w:rPr>
        <w:rFonts w:ascii="Courier New" w:hAnsi="Courier New" w:hint="default"/>
      </w:rPr>
    </w:lvl>
    <w:lvl w:ilvl="5" w:tplc="1932D7E4">
      <w:start w:val="1"/>
      <w:numFmt w:val="bullet"/>
      <w:lvlText w:val=""/>
      <w:lvlJc w:val="left"/>
      <w:pPr>
        <w:ind w:left="4320" w:hanging="360"/>
      </w:pPr>
      <w:rPr>
        <w:rFonts w:ascii="Wingdings" w:hAnsi="Wingdings" w:hint="default"/>
      </w:rPr>
    </w:lvl>
    <w:lvl w:ilvl="6" w:tplc="C4B872DE">
      <w:start w:val="1"/>
      <w:numFmt w:val="bullet"/>
      <w:lvlText w:val=""/>
      <w:lvlJc w:val="left"/>
      <w:pPr>
        <w:ind w:left="5040" w:hanging="360"/>
      </w:pPr>
      <w:rPr>
        <w:rFonts w:ascii="Symbol" w:hAnsi="Symbol" w:hint="default"/>
      </w:rPr>
    </w:lvl>
    <w:lvl w:ilvl="7" w:tplc="13B44712">
      <w:start w:val="1"/>
      <w:numFmt w:val="bullet"/>
      <w:lvlText w:val="o"/>
      <w:lvlJc w:val="left"/>
      <w:pPr>
        <w:ind w:left="5760" w:hanging="360"/>
      </w:pPr>
      <w:rPr>
        <w:rFonts w:ascii="Courier New" w:hAnsi="Courier New" w:hint="default"/>
      </w:rPr>
    </w:lvl>
    <w:lvl w:ilvl="8" w:tplc="0CE03F9A">
      <w:start w:val="1"/>
      <w:numFmt w:val="bullet"/>
      <w:lvlText w:val=""/>
      <w:lvlJc w:val="left"/>
      <w:pPr>
        <w:ind w:left="6480" w:hanging="360"/>
      </w:pPr>
      <w:rPr>
        <w:rFonts w:ascii="Wingdings" w:hAnsi="Wingdings" w:hint="default"/>
      </w:rPr>
    </w:lvl>
  </w:abstractNum>
  <w:abstractNum w:abstractNumId="12" w15:restartNumberingAfterBreak="0">
    <w:nsid w:val="059F434D"/>
    <w:multiLevelType w:val="hybridMultilevel"/>
    <w:tmpl w:val="89DAFB24"/>
    <w:lvl w:ilvl="0" w:tplc="EC7279F0">
      <w:start w:val="1"/>
      <w:numFmt w:val="decimal"/>
      <w:lvlText w:val="%1)"/>
      <w:lvlJc w:val="left"/>
      <w:pPr>
        <w:ind w:left="460" w:hanging="1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5718E"/>
    <w:multiLevelType w:val="hybridMultilevel"/>
    <w:tmpl w:val="0F6A90AE"/>
    <w:lvl w:ilvl="0" w:tplc="04150017">
      <w:start w:val="1"/>
      <w:numFmt w:val="lowerLetter"/>
      <w:lvlText w:val="%1)"/>
      <w:lvlJc w:val="left"/>
      <w:pPr>
        <w:ind w:left="720" w:hanging="360"/>
      </w:pPr>
    </w:lvl>
    <w:lvl w:ilvl="1" w:tplc="D8E6A332">
      <w:start w:val="1"/>
      <w:numFmt w:val="decimal"/>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06390"/>
    <w:multiLevelType w:val="hybridMultilevel"/>
    <w:tmpl w:val="30C68414"/>
    <w:lvl w:ilvl="0" w:tplc="6A56E9C8">
      <w:start w:val="1"/>
      <w:numFmt w:val="decimal"/>
      <w:lvlText w:val="%1)"/>
      <w:lvlJc w:val="left"/>
      <w:pPr>
        <w:ind w:left="800" w:hanging="4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2D633A"/>
    <w:multiLevelType w:val="hybridMultilevel"/>
    <w:tmpl w:val="CDDC24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A6DE6"/>
    <w:multiLevelType w:val="hybridMultilevel"/>
    <w:tmpl w:val="DBF49B54"/>
    <w:lvl w:ilvl="0" w:tplc="11403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D2058D"/>
    <w:multiLevelType w:val="hybridMultilevel"/>
    <w:tmpl w:val="4EFA5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13195"/>
    <w:multiLevelType w:val="hybridMultilevel"/>
    <w:tmpl w:val="DBD41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A3CD6"/>
    <w:multiLevelType w:val="hybridMultilevel"/>
    <w:tmpl w:val="5540D49C"/>
    <w:lvl w:ilvl="0" w:tplc="11403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DCB5276"/>
    <w:multiLevelType w:val="hybridMultilevel"/>
    <w:tmpl w:val="8BDCD7C2"/>
    <w:lvl w:ilvl="0" w:tplc="CBCA79B6">
      <w:start w:val="1"/>
      <w:numFmt w:val="bullet"/>
      <w:lvlText w:val=""/>
      <w:lvlJc w:val="left"/>
      <w:pPr>
        <w:ind w:left="720" w:hanging="360"/>
      </w:pPr>
      <w:rPr>
        <w:rFonts w:ascii="Symbol" w:hAnsi="Symbol" w:hint="default"/>
      </w:rPr>
    </w:lvl>
    <w:lvl w:ilvl="1" w:tplc="98A6879C">
      <w:start w:val="1"/>
      <w:numFmt w:val="bullet"/>
      <w:lvlText w:val="o"/>
      <w:lvlJc w:val="left"/>
      <w:pPr>
        <w:ind w:left="1440" w:hanging="360"/>
      </w:pPr>
      <w:rPr>
        <w:rFonts w:ascii="Courier New" w:hAnsi="Courier New" w:hint="default"/>
      </w:rPr>
    </w:lvl>
    <w:lvl w:ilvl="2" w:tplc="098A65E8">
      <w:start w:val="1"/>
      <w:numFmt w:val="bullet"/>
      <w:lvlText w:val=""/>
      <w:lvlJc w:val="left"/>
      <w:pPr>
        <w:ind w:left="2160" w:hanging="360"/>
      </w:pPr>
      <w:rPr>
        <w:rFonts w:ascii="Wingdings" w:hAnsi="Wingdings" w:hint="default"/>
      </w:rPr>
    </w:lvl>
    <w:lvl w:ilvl="3" w:tplc="CE24F786">
      <w:start w:val="1"/>
      <w:numFmt w:val="bullet"/>
      <w:lvlText w:val=""/>
      <w:lvlJc w:val="left"/>
      <w:pPr>
        <w:ind w:left="2880" w:hanging="360"/>
      </w:pPr>
      <w:rPr>
        <w:rFonts w:ascii="Symbol" w:hAnsi="Symbol" w:hint="default"/>
      </w:rPr>
    </w:lvl>
    <w:lvl w:ilvl="4" w:tplc="66A2D542">
      <w:start w:val="1"/>
      <w:numFmt w:val="bullet"/>
      <w:lvlText w:val="o"/>
      <w:lvlJc w:val="left"/>
      <w:pPr>
        <w:ind w:left="3600" w:hanging="360"/>
      </w:pPr>
      <w:rPr>
        <w:rFonts w:ascii="Courier New" w:hAnsi="Courier New" w:hint="default"/>
      </w:rPr>
    </w:lvl>
    <w:lvl w:ilvl="5" w:tplc="D37A8028">
      <w:start w:val="1"/>
      <w:numFmt w:val="bullet"/>
      <w:lvlText w:val=""/>
      <w:lvlJc w:val="left"/>
      <w:pPr>
        <w:ind w:left="4320" w:hanging="360"/>
      </w:pPr>
      <w:rPr>
        <w:rFonts w:ascii="Wingdings" w:hAnsi="Wingdings" w:hint="default"/>
      </w:rPr>
    </w:lvl>
    <w:lvl w:ilvl="6" w:tplc="05EECA72">
      <w:start w:val="1"/>
      <w:numFmt w:val="bullet"/>
      <w:lvlText w:val=""/>
      <w:lvlJc w:val="left"/>
      <w:pPr>
        <w:ind w:left="5040" w:hanging="360"/>
      </w:pPr>
      <w:rPr>
        <w:rFonts w:ascii="Symbol" w:hAnsi="Symbol" w:hint="default"/>
      </w:rPr>
    </w:lvl>
    <w:lvl w:ilvl="7" w:tplc="0B2CDD42">
      <w:start w:val="1"/>
      <w:numFmt w:val="bullet"/>
      <w:lvlText w:val="o"/>
      <w:lvlJc w:val="left"/>
      <w:pPr>
        <w:ind w:left="5760" w:hanging="360"/>
      </w:pPr>
      <w:rPr>
        <w:rFonts w:ascii="Courier New" w:hAnsi="Courier New" w:hint="default"/>
      </w:rPr>
    </w:lvl>
    <w:lvl w:ilvl="8" w:tplc="E7F2C032">
      <w:start w:val="1"/>
      <w:numFmt w:val="bullet"/>
      <w:lvlText w:val=""/>
      <w:lvlJc w:val="left"/>
      <w:pPr>
        <w:ind w:left="6480" w:hanging="360"/>
      </w:pPr>
      <w:rPr>
        <w:rFonts w:ascii="Wingdings" w:hAnsi="Wingdings" w:hint="default"/>
      </w:rPr>
    </w:lvl>
  </w:abstractNum>
  <w:abstractNum w:abstractNumId="21" w15:restartNumberingAfterBreak="0">
    <w:nsid w:val="0EDF2C57"/>
    <w:multiLevelType w:val="hybridMultilevel"/>
    <w:tmpl w:val="6DFE400E"/>
    <w:lvl w:ilvl="0" w:tplc="B34CFF54">
      <w:start w:val="1"/>
      <w:numFmt w:val="lowerLetter"/>
      <w:lvlText w:val="%1."/>
      <w:lvlJc w:val="left"/>
      <w:pPr>
        <w:ind w:left="720" w:hanging="360"/>
      </w:pPr>
    </w:lvl>
    <w:lvl w:ilvl="1" w:tplc="F0CC6F50">
      <w:start w:val="1"/>
      <w:numFmt w:val="lowerLetter"/>
      <w:lvlText w:val="%2."/>
      <w:lvlJc w:val="left"/>
      <w:pPr>
        <w:ind w:left="1440" w:hanging="360"/>
      </w:pPr>
    </w:lvl>
    <w:lvl w:ilvl="2" w:tplc="DAA68E86">
      <w:start w:val="1"/>
      <w:numFmt w:val="lowerRoman"/>
      <w:lvlText w:val="%3."/>
      <w:lvlJc w:val="right"/>
      <w:pPr>
        <w:ind w:left="2160" w:hanging="180"/>
      </w:pPr>
    </w:lvl>
    <w:lvl w:ilvl="3" w:tplc="1082C30E">
      <w:start w:val="1"/>
      <w:numFmt w:val="decimal"/>
      <w:lvlText w:val="%4."/>
      <w:lvlJc w:val="left"/>
      <w:pPr>
        <w:ind w:left="2880" w:hanging="360"/>
      </w:pPr>
    </w:lvl>
    <w:lvl w:ilvl="4" w:tplc="751E68EA">
      <w:start w:val="1"/>
      <w:numFmt w:val="lowerLetter"/>
      <w:lvlText w:val="%5."/>
      <w:lvlJc w:val="left"/>
      <w:pPr>
        <w:ind w:left="3600" w:hanging="360"/>
      </w:pPr>
    </w:lvl>
    <w:lvl w:ilvl="5" w:tplc="3474BC64">
      <w:start w:val="1"/>
      <w:numFmt w:val="lowerRoman"/>
      <w:lvlText w:val="%6."/>
      <w:lvlJc w:val="right"/>
      <w:pPr>
        <w:ind w:left="4320" w:hanging="180"/>
      </w:pPr>
    </w:lvl>
    <w:lvl w:ilvl="6" w:tplc="EAC2A30E">
      <w:start w:val="1"/>
      <w:numFmt w:val="decimal"/>
      <w:lvlText w:val="%7."/>
      <w:lvlJc w:val="left"/>
      <w:pPr>
        <w:ind w:left="5040" w:hanging="360"/>
      </w:pPr>
    </w:lvl>
    <w:lvl w:ilvl="7" w:tplc="E3E2FCFA">
      <w:start w:val="1"/>
      <w:numFmt w:val="lowerLetter"/>
      <w:lvlText w:val="%8."/>
      <w:lvlJc w:val="left"/>
      <w:pPr>
        <w:ind w:left="5760" w:hanging="360"/>
      </w:pPr>
    </w:lvl>
    <w:lvl w:ilvl="8" w:tplc="945404A4">
      <w:start w:val="1"/>
      <w:numFmt w:val="lowerRoman"/>
      <w:lvlText w:val="%9."/>
      <w:lvlJc w:val="right"/>
      <w:pPr>
        <w:ind w:left="6480" w:hanging="180"/>
      </w:pPr>
    </w:lvl>
  </w:abstractNum>
  <w:abstractNum w:abstractNumId="22" w15:restartNumberingAfterBreak="0">
    <w:nsid w:val="11483889"/>
    <w:multiLevelType w:val="hybridMultilevel"/>
    <w:tmpl w:val="353CAB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1675CD7"/>
    <w:multiLevelType w:val="hybridMultilevel"/>
    <w:tmpl w:val="C4B6F7B6"/>
    <w:lvl w:ilvl="0" w:tplc="922E8370">
      <w:start w:val="1"/>
      <w:numFmt w:val="bullet"/>
      <w:lvlText w:val=""/>
      <w:lvlJc w:val="left"/>
      <w:pPr>
        <w:ind w:left="720" w:hanging="360"/>
      </w:pPr>
      <w:rPr>
        <w:rFonts w:ascii="Symbol" w:hAnsi="Symbol" w:hint="default"/>
      </w:rPr>
    </w:lvl>
    <w:lvl w:ilvl="1" w:tplc="C37C0826">
      <w:start w:val="1"/>
      <w:numFmt w:val="bullet"/>
      <w:lvlText w:val="o"/>
      <w:lvlJc w:val="left"/>
      <w:pPr>
        <w:ind w:left="1440" w:hanging="360"/>
      </w:pPr>
      <w:rPr>
        <w:rFonts w:ascii="Courier New" w:hAnsi="Courier New" w:hint="default"/>
      </w:rPr>
    </w:lvl>
    <w:lvl w:ilvl="2" w:tplc="FDAC6AF2">
      <w:start w:val="1"/>
      <w:numFmt w:val="bullet"/>
      <w:lvlText w:val=""/>
      <w:lvlJc w:val="left"/>
      <w:pPr>
        <w:ind w:left="2160" w:hanging="360"/>
      </w:pPr>
      <w:rPr>
        <w:rFonts w:ascii="Wingdings" w:hAnsi="Wingdings" w:hint="default"/>
      </w:rPr>
    </w:lvl>
    <w:lvl w:ilvl="3" w:tplc="50F646EC">
      <w:start w:val="1"/>
      <w:numFmt w:val="bullet"/>
      <w:lvlText w:val=""/>
      <w:lvlJc w:val="left"/>
      <w:pPr>
        <w:ind w:left="2880" w:hanging="360"/>
      </w:pPr>
      <w:rPr>
        <w:rFonts w:ascii="Symbol" w:hAnsi="Symbol" w:hint="default"/>
      </w:rPr>
    </w:lvl>
    <w:lvl w:ilvl="4" w:tplc="53C89540">
      <w:start w:val="1"/>
      <w:numFmt w:val="bullet"/>
      <w:lvlText w:val="o"/>
      <w:lvlJc w:val="left"/>
      <w:pPr>
        <w:ind w:left="3600" w:hanging="360"/>
      </w:pPr>
      <w:rPr>
        <w:rFonts w:ascii="Courier New" w:hAnsi="Courier New" w:hint="default"/>
      </w:rPr>
    </w:lvl>
    <w:lvl w:ilvl="5" w:tplc="38BC12AA">
      <w:start w:val="1"/>
      <w:numFmt w:val="bullet"/>
      <w:lvlText w:val=""/>
      <w:lvlJc w:val="left"/>
      <w:pPr>
        <w:ind w:left="4320" w:hanging="360"/>
      </w:pPr>
      <w:rPr>
        <w:rFonts w:ascii="Wingdings" w:hAnsi="Wingdings" w:hint="default"/>
      </w:rPr>
    </w:lvl>
    <w:lvl w:ilvl="6" w:tplc="80E2D506">
      <w:start w:val="1"/>
      <w:numFmt w:val="bullet"/>
      <w:lvlText w:val=""/>
      <w:lvlJc w:val="left"/>
      <w:pPr>
        <w:ind w:left="5040" w:hanging="360"/>
      </w:pPr>
      <w:rPr>
        <w:rFonts w:ascii="Symbol" w:hAnsi="Symbol" w:hint="default"/>
      </w:rPr>
    </w:lvl>
    <w:lvl w:ilvl="7" w:tplc="E73C9398">
      <w:start w:val="1"/>
      <w:numFmt w:val="bullet"/>
      <w:lvlText w:val="o"/>
      <w:lvlJc w:val="left"/>
      <w:pPr>
        <w:ind w:left="5760" w:hanging="360"/>
      </w:pPr>
      <w:rPr>
        <w:rFonts w:ascii="Courier New" w:hAnsi="Courier New" w:hint="default"/>
      </w:rPr>
    </w:lvl>
    <w:lvl w:ilvl="8" w:tplc="B40A79DC">
      <w:start w:val="1"/>
      <w:numFmt w:val="bullet"/>
      <w:lvlText w:val=""/>
      <w:lvlJc w:val="left"/>
      <w:pPr>
        <w:ind w:left="6480" w:hanging="360"/>
      </w:pPr>
      <w:rPr>
        <w:rFonts w:ascii="Wingdings" w:hAnsi="Wingdings" w:hint="default"/>
      </w:rPr>
    </w:lvl>
  </w:abstractNum>
  <w:abstractNum w:abstractNumId="24" w15:restartNumberingAfterBreak="0">
    <w:nsid w:val="117D2574"/>
    <w:multiLevelType w:val="hybridMultilevel"/>
    <w:tmpl w:val="1820D8FE"/>
    <w:lvl w:ilvl="0" w:tplc="38FC9854">
      <w:start w:val="1"/>
      <w:numFmt w:val="bullet"/>
      <w:lvlText w:val=""/>
      <w:lvlJc w:val="left"/>
      <w:pPr>
        <w:ind w:left="720" w:hanging="360"/>
      </w:pPr>
      <w:rPr>
        <w:rFonts w:ascii="Symbol" w:hAnsi="Symbol" w:hint="default"/>
      </w:rPr>
    </w:lvl>
    <w:lvl w:ilvl="1" w:tplc="6E52CE84">
      <w:start w:val="1"/>
      <w:numFmt w:val="bullet"/>
      <w:lvlText w:val="o"/>
      <w:lvlJc w:val="left"/>
      <w:pPr>
        <w:ind w:left="1440" w:hanging="360"/>
      </w:pPr>
      <w:rPr>
        <w:rFonts w:ascii="Courier New" w:hAnsi="Courier New" w:hint="default"/>
      </w:rPr>
    </w:lvl>
    <w:lvl w:ilvl="2" w:tplc="493C085E">
      <w:start w:val="1"/>
      <w:numFmt w:val="bullet"/>
      <w:lvlText w:val=""/>
      <w:lvlJc w:val="left"/>
      <w:pPr>
        <w:ind w:left="2160" w:hanging="360"/>
      </w:pPr>
      <w:rPr>
        <w:rFonts w:ascii="Wingdings" w:hAnsi="Wingdings" w:hint="default"/>
      </w:rPr>
    </w:lvl>
    <w:lvl w:ilvl="3" w:tplc="80B041B0">
      <w:start w:val="1"/>
      <w:numFmt w:val="bullet"/>
      <w:lvlText w:val=""/>
      <w:lvlJc w:val="left"/>
      <w:pPr>
        <w:ind w:left="2880" w:hanging="360"/>
      </w:pPr>
      <w:rPr>
        <w:rFonts w:ascii="Symbol" w:hAnsi="Symbol" w:hint="default"/>
      </w:rPr>
    </w:lvl>
    <w:lvl w:ilvl="4" w:tplc="626E7EC2">
      <w:start w:val="1"/>
      <w:numFmt w:val="bullet"/>
      <w:lvlText w:val="o"/>
      <w:lvlJc w:val="left"/>
      <w:pPr>
        <w:ind w:left="3600" w:hanging="360"/>
      </w:pPr>
      <w:rPr>
        <w:rFonts w:ascii="Courier New" w:hAnsi="Courier New" w:hint="default"/>
      </w:rPr>
    </w:lvl>
    <w:lvl w:ilvl="5" w:tplc="7E90E592">
      <w:start w:val="1"/>
      <w:numFmt w:val="bullet"/>
      <w:lvlText w:val=""/>
      <w:lvlJc w:val="left"/>
      <w:pPr>
        <w:ind w:left="4320" w:hanging="360"/>
      </w:pPr>
      <w:rPr>
        <w:rFonts w:ascii="Wingdings" w:hAnsi="Wingdings" w:hint="default"/>
      </w:rPr>
    </w:lvl>
    <w:lvl w:ilvl="6" w:tplc="8D9658F4">
      <w:start w:val="1"/>
      <w:numFmt w:val="bullet"/>
      <w:lvlText w:val=""/>
      <w:lvlJc w:val="left"/>
      <w:pPr>
        <w:ind w:left="5040" w:hanging="360"/>
      </w:pPr>
      <w:rPr>
        <w:rFonts w:ascii="Symbol" w:hAnsi="Symbol" w:hint="default"/>
      </w:rPr>
    </w:lvl>
    <w:lvl w:ilvl="7" w:tplc="13ECBCC2">
      <w:start w:val="1"/>
      <w:numFmt w:val="bullet"/>
      <w:lvlText w:val="o"/>
      <w:lvlJc w:val="left"/>
      <w:pPr>
        <w:ind w:left="5760" w:hanging="360"/>
      </w:pPr>
      <w:rPr>
        <w:rFonts w:ascii="Courier New" w:hAnsi="Courier New" w:hint="default"/>
      </w:rPr>
    </w:lvl>
    <w:lvl w:ilvl="8" w:tplc="1922AAFC">
      <w:start w:val="1"/>
      <w:numFmt w:val="bullet"/>
      <w:lvlText w:val=""/>
      <w:lvlJc w:val="left"/>
      <w:pPr>
        <w:ind w:left="6480" w:hanging="360"/>
      </w:pPr>
      <w:rPr>
        <w:rFonts w:ascii="Wingdings" w:hAnsi="Wingdings" w:hint="default"/>
      </w:rPr>
    </w:lvl>
  </w:abstractNum>
  <w:abstractNum w:abstractNumId="25" w15:restartNumberingAfterBreak="0">
    <w:nsid w:val="11F17DEA"/>
    <w:multiLevelType w:val="hybridMultilevel"/>
    <w:tmpl w:val="863A0418"/>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777DFD"/>
    <w:multiLevelType w:val="hybridMultilevel"/>
    <w:tmpl w:val="48E017B2"/>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7" w15:restartNumberingAfterBreak="0">
    <w:nsid w:val="13CB132E"/>
    <w:multiLevelType w:val="hybridMultilevel"/>
    <w:tmpl w:val="A6FCAB82"/>
    <w:lvl w:ilvl="0" w:tplc="1D70C1FE">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8" w15:restartNumberingAfterBreak="0">
    <w:nsid w:val="172F0F9A"/>
    <w:multiLevelType w:val="hybridMultilevel"/>
    <w:tmpl w:val="999C6716"/>
    <w:lvl w:ilvl="0" w:tplc="50542BF6">
      <w:start w:val="1"/>
      <w:numFmt w:val="bullet"/>
      <w:lvlText w:val=""/>
      <w:lvlJc w:val="left"/>
      <w:pPr>
        <w:ind w:left="720" w:hanging="360"/>
      </w:pPr>
      <w:rPr>
        <w:rFonts w:ascii="Symbol" w:hAnsi="Symbol" w:hint="default"/>
        <w:u w:color="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3E6590"/>
    <w:multiLevelType w:val="hybridMultilevel"/>
    <w:tmpl w:val="A5B476FE"/>
    <w:lvl w:ilvl="0" w:tplc="CEB8FA6E">
      <w:start w:val="1"/>
      <w:numFmt w:val="bullet"/>
      <w:lvlText w:val=""/>
      <w:lvlJc w:val="left"/>
      <w:pPr>
        <w:ind w:left="720" w:hanging="360"/>
      </w:pPr>
      <w:rPr>
        <w:rFonts w:ascii="Symbol" w:hAnsi="Symbol" w:hint="default"/>
      </w:rPr>
    </w:lvl>
    <w:lvl w:ilvl="1" w:tplc="81CCEAD4">
      <w:start w:val="1"/>
      <w:numFmt w:val="bullet"/>
      <w:lvlText w:val="o"/>
      <w:lvlJc w:val="left"/>
      <w:pPr>
        <w:ind w:left="1440" w:hanging="360"/>
      </w:pPr>
      <w:rPr>
        <w:rFonts w:ascii="Courier New" w:hAnsi="Courier New" w:hint="default"/>
      </w:rPr>
    </w:lvl>
    <w:lvl w:ilvl="2" w:tplc="5A583398">
      <w:start w:val="1"/>
      <w:numFmt w:val="bullet"/>
      <w:lvlText w:val=""/>
      <w:lvlJc w:val="left"/>
      <w:pPr>
        <w:ind w:left="2160" w:hanging="360"/>
      </w:pPr>
      <w:rPr>
        <w:rFonts w:ascii="Wingdings" w:hAnsi="Wingdings" w:hint="default"/>
      </w:rPr>
    </w:lvl>
    <w:lvl w:ilvl="3" w:tplc="9CA6063A">
      <w:start w:val="1"/>
      <w:numFmt w:val="bullet"/>
      <w:lvlText w:val=""/>
      <w:lvlJc w:val="left"/>
      <w:pPr>
        <w:ind w:left="2880" w:hanging="360"/>
      </w:pPr>
      <w:rPr>
        <w:rFonts w:ascii="Symbol" w:hAnsi="Symbol" w:hint="default"/>
      </w:rPr>
    </w:lvl>
    <w:lvl w:ilvl="4" w:tplc="38AC8A32">
      <w:start w:val="1"/>
      <w:numFmt w:val="bullet"/>
      <w:lvlText w:val="o"/>
      <w:lvlJc w:val="left"/>
      <w:pPr>
        <w:ind w:left="3600" w:hanging="360"/>
      </w:pPr>
      <w:rPr>
        <w:rFonts w:ascii="Courier New" w:hAnsi="Courier New" w:hint="default"/>
      </w:rPr>
    </w:lvl>
    <w:lvl w:ilvl="5" w:tplc="3E8849CC">
      <w:start w:val="1"/>
      <w:numFmt w:val="bullet"/>
      <w:lvlText w:val=""/>
      <w:lvlJc w:val="left"/>
      <w:pPr>
        <w:ind w:left="4320" w:hanging="360"/>
      </w:pPr>
      <w:rPr>
        <w:rFonts w:ascii="Wingdings" w:hAnsi="Wingdings" w:hint="default"/>
      </w:rPr>
    </w:lvl>
    <w:lvl w:ilvl="6" w:tplc="8572C71E">
      <w:start w:val="1"/>
      <w:numFmt w:val="bullet"/>
      <w:lvlText w:val=""/>
      <w:lvlJc w:val="left"/>
      <w:pPr>
        <w:ind w:left="5040" w:hanging="360"/>
      </w:pPr>
      <w:rPr>
        <w:rFonts w:ascii="Symbol" w:hAnsi="Symbol" w:hint="default"/>
      </w:rPr>
    </w:lvl>
    <w:lvl w:ilvl="7" w:tplc="48206440">
      <w:start w:val="1"/>
      <w:numFmt w:val="bullet"/>
      <w:lvlText w:val="o"/>
      <w:lvlJc w:val="left"/>
      <w:pPr>
        <w:ind w:left="5760" w:hanging="360"/>
      </w:pPr>
      <w:rPr>
        <w:rFonts w:ascii="Courier New" w:hAnsi="Courier New" w:hint="default"/>
      </w:rPr>
    </w:lvl>
    <w:lvl w:ilvl="8" w:tplc="53CC0F98">
      <w:start w:val="1"/>
      <w:numFmt w:val="bullet"/>
      <w:lvlText w:val=""/>
      <w:lvlJc w:val="left"/>
      <w:pPr>
        <w:ind w:left="6480" w:hanging="360"/>
      </w:pPr>
      <w:rPr>
        <w:rFonts w:ascii="Wingdings" w:hAnsi="Wingdings" w:hint="default"/>
      </w:rPr>
    </w:lvl>
  </w:abstractNum>
  <w:abstractNum w:abstractNumId="30" w15:restartNumberingAfterBreak="0">
    <w:nsid w:val="180D5AD9"/>
    <w:multiLevelType w:val="hybridMultilevel"/>
    <w:tmpl w:val="55228800"/>
    <w:lvl w:ilvl="0" w:tplc="B9B606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187873"/>
    <w:multiLevelType w:val="hybridMultilevel"/>
    <w:tmpl w:val="466E7A34"/>
    <w:lvl w:ilvl="0" w:tplc="BD6C8F92">
      <w:start w:val="1"/>
      <w:numFmt w:val="bullet"/>
      <w:lvlText w:val=""/>
      <w:lvlJc w:val="left"/>
      <w:pPr>
        <w:ind w:left="720" w:hanging="360"/>
      </w:pPr>
      <w:rPr>
        <w:rFonts w:ascii="Symbol" w:hAnsi="Symbol" w:hint="default"/>
      </w:rPr>
    </w:lvl>
    <w:lvl w:ilvl="1" w:tplc="5E404460">
      <w:start w:val="1"/>
      <w:numFmt w:val="bullet"/>
      <w:lvlText w:val="o"/>
      <w:lvlJc w:val="left"/>
      <w:pPr>
        <w:ind w:left="1440" w:hanging="360"/>
      </w:pPr>
      <w:rPr>
        <w:rFonts w:ascii="Courier New" w:hAnsi="Courier New" w:hint="default"/>
      </w:rPr>
    </w:lvl>
    <w:lvl w:ilvl="2" w:tplc="A1549008">
      <w:start w:val="1"/>
      <w:numFmt w:val="bullet"/>
      <w:lvlText w:val=""/>
      <w:lvlJc w:val="left"/>
      <w:pPr>
        <w:ind w:left="2160" w:hanging="360"/>
      </w:pPr>
      <w:rPr>
        <w:rFonts w:ascii="Wingdings" w:hAnsi="Wingdings" w:hint="default"/>
      </w:rPr>
    </w:lvl>
    <w:lvl w:ilvl="3" w:tplc="E5AEEA78">
      <w:start w:val="1"/>
      <w:numFmt w:val="bullet"/>
      <w:lvlText w:val=""/>
      <w:lvlJc w:val="left"/>
      <w:pPr>
        <w:ind w:left="2880" w:hanging="360"/>
      </w:pPr>
      <w:rPr>
        <w:rFonts w:ascii="Symbol" w:hAnsi="Symbol" w:hint="default"/>
      </w:rPr>
    </w:lvl>
    <w:lvl w:ilvl="4" w:tplc="B7EA2202">
      <w:start w:val="1"/>
      <w:numFmt w:val="bullet"/>
      <w:lvlText w:val="o"/>
      <w:lvlJc w:val="left"/>
      <w:pPr>
        <w:ind w:left="3600" w:hanging="360"/>
      </w:pPr>
      <w:rPr>
        <w:rFonts w:ascii="Courier New" w:hAnsi="Courier New" w:hint="default"/>
      </w:rPr>
    </w:lvl>
    <w:lvl w:ilvl="5" w:tplc="ED04679A">
      <w:start w:val="1"/>
      <w:numFmt w:val="bullet"/>
      <w:lvlText w:val=""/>
      <w:lvlJc w:val="left"/>
      <w:pPr>
        <w:ind w:left="4320" w:hanging="360"/>
      </w:pPr>
      <w:rPr>
        <w:rFonts w:ascii="Wingdings" w:hAnsi="Wingdings" w:hint="default"/>
      </w:rPr>
    </w:lvl>
    <w:lvl w:ilvl="6" w:tplc="0AC8E7AA">
      <w:start w:val="1"/>
      <w:numFmt w:val="bullet"/>
      <w:lvlText w:val=""/>
      <w:lvlJc w:val="left"/>
      <w:pPr>
        <w:ind w:left="5040" w:hanging="360"/>
      </w:pPr>
      <w:rPr>
        <w:rFonts w:ascii="Symbol" w:hAnsi="Symbol" w:hint="default"/>
      </w:rPr>
    </w:lvl>
    <w:lvl w:ilvl="7" w:tplc="FCA86F36">
      <w:start w:val="1"/>
      <w:numFmt w:val="bullet"/>
      <w:lvlText w:val="o"/>
      <w:lvlJc w:val="left"/>
      <w:pPr>
        <w:ind w:left="5760" w:hanging="360"/>
      </w:pPr>
      <w:rPr>
        <w:rFonts w:ascii="Courier New" w:hAnsi="Courier New" w:hint="default"/>
      </w:rPr>
    </w:lvl>
    <w:lvl w:ilvl="8" w:tplc="D826A4DE">
      <w:start w:val="1"/>
      <w:numFmt w:val="bullet"/>
      <w:lvlText w:val=""/>
      <w:lvlJc w:val="left"/>
      <w:pPr>
        <w:ind w:left="6480" w:hanging="360"/>
      </w:pPr>
      <w:rPr>
        <w:rFonts w:ascii="Wingdings" w:hAnsi="Wingdings" w:hint="default"/>
      </w:rPr>
    </w:lvl>
  </w:abstractNum>
  <w:abstractNum w:abstractNumId="32" w15:restartNumberingAfterBreak="0">
    <w:nsid w:val="18F07059"/>
    <w:multiLevelType w:val="hybridMultilevel"/>
    <w:tmpl w:val="95E2A31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90211D0"/>
    <w:multiLevelType w:val="hybridMultilevel"/>
    <w:tmpl w:val="8D4ACFFE"/>
    <w:lvl w:ilvl="0" w:tplc="99723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1A101F"/>
    <w:multiLevelType w:val="hybridMultilevel"/>
    <w:tmpl w:val="75D01C0C"/>
    <w:lvl w:ilvl="0" w:tplc="63B45E74">
      <w:start w:val="1"/>
      <w:numFmt w:val="bullet"/>
      <w:lvlText w:val=""/>
      <w:lvlJc w:val="left"/>
      <w:pPr>
        <w:ind w:left="720" w:hanging="360"/>
      </w:pPr>
      <w:rPr>
        <w:rFonts w:ascii="Symbol" w:hAnsi="Symbol" w:hint="default"/>
      </w:rPr>
    </w:lvl>
    <w:lvl w:ilvl="1" w:tplc="10644C1A">
      <w:start w:val="1"/>
      <w:numFmt w:val="bullet"/>
      <w:lvlText w:val="o"/>
      <w:lvlJc w:val="left"/>
      <w:pPr>
        <w:ind w:left="1440" w:hanging="360"/>
      </w:pPr>
      <w:rPr>
        <w:rFonts w:ascii="Courier New" w:hAnsi="Courier New" w:hint="default"/>
      </w:rPr>
    </w:lvl>
    <w:lvl w:ilvl="2" w:tplc="16A88E32">
      <w:start w:val="1"/>
      <w:numFmt w:val="bullet"/>
      <w:lvlText w:val=""/>
      <w:lvlJc w:val="left"/>
      <w:pPr>
        <w:ind w:left="2160" w:hanging="360"/>
      </w:pPr>
      <w:rPr>
        <w:rFonts w:ascii="Wingdings" w:hAnsi="Wingdings" w:hint="default"/>
      </w:rPr>
    </w:lvl>
    <w:lvl w:ilvl="3" w:tplc="A6DE149A">
      <w:start w:val="1"/>
      <w:numFmt w:val="bullet"/>
      <w:lvlText w:val=""/>
      <w:lvlJc w:val="left"/>
      <w:pPr>
        <w:ind w:left="2880" w:hanging="360"/>
      </w:pPr>
      <w:rPr>
        <w:rFonts w:ascii="Symbol" w:hAnsi="Symbol" w:hint="default"/>
      </w:rPr>
    </w:lvl>
    <w:lvl w:ilvl="4" w:tplc="A5C04464">
      <w:start w:val="1"/>
      <w:numFmt w:val="bullet"/>
      <w:lvlText w:val="o"/>
      <w:lvlJc w:val="left"/>
      <w:pPr>
        <w:ind w:left="3600" w:hanging="360"/>
      </w:pPr>
      <w:rPr>
        <w:rFonts w:ascii="Courier New" w:hAnsi="Courier New" w:hint="default"/>
      </w:rPr>
    </w:lvl>
    <w:lvl w:ilvl="5" w:tplc="0130FCCA">
      <w:start w:val="1"/>
      <w:numFmt w:val="bullet"/>
      <w:lvlText w:val=""/>
      <w:lvlJc w:val="left"/>
      <w:pPr>
        <w:ind w:left="4320" w:hanging="360"/>
      </w:pPr>
      <w:rPr>
        <w:rFonts w:ascii="Wingdings" w:hAnsi="Wingdings" w:hint="default"/>
      </w:rPr>
    </w:lvl>
    <w:lvl w:ilvl="6" w:tplc="9C307B36">
      <w:start w:val="1"/>
      <w:numFmt w:val="bullet"/>
      <w:lvlText w:val=""/>
      <w:lvlJc w:val="left"/>
      <w:pPr>
        <w:ind w:left="5040" w:hanging="360"/>
      </w:pPr>
      <w:rPr>
        <w:rFonts w:ascii="Symbol" w:hAnsi="Symbol" w:hint="default"/>
      </w:rPr>
    </w:lvl>
    <w:lvl w:ilvl="7" w:tplc="2B34BB8C">
      <w:start w:val="1"/>
      <w:numFmt w:val="bullet"/>
      <w:lvlText w:val="o"/>
      <w:lvlJc w:val="left"/>
      <w:pPr>
        <w:ind w:left="5760" w:hanging="360"/>
      </w:pPr>
      <w:rPr>
        <w:rFonts w:ascii="Courier New" w:hAnsi="Courier New" w:hint="default"/>
      </w:rPr>
    </w:lvl>
    <w:lvl w:ilvl="8" w:tplc="A20C5748">
      <w:start w:val="1"/>
      <w:numFmt w:val="bullet"/>
      <w:lvlText w:val=""/>
      <w:lvlJc w:val="left"/>
      <w:pPr>
        <w:ind w:left="6480" w:hanging="360"/>
      </w:pPr>
      <w:rPr>
        <w:rFonts w:ascii="Wingdings" w:hAnsi="Wingdings" w:hint="default"/>
      </w:rPr>
    </w:lvl>
  </w:abstractNum>
  <w:abstractNum w:abstractNumId="35" w15:restartNumberingAfterBreak="0">
    <w:nsid w:val="1B3F7973"/>
    <w:multiLevelType w:val="hybridMultilevel"/>
    <w:tmpl w:val="0AD84B74"/>
    <w:lvl w:ilvl="0" w:tplc="0C765A4C">
      <w:start w:val="1"/>
      <w:numFmt w:val="bullet"/>
      <w:lvlText w:val=""/>
      <w:lvlJc w:val="left"/>
      <w:pPr>
        <w:ind w:left="720" w:hanging="360"/>
      </w:pPr>
      <w:rPr>
        <w:rFonts w:ascii="Symbol" w:hAnsi="Symbol" w:hint="default"/>
      </w:rPr>
    </w:lvl>
    <w:lvl w:ilvl="1" w:tplc="807C97C6">
      <w:start w:val="1"/>
      <w:numFmt w:val="bullet"/>
      <w:lvlText w:val="o"/>
      <w:lvlJc w:val="left"/>
      <w:pPr>
        <w:ind w:left="1440" w:hanging="360"/>
      </w:pPr>
      <w:rPr>
        <w:rFonts w:ascii="Courier New" w:hAnsi="Courier New" w:hint="default"/>
      </w:rPr>
    </w:lvl>
    <w:lvl w:ilvl="2" w:tplc="F01890BC">
      <w:start w:val="1"/>
      <w:numFmt w:val="bullet"/>
      <w:lvlText w:val=""/>
      <w:lvlJc w:val="left"/>
      <w:pPr>
        <w:ind w:left="2160" w:hanging="360"/>
      </w:pPr>
      <w:rPr>
        <w:rFonts w:ascii="Wingdings" w:hAnsi="Wingdings" w:hint="default"/>
      </w:rPr>
    </w:lvl>
    <w:lvl w:ilvl="3" w:tplc="F39A02BA">
      <w:start w:val="1"/>
      <w:numFmt w:val="bullet"/>
      <w:lvlText w:val=""/>
      <w:lvlJc w:val="left"/>
      <w:pPr>
        <w:ind w:left="2880" w:hanging="360"/>
      </w:pPr>
      <w:rPr>
        <w:rFonts w:ascii="Symbol" w:hAnsi="Symbol" w:hint="default"/>
      </w:rPr>
    </w:lvl>
    <w:lvl w:ilvl="4" w:tplc="DB12D956">
      <w:start w:val="1"/>
      <w:numFmt w:val="bullet"/>
      <w:lvlText w:val="o"/>
      <w:lvlJc w:val="left"/>
      <w:pPr>
        <w:ind w:left="3600" w:hanging="360"/>
      </w:pPr>
      <w:rPr>
        <w:rFonts w:ascii="Courier New" w:hAnsi="Courier New" w:hint="default"/>
      </w:rPr>
    </w:lvl>
    <w:lvl w:ilvl="5" w:tplc="497A362A">
      <w:start w:val="1"/>
      <w:numFmt w:val="bullet"/>
      <w:lvlText w:val=""/>
      <w:lvlJc w:val="left"/>
      <w:pPr>
        <w:ind w:left="4320" w:hanging="360"/>
      </w:pPr>
      <w:rPr>
        <w:rFonts w:ascii="Wingdings" w:hAnsi="Wingdings" w:hint="default"/>
      </w:rPr>
    </w:lvl>
    <w:lvl w:ilvl="6" w:tplc="317CDA8A">
      <w:start w:val="1"/>
      <w:numFmt w:val="bullet"/>
      <w:lvlText w:val=""/>
      <w:lvlJc w:val="left"/>
      <w:pPr>
        <w:ind w:left="5040" w:hanging="360"/>
      </w:pPr>
      <w:rPr>
        <w:rFonts w:ascii="Symbol" w:hAnsi="Symbol" w:hint="default"/>
      </w:rPr>
    </w:lvl>
    <w:lvl w:ilvl="7" w:tplc="84542A54">
      <w:start w:val="1"/>
      <w:numFmt w:val="bullet"/>
      <w:lvlText w:val="o"/>
      <w:lvlJc w:val="left"/>
      <w:pPr>
        <w:ind w:left="5760" w:hanging="360"/>
      </w:pPr>
      <w:rPr>
        <w:rFonts w:ascii="Courier New" w:hAnsi="Courier New" w:hint="default"/>
      </w:rPr>
    </w:lvl>
    <w:lvl w:ilvl="8" w:tplc="526A3A74">
      <w:start w:val="1"/>
      <w:numFmt w:val="bullet"/>
      <w:lvlText w:val=""/>
      <w:lvlJc w:val="left"/>
      <w:pPr>
        <w:ind w:left="6480" w:hanging="360"/>
      </w:pPr>
      <w:rPr>
        <w:rFonts w:ascii="Wingdings" w:hAnsi="Wingdings" w:hint="default"/>
      </w:rPr>
    </w:lvl>
  </w:abstractNum>
  <w:abstractNum w:abstractNumId="36" w15:restartNumberingAfterBreak="0">
    <w:nsid w:val="1BAF4D7C"/>
    <w:multiLevelType w:val="hybridMultilevel"/>
    <w:tmpl w:val="9648ECC0"/>
    <w:lvl w:ilvl="0" w:tplc="11403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157E06"/>
    <w:multiLevelType w:val="hybridMultilevel"/>
    <w:tmpl w:val="24788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7E4B54"/>
    <w:multiLevelType w:val="hybridMultilevel"/>
    <w:tmpl w:val="5442E586"/>
    <w:lvl w:ilvl="0" w:tplc="11403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C8722E8"/>
    <w:multiLevelType w:val="hybridMultilevel"/>
    <w:tmpl w:val="13EA7A58"/>
    <w:lvl w:ilvl="0" w:tplc="9888FD6E">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0" w15:restartNumberingAfterBreak="0">
    <w:nsid w:val="1D061DF8"/>
    <w:multiLevelType w:val="hybridMultilevel"/>
    <w:tmpl w:val="B1AE16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D3A777B"/>
    <w:multiLevelType w:val="hybridMultilevel"/>
    <w:tmpl w:val="DDB86750"/>
    <w:lvl w:ilvl="0" w:tplc="CEB8FA6E">
      <w:start w:val="1"/>
      <w:numFmt w:val="bullet"/>
      <w:lvlText w:val=""/>
      <w:lvlJc w:val="left"/>
      <w:pPr>
        <w:ind w:left="720" w:hanging="360"/>
      </w:pPr>
      <w:rPr>
        <w:rFonts w:ascii="Symbol" w:hAnsi="Symbol" w:hint="default"/>
      </w:rPr>
    </w:lvl>
    <w:lvl w:ilvl="1" w:tplc="C37C0826">
      <w:start w:val="1"/>
      <w:numFmt w:val="bullet"/>
      <w:lvlText w:val="o"/>
      <w:lvlJc w:val="left"/>
      <w:pPr>
        <w:ind w:left="1440" w:hanging="360"/>
      </w:pPr>
      <w:rPr>
        <w:rFonts w:ascii="Courier New" w:hAnsi="Courier New" w:hint="default"/>
      </w:rPr>
    </w:lvl>
    <w:lvl w:ilvl="2" w:tplc="FDAC6AF2">
      <w:start w:val="1"/>
      <w:numFmt w:val="bullet"/>
      <w:lvlText w:val=""/>
      <w:lvlJc w:val="left"/>
      <w:pPr>
        <w:ind w:left="2160" w:hanging="360"/>
      </w:pPr>
      <w:rPr>
        <w:rFonts w:ascii="Wingdings" w:hAnsi="Wingdings" w:hint="default"/>
      </w:rPr>
    </w:lvl>
    <w:lvl w:ilvl="3" w:tplc="50F646EC">
      <w:start w:val="1"/>
      <w:numFmt w:val="bullet"/>
      <w:lvlText w:val=""/>
      <w:lvlJc w:val="left"/>
      <w:pPr>
        <w:ind w:left="2880" w:hanging="360"/>
      </w:pPr>
      <w:rPr>
        <w:rFonts w:ascii="Symbol" w:hAnsi="Symbol" w:hint="default"/>
      </w:rPr>
    </w:lvl>
    <w:lvl w:ilvl="4" w:tplc="53C89540">
      <w:start w:val="1"/>
      <w:numFmt w:val="bullet"/>
      <w:lvlText w:val="o"/>
      <w:lvlJc w:val="left"/>
      <w:pPr>
        <w:ind w:left="3600" w:hanging="360"/>
      </w:pPr>
      <w:rPr>
        <w:rFonts w:ascii="Courier New" w:hAnsi="Courier New" w:hint="default"/>
      </w:rPr>
    </w:lvl>
    <w:lvl w:ilvl="5" w:tplc="38BC12AA">
      <w:start w:val="1"/>
      <w:numFmt w:val="bullet"/>
      <w:lvlText w:val=""/>
      <w:lvlJc w:val="left"/>
      <w:pPr>
        <w:ind w:left="4320" w:hanging="360"/>
      </w:pPr>
      <w:rPr>
        <w:rFonts w:ascii="Wingdings" w:hAnsi="Wingdings" w:hint="default"/>
      </w:rPr>
    </w:lvl>
    <w:lvl w:ilvl="6" w:tplc="80E2D506">
      <w:start w:val="1"/>
      <w:numFmt w:val="bullet"/>
      <w:lvlText w:val=""/>
      <w:lvlJc w:val="left"/>
      <w:pPr>
        <w:ind w:left="5040" w:hanging="360"/>
      </w:pPr>
      <w:rPr>
        <w:rFonts w:ascii="Symbol" w:hAnsi="Symbol" w:hint="default"/>
      </w:rPr>
    </w:lvl>
    <w:lvl w:ilvl="7" w:tplc="E73C9398">
      <w:start w:val="1"/>
      <w:numFmt w:val="bullet"/>
      <w:lvlText w:val="o"/>
      <w:lvlJc w:val="left"/>
      <w:pPr>
        <w:ind w:left="5760" w:hanging="360"/>
      </w:pPr>
      <w:rPr>
        <w:rFonts w:ascii="Courier New" w:hAnsi="Courier New" w:hint="default"/>
      </w:rPr>
    </w:lvl>
    <w:lvl w:ilvl="8" w:tplc="B40A79DC">
      <w:start w:val="1"/>
      <w:numFmt w:val="bullet"/>
      <w:lvlText w:val=""/>
      <w:lvlJc w:val="left"/>
      <w:pPr>
        <w:ind w:left="6480" w:hanging="360"/>
      </w:pPr>
      <w:rPr>
        <w:rFonts w:ascii="Wingdings" w:hAnsi="Wingdings" w:hint="default"/>
      </w:rPr>
    </w:lvl>
  </w:abstractNum>
  <w:abstractNum w:abstractNumId="42" w15:restartNumberingAfterBreak="0">
    <w:nsid w:val="1E666B56"/>
    <w:multiLevelType w:val="hybridMultilevel"/>
    <w:tmpl w:val="14AA43F8"/>
    <w:lvl w:ilvl="0" w:tplc="140C535C">
      <w:start w:val="1"/>
      <w:numFmt w:val="bullet"/>
      <w:lvlText w:val=""/>
      <w:lvlJc w:val="left"/>
      <w:pPr>
        <w:ind w:left="720" w:hanging="360"/>
      </w:pPr>
      <w:rPr>
        <w:rFonts w:ascii="Symbol" w:hAnsi="Symbol" w:hint="default"/>
      </w:rPr>
    </w:lvl>
    <w:lvl w:ilvl="1" w:tplc="4C5E2CC6">
      <w:start w:val="1"/>
      <w:numFmt w:val="bullet"/>
      <w:lvlText w:val=""/>
      <w:lvlJc w:val="left"/>
      <w:pPr>
        <w:ind w:left="1440" w:hanging="360"/>
      </w:pPr>
      <w:rPr>
        <w:rFonts w:ascii="Symbol" w:hAnsi="Symbol" w:hint="default"/>
      </w:rPr>
    </w:lvl>
    <w:lvl w:ilvl="2" w:tplc="15A81026">
      <w:start w:val="1"/>
      <w:numFmt w:val="bullet"/>
      <w:lvlText w:val=""/>
      <w:lvlJc w:val="left"/>
      <w:pPr>
        <w:ind w:left="2160" w:hanging="360"/>
      </w:pPr>
      <w:rPr>
        <w:rFonts w:ascii="Wingdings" w:hAnsi="Wingdings" w:hint="default"/>
      </w:rPr>
    </w:lvl>
    <w:lvl w:ilvl="3" w:tplc="D51E92A6">
      <w:start w:val="1"/>
      <w:numFmt w:val="bullet"/>
      <w:lvlText w:val=""/>
      <w:lvlJc w:val="left"/>
      <w:pPr>
        <w:ind w:left="2880" w:hanging="360"/>
      </w:pPr>
      <w:rPr>
        <w:rFonts w:ascii="Symbol" w:hAnsi="Symbol" w:hint="default"/>
      </w:rPr>
    </w:lvl>
    <w:lvl w:ilvl="4" w:tplc="7B7CDE8A">
      <w:start w:val="1"/>
      <w:numFmt w:val="bullet"/>
      <w:lvlText w:val="o"/>
      <w:lvlJc w:val="left"/>
      <w:pPr>
        <w:ind w:left="3600" w:hanging="360"/>
      </w:pPr>
      <w:rPr>
        <w:rFonts w:ascii="Courier New" w:hAnsi="Courier New" w:hint="default"/>
      </w:rPr>
    </w:lvl>
    <w:lvl w:ilvl="5" w:tplc="EFF635D6">
      <w:start w:val="1"/>
      <w:numFmt w:val="bullet"/>
      <w:lvlText w:val=""/>
      <w:lvlJc w:val="left"/>
      <w:pPr>
        <w:ind w:left="4320" w:hanging="360"/>
      </w:pPr>
      <w:rPr>
        <w:rFonts w:ascii="Wingdings" w:hAnsi="Wingdings" w:hint="default"/>
      </w:rPr>
    </w:lvl>
    <w:lvl w:ilvl="6" w:tplc="D6E4696A">
      <w:start w:val="1"/>
      <w:numFmt w:val="bullet"/>
      <w:lvlText w:val=""/>
      <w:lvlJc w:val="left"/>
      <w:pPr>
        <w:ind w:left="5040" w:hanging="360"/>
      </w:pPr>
      <w:rPr>
        <w:rFonts w:ascii="Symbol" w:hAnsi="Symbol" w:hint="default"/>
      </w:rPr>
    </w:lvl>
    <w:lvl w:ilvl="7" w:tplc="9D0A2E26">
      <w:start w:val="1"/>
      <w:numFmt w:val="bullet"/>
      <w:lvlText w:val="o"/>
      <w:lvlJc w:val="left"/>
      <w:pPr>
        <w:ind w:left="5760" w:hanging="360"/>
      </w:pPr>
      <w:rPr>
        <w:rFonts w:ascii="Courier New" w:hAnsi="Courier New" w:hint="default"/>
      </w:rPr>
    </w:lvl>
    <w:lvl w:ilvl="8" w:tplc="C9EAB208">
      <w:start w:val="1"/>
      <w:numFmt w:val="bullet"/>
      <w:lvlText w:val=""/>
      <w:lvlJc w:val="left"/>
      <w:pPr>
        <w:ind w:left="6480" w:hanging="360"/>
      </w:pPr>
      <w:rPr>
        <w:rFonts w:ascii="Wingdings" w:hAnsi="Wingdings" w:hint="default"/>
      </w:rPr>
    </w:lvl>
  </w:abstractNum>
  <w:abstractNum w:abstractNumId="43" w15:restartNumberingAfterBreak="0">
    <w:nsid w:val="22567BE0"/>
    <w:multiLevelType w:val="hybridMultilevel"/>
    <w:tmpl w:val="3BD0294E"/>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874568"/>
    <w:multiLevelType w:val="hybridMultilevel"/>
    <w:tmpl w:val="EECCB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90FB4"/>
    <w:multiLevelType w:val="hybridMultilevel"/>
    <w:tmpl w:val="A2E0F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B74B6D"/>
    <w:multiLevelType w:val="hybridMultilevel"/>
    <w:tmpl w:val="FCBC6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2A5140"/>
    <w:multiLevelType w:val="hybridMultilevel"/>
    <w:tmpl w:val="72140386"/>
    <w:lvl w:ilvl="0" w:tplc="6D6ADEF4">
      <w:start w:val="1"/>
      <w:numFmt w:val="bullet"/>
      <w:lvlText w:val=""/>
      <w:lvlJc w:val="left"/>
      <w:pPr>
        <w:ind w:left="720" w:hanging="360"/>
      </w:pPr>
      <w:rPr>
        <w:rFonts w:ascii="Symbol" w:hAnsi="Symbol" w:hint="default"/>
      </w:rPr>
    </w:lvl>
    <w:lvl w:ilvl="1" w:tplc="EFFAE576">
      <w:start w:val="1"/>
      <w:numFmt w:val="bullet"/>
      <w:lvlText w:val="o"/>
      <w:lvlJc w:val="left"/>
      <w:pPr>
        <w:ind w:left="1440" w:hanging="360"/>
      </w:pPr>
      <w:rPr>
        <w:rFonts w:ascii="Courier New" w:hAnsi="Courier New" w:hint="default"/>
      </w:rPr>
    </w:lvl>
    <w:lvl w:ilvl="2" w:tplc="8D9C28D0">
      <w:start w:val="1"/>
      <w:numFmt w:val="bullet"/>
      <w:lvlText w:val=""/>
      <w:lvlJc w:val="left"/>
      <w:pPr>
        <w:ind w:left="2160" w:hanging="360"/>
      </w:pPr>
      <w:rPr>
        <w:rFonts w:ascii="Wingdings" w:hAnsi="Wingdings" w:hint="default"/>
      </w:rPr>
    </w:lvl>
    <w:lvl w:ilvl="3" w:tplc="FA60BCEC">
      <w:start w:val="1"/>
      <w:numFmt w:val="bullet"/>
      <w:lvlText w:val=""/>
      <w:lvlJc w:val="left"/>
      <w:pPr>
        <w:ind w:left="2880" w:hanging="360"/>
      </w:pPr>
      <w:rPr>
        <w:rFonts w:ascii="Symbol" w:hAnsi="Symbol" w:hint="default"/>
      </w:rPr>
    </w:lvl>
    <w:lvl w:ilvl="4" w:tplc="522CD776">
      <w:start w:val="1"/>
      <w:numFmt w:val="bullet"/>
      <w:lvlText w:val="o"/>
      <w:lvlJc w:val="left"/>
      <w:pPr>
        <w:ind w:left="3600" w:hanging="360"/>
      </w:pPr>
      <w:rPr>
        <w:rFonts w:ascii="Courier New" w:hAnsi="Courier New" w:hint="default"/>
      </w:rPr>
    </w:lvl>
    <w:lvl w:ilvl="5" w:tplc="72B616C0">
      <w:start w:val="1"/>
      <w:numFmt w:val="bullet"/>
      <w:lvlText w:val=""/>
      <w:lvlJc w:val="left"/>
      <w:pPr>
        <w:ind w:left="4320" w:hanging="360"/>
      </w:pPr>
      <w:rPr>
        <w:rFonts w:ascii="Wingdings" w:hAnsi="Wingdings" w:hint="default"/>
      </w:rPr>
    </w:lvl>
    <w:lvl w:ilvl="6" w:tplc="3962D820">
      <w:start w:val="1"/>
      <w:numFmt w:val="bullet"/>
      <w:lvlText w:val=""/>
      <w:lvlJc w:val="left"/>
      <w:pPr>
        <w:ind w:left="5040" w:hanging="360"/>
      </w:pPr>
      <w:rPr>
        <w:rFonts w:ascii="Symbol" w:hAnsi="Symbol" w:hint="default"/>
      </w:rPr>
    </w:lvl>
    <w:lvl w:ilvl="7" w:tplc="F190C230">
      <w:start w:val="1"/>
      <w:numFmt w:val="bullet"/>
      <w:lvlText w:val="o"/>
      <w:lvlJc w:val="left"/>
      <w:pPr>
        <w:ind w:left="5760" w:hanging="360"/>
      </w:pPr>
      <w:rPr>
        <w:rFonts w:ascii="Courier New" w:hAnsi="Courier New" w:hint="default"/>
      </w:rPr>
    </w:lvl>
    <w:lvl w:ilvl="8" w:tplc="319C9466">
      <w:start w:val="1"/>
      <w:numFmt w:val="bullet"/>
      <w:lvlText w:val=""/>
      <w:lvlJc w:val="left"/>
      <w:pPr>
        <w:ind w:left="6480" w:hanging="360"/>
      </w:pPr>
      <w:rPr>
        <w:rFonts w:ascii="Wingdings" w:hAnsi="Wingdings" w:hint="default"/>
      </w:rPr>
    </w:lvl>
  </w:abstractNum>
  <w:abstractNum w:abstractNumId="48" w15:restartNumberingAfterBreak="0">
    <w:nsid w:val="265B34E7"/>
    <w:multiLevelType w:val="hybridMultilevel"/>
    <w:tmpl w:val="6F20B5F8"/>
    <w:lvl w:ilvl="0" w:tplc="A0AA2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954C40"/>
    <w:multiLevelType w:val="hybridMultilevel"/>
    <w:tmpl w:val="DB365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F96128"/>
    <w:multiLevelType w:val="hybridMultilevel"/>
    <w:tmpl w:val="F36650A8"/>
    <w:lvl w:ilvl="0" w:tplc="FDA694B6">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51" w15:restartNumberingAfterBreak="0">
    <w:nsid w:val="28A91442"/>
    <w:multiLevelType w:val="hybridMultilevel"/>
    <w:tmpl w:val="B2B66482"/>
    <w:lvl w:ilvl="0" w:tplc="55AC393E">
      <w:start w:val="1"/>
      <w:numFmt w:val="bullet"/>
      <w:lvlText w:val=""/>
      <w:lvlJc w:val="left"/>
      <w:pPr>
        <w:ind w:left="720" w:hanging="360"/>
      </w:pPr>
      <w:rPr>
        <w:rFonts w:ascii="Symbol" w:hAnsi="Symbol" w:hint="default"/>
      </w:rPr>
    </w:lvl>
    <w:lvl w:ilvl="1" w:tplc="723C072E">
      <w:start w:val="1"/>
      <w:numFmt w:val="bullet"/>
      <w:lvlText w:val="o"/>
      <w:lvlJc w:val="left"/>
      <w:pPr>
        <w:ind w:left="1440" w:hanging="360"/>
      </w:pPr>
      <w:rPr>
        <w:rFonts w:ascii="Courier New" w:hAnsi="Courier New" w:hint="default"/>
      </w:rPr>
    </w:lvl>
    <w:lvl w:ilvl="2" w:tplc="AD5066C8">
      <w:start w:val="1"/>
      <w:numFmt w:val="bullet"/>
      <w:lvlText w:val=""/>
      <w:lvlJc w:val="left"/>
      <w:pPr>
        <w:ind w:left="2160" w:hanging="360"/>
      </w:pPr>
      <w:rPr>
        <w:rFonts w:ascii="Wingdings" w:hAnsi="Wingdings" w:hint="default"/>
      </w:rPr>
    </w:lvl>
    <w:lvl w:ilvl="3" w:tplc="62A4ABDC">
      <w:start w:val="1"/>
      <w:numFmt w:val="bullet"/>
      <w:lvlText w:val=""/>
      <w:lvlJc w:val="left"/>
      <w:pPr>
        <w:ind w:left="2880" w:hanging="360"/>
      </w:pPr>
      <w:rPr>
        <w:rFonts w:ascii="Symbol" w:hAnsi="Symbol" w:hint="default"/>
      </w:rPr>
    </w:lvl>
    <w:lvl w:ilvl="4" w:tplc="ADE6BD56">
      <w:start w:val="1"/>
      <w:numFmt w:val="bullet"/>
      <w:lvlText w:val="o"/>
      <w:lvlJc w:val="left"/>
      <w:pPr>
        <w:ind w:left="3600" w:hanging="360"/>
      </w:pPr>
      <w:rPr>
        <w:rFonts w:ascii="Courier New" w:hAnsi="Courier New" w:hint="default"/>
      </w:rPr>
    </w:lvl>
    <w:lvl w:ilvl="5" w:tplc="2EF6EA50">
      <w:start w:val="1"/>
      <w:numFmt w:val="bullet"/>
      <w:lvlText w:val=""/>
      <w:lvlJc w:val="left"/>
      <w:pPr>
        <w:ind w:left="4320" w:hanging="360"/>
      </w:pPr>
      <w:rPr>
        <w:rFonts w:ascii="Wingdings" w:hAnsi="Wingdings" w:hint="default"/>
      </w:rPr>
    </w:lvl>
    <w:lvl w:ilvl="6" w:tplc="A72A897E">
      <w:start w:val="1"/>
      <w:numFmt w:val="bullet"/>
      <w:lvlText w:val=""/>
      <w:lvlJc w:val="left"/>
      <w:pPr>
        <w:ind w:left="5040" w:hanging="360"/>
      </w:pPr>
      <w:rPr>
        <w:rFonts w:ascii="Symbol" w:hAnsi="Symbol" w:hint="default"/>
      </w:rPr>
    </w:lvl>
    <w:lvl w:ilvl="7" w:tplc="10341394">
      <w:start w:val="1"/>
      <w:numFmt w:val="bullet"/>
      <w:lvlText w:val="o"/>
      <w:lvlJc w:val="left"/>
      <w:pPr>
        <w:ind w:left="5760" w:hanging="360"/>
      </w:pPr>
      <w:rPr>
        <w:rFonts w:ascii="Courier New" w:hAnsi="Courier New" w:hint="default"/>
      </w:rPr>
    </w:lvl>
    <w:lvl w:ilvl="8" w:tplc="93CC80D8">
      <w:start w:val="1"/>
      <w:numFmt w:val="bullet"/>
      <w:lvlText w:val=""/>
      <w:lvlJc w:val="left"/>
      <w:pPr>
        <w:ind w:left="6480" w:hanging="360"/>
      </w:pPr>
      <w:rPr>
        <w:rFonts w:ascii="Wingdings" w:hAnsi="Wingdings" w:hint="default"/>
      </w:rPr>
    </w:lvl>
  </w:abstractNum>
  <w:abstractNum w:abstractNumId="52" w15:restartNumberingAfterBreak="0">
    <w:nsid w:val="2B29080D"/>
    <w:multiLevelType w:val="hybridMultilevel"/>
    <w:tmpl w:val="094288F2"/>
    <w:lvl w:ilvl="0" w:tplc="0EF428EC">
      <w:start w:val="1"/>
      <w:numFmt w:val="bullet"/>
      <w:lvlText w:val=""/>
      <w:lvlJc w:val="left"/>
      <w:pPr>
        <w:ind w:left="720" w:hanging="360"/>
      </w:pPr>
      <w:rPr>
        <w:rFonts w:ascii="Symbol" w:hAnsi="Symbol" w:hint="default"/>
      </w:rPr>
    </w:lvl>
    <w:lvl w:ilvl="1" w:tplc="49CA589C">
      <w:start w:val="1"/>
      <w:numFmt w:val="bullet"/>
      <w:lvlText w:val="o"/>
      <w:lvlJc w:val="left"/>
      <w:pPr>
        <w:ind w:left="1440" w:hanging="360"/>
      </w:pPr>
      <w:rPr>
        <w:rFonts w:ascii="Courier New" w:hAnsi="Courier New" w:hint="default"/>
      </w:rPr>
    </w:lvl>
    <w:lvl w:ilvl="2" w:tplc="C48A98D0">
      <w:start w:val="1"/>
      <w:numFmt w:val="bullet"/>
      <w:lvlText w:val=""/>
      <w:lvlJc w:val="left"/>
      <w:pPr>
        <w:ind w:left="2160" w:hanging="360"/>
      </w:pPr>
      <w:rPr>
        <w:rFonts w:ascii="Wingdings" w:hAnsi="Wingdings" w:hint="default"/>
      </w:rPr>
    </w:lvl>
    <w:lvl w:ilvl="3" w:tplc="103C3E8E">
      <w:start w:val="1"/>
      <w:numFmt w:val="bullet"/>
      <w:lvlText w:val=""/>
      <w:lvlJc w:val="left"/>
      <w:pPr>
        <w:ind w:left="2880" w:hanging="360"/>
      </w:pPr>
      <w:rPr>
        <w:rFonts w:ascii="Symbol" w:hAnsi="Symbol" w:hint="default"/>
      </w:rPr>
    </w:lvl>
    <w:lvl w:ilvl="4" w:tplc="3C42119C">
      <w:start w:val="1"/>
      <w:numFmt w:val="bullet"/>
      <w:lvlText w:val="o"/>
      <w:lvlJc w:val="left"/>
      <w:pPr>
        <w:ind w:left="3600" w:hanging="360"/>
      </w:pPr>
      <w:rPr>
        <w:rFonts w:ascii="Courier New" w:hAnsi="Courier New" w:hint="default"/>
      </w:rPr>
    </w:lvl>
    <w:lvl w:ilvl="5" w:tplc="DCD0C4D8">
      <w:start w:val="1"/>
      <w:numFmt w:val="bullet"/>
      <w:lvlText w:val=""/>
      <w:lvlJc w:val="left"/>
      <w:pPr>
        <w:ind w:left="4320" w:hanging="360"/>
      </w:pPr>
      <w:rPr>
        <w:rFonts w:ascii="Wingdings" w:hAnsi="Wingdings" w:hint="default"/>
      </w:rPr>
    </w:lvl>
    <w:lvl w:ilvl="6" w:tplc="3B046362">
      <w:start w:val="1"/>
      <w:numFmt w:val="bullet"/>
      <w:lvlText w:val=""/>
      <w:lvlJc w:val="left"/>
      <w:pPr>
        <w:ind w:left="5040" w:hanging="360"/>
      </w:pPr>
      <w:rPr>
        <w:rFonts w:ascii="Symbol" w:hAnsi="Symbol" w:hint="default"/>
      </w:rPr>
    </w:lvl>
    <w:lvl w:ilvl="7" w:tplc="10CA830A">
      <w:start w:val="1"/>
      <w:numFmt w:val="bullet"/>
      <w:lvlText w:val="o"/>
      <w:lvlJc w:val="left"/>
      <w:pPr>
        <w:ind w:left="5760" w:hanging="360"/>
      </w:pPr>
      <w:rPr>
        <w:rFonts w:ascii="Courier New" w:hAnsi="Courier New" w:hint="default"/>
      </w:rPr>
    </w:lvl>
    <w:lvl w:ilvl="8" w:tplc="91F4B718">
      <w:start w:val="1"/>
      <w:numFmt w:val="bullet"/>
      <w:lvlText w:val=""/>
      <w:lvlJc w:val="left"/>
      <w:pPr>
        <w:ind w:left="6480" w:hanging="360"/>
      </w:pPr>
      <w:rPr>
        <w:rFonts w:ascii="Wingdings" w:hAnsi="Wingdings" w:hint="default"/>
      </w:rPr>
    </w:lvl>
  </w:abstractNum>
  <w:abstractNum w:abstractNumId="53" w15:restartNumberingAfterBreak="0">
    <w:nsid w:val="2C91013E"/>
    <w:multiLevelType w:val="hybridMultilevel"/>
    <w:tmpl w:val="CE36ADF6"/>
    <w:lvl w:ilvl="0" w:tplc="38C8D984">
      <w:start w:val="1"/>
      <w:numFmt w:val="lowerLetter"/>
      <w:lvlText w:val="%1."/>
      <w:lvlJc w:val="left"/>
      <w:pPr>
        <w:ind w:left="720" w:hanging="360"/>
      </w:pPr>
    </w:lvl>
    <w:lvl w:ilvl="1" w:tplc="14902EB2">
      <w:start w:val="1"/>
      <w:numFmt w:val="lowerLetter"/>
      <w:lvlText w:val="%2."/>
      <w:lvlJc w:val="left"/>
      <w:pPr>
        <w:ind w:left="1440" w:hanging="360"/>
      </w:pPr>
    </w:lvl>
    <w:lvl w:ilvl="2" w:tplc="D570A78A">
      <w:start w:val="1"/>
      <w:numFmt w:val="lowerRoman"/>
      <w:lvlText w:val="%3."/>
      <w:lvlJc w:val="right"/>
      <w:pPr>
        <w:ind w:left="2160" w:hanging="180"/>
      </w:pPr>
    </w:lvl>
    <w:lvl w:ilvl="3" w:tplc="DF54443A">
      <w:start w:val="1"/>
      <w:numFmt w:val="decimal"/>
      <w:lvlText w:val="%4."/>
      <w:lvlJc w:val="left"/>
      <w:pPr>
        <w:ind w:left="2880" w:hanging="360"/>
      </w:pPr>
    </w:lvl>
    <w:lvl w:ilvl="4" w:tplc="E4DC8838">
      <w:start w:val="1"/>
      <w:numFmt w:val="lowerLetter"/>
      <w:lvlText w:val="%5."/>
      <w:lvlJc w:val="left"/>
      <w:pPr>
        <w:ind w:left="3600" w:hanging="360"/>
      </w:pPr>
    </w:lvl>
    <w:lvl w:ilvl="5" w:tplc="75FEFE6A">
      <w:start w:val="1"/>
      <w:numFmt w:val="lowerRoman"/>
      <w:lvlText w:val="%6."/>
      <w:lvlJc w:val="right"/>
      <w:pPr>
        <w:ind w:left="4320" w:hanging="180"/>
      </w:pPr>
    </w:lvl>
    <w:lvl w:ilvl="6" w:tplc="F0AA44C2">
      <w:start w:val="1"/>
      <w:numFmt w:val="decimal"/>
      <w:lvlText w:val="%7."/>
      <w:lvlJc w:val="left"/>
      <w:pPr>
        <w:ind w:left="5040" w:hanging="360"/>
      </w:pPr>
    </w:lvl>
    <w:lvl w:ilvl="7" w:tplc="2B7216F6">
      <w:start w:val="1"/>
      <w:numFmt w:val="lowerLetter"/>
      <w:lvlText w:val="%8."/>
      <w:lvlJc w:val="left"/>
      <w:pPr>
        <w:ind w:left="5760" w:hanging="360"/>
      </w:pPr>
    </w:lvl>
    <w:lvl w:ilvl="8" w:tplc="1A743824">
      <w:start w:val="1"/>
      <w:numFmt w:val="lowerRoman"/>
      <w:lvlText w:val="%9."/>
      <w:lvlJc w:val="right"/>
      <w:pPr>
        <w:ind w:left="6480" w:hanging="180"/>
      </w:pPr>
    </w:lvl>
  </w:abstractNum>
  <w:abstractNum w:abstractNumId="54" w15:restartNumberingAfterBreak="0">
    <w:nsid w:val="2DD61B75"/>
    <w:multiLevelType w:val="hybridMultilevel"/>
    <w:tmpl w:val="0E96F188"/>
    <w:lvl w:ilvl="0" w:tplc="818A3074">
      <w:start w:val="1"/>
      <w:numFmt w:val="bullet"/>
      <w:lvlText w:val=""/>
      <w:lvlJc w:val="left"/>
      <w:pPr>
        <w:ind w:left="720" w:hanging="360"/>
      </w:pPr>
      <w:rPr>
        <w:rFonts w:ascii="Symbol" w:hAnsi="Symbol" w:hint="default"/>
      </w:rPr>
    </w:lvl>
    <w:lvl w:ilvl="1" w:tplc="35101CFE">
      <w:start w:val="1"/>
      <w:numFmt w:val="bullet"/>
      <w:lvlText w:val="o"/>
      <w:lvlJc w:val="left"/>
      <w:pPr>
        <w:ind w:left="1440" w:hanging="360"/>
      </w:pPr>
      <w:rPr>
        <w:rFonts w:ascii="Courier New" w:hAnsi="Courier New" w:hint="default"/>
      </w:rPr>
    </w:lvl>
    <w:lvl w:ilvl="2" w:tplc="866A03DC">
      <w:start w:val="1"/>
      <w:numFmt w:val="bullet"/>
      <w:lvlText w:val=""/>
      <w:lvlJc w:val="left"/>
      <w:pPr>
        <w:ind w:left="2160" w:hanging="360"/>
      </w:pPr>
      <w:rPr>
        <w:rFonts w:ascii="Wingdings" w:hAnsi="Wingdings" w:hint="default"/>
      </w:rPr>
    </w:lvl>
    <w:lvl w:ilvl="3" w:tplc="8C843636">
      <w:start w:val="1"/>
      <w:numFmt w:val="bullet"/>
      <w:lvlText w:val=""/>
      <w:lvlJc w:val="left"/>
      <w:pPr>
        <w:ind w:left="2880" w:hanging="360"/>
      </w:pPr>
      <w:rPr>
        <w:rFonts w:ascii="Symbol" w:hAnsi="Symbol" w:hint="default"/>
      </w:rPr>
    </w:lvl>
    <w:lvl w:ilvl="4" w:tplc="18560002">
      <w:start w:val="1"/>
      <w:numFmt w:val="bullet"/>
      <w:lvlText w:val="o"/>
      <w:lvlJc w:val="left"/>
      <w:pPr>
        <w:ind w:left="3600" w:hanging="360"/>
      </w:pPr>
      <w:rPr>
        <w:rFonts w:ascii="Courier New" w:hAnsi="Courier New" w:hint="default"/>
      </w:rPr>
    </w:lvl>
    <w:lvl w:ilvl="5" w:tplc="A1CEEBC2">
      <w:start w:val="1"/>
      <w:numFmt w:val="bullet"/>
      <w:lvlText w:val=""/>
      <w:lvlJc w:val="left"/>
      <w:pPr>
        <w:ind w:left="4320" w:hanging="360"/>
      </w:pPr>
      <w:rPr>
        <w:rFonts w:ascii="Wingdings" w:hAnsi="Wingdings" w:hint="default"/>
      </w:rPr>
    </w:lvl>
    <w:lvl w:ilvl="6" w:tplc="2F6ED5C4">
      <w:start w:val="1"/>
      <w:numFmt w:val="bullet"/>
      <w:lvlText w:val=""/>
      <w:lvlJc w:val="left"/>
      <w:pPr>
        <w:ind w:left="5040" w:hanging="360"/>
      </w:pPr>
      <w:rPr>
        <w:rFonts w:ascii="Symbol" w:hAnsi="Symbol" w:hint="default"/>
      </w:rPr>
    </w:lvl>
    <w:lvl w:ilvl="7" w:tplc="587614B8">
      <w:start w:val="1"/>
      <w:numFmt w:val="bullet"/>
      <w:lvlText w:val="o"/>
      <w:lvlJc w:val="left"/>
      <w:pPr>
        <w:ind w:left="5760" w:hanging="360"/>
      </w:pPr>
      <w:rPr>
        <w:rFonts w:ascii="Courier New" w:hAnsi="Courier New" w:hint="default"/>
      </w:rPr>
    </w:lvl>
    <w:lvl w:ilvl="8" w:tplc="5FBAE910">
      <w:start w:val="1"/>
      <w:numFmt w:val="bullet"/>
      <w:lvlText w:val=""/>
      <w:lvlJc w:val="left"/>
      <w:pPr>
        <w:ind w:left="6480" w:hanging="360"/>
      </w:pPr>
      <w:rPr>
        <w:rFonts w:ascii="Wingdings" w:hAnsi="Wingdings" w:hint="default"/>
      </w:rPr>
    </w:lvl>
  </w:abstractNum>
  <w:abstractNum w:abstractNumId="55" w15:restartNumberingAfterBreak="0">
    <w:nsid w:val="2EC60D0A"/>
    <w:multiLevelType w:val="hybridMultilevel"/>
    <w:tmpl w:val="D5C46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1376A7"/>
    <w:multiLevelType w:val="hybridMultilevel"/>
    <w:tmpl w:val="7B8C1810"/>
    <w:lvl w:ilvl="0" w:tplc="A58C8DAC">
      <w:start w:val="1"/>
      <w:numFmt w:val="bullet"/>
      <w:lvlText w:val=""/>
      <w:lvlJc w:val="left"/>
      <w:pPr>
        <w:ind w:left="720" w:hanging="360"/>
      </w:pPr>
      <w:rPr>
        <w:rFonts w:ascii="Symbol" w:hAnsi="Symbol" w:hint="default"/>
      </w:rPr>
    </w:lvl>
    <w:lvl w:ilvl="1" w:tplc="79D8B238">
      <w:start w:val="1"/>
      <w:numFmt w:val="bullet"/>
      <w:lvlText w:val="o"/>
      <w:lvlJc w:val="left"/>
      <w:pPr>
        <w:ind w:left="1440" w:hanging="360"/>
      </w:pPr>
      <w:rPr>
        <w:rFonts w:ascii="Courier New" w:hAnsi="Courier New" w:hint="default"/>
      </w:rPr>
    </w:lvl>
    <w:lvl w:ilvl="2" w:tplc="952C3772">
      <w:start w:val="1"/>
      <w:numFmt w:val="bullet"/>
      <w:lvlText w:val=""/>
      <w:lvlJc w:val="left"/>
      <w:pPr>
        <w:ind w:left="2160" w:hanging="360"/>
      </w:pPr>
      <w:rPr>
        <w:rFonts w:ascii="Wingdings" w:hAnsi="Wingdings" w:hint="default"/>
      </w:rPr>
    </w:lvl>
    <w:lvl w:ilvl="3" w:tplc="653C31DA">
      <w:start w:val="1"/>
      <w:numFmt w:val="bullet"/>
      <w:lvlText w:val=""/>
      <w:lvlJc w:val="left"/>
      <w:pPr>
        <w:ind w:left="2880" w:hanging="360"/>
      </w:pPr>
      <w:rPr>
        <w:rFonts w:ascii="Symbol" w:hAnsi="Symbol" w:hint="default"/>
      </w:rPr>
    </w:lvl>
    <w:lvl w:ilvl="4" w:tplc="05FE4458">
      <w:start w:val="1"/>
      <w:numFmt w:val="bullet"/>
      <w:lvlText w:val="o"/>
      <w:lvlJc w:val="left"/>
      <w:pPr>
        <w:ind w:left="3600" w:hanging="360"/>
      </w:pPr>
      <w:rPr>
        <w:rFonts w:ascii="Courier New" w:hAnsi="Courier New" w:hint="default"/>
      </w:rPr>
    </w:lvl>
    <w:lvl w:ilvl="5" w:tplc="61520450">
      <w:start w:val="1"/>
      <w:numFmt w:val="bullet"/>
      <w:lvlText w:val=""/>
      <w:lvlJc w:val="left"/>
      <w:pPr>
        <w:ind w:left="4320" w:hanging="360"/>
      </w:pPr>
      <w:rPr>
        <w:rFonts w:ascii="Wingdings" w:hAnsi="Wingdings" w:hint="default"/>
      </w:rPr>
    </w:lvl>
    <w:lvl w:ilvl="6" w:tplc="C55E2AAC">
      <w:start w:val="1"/>
      <w:numFmt w:val="bullet"/>
      <w:lvlText w:val=""/>
      <w:lvlJc w:val="left"/>
      <w:pPr>
        <w:ind w:left="5040" w:hanging="360"/>
      </w:pPr>
      <w:rPr>
        <w:rFonts w:ascii="Symbol" w:hAnsi="Symbol" w:hint="default"/>
      </w:rPr>
    </w:lvl>
    <w:lvl w:ilvl="7" w:tplc="5F0E30D4">
      <w:start w:val="1"/>
      <w:numFmt w:val="bullet"/>
      <w:lvlText w:val="o"/>
      <w:lvlJc w:val="left"/>
      <w:pPr>
        <w:ind w:left="5760" w:hanging="360"/>
      </w:pPr>
      <w:rPr>
        <w:rFonts w:ascii="Courier New" w:hAnsi="Courier New" w:hint="default"/>
      </w:rPr>
    </w:lvl>
    <w:lvl w:ilvl="8" w:tplc="AE08F73E">
      <w:start w:val="1"/>
      <w:numFmt w:val="bullet"/>
      <w:lvlText w:val=""/>
      <w:lvlJc w:val="left"/>
      <w:pPr>
        <w:ind w:left="6480" w:hanging="360"/>
      </w:pPr>
      <w:rPr>
        <w:rFonts w:ascii="Wingdings" w:hAnsi="Wingdings" w:hint="default"/>
      </w:rPr>
    </w:lvl>
  </w:abstractNum>
  <w:abstractNum w:abstractNumId="57" w15:restartNumberingAfterBreak="0">
    <w:nsid w:val="30A90A9F"/>
    <w:multiLevelType w:val="hybridMultilevel"/>
    <w:tmpl w:val="7BB418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1555922"/>
    <w:multiLevelType w:val="hybridMultilevel"/>
    <w:tmpl w:val="5EBCEAD8"/>
    <w:lvl w:ilvl="0" w:tplc="FDBE0386">
      <w:start w:val="1"/>
      <w:numFmt w:val="bullet"/>
      <w:lvlText w:val=""/>
      <w:lvlJc w:val="left"/>
      <w:pPr>
        <w:ind w:left="720" w:hanging="360"/>
      </w:pPr>
      <w:rPr>
        <w:rFonts w:ascii="Symbol" w:hAnsi="Symbol" w:hint="default"/>
      </w:rPr>
    </w:lvl>
    <w:lvl w:ilvl="1" w:tplc="715A0CEA">
      <w:start w:val="1"/>
      <w:numFmt w:val="bullet"/>
      <w:lvlText w:val="o"/>
      <w:lvlJc w:val="left"/>
      <w:pPr>
        <w:ind w:left="1440" w:hanging="360"/>
      </w:pPr>
      <w:rPr>
        <w:rFonts w:ascii="Courier New" w:hAnsi="Courier New" w:hint="default"/>
      </w:rPr>
    </w:lvl>
    <w:lvl w:ilvl="2" w:tplc="C71C3712">
      <w:start w:val="1"/>
      <w:numFmt w:val="bullet"/>
      <w:lvlText w:val=""/>
      <w:lvlJc w:val="left"/>
      <w:pPr>
        <w:ind w:left="2160" w:hanging="360"/>
      </w:pPr>
      <w:rPr>
        <w:rFonts w:ascii="Wingdings" w:hAnsi="Wingdings" w:hint="default"/>
      </w:rPr>
    </w:lvl>
    <w:lvl w:ilvl="3" w:tplc="3AD4624E">
      <w:start w:val="1"/>
      <w:numFmt w:val="bullet"/>
      <w:lvlText w:val=""/>
      <w:lvlJc w:val="left"/>
      <w:pPr>
        <w:ind w:left="2880" w:hanging="360"/>
      </w:pPr>
      <w:rPr>
        <w:rFonts w:ascii="Symbol" w:hAnsi="Symbol" w:hint="default"/>
      </w:rPr>
    </w:lvl>
    <w:lvl w:ilvl="4" w:tplc="DD8CC7DA">
      <w:start w:val="1"/>
      <w:numFmt w:val="bullet"/>
      <w:lvlText w:val="o"/>
      <w:lvlJc w:val="left"/>
      <w:pPr>
        <w:ind w:left="3600" w:hanging="360"/>
      </w:pPr>
      <w:rPr>
        <w:rFonts w:ascii="Courier New" w:hAnsi="Courier New" w:hint="default"/>
      </w:rPr>
    </w:lvl>
    <w:lvl w:ilvl="5" w:tplc="6B78387E">
      <w:start w:val="1"/>
      <w:numFmt w:val="bullet"/>
      <w:lvlText w:val=""/>
      <w:lvlJc w:val="left"/>
      <w:pPr>
        <w:ind w:left="4320" w:hanging="360"/>
      </w:pPr>
      <w:rPr>
        <w:rFonts w:ascii="Wingdings" w:hAnsi="Wingdings" w:hint="default"/>
      </w:rPr>
    </w:lvl>
    <w:lvl w:ilvl="6" w:tplc="8860717A">
      <w:start w:val="1"/>
      <w:numFmt w:val="bullet"/>
      <w:lvlText w:val=""/>
      <w:lvlJc w:val="left"/>
      <w:pPr>
        <w:ind w:left="5040" w:hanging="360"/>
      </w:pPr>
      <w:rPr>
        <w:rFonts w:ascii="Symbol" w:hAnsi="Symbol" w:hint="default"/>
      </w:rPr>
    </w:lvl>
    <w:lvl w:ilvl="7" w:tplc="E0A0159A">
      <w:start w:val="1"/>
      <w:numFmt w:val="bullet"/>
      <w:lvlText w:val="o"/>
      <w:lvlJc w:val="left"/>
      <w:pPr>
        <w:ind w:left="5760" w:hanging="360"/>
      </w:pPr>
      <w:rPr>
        <w:rFonts w:ascii="Courier New" w:hAnsi="Courier New" w:hint="default"/>
      </w:rPr>
    </w:lvl>
    <w:lvl w:ilvl="8" w:tplc="0A5015D6">
      <w:start w:val="1"/>
      <w:numFmt w:val="bullet"/>
      <w:lvlText w:val=""/>
      <w:lvlJc w:val="left"/>
      <w:pPr>
        <w:ind w:left="6480" w:hanging="360"/>
      </w:pPr>
      <w:rPr>
        <w:rFonts w:ascii="Wingdings" w:hAnsi="Wingdings" w:hint="default"/>
      </w:rPr>
    </w:lvl>
  </w:abstractNum>
  <w:abstractNum w:abstractNumId="59" w15:restartNumberingAfterBreak="0">
    <w:nsid w:val="328430F0"/>
    <w:multiLevelType w:val="hybridMultilevel"/>
    <w:tmpl w:val="32CE533E"/>
    <w:lvl w:ilvl="0" w:tplc="07D01020">
      <w:start w:val="1"/>
      <w:numFmt w:val="bullet"/>
      <w:lvlText w:val=""/>
      <w:lvlJc w:val="left"/>
      <w:pPr>
        <w:ind w:left="720" w:hanging="360"/>
      </w:pPr>
      <w:rPr>
        <w:rFonts w:ascii="Symbol" w:hAnsi="Symbol" w:hint="default"/>
      </w:rPr>
    </w:lvl>
    <w:lvl w:ilvl="1" w:tplc="ED66FD9C">
      <w:start w:val="1"/>
      <w:numFmt w:val="bullet"/>
      <w:lvlText w:val="o"/>
      <w:lvlJc w:val="left"/>
      <w:pPr>
        <w:ind w:left="1440" w:hanging="360"/>
      </w:pPr>
      <w:rPr>
        <w:rFonts w:ascii="Courier New" w:hAnsi="Courier New" w:hint="default"/>
      </w:rPr>
    </w:lvl>
    <w:lvl w:ilvl="2" w:tplc="FAE83B0E">
      <w:start w:val="1"/>
      <w:numFmt w:val="bullet"/>
      <w:lvlText w:val=""/>
      <w:lvlJc w:val="left"/>
      <w:pPr>
        <w:ind w:left="2160" w:hanging="360"/>
      </w:pPr>
      <w:rPr>
        <w:rFonts w:ascii="Wingdings" w:hAnsi="Wingdings" w:hint="default"/>
      </w:rPr>
    </w:lvl>
    <w:lvl w:ilvl="3" w:tplc="1B1C8998">
      <w:start w:val="1"/>
      <w:numFmt w:val="bullet"/>
      <w:lvlText w:val=""/>
      <w:lvlJc w:val="left"/>
      <w:pPr>
        <w:ind w:left="2880" w:hanging="360"/>
      </w:pPr>
      <w:rPr>
        <w:rFonts w:ascii="Symbol" w:hAnsi="Symbol" w:hint="default"/>
      </w:rPr>
    </w:lvl>
    <w:lvl w:ilvl="4" w:tplc="23F4B5A8">
      <w:start w:val="1"/>
      <w:numFmt w:val="bullet"/>
      <w:lvlText w:val="o"/>
      <w:lvlJc w:val="left"/>
      <w:pPr>
        <w:ind w:left="3600" w:hanging="360"/>
      </w:pPr>
      <w:rPr>
        <w:rFonts w:ascii="Courier New" w:hAnsi="Courier New" w:hint="default"/>
      </w:rPr>
    </w:lvl>
    <w:lvl w:ilvl="5" w:tplc="64B03D70">
      <w:start w:val="1"/>
      <w:numFmt w:val="bullet"/>
      <w:lvlText w:val=""/>
      <w:lvlJc w:val="left"/>
      <w:pPr>
        <w:ind w:left="4320" w:hanging="360"/>
      </w:pPr>
      <w:rPr>
        <w:rFonts w:ascii="Wingdings" w:hAnsi="Wingdings" w:hint="default"/>
      </w:rPr>
    </w:lvl>
    <w:lvl w:ilvl="6" w:tplc="68086DD0">
      <w:start w:val="1"/>
      <w:numFmt w:val="bullet"/>
      <w:lvlText w:val=""/>
      <w:lvlJc w:val="left"/>
      <w:pPr>
        <w:ind w:left="5040" w:hanging="360"/>
      </w:pPr>
      <w:rPr>
        <w:rFonts w:ascii="Symbol" w:hAnsi="Symbol" w:hint="default"/>
      </w:rPr>
    </w:lvl>
    <w:lvl w:ilvl="7" w:tplc="51C67D92">
      <w:start w:val="1"/>
      <w:numFmt w:val="bullet"/>
      <w:lvlText w:val="o"/>
      <w:lvlJc w:val="left"/>
      <w:pPr>
        <w:ind w:left="5760" w:hanging="360"/>
      </w:pPr>
      <w:rPr>
        <w:rFonts w:ascii="Courier New" w:hAnsi="Courier New" w:hint="default"/>
      </w:rPr>
    </w:lvl>
    <w:lvl w:ilvl="8" w:tplc="DD963D3A">
      <w:start w:val="1"/>
      <w:numFmt w:val="bullet"/>
      <w:lvlText w:val=""/>
      <w:lvlJc w:val="left"/>
      <w:pPr>
        <w:ind w:left="6480" w:hanging="360"/>
      </w:pPr>
      <w:rPr>
        <w:rFonts w:ascii="Wingdings" w:hAnsi="Wingdings" w:hint="default"/>
      </w:rPr>
    </w:lvl>
  </w:abstractNum>
  <w:abstractNum w:abstractNumId="60" w15:restartNumberingAfterBreak="0">
    <w:nsid w:val="33D062A4"/>
    <w:multiLevelType w:val="hybridMultilevel"/>
    <w:tmpl w:val="DA467092"/>
    <w:lvl w:ilvl="0" w:tplc="2D64AA14">
      <w:start w:val="1"/>
      <w:numFmt w:val="bullet"/>
      <w:lvlText w:val=""/>
      <w:lvlJc w:val="left"/>
      <w:pPr>
        <w:ind w:left="720" w:hanging="360"/>
      </w:pPr>
      <w:rPr>
        <w:rFonts w:ascii="Symbol" w:hAnsi="Symbol" w:hint="default"/>
      </w:rPr>
    </w:lvl>
    <w:lvl w:ilvl="1" w:tplc="71DA338E">
      <w:start w:val="1"/>
      <w:numFmt w:val="bullet"/>
      <w:lvlText w:val="o"/>
      <w:lvlJc w:val="left"/>
      <w:pPr>
        <w:ind w:left="1440" w:hanging="360"/>
      </w:pPr>
      <w:rPr>
        <w:rFonts w:ascii="Courier New" w:hAnsi="Courier New" w:hint="default"/>
      </w:rPr>
    </w:lvl>
    <w:lvl w:ilvl="2" w:tplc="5CEE7716">
      <w:start w:val="1"/>
      <w:numFmt w:val="bullet"/>
      <w:lvlText w:val=""/>
      <w:lvlJc w:val="left"/>
      <w:pPr>
        <w:ind w:left="2160" w:hanging="360"/>
      </w:pPr>
      <w:rPr>
        <w:rFonts w:ascii="Wingdings" w:hAnsi="Wingdings" w:hint="default"/>
      </w:rPr>
    </w:lvl>
    <w:lvl w:ilvl="3" w:tplc="E6725D16">
      <w:start w:val="1"/>
      <w:numFmt w:val="bullet"/>
      <w:lvlText w:val=""/>
      <w:lvlJc w:val="left"/>
      <w:pPr>
        <w:ind w:left="2880" w:hanging="360"/>
      </w:pPr>
      <w:rPr>
        <w:rFonts w:ascii="Symbol" w:hAnsi="Symbol" w:hint="default"/>
      </w:rPr>
    </w:lvl>
    <w:lvl w:ilvl="4" w:tplc="818C6FD4">
      <w:start w:val="1"/>
      <w:numFmt w:val="bullet"/>
      <w:lvlText w:val="o"/>
      <w:lvlJc w:val="left"/>
      <w:pPr>
        <w:ind w:left="3600" w:hanging="360"/>
      </w:pPr>
      <w:rPr>
        <w:rFonts w:ascii="Courier New" w:hAnsi="Courier New" w:hint="default"/>
      </w:rPr>
    </w:lvl>
    <w:lvl w:ilvl="5" w:tplc="85A6AFEC">
      <w:start w:val="1"/>
      <w:numFmt w:val="bullet"/>
      <w:lvlText w:val=""/>
      <w:lvlJc w:val="left"/>
      <w:pPr>
        <w:ind w:left="4320" w:hanging="360"/>
      </w:pPr>
      <w:rPr>
        <w:rFonts w:ascii="Wingdings" w:hAnsi="Wingdings" w:hint="default"/>
      </w:rPr>
    </w:lvl>
    <w:lvl w:ilvl="6" w:tplc="6890F7BA">
      <w:start w:val="1"/>
      <w:numFmt w:val="bullet"/>
      <w:lvlText w:val=""/>
      <w:lvlJc w:val="left"/>
      <w:pPr>
        <w:ind w:left="5040" w:hanging="360"/>
      </w:pPr>
      <w:rPr>
        <w:rFonts w:ascii="Symbol" w:hAnsi="Symbol" w:hint="default"/>
      </w:rPr>
    </w:lvl>
    <w:lvl w:ilvl="7" w:tplc="4670B066">
      <w:start w:val="1"/>
      <w:numFmt w:val="bullet"/>
      <w:lvlText w:val="o"/>
      <w:lvlJc w:val="left"/>
      <w:pPr>
        <w:ind w:left="5760" w:hanging="360"/>
      </w:pPr>
      <w:rPr>
        <w:rFonts w:ascii="Courier New" w:hAnsi="Courier New" w:hint="default"/>
      </w:rPr>
    </w:lvl>
    <w:lvl w:ilvl="8" w:tplc="CA5A652E">
      <w:start w:val="1"/>
      <w:numFmt w:val="bullet"/>
      <w:lvlText w:val=""/>
      <w:lvlJc w:val="left"/>
      <w:pPr>
        <w:ind w:left="6480" w:hanging="360"/>
      </w:pPr>
      <w:rPr>
        <w:rFonts w:ascii="Wingdings" w:hAnsi="Wingdings" w:hint="default"/>
      </w:rPr>
    </w:lvl>
  </w:abstractNum>
  <w:abstractNum w:abstractNumId="61" w15:restartNumberingAfterBreak="0">
    <w:nsid w:val="34013806"/>
    <w:multiLevelType w:val="hybridMultilevel"/>
    <w:tmpl w:val="EA9605B8"/>
    <w:lvl w:ilvl="0" w:tplc="CEB8FA6E">
      <w:start w:val="1"/>
      <w:numFmt w:val="bullet"/>
      <w:lvlText w:val=""/>
      <w:lvlJc w:val="left"/>
      <w:pPr>
        <w:ind w:left="720" w:hanging="360"/>
      </w:pPr>
      <w:rPr>
        <w:rFonts w:ascii="Symbol" w:hAnsi="Symbol" w:hint="default"/>
      </w:rPr>
    </w:lvl>
    <w:lvl w:ilvl="1" w:tplc="71DA338E">
      <w:start w:val="1"/>
      <w:numFmt w:val="bullet"/>
      <w:lvlText w:val="o"/>
      <w:lvlJc w:val="left"/>
      <w:pPr>
        <w:ind w:left="1440" w:hanging="360"/>
      </w:pPr>
      <w:rPr>
        <w:rFonts w:ascii="Courier New" w:hAnsi="Courier New" w:hint="default"/>
      </w:rPr>
    </w:lvl>
    <w:lvl w:ilvl="2" w:tplc="5CEE7716">
      <w:start w:val="1"/>
      <w:numFmt w:val="bullet"/>
      <w:lvlText w:val=""/>
      <w:lvlJc w:val="left"/>
      <w:pPr>
        <w:ind w:left="2160" w:hanging="360"/>
      </w:pPr>
      <w:rPr>
        <w:rFonts w:ascii="Wingdings" w:hAnsi="Wingdings" w:hint="default"/>
      </w:rPr>
    </w:lvl>
    <w:lvl w:ilvl="3" w:tplc="E6725D16">
      <w:start w:val="1"/>
      <w:numFmt w:val="bullet"/>
      <w:lvlText w:val=""/>
      <w:lvlJc w:val="left"/>
      <w:pPr>
        <w:ind w:left="2880" w:hanging="360"/>
      </w:pPr>
      <w:rPr>
        <w:rFonts w:ascii="Symbol" w:hAnsi="Symbol" w:hint="default"/>
      </w:rPr>
    </w:lvl>
    <w:lvl w:ilvl="4" w:tplc="818C6FD4">
      <w:start w:val="1"/>
      <w:numFmt w:val="bullet"/>
      <w:lvlText w:val="o"/>
      <w:lvlJc w:val="left"/>
      <w:pPr>
        <w:ind w:left="3600" w:hanging="360"/>
      </w:pPr>
      <w:rPr>
        <w:rFonts w:ascii="Courier New" w:hAnsi="Courier New" w:hint="default"/>
      </w:rPr>
    </w:lvl>
    <w:lvl w:ilvl="5" w:tplc="85A6AFEC">
      <w:start w:val="1"/>
      <w:numFmt w:val="bullet"/>
      <w:lvlText w:val=""/>
      <w:lvlJc w:val="left"/>
      <w:pPr>
        <w:ind w:left="4320" w:hanging="360"/>
      </w:pPr>
      <w:rPr>
        <w:rFonts w:ascii="Wingdings" w:hAnsi="Wingdings" w:hint="default"/>
      </w:rPr>
    </w:lvl>
    <w:lvl w:ilvl="6" w:tplc="6890F7BA">
      <w:start w:val="1"/>
      <w:numFmt w:val="bullet"/>
      <w:lvlText w:val=""/>
      <w:lvlJc w:val="left"/>
      <w:pPr>
        <w:ind w:left="5040" w:hanging="360"/>
      </w:pPr>
      <w:rPr>
        <w:rFonts w:ascii="Symbol" w:hAnsi="Symbol" w:hint="default"/>
      </w:rPr>
    </w:lvl>
    <w:lvl w:ilvl="7" w:tplc="4670B066">
      <w:start w:val="1"/>
      <w:numFmt w:val="bullet"/>
      <w:lvlText w:val="o"/>
      <w:lvlJc w:val="left"/>
      <w:pPr>
        <w:ind w:left="5760" w:hanging="360"/>
      </w:pPr>
      <w:rPr>
        <w:rFonts w:ascii="Courier New" w:hAnsi="Courier New" w:hint="default"/>
      </w:rPr>
    </w:lvl>
    <w:lvl w:ilvl="8" w:tplc="CA5A652E">
      <w:start w:val="1"/>
      <w:numFmt w:val="bullet"/>
      <w:lvlText w:val=""/>
      <w:lvlJc w:val="left"/>
      <w:pPr>
        <w:ind w:left="6480" w:hanging="360"/>
      </w:pPr>
      <w:rPr>
        <w:rFonts w:ascii="Wingdings" w:hAnsi="Wingdings" w:hint="default"/>
      </w:rPr>
    </w:lvl>
  </w:abstractNum>
  <w:abstractNum w:abstractNumId="62" w15:restartNumberingAfterBreak="0">
    <w:nsid w:val="34F25307"/>
    <w:multiLevelType w:val="hybridMultilevel"/>
    <w:tmpl w:val="14D0CC54"/>
    <w:lvl w:ilvl="0" w:tplc="80827B88">
      <w:start w:val="1"/>
      <w:numFmt w:val="bullet"/>
      <w:lvlText w:val=""/>
      <w:lvlJc w:val="left"/>
      <w:pPr>
        <w:ind w:left="360" w:hanging="360"/>
      </w:pPr>
      <w:rPr>
        <w:rFonts w:ascii="Symbol" w:hAnsi="Symbol" w:hint="default"/>
      </w:rPr>
    </w:lvl>
    <w:lvl w:ilvl="1" w:tplc="8FD09E54">
      <w:start w:val="1"/>
      <w:numFmt w:val="bullet"/>
      <w:lvlText w:val="o"/>
      <w:lvlJc w:val="left"/>
      <w:pPr>
        <w:ind w:left="1080" w:hanging="360"/>
      </w:pPr>
      <w:rPr>
        <w:rFonts w:ascii="Courier New" w:hAnsi="Courier New" w:hint="default"/>
      </w:rPr>
    </w:lvl>
    <w:lvl w:ilvl="2" w:tplc="84726E7A">
      <w:start w:val="1"/>
      <w:numFmt w:val="bullet"/>
      <w:lvlText w:val=""/>
      <w:lvlJc w:val="left"/>
      <w:pPr>
        <w:ind w:left="1800" w:hanging="360"/>
      </w:pPr>
      <w:rPr>
        <w:rFonts w:ascii="Wingdings" w:hAnsi="Wingdings" w:hint="default"/>
      </w:rPr>
    </w:lvl>
    <w:lvl w:ilvl="3" w:tplc="DC7ACF3C">
      <w:start w:val="1"/>
      <w:numFmt w:val="bullet"/>
      <w:lvlText w:val=""/>
      <w:lvlJc w:val="left"/>
      <w:pPr>
        <w:ind w:left="2520" w:hanging="360"/>
      </w:pPr>
      <w:rPr>
        <w:rFonts w:ascii="Symbol" w:hAnsi="Symbol" w:hint="default"/>
      </w:rPr>
    </w:lvl>
    <w:lvl w:ilvl="4" w:tplc="D53C1284">
      <w:start w:val="1"/>
      <w:numFmt w:val="bullet"/>
      <w:lvlText w:val="o"/>
      <w:lvlJc w:val="left"/>
      <w:pPr>
        <w:ind w:left="3240" w:hanging="360"/>
      </w:pPr>
      <w:rPr>
        <w:rFonts w:ascii="Courier New" w:hAnsi="Courier New" w:hint="default"/>
      </w:rPr>
    </w:lvl>
    <w:lvl w:ilvl="5" w:tplc="C5D27E44">
      <w:start w:val="1"/>
      <w:numFmt w:val="bullet"/>
      <w:lvlText w:val=""/>
      <w:lvlJc w:val="left"/>
      <w:pPr>
        <w:ind w:left="3960" w:hanging="360"/>
      </w:pPr>
      <w:rPr>
        <w:rFonts w:ascii="Wingdings" w:hAnsi="Wingdings" w:hint="default"/>
      </w:rPr>
    </w:lvl>
    <w:lvl w:ilvl="6" w:tplc="9E4C42CC">
      <w:start w:val="1"/>
      <w:numFmt w:val="bullet"/>
      <w:lvlText w:val=""/>
      <w:lvlJc w:val="left"/>
      <w:pPr>
        <w:ind w:left="4680" w:hanging="360"/>
      </w:pPr>
      <w:rPr>
        <w:rFonts w:ascii="Symbol" w:hAnsi="Symbol" w:hint="default"/>
      </w:rPr>
    </w:lvl>
    <w:lvl w:ilvl="7" w:tplc="DABCF938">
      <w:start w:val="1"/>
      <w:numFmt w:val="bullet"/>
      <w:lvlText w:val="o"/>
      <w:lvlJc w:val="left"/>
      <w:pPr>
        <w:ind w:left="5400" w:hanging="360"/>
      </w:pPr>
      <w:rPr>
        <w:rFonts w:ascii="Courier New" w:hAnsi="Courier New" w:hint="default"/>
      </w:rPr>
    </w:lvl>
    <w:lvl w:ilvl="8" w:tplc="A4B09652">
      <w:start w:val="1"/>
      <w:numFmt w:val="bullet"/>
      <w:lvlText w:val=""/>
      <w:lvlJc w:val="left"/>
      <w:pPr>
        <w:ind w:left="6120" w:hanging="360"/>
      </w:pPr>
      <w:rPr>
        <w:rFonts w:ascii="Wingdings" w:hAnsi="Wingdings" w:hint="default"/>
      </w:rPr>
    </w:lvl>
  </w:abstractNum>
  <w:abstractNum w:abstractNumId="63" w15:restartNumberingAfterBreak="0">
    <w:nsid w:val="360A622D"/>
    <w:multiLevelType w:val="hybridMultilevel"/>
    <w:tmpl w:val="41387EE6"/>
    <w:lvl w:ilvl="0" w:tplc="DA1E322A">
      <w:start w:val="1"/>
      <w:numFmt w:val="bullet"/>
      <w:lvlText w:val=""/>
      <w:lvlJc w:val="left"/>
      <w:pPr>
        <w:ind w:left="720" w:hanging="360"/>
      </w:pPr>
      <w:rPr>
        <w:rFonts w:ascii="Symbol" w:hAnsi="Symbol" w:hint="default"/>
      </w:rPr>
    </w:lvl>
    <w:lvl w:ilvl="1" w:tplc="BE08A9D4">
      <w:start w:val="1"/>
      <w:numFmt w:val="bullet"/>
      <w:lvlText w:val=""/>
      <w:lvlJc w:val="left"/>
      <w:pPr>
        <w:ind w:left="1440" w:hanging="360"/>
      </w:pPr>
      <w:rPr>
        <w:rFonts w:ascii="Symbol" w:hAnsi="Symbol" w:hint="default"/>
      </w:rPr>
    </w:lvl>
    <w:lvl w:ilvl="2" w:tplc="DF848F38">
      <w:start w:val="1"/>
      <w:numFmt w:val="bullet"/>
      <w:lvlText w:val=""/>
      <w:lvlJc w:val="left"/>
      <w:pPr>
        <w:ind w:left="2160" w:hanging="360"/>
      </w:pPr>
      <w:rPr>
        <w:rFonts w:ascii="Wingdings" w:hAnsi="Wingdings" w:hint="default"/>
      </w:rPr>
    </w:lvl>
    <w:lvl w:ilvl="3" w:tplc="CF5A37C4">
      <w:start w:val="1"/>
      <w:numFmt w:val="bullet"/>
      <w:lvlText w:val=""/>
      <w:lvlJc w:val="left"/>
      <w:pPr>
        <w:ind w:left="2880" w:hanging="360"/>
      </w:pPr>
      <w:rPr>
        <w:rFonts w:ascii="Symbol" w:hAnsi="Symbol" w:hint="default"/>
      </w:rPr>
    </w:lvl>
    <w:lvl w:ilvl="4" w:tplc="A53221EE">
      <w:start w:val="1"/>
      <w:numFmt w:val="bullet"/>
      <w:lvlText w:val="o"/>
      <w:lvlJc w:val="left"/>
      <w:pPr>
        <w:ind w:left="3600" w:hanging="360"/>
      </w:pPr>
      <w:rPr>
        <w:rFonts w:ascii="Courier New" w:hAnsi="Courier New" w:hint="default"/>
      </w:rPr>
    </w:lvl>
    <w:lvl w:ilvl="5" w:tplc="F08022DE">
      <w:start w:val="1"/>
      <w:numFmt w:val="bullet"/>
      <w:lvlText w:val=""/>
      <w:lvlJc w:val="left"/>
      <w:pPr>
        <w:ind w:left="4320" w:hanging="360"/>
      </w:pPr>
      <w:rPr>
        <w:rFonts w:ascii="Wingdings" w:hAnsi="Wingdings" w:hint="default"/>
      </w:rPr>
    </w:lvl>
    <w:lvl w:ilvl="6" w:tplc="29200A74">
      <w:start w:val="1"/>
      <w:numFmt w:val="bullet"/>
      <w:lvlText w:val=""/>
      <w:lvlJc w:val="left"/>
      <w:pPr>
        <w:ind w:left="5040" w:hanging="360"/>
      </w:pPr>
      <w:rPr>
        <w:rFonts w:ascii="Symbol" w:hAnsi="Symbol" w:hint="default"/>
      </w:rPr>
    </w:lvl>
    <w:lvl w:ilvl="7" w:tplc="3ED28D3E">
      <w:start w:val="1"/>
      <w:numFmt w:val="bullet"/>
      <w:lvlText w:val="o"/>
      <w:lvlJc w:val="left"/>
      <w:pPr>
        <w:ind w:left="5760" w:hanging="360"/>
      </w:pPr>
      <w:rPr>
        <w:rFonts w:ascii="Courier New" w:hAnsi="Courier New" w:hint="default"/>
      </w:rPr>
    </w:lvl>
    <w:lvl w:ilvl="8" w:tplc="0108F6DA">
      <w:start w:val="1"/>
      <w:numFmt w:val="bullet"/>
      <w:lvlText w:val=""/>
      <w:lvlJc w:val="left"/>
      <w:pPr>
        <w:ind w:left="6480" w:hanging="360"/>
      </w:pPr>
      <w:rPr>
        <w:rFonts w:ascii="Wingdings" w:hAnsi="Wingdings" w:hint="default"/>
      </w:rPr>
    </w:lvl>
  </w:abstractNum>
  <w:abstractNum w:abstractNumId="64" w15:restartNumberingAfterBreak="0">
    <w:nsid w:val="37D52FD4"/>
    <w:multiLevelType w:val="hybridMultilevel"/>
    <w:tmpl w:val="306E6A7C"/>
    <w:lvl w:ilvl="0" w:tplc="2F18329C">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B71131"/>
    <w:multiLevelType w:val="hybridMultilevel"/>
    <w:tmpl w:val="8EB64C4C"/>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6" w15:restartNumberingAfterBreak="0">
    <w:nsid w:val="392F0626"/>
    <w:multiLevelType w:val="hybridMultilevel"/>
    <w:tmpl w:val="4240EFE6"/>
    <w:lvl w:ilvl="0" w:tplc="CEB8FA6E">
      <w:start w:val="1"/>
      <w:numFmt w:val="bullet"/>
      <w:lvlText w:val=""/>
      <w:lvlJc w:val="left"/>
      <w:pPr>
        <w:ind w:left="1428" w:hanging="360"/>
      </w:pPr>
      <w:rPr>
        <w:rFonts w:ascii="Symbol" w:hAnsi="Symbol" w:hint="default"/>
      </w:rPr>
    </w:lvl>
    <w:lvl w:ilvl="1" w:tplc="D3723E68">
      <w:start w:val="1"/>
      <w:numFmt w:val="bullet"/>
      <w:lvlText w:val="o"/>
      <w:lvlJc w:val="left"/>
      <w:pPr>
        <w:ind w:left="2148" w:hanging="360"/>
      </w:pPr>
      <w:rPr>
        <w:rFonts w:ascii="Courier New" w:hAnsi="Courier New" w:hint="default"/>
      </w:rPr>
    </w:lvl>
    <w:lvl w:ilvl="2" w:tplc="667E48D6">
      <w:start w:val="1"/>
      <w:numFmt w:val="bullet"/>
      <w:lvlText w:val=""/>
      <w:lvlJc w:val="left"/>
      <w:pPr>
        <w:ind w:left="2868" w:hanging="360"/>
      </w:pPr>
      <w:rPr>
        <w:rFonts w:ascii="Wingdings" w:hAnsi="Wingdings" w:hint="default"/>
      </w:rPr>
    </w:lvl>
    <w:lvl w:ilvl="3" w:tplc="8E946A70">
      <w:start w:val="1"/>
      <w:numFmt w:val="bullet"/>
      <w:lvlText w:val=""/>
      <w:lvlJc w:val="left"/>
      <w:pPr>
        <w:ind w:left="3588" w:hanging="360"/>
      </w:pPr>
      <w:rPr>
        <w:rFonts w:ascii="Symbol" w:hAnsi="Symbol" w:hint="default"/>
      </w:rPr>
    </w:lvl>
    <w:lvl w:ilvl="4" w:tplc="A84AA05E">
      <w:start w:val="1"/>
      <w:numFmt w:val="bullet"/>
      <w:lvlText w:val="o"/>
      <w:lvlJc w:val="left"/>
      <w:pPr>
        <w:ind w:left="4308" w:hanging="360"/>
      </w:pPr>
      <w:rPr>
        <w:rFonts w:ascii="Courier New" w:hAnsi="Courier New" w:hint="default"/>
      </w:rPr>
    </w:lvl>
    <w:lvl w:ilvl="5" w:tplc="E1FAED26">
      <w:start w:val="1"/>
      <w:numFmt w:val="bullet"/>
      <w:lvlText w:val=""/>
      <w:lvlJc w:val="left"/>
      <w:pPr>
        <w:ind w:left="5028" w:hanging="360"/>
      </w:pPr>
      <w:rPr>
        <w:rFonts w:ascii="Wingdings" w:hAnsi="Wingdings" w:hint="default"/>
      </w:rPr>
    </w:lvl>
    <w:lvl w:ilvl="6" w:tplc="7E8406C2">
      <w:start w:val="1"/>
      <w:numFmt w:val="bullet"/>
      <w:lvlText w:val=""/>
      <w:lvlJc w:val="left"/>
      <w:pPr>
        <w:ind w:left="5748" w:hanging="360"/>
      </w:pPr>
      <w:rPr>
        <w:rFonts w:ascii="Symbol" w:hAnsi="Symbol" w:hint="default"/>
      </w:rPr>
    </w:lvl>
    <w:lvl w:ilvl="7" w:tplc="7B2CC6D6">
      <w:start w:val="1"/>
      <w:numFmt w:val="bullet"/>
      <w:lvlText w:val="o"/>
      <w:lvlJc w:val="left"/>
      <w:pPr>
        <w:ind w:left="6468" w:hanging="360"/>
      </w:pPr>
      <w:rPr>
        <w:rFonts w:ascii="Courier New" w:hAnsi="Courier New" w:hint="default"/>
      </w:rPr>
    </w:lvl>
    <w:lvl w:ilvl="8" w:tplc="B7C213B6">
      <w:start w:val="1"/>
      <w:numFmt w:val="bullet"/>
      <w:lvlText w:val=""/>
      <w:lvlJc w:val="left"/>
      <w:pPr>
        <w:ind w:left="7188" w:hanging="360"/>
      </w:pPr>
      <w:rPr>
        <w:rFonts w:ascii="Wingdings" w:hAnsi="Wingdings" w:hint="default"/>
      </w:rPr>
    </w:lvl>
  </w:abstractNum>
  <w:abstractNum w:abstractNumId="67" w15:restartNumberingAfterBreak="0">
    <w:nsid w:val="3B225625"/>
    <w:multiLevelType w:val="hybridMultilevel"/>
    <w:tmpl w:val="34144376"/>
    <w:lvl w:ilvl="0" w:tplc="CDEA42F6">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1249F4"/>
    <w:multiLevelType w:val="hybridMultilevel"/>
    <w:tmpl w:val="9CD062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9C7BE1"/>
    <w:multiLevelType w:val="hybridMultilevel"/>
    <w:tmpl w:val="DB18E3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D883A93"/>
    <w:multiLevelType w:val="hybridMultilevel"/>
    <w:tmpl w:val="247630E4"/>
    <w:lvl w:ilvl="0" w:tplc="38C08964">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0573BC"/>
    <w:multiLevelType w:val="hybridMultilevel"/>
    <w:tmpl w:val="3DB2666C"/>
    <w:lvl w:ilvl="0" w:tplc="6ECAD2CA">
      <w:start w:val="1"/>
      <w:numFmt w:val="decimal"/>
      <w:lvlText w:val="%1)"/>
      <w:lvlJc w:val="left"/>
      <w:pPr>
        <w:ind w:left="430" w:hanging="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0F334F"/>
    <w:multiLevelType w:val="hybridMultilevel"/>
    <w:tmpl w:val="5A862934"/>
    <w:lvl w:ilvl="0" w:tplc="FDA694B6">
      <w:start w:val="1"/>
      <w:numFmt w:val="bullet"/>
      <w:lvlText w:val="-"/>
      <w:lvlJc w:val="left"/>
      <w:pPr>
        <w:ind w:left="720" w:hanging="360"/>
      </w:pPr>
      <w:rPr>
        <w:rFonts w:ascii="Symbol" w:hAnsi="Symbol" w:hint="default"/>
      </w:rPr>
    </w:lvl>
    <w:lvl w:ilvl="1" w:tplc="885A70A8">
      <w:start w:val="1"/>
      <w:numFmt w:val="bullet"/>
      <w:lvlText w:val="o"/>
      <w:lvlJc w:val="left"/>
      <w:pPr>
        <w:ind w:left="1440" w:hanging="360"/>
      </w:pPr>
      <w:rPr>
        <w:rFonts w:ascii="Courier New" w:hAnsi="Courier New" w:hint="default"/>
      </w:rPr>
    </w:lvl>
    <w:lvl w:ilvl="2" w:tplc="64F47776">
      <w:start w:val="1"/>
      <w:numFmt w:val="bullet"/>
      <w:lvlText w:val=""/>
      <w:lvlJc w:val="left"/>
      <w:pPr>
        <w:ind w:left="2160" w:hanging="360"/>
      </w:pPr>
      <w:rPr>
        <w:rFonts w:ascii="Wingdings" w:hAnsi="Wingdings" w:hint="default"/>
      </w:rPr>
    </w:lvl>
    <w:lvl w:ilvl="3" w:tplc="8D86C9A8">
      <w:start w:val="1"/>
      <w:numFmt w:val="bullet"/>
      <w:lvlText w:val=""/>
      <w:lvlJc w:val="left"/>
      <w:pPr>
        <w:ind w:left="2880" w:hanging="360"/>
      </w:pPr>
      <w:rPr>
        <w:rFonts w:ascii="Symbol" w:hAnsi="Symbol" w:hint="default"/>
      </w:rPr>
    </w:lvl>
    <w:lvl w:ilvl="4" w:tplc="D430DEFC">
      <w:start w:val="1"/>
      <w:numFmt w:val="bullet"/>
      <w:lvlText w:val="o"/>
      <w:lvlJc w:val="left"/>
      <w:pPr>
        <w:ind w:left="3600" w:hanging="360"/>
      </w:pPr>
      <w:rPr>
        <w:rFonts w:ascii="Courier New" w:hAnsi="Courier New" w:hint="default"/>
      </w:rPr>
    </w:lvl>
    <w:lvl w:ilvl="5" w:tplc="149CF39E">
      <w:start w:val="1"/>
      <w:numFmt w:val="bullet"/>
      <w:lvlText w:val=""/>
      <w:lvlJc w:val="left"/>
      <w:pPr>
        <w:ind w:left="4320" w:hanging="360"/>
      </w:pPr>
      <w:rPr>
        <w:rFonts w:ascii="Wingdings" w:hAnsi="Wingdings" w:hint="default"/>
      </w:rPr>
    </w:lvl>
    <w:lvl w:ilvl="6" w:tplc="AB403D02">
      <w:start w:val="1"/>
      <w:numFmt w:val="bullet"/>
      <w:lvlText w:val=""/>
      <w:lvlJc w:val="left"/>
      <w:pPr>
        <w:ind w:left="5040" w:hanging="360"/>
      </w:pPr>
      <w:rPr>
        <w:rFonts w:ascii="Symbol" w:hAnsi="Symbol" w:hint="default"/>
      </w:rPr>
    </w:lvl>
    <w:lvl w:ilvl="7" w:tplc="FA2AAD7E">
      <w:start w:val="1"/>
      <w:numFmt w:val="bullet"/>
      <w:lvlText w:val="o"/>
      <w:lvlJc w:val="left"/>
      <w:pPr>
        <w:ind w:left="5760" w:hanging="360"/>
      </w:pPr>
      <w:rPr>
        <w:rFonts w:ascii="Courier New" w:hAnsi="Courier New" w:hint="default"/>
      </w:rPr>
    </w:lvl>
    <w:lvl w:ilvl="8" w:tplc="497EEE50">
      <w:start w:val="1"/>
      <w:numFmt w:val="bullet"/>
      <w:lvlText w:val=""/>
      <w:lvlJc w:val="left"/>
      <w:pPr>
        <w:ind w:left="6480" w:hanging="360"/>
      </w:pPr>
      <w:rPr>
        <w:rFonts w:ascii="Wingdings" w:hAnsi="Wingdings" w:hint="default"/>
      </w:rPr>
    </w:lvl>
  </w:abstractNum>
  <w:abstractNum w:abstractNumId="73" w15:restartNumberingAfterBreak="0">
    <w:nsid w:val="412159E8"/>
    <w:multiLevelType w:val="hybridMultilevel"/>
    <w:tmpl w:val="C95A31DC"/>
    <w:lvl w:ilvl="0" w:tplc="4D68161A">
      <w:start w:val="1"/>
      <w:numFmt w:val="bullet"/>
      <w:lvlText w:val=""/>
      <w:lvlJc w:val="left"/>
      <w:pPr>
        <w:ind w:left="1428" w:hanging="360"/>
      </w:pPr>
      <w:rPr>
        <w:rFonts w:ascii="Symbol" w:hAnsi="Symbol" w:hint="default"/>
      </w:rPr>
    </w:lvl>
    <w:lvl w:ilvl="1" w:tplc="6956A77C">
      <w:start w:val="1"/>
      <w:numFmt w:val="bullet"/>
      <w:lvlText w:val="o"/>
      <w:lvlJc w:val="left"/>
      <w:pPr>
        <w:ind w:left="2148" w:hanging="360"/>
      </w:pPr>
      <w:rPr>
        <w:rFonts w:ascii="Courier New" w:hAnsi="Courier New" w:hint="default"/>
      </w:rPr>
    </w:lvl>
    <w:lvl w:ilvl="2" w:tplc="D8864592">
      <w:start w:val="1"/>
      <w:numFmt w:val="bullet"/>
      <w:lvlText w:val=""/>
      <w:lvlJc w:val="left"/>
      <w:pPr>
        <w:ind w:left="2868" w:hanging="360"/>
      </w:pPr>
      <w:rPr>
        <w:rFonts w:ascii="Wingdings" w:hAnsi="Wingdings" w:hint="default"/>
      </w:rPr>
    </w:lvl>
    <w:lvl w:ilvl="3" w:tplc="4020765A">
      <w:start w:val="1"/>
      <w:numFmt w:val="bullet"/>
      <w:lvlText w:val=""/>
      <w:lvlJc w:val="left"/>
      <w:pPr>
        <w:ind w:left="3588" w:hanging="360"/>
      </w:pPr>
      <w:rPr>
        <w:rFonts w:ascii="Symbol" w:hAnsi="Symbol" w:hint="default"/>
      </w:rPr>
    </w:lvl>
    <w:lvl w:ilvl="4" w:tplc="C09EE54A">
      <w:start w:val="1"/>
      <w:numFmt w:val="bullet"/>
      <w:lvlText w:val="o"/>
      <w:lvlJc w:val="left"/>
      <w:pPr>
        <w:ind w:left="4308" w:hanging="360"/>
      </w:pPr>
      <w:rPr>
        <w:rFonts w:ascii="Courier New" w:hAnsi="Courier New" w:hint="default"/>
      </w:rPr>
    </w:lvl>
    <w:lvl w:ilvl="5" w:tplc="CFB87248">
      <w:start w:val="1"/>
      <w:numFmt w:val="bullet"/>
      <w:lvlText w:val=""/>
      <w:lvlJc w:val="left"/>
      <w:pPr>
        <w:ind w:left="5028" w:hanging="360"/>
      </w:pPr>
      <w:rPr>
        <w:rFonts w:ascii="Wingdings" w:hAnsi="Wingdings" w:hint="default"/>
      </w:rPr>
    </w:lvl>
    <w:lvl w:ilvl="6" w:tplc="BDBA11D6">
      <w:start w:val="1"/>
      <w:numFmt w:val="bullet"/>
      <w:lvlText w:val=""/>
      <w:lvlJc w:val="left"/>
      <w:pPr>
        <w:ind w:left="5748" w:hanging="360"/>
      </w:pPr>
      <w:rPr>
        <w:rFonts w:ascii="Symbol" w:hAnsi="Symbol" w:hint="default"/>
      </w:rPr>
    </w:lvl>
    <w:lvl w:ilvl="7" w:tplc="B4BE95F0">
      <w:start w:val="1"/>
      <w:numFmt w:val="bullet"/>
      <w:lvlText w:val="o"/>
      <w:lvlJc w:val="left"/>
      <w:pPr>
        <w:ind w:left="6468" w:hanging="360"/>
      </w:pPr>
      <w:rPr>
        <w:rFonts w:ascii="Courier New" w:hAnsi="Courier New" w:hint="default"/>
      </w:rPr>
    </w:lvl>
    <w:lvl w:ilvl="8" w:tplc="A4EEC8CE">
      <w:start w:val="1"/>
      <w:numFmt w:val="bullet"/>
      <w:lvlText w:val=""/>
      <w:lvlJc w:val="left"/>
      <w:pPr>
        <w:ind w:left="7188" w:hanging="360"/>
      </w:pPr>
      <w:rPr>
        <w:rFonts w:ascii="Wingdings" w:hAnsi="Wingdings" w:hint="default"/>
      </w:rPr>
    </w:lvl>
  </w:abstractNum>
  <w:abstractNum w:abstractNumId="74" w15:restartNumberingAfterBreak="0">
    <w:nsid w:val="413E38B0"/>
    <w:multiLevelType w:val="hybridMultilevel"/>
    <w:tmpl w:val="CF10446A"/>
    <w:lvl w:ilvl="0" w:tplc="50542BF6">
      <w:start w:val="1"/>
      <w:numFmt w:val="bullet"/>
      <w:lvlText w:val=""/>
      <w:lvlJc w:val="left"/>
      <w:pPr>
        <w:ind w:left="720" w:hanging="360"/>
      </w:pPr>
      <w:rPr>
        <w:rFonts w:ascii="Symbol" w:hAnsi="Symbol" w:hint="default"/>
        <w:u w:color="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51A2ED7"/>
    <w:multiLevelType w:val="hybridMultilevel"/>
    <w:tmpl w:val="3772915C"/>
    <w:lvl w:ilvl="0" w:tplc="0E36B0D4">
      <w:start w:val="1"/>
      <w:numFmt w:val="bullet"/>
      <w:lvlText w:val=""/>
      <w:lvlJc w:val="left"/>
      <w:pPr>
        <w:ind w:left="720" w:hanging="360"/>
      </w:pPr>
      <w:rPr>
        <w:rFonts w:ascii="Symbol" w:hAnsi="Symbol" w:hint="default"/>
      </w:rPr>
    </w:lvl>
    <w:lvl w:ilvl="1" w:tplc="272AFDEC">
      <w:start w:val="1"/>
      <w:numFmt w:val="bullet"/>
      <w:lvlText w:val="o"/>
      <w:lvlJc w:val="left"/>
      <w:pPr>
        <w:ind w:left="1440" w:hanging="360"/>
      </w:pPr>
      <w:rPr>
        <w:rFonts w:ascii="Courier New" w:hAnsi="Courier New" w:hint="default"/>
      </w:rPr>
    </w:lvl>
    <w:lvl w:ilvl="2" w:tplc="DEE0C506">
      <w:start w:val="1"/>
      <w:numFmt w:val="bullet"/>
      <w:lvlText w:val=""/>
      <w:lvlJc w:val="left"/>
      <w:pPr>
        <w:ind w:left="2160" w:hanging="360"/>
      </w:pPr>
      <w:rPr>
        <w:rFonts w:ascii="Wingdings" w:hAnsi="Wingdings" w:hint="default"/>
      </w:rPr>
    </w:lvl>
    <w:lvl w:ilvl="3" w:tplc="1708E8E2">
      <w:start w:val="1"/>
      <w:numFmt w:val="bullet"/>
      <w:lvlText w:val=""/>
      <w:lvlJc w:val="left"/>
      <w:pPr>
        <w:ind w:left="2880" w:hanging="360"/>
      </w:pPr>
      <w:rPr>
        <w:rFonts w:ascii="Symbol" w:hAnsi="Symbol" w:hint="default"/>
      </w:rPr>
    </w:lvl>
    <w:lvl w:ilvl="4" w:tplc="A5E6F580">
      <w:start w:val="1"/>
      <w:numFmt w:val="bullet"/>
      <w:lvlText w:val="o"/>
      <w:lvlJc w:val="left"/>
      <w:pPr>
        <w:ind w:left="3600" w:hanging="360"/>
      </w:pPr>
      <w:rPr>
        <w:rFonts w:ascii="Courier New" w:hAnsi="Courier New" w:hint="default"/>
      </w:rPr>
    </w:lvl>
    <w:lvl w:ilvl="5" w:tplc="CCD493E8">
      <w:start w:val="1"/>
      <w:numFmt w:val="bullet"/>
      <w:lvlText w:val=""/>
      <w:lvlJc w:val="left"/>
      <w:pPr>
        <w:ind w:left="4320" w:hanging="360"/>
      </w:pPr>
      <w:rPr>
        <w:rFonts w:ascii="Wingdings" w:hAnsi="Wingdings" w:hint="default"/>
      </w:rPr>
    </w:lvl>
    <w:lvl w:ilvl="6" w:tplc="C9566750">
      <w:start w:val="1"/>
      <w:numFmt w:val="bullet"/>
      <w:lvlText w:val=""/>
      <w:lvlJc w:val="left"/>
      <w:pPr>
        <w:ind w:left="5040" w:hanging="360"/>
      </w:pPr>
      <w:rPr>
        <w:rFonts w:ascii="Symbol" w:hAnsi="Symbol" w:hint="default"/>
      </w:rPr>
    </w:lvl>
    <w:lvl w:ilvl="7" w:tplc="C4B87F4C">
      <w:start w:val="1"/>
      <w:numFmt w:val="bullet"/>
      <w:lvlText w:val="o"/>
      <w:lvlJc w:val="left"/>
      <w:pPr>
        <w:ind w:left="5760" w:hanging="360"/>
      </w:pPr>
      <w:rPr>
        <w:rFonts w:ascii="Courier New" w:hAnsi="Courier New" w:hint="default"/>
      </w:rPr>
    </w:lvl>
    <w:lvl w:ilvl="8" w:tplc="1E088412">
      <w:start w:val="1"/>
      <w:numFmt w:val="bullet"/>
      <w:lvlText w:val=""/>
      <w:lvlJc w:val="left"/>
      <w:pPr>
        <w:ind w:left="6480" w:hanging="360"/>
      </w:pPr>
      <w:rPr>
        <w:rFonts w:ascii="Wingdings" w:hAnsi="Wingdings" w:hint="default"/>
      </w:rPr>
    </w:lvl>
  </w:abstractNum>
  <w:abstractNum w:abstractNumId="76" w15:restartNumberingAfterBreak="0">
    <w:nsid w:val="4605673A"/>
    <w:multiLevelType w:val="hybridMultilevel"/>
    <w:tmpl w:val="EE96B980"/>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55AAADE0">
      <w:start w:val="1"/>
      <w:numFmt w:val="bullet"/>
      <w:lvlText w:val="–"/>
      <w:lvlJc w:val="left"/>
      <w:pPr>
        <w:ind w:left="2160" w:hanging="360"/>
      </w:pPr>
      <w:rPr>
        <w:rFonts w:ascii="Vrinda" w:hAnsi="Vrind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6305EDD"/>
    <w:multiLevelType w:val="hybridMultilevel"/>
    <w:tmpl w:val="18025858"/>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7623A4F"/>
    <w:multiLevelType w:val="hybridMultilevel"/>
    <w:tmpl w:val="407C5A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594D69"/>
    <w:multiLevelType w:val="hybridMultilevel"/>
    <w:tmpl w:val="F6222B36"/>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8F827C0"/>
    <w:multiLevelType w:val="hybridMultilevel"/>
    <w:tmpl w:val="496634DC"/>
    <w:lvl w:ilvl="0" w:tplc="56EAE1CC">
      <w:start w:val="1"/>
      <w:numFmt w:val="bullet"/>
      <w:lvlText w:val=""/>
      <w:lvlJc w:val="left"/>
      <w:pPr>
        <w:ind w:left="720" w:hanging="360"/>
      </w:pPr>
      <w:rPr>
        <w:rFonts w:ascii="Symbol" w:hAnsi="Symbol" w:hint="default"/>
      </w:rPr>
    </w:lvl>
    <w:lvl w:ilvl="1" w:tplc="EAEE71B8">
      <w:start w:val="1"/>
      <w:numFmt w:val="bullet"/>
      <w:lvlText w:val="o"/>
      <w:lvlJc w:val="left"/>
      <w:pPr>
        <w:ind w:left="1440" w:hanging="360"/>
      </w:pPr>
      <w:rPr>
        <w:rFonts w:ascii="Courier New" w:hAnsi="Courier New" w:hint="default"/>
      </w:rPr>
    </w:lvl>
    <w:lvl w:ilvl="2" w:tplc="3A52C8E4">
      <w:start w:val="1"/>
      <w:numFmt w:val="bullet"/>
      <w:lvlText w:val=""/>
      <w:lvlJc w:val="left"/>
      <w:pPr>
        <w:ind w:left="2160" w:hanging="360"/>
      </w:pPr>
      <w:rPr>
        <w:rFonts w:ascii="Wingdings" w:hAnsi="Wingdings" w:hint="default"/>
      </w:rPr>
    </w:lvl>
    <w:lvl w:ilvl="3" w:tplc="455C535E">
      <w:start w:val="1"/>
      <w:numFmt w:val="bullet"/>
      <w:lvlText w:val=""/>
      <w:lvlJc w:val="left"/>
      <w:pPr>
        <w:ind w:left="2880" w:hanging="360"/>
      </w:pPr>
      <w:rPr>
        <w:rFonts w:ascii="Symbol" w:hAnsi="Symbol" w:hint="default"/>
      </w:rPr>
    </w:lvl>
    <w:lvl w:ilvl="4" w:tplc="D5DA9ACE">
      <w:start w:val="1"/>
      <w:numFmt w:val="bullet"/>
      <w:lvlText w:val="o"/>
      <w:lvlJc w:val="left"/>
      <w:pPr>
        <w:ind w:left="3600" w:hanging="360"/>
      </w:pPr>
      <w:rPr>
        <w:rFonts w:ascii="Courier New" w:hAnsi="Courier New" w:hint="default"/>
      </w:rPr>
    </w:lvl>
    <w:lvl w:ilvl="5" w:tplc="6D582FB0">
      <w:start w:val="1"/>
      <w:numFmt w:val="bullet"/>
      <w:lvlText w:val=""/>
      <w:lvlJc w:val="left"/>
      <w:pPr>
        <w:ind w:left="4320" w:hanging="360"/>
      </w:pPr>
      <w:rPr>
        <w:rFonts w:ascii="Wingdings" w:hAnsi="Wingdings" w:hint="default"/>
      </w:rPr>
    </w:lvl>
    <w:lvl w:ilvl="6" w:tplc="02FE1AE0">
      <w:start w:val="1"/>
      <w:numFmt w:val="bullet"/>
      <w:lvlText w:val=""/>
      <w:lvlJc w:val="left"/>
      <w:pPr>
        <w:ind w:left="5040" w:hanging="360"/>
      </w:pPr>
      <w:rPr>
        <w:rFonts w:ascii="Symbol" w:hAnsi="Symbol" w:hint="default"/>
      </w:rPr>
    </w:lvl>
    <w:lvl w:ilvl="7" w:tplc="6BD8D5A8">
      <w:start w:val="1"/>
      <w:numFmt w:val="bullet"/>
      <w:lvlText w:val="o"/>
      <w:lvlJc w:val="left"/>
      <w:pPr>
        <w:ind w:left="5760" w:hanging="360"/>
      </w:pPr>
      <w:rPr>
        <w:rFonts w:ascii="Courier New" w:hAnsi="Courier New" w:hint="default"/>
      </w:rPr>
    </w:lvl>
    <w:lvl w:ilvl="8" w:tplc="3418E57A">
      <w:start w:val="1"/>
      <w:numFmt w:val="bullet"/>
      <w:lvlText w:val=""/>
      <w:lvlJc w:val="left"/>
      <w:pPr>
        <w:ind w:left="6480" w:hanging="360"/>
      </w:pPr>
      <w:rPr>
        <w:rFonts w:ascii="Wingdings" w:hAnsi="Wingdings" w:hint="default"/>
      </w:rPr>
    </w:lvl>
  </w:abstractNum>
  <w:abstractNum w:abstractNumId="81" w15:restartNumberingAfterBreak="0">
    <w:nsid w:val="499655CB"/>
    <w:multiLevelType w:val="hybridMultilevel"/>
    <w:tmpl w:val="3AD09E28"/>
    <w:lvl w:ilvl="0" w:tplc="E536DE58">
      <w:start w:val="1"/>
      <w:numFmt w:val="bullet"/>
      <w:lvlText w:val=""/>
      <w:lvlJc w:val="left"/>
      <w:pPr>
        <w:ind w:left="720" w:hanging="360"/>
      </w:pPr>
      <w:rPr>
        <w:rFonts w:ascii="Symbol" w:hAnsi="Symbol" w:hint="default"/>
      </w:rPr>
    </w:lvl>
    <w:lvl w:ilvl="1" w:tplc="9132BC3A">
      <w:start w:val="1"/>
      <w:numFmt w:val="bullet"/>
      <w:lvlText w:val="o"/>
      <w:lvlJc w:val="left"/>
      <w:pPr>
        <w:ind w:left="1440" w:hanging="360"/>
      </w:pPr>
      <w:rPr>
        <w:rFonts w:ascii="Courier New" w:hAnsi="Courier New" w:hint="default"/>
      </w:rPr>
    </w:lvl>
    <w:lvl w:ilvl="2" w:tplc="74E4DAEC">
      <w:start w:val="1"/>
      <w:numFmt w:val="bullet"/>
      <w:lvlText w:val=""/>
      <w:lvlJc w:val="left"/>
      <w:pPr>
        <w:ind w:left="2160" w:hanging="360"/>
      </w:pPr>
      <w:rPr>
        <w:rFonts w:ascii="Wingdings" w:hAnsi="Wingdings" w:hint="default"/>
      </w:rPr>
    </w:lvl>
    <w:lvl w:ilvl="3" w:tplc="11148044">
      <w:start w:val="1"/>
      <w:numFmt w:val="bullet"/>
      <w:lvlText w:val=""/>
      <w:lvlJc w:val="left"/>
      <w:pPr>
        <w:ind w:left="2880" w:hanging="360"/>
      </w:pPr>
      <w:rPr>
        <w:rFonts w:ascii="Symbol" w:hAnsi="Symbol" w:hint="default"/>
      </w:rPr>
    </w:lvl>
    <w:lvl w:ilvl="4" w:tplc="33E65A96">
      <w:start w:val="1"/>
      <w:numFmt w:val="bullet"/>
      <w:lvlText w:val="o"/>
      <w:lvlJc w:val="left"/>
      <w:pPr>
        <w:ind w:left="3600" w:hanging="360"/>
      </w:pPr>
      <w:rPr>
        <w:rFonts w:ascii="Courier New" w:hAnsi="Courier New" w:hint="default"/>
      </w:rPr>
    </w:lvl>
    <w:lvl w:ilvl="5" w:tplc="C3762D3C">
      <w:start w:val="1"/>
      <w:numFmt w:val="bullet"/>
      <w:lvlText w:val=""/>
      <w:lvlJc w:val="left"/>
      <w:pPr>
        <w:ind w:left="4320" w:hanging="360"/>
      </w:pPr>
      <w:rPr>
        <w:rFonts w:ascii="Wingdings" w:hAnsi="Wingdings" w:hint="default"/>
      </w:rPr>
    </w:lvl>
    <w:lvl w:ilvl="6" w:tplc="CC1A9470">
      <w:start w:val="1"/>
      <w:numFmt w:val="bullet"/>
      <w:lvlText w:val=""/>
      <w:lvlJc w:val="left"/>
      <w:pPr>
        <w:ind w:left="5040" w:hanging="360"/>
      </w:pPr>
      <w:rPr>
        <w:rFonts w:ascii="Symbol" w:hAnsi="Symbol" w:hint="default"/>
      </w:rPr>
    </w:lvl>
    <w:lvl w:ilvl="7" w:tplc="2A0EB420">
      <w:start w:val="1"/>
      <w:numFmt w:val="bullet"/>
      <w:lvlText w:val="o"/>
      <w:lvlJc w:val="left"/>
      <w:pPr>
        <w:ind w:left="5760" w:hanging="360"/>
      </w:pPr>
      <w:rPr>
        <w:rFonts w:ascii="Courier New" w:hAnsi="Courier New" w:hint="default"/>
      </w:rPr>
    </w:lvl>
    <w:lvl w:ilvl="8" w:tplc="D878139C">
      <w:start w:val="1"/>
      <w:numFmt w:val="bullet"/>
      <w:lvlText w:val=""/>
      <w:lvlJc w:val="left"/>
      <w:pPr>
        <w:ind w:left="6480" w:hanging="360"/>
      </w:pPr>
      <w:rPr>
        <w:rFonts w:ascii="Wingdings" w:hAnsi="Wingdings" w:hint="default"/>
      </w:rPr>
    </w:lvl>
  </w:abstractNum>
  <w:abstractNum w:abstractNumId="82" w15:restartNumberingAfterBreak="0">
    <w:nsid w:val="4AB12AA1"/>
    <w:multiLevelType w:val="hybridMultilevel"/>
    <w:tmpl w:val="CA26A3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0D6EC9"/>
    <w:multiLevelType w:val="hybridMultilevel"/>
    <w:tmpl w:val="DFD6B874"/>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4" w15:restartNumberingAfterBreak="0">
    <w:nsid w:val="4C971527"/>
    <w:multiLevelType w:val="hybridMultilevel"/>
    <w:tmpl w:val="6D4A3496"/>
    <w:lvl w:ilvl="0" w:tplc="FFFFFFFF">
      <w:start w:val="1"/>
      <w:numFmt w:val="bullet"/>
      <w:lvlText w:val=""/>
      <w:lvlJc w:val="left"/>
      <w:pPr>
        <w:ind w:left="644" w:hanging="360"/>
      </w:pPr>
      <w:rPr>
        <w:rFonts w:ascii="Symbol" w:hAnsi="Symbol" w:hint="default"/>
      </w:rPr>
    </w:lvl>
    <w:lvl w:ilvl="1" w:tplc="BC4C6A7C">
      <w:start w:val="1"/>
      <w:numFmt w:val="decimal"/>
      <w:lvlText w:val="%2)"/>
      <w:lvlJc w:val="left"/>
      <w:pPr>
        <w:ind w:left="1514" w:hanging="51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4E1410D7"/>
    <w:multiLevelType w:val="hybridMultilevel"/>
    <w:tmpl w:val="5E28B5E0"/>
    <w:lvl w:ilvl="0" w:tplc="04150011">
      <w:start w:val="1"/>
      <w:numFmt w:val="decimal"/>
      <w:lvlText w:val="%1)"/>
      <w:lvlJc w:val="left"/>
      <w:pPr>
        <w:ind w:left="720" w:hanging="360"/>
      </w:pPr>
    </w:lvl>
    <w:lvl w:ilvl="1" w:tplc="957E7F8C">
      <w:start w:val="1"/>
      <w:numFmt w:val="lowerLetter"/>
      <w:lvlText w:val="%2."/>
      <w:lvlJc w:val="left"/>
      <w:pPr>
        <w:ind w:left="1440" w:hanging="360"/>
      </w:pPr>
    </w:lvl>
    <w:lvl w:ilvl="2" w:tplc="7DA224FE">
      <w:start w:val="1"/>
      <w:numFmt w:val="lowerRoman"/>
      <w:lvlText w:val="%3."/>
      <w:lvlJc w:val="right"/>
      <w:pPr>
        <w:ind w:left="2160" w:hanging="180"/>
      </w:pPr>
    </w:lvl>
    <w:lvl w:ilvl="3" w:tplc="9C669086">
      <w:start w:val="1"/>
      <w:numFmt w:val="decimal"/>
      <w:lvlText w:val="%4."/>
      <w:lvlJc w:val="left"/>
      <w:pPr>
        <w:ind w:left="2880" w:hanging="360"/>
      </w:pPr>
    </w:lvl>
    <w:lvl w:ilvl="4" w:tplc="D9C4D636">
      <w:start w:val="1"/>
      <w:numFmt w:val="lowerLetter"/>
      <w:lvlText w:val="%5."/>
      <w:lvlJc w:val="left"/>
      <w:pPr>
        <w:ind w:left="3600" w:hanging="360"/>
      </w:pPr>
    </w:lvl>
    <w:lvl w:ilvl="5" w:tplc="9894D52E">
      <w:start w:val="1"/>
      <w:numFmt w:val="lowerRoman"/>
      <w:lvlText w:val="%6."/>
      <w:lvlJc w:val="right"/>
      <w:pPr>
        <w:ind w:left="4320" w:hanging="180"/>
      </w:pPr>
    </w:lvl>
    <w:lvl w:ilvl="6" w:tplc="BF301314">
      <w:start w:val="1"/>
      <w:numFmt w:val="decimal"/>
      <w:lvlText w:val="%7."/>
      <w:lvlJc w:val="left"/>
      <w:pPr>
        <w:ind w:left="5040" w:hanging="360"/>
      </w:pPr>
    </w:lvl>
    <w:lvl w:ilvl="7" w:tplc="38F0B398">
      <w:start w:val="1"/>
      <w:numFmt w:val="lowerLetter"/>
      <w:lvlText w:val="%8."/>
      <w:lvlJc w:val="left"/>
      <w:pPr>
        <w:ind w:left="5760" w:hanging="360"/>
      </w:pPr>
    </w:lvl>
    <w:lvl w:ilvl="8" w:tplc="3C6C6166">
      <w:start w:val="1"/>
      <w:numFmt w:val="lowerRoman"/>
      <w:lvlText w:val="%9."/>
      <w:lvlJc w:val="right"/>
      <w:pPr>
        <w:ind w:left="6480" w:hanging="180"/>
      </w:pPr>
    </w:lvl>
  </w:abstractNum>
  <w:abstractNum w:abstractNumId="86" w15:restartNumberingAfterBreak="0">
    <w:nsid w:val="4E4E5313"/>
    <w:multiLevelType w:val="hybridMultilevel"/>
    <w:tmpl w:val="E8EC6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0371D2"/>
    <w:multiLevelType w:val="hybridMultilevel"/>
    <w:tmpl w:val="C09CC0BC"/>
    <w:lvl w:ilvl="0" w:tplc="A3629298">
      <w:start w:val="1"/>
      <w:numFmt w:val="bullet"/>
      <w:lvlText w:val=""/>
      <w:lvlJc w:val="left"/>
      <w:pPr>
        <w:ind w:left="720" w:hanging="360"/>
      </w:pPr>
      <w:rPr>
        <w:rFonts w:ascii="Symbol" w:hAnsi="Symbol" w:hint="default"/>
      </w:rPr>
    </w:lvl>
    <w:lvl w:ilvl="1" w:tplc="4C9A3572">
      <w:start w:val="1"/>
      <w:numFmt w:val="bullet"/>
      <w:lvlText w:val="o"/>
      <w:lvlJc w:val="left"/>
      <w:pPr>
        <w:ind w:left="1440" w:hanging="360"/>
      </w:pPr>
      <w:rPr>
        <w:rFonts w:ascii="Courier New" w:hAnsi="Courier New" w:hint="default"/>
      </w:rPr>
    </w:lvl>
    <w:lvl w:ilvl="2" w:tplc="B8A407B2">
      <w:start w:val="1"/>
      <w:numFmt w:val="bullet"/>
      <w:lvlText w:val=""/>
      <w:lvlJc w:val="left"/>
      <w:pPr>
        <w:ind w:left="2160" w:hanging="360"/>
      </w:pPr>
      <w:rPr>
        <w:rFonts w:ascii="Wingdings" w:hAnsi="Wingdings" w:hint="default"/>
      </w:rPr>
    </w:lvl>
    <w:lvl w:ilvl="3" w:tplc="95C2D63A">
      <w:start w:val="1"/>
      <w:numFmt w:val="bullet"/>
      <w:lvlText w:val=""/>
      <w:lvlJc w:val="left"/>
      <w:pPr>
        <w:ind w:left="2880" w:hanging="360"/>
      </w:pPr>
      <w:rPr>
        <w:rFonts w:ascii="Symbol" w:hAnsi="Symbol" w:hint="default"/>
      </w:rPr>
    </w:lvl>
    <w:lvl w:ilvl="4" w:tplc="FF342428">
      <w:start w:val="1"/>
      <w:numFmt w:val="bullet"/>
      <w:lvlText w:val="o"/>
      <w:lvlJc w:val="left"/>
      <w:pPr>
        <w:ind w:left="3600" w:hanging="360"/>
      </w:pPr>
      <w:rPr>
        <w:rFonts w:ascii="Courier New" w:hAnsi="Courier New" w:hint="default"/>
      </w:rPr>
    </w:lvl>
    <w:lvl w:ilvl="5" w:tplc="6DDC0620">
      <w:start w:val="1"/>
      <w:numFmt w:val="bullet"/>
      <w:lvlText w:val=""/>
      <w:lvlJc w:val="left"/>
      <w:pPr>
        <w:ind w:left="4320" w:hanging="360"/>
      </w:pPr>
      <w:rPr>
        <w:rFonts w:ascii="Wingdings" w:hAnsi="Wingdings" w:hint="default"/>
      </w:rPr>
    </w:lvl>
    <w:lvl w:ilvl="6" w:tplc="48B6BC1E">
      <w:start w:val="1"/>
      <w:numFmt w:val="bullet"/>
      <w:lvlText w:val=""/>
      <w:lvlJc w:val="left"/>
      <w:pPr>
        <w:ind w:left="5040" w:hanging="360"/>
      </w:pPr>
      <w:rPr>
        <w:rFonts w:ascii="Symbol" w:hAnsi="Symbol" w:hint="default"/>
      </w:rPr>
    </w:lvl>
    <w:lvl w:ilvl="7" w:tplc="7B2497B0">
      <w:start w:val="1"/>
      <w:numFmt w:val="bullet"/>
      <w:lvlText w:val="o"/>
      <w:lvlJc w:val="left"/>
      <w:pPr>
        <w:ind w:left="5760" w:hanging="360"/>
      </w:pPr>
      <w:rPr>
        <w:rFonts w:ascii="Courier New" w:hAnsi="Courier New" w:hint="default"/>
      </w:rPr>
    </w:lvl>
    <w:lvl w:ilvl="8" w:tplc="D37E35AC">
      <w:start w:val="1"/>
      <w:numFmt w:val="bullet"/>
      <w:lvlText w:val=""/>
      <w:lvlJc w:val="left"/>
      <w:pPr>
        <w:ind w:left="6480" w:hanging="360"/>
      </w:pPr>
      <w:rPr>
        <w:rFonts w:ascii="Wingdings" w:hAnsi="Wingdings" w:hint="default"/>
      </w:rPr>
    </w:lvl>
  </w:abstractNum>
  <w:abstractNum w:abstractNumId="88" w15:restartNumberingAfterBreak="0">
    <w:nsid w:val="4FDF586F"/>
    <w:multiLevelType w:val="hybridMultilevel"/>
    <w:tmpl w:val="1F6CF100"/>
    <w:lvl w:ilvl="0" w:tplc="CEB8FA6E">
      <w:start w:val="1"/>
      <w:numFmt w:val="bullet"/>
      <w:lvlText w:val=""/>
      <w:lvlJc w:val="left"/>
      <w:pPr>
        <w:ind w:left="720" w:hanging="360"/>
      </w:pPr>
      <w:rPr>
        <w:rFonts w:ascii="Symbol" w:hAnsi="Symbol" w:hint="default"/>
      </w:rPr>
    </w:lvl>
    <w:lvl w:ilvl="1" w:tplc="CEB8FA6E">
      <w:start w:val="1"/>
      <w:numFmt w:val="bullet"/>
      <w:lvlText w:val=""/>
      <w:lvlJc w:val="left"/>
      <w:pPr>
        <w:ind w:left="1440" w:hanging="360"/>
      </w:pPr>
      <w:rPr>
        <w:rFonts w:ascii="Symbol" w:hAnsi="Symbol" w:hint="default"/>
      </w:rPr>
    </w:lvl>
    <w:lvl w:ilvl="2" w:tplc="9EEC4250">
      <w:start w:val="1"/>
      <w:numFmt w:val="bullet"/>
      <w:lvlText w:val=""/>
      <w:lvlJc w:val="left"/>
      <w:pPr>
        <w:ind w:left="2160" w:hanging="360"/>
      </w:pPr>
      <w:rPr>
        <w:rFonts w:ascii="Wingdings" w:hAnsi="Wingdings" w:hint="default"/>
      </w:rPr>
    </w:lvl>
    <w:lvl w:ilvl="3" w:tplc="76EA4D04">
      <w:start w:val="1"/>
      <w:numFmt w:val="bullet"/>
      <w:lvlText w:val=""/>
      <w:lvlJc w:val="left"/>
      <w:pPr>
        <w:ind w:left="2880" w:hanging="360"/>
      </w:pPr>
      <w:rPr>
        <w:rFonts w:ascii="Symbol" w:hAnsi="Symbol" w:hint="default"/>
      </w:rPr>
    </w:lvl>
    <w:lvl w:ilvl="4" w:tplc="1A965CC6">
      <w:start w:val="1"/>
      <w:numFmt w:val="bullet"/>
      <w:lvlText w:val="o"/>
      <w:lvlJc w:val="left"/>
      <w:pPr>
        <w:ind w:left="3600" w:hanging="360"/>
      </w:pPr>
      <w:rPr>
        <w:rFonts w:ascii="Courier New" w:hAnsi="Courier New" w:hint="default"/>
      </w:rPr>
    </w:lvl>
    <w:lvl w:ilvl="5" w:tplc="8F7CF9DA">
      <w:start w:val="1"/>
      <w:numFmt w:val="bullet"/>
      <w:lvlText w:val=""/>
      <w:lvlJc w:val="left"/>
      <w:pPr>
        <w:ind w:left="4320" w:hanging="360"/>
      </w:pPr>
      <w:rPr>
        <w:rFonts w:ascii="Wingdings" w:hAnsi="Wingdings" w:hint="default"/>
      </w:rPr>
    </w:lvl>
    <w:lvl w:ilvl="6" w:tplc="AD0E99B8">
      <w:start w:val="1"/>
      <w:numFmt w:val="bullet"/>
      <w:lvlText w:val=""/>
      <w:lvlJc w:val="left"/>
      <w:pPr>
        <w:ind w:left="5040" w:hanging="360"/>
      </w:pPr>
      <w:rPr>
        <w:rFonts w:ascii="Symbol" w:hAnsi="Symbol" w:hint="default"/>
      </w:rPr>
    </w:lvl>
    <w:lvl w:ilvl="7" w:tplc="A18ACECE">
      <w:start w:val="1"/>
      <w:numFmt w:val="bullet"/>
      <w:lvlText w:val="o"/>
      <w:lvlJc w:val="left"/>
      <w:pPr>
        <w:ind w:left="5760" w:hanging="360"/>
      </w:pPr>
      <w:rPr>
        <w:rFonts w:ascii="Courier New" w:hAnsi="Courier New" w:hint="default"/>
      </w:rPr>
    </w:lvl>
    <w:lvl w:ilvl="8" w:tplc="34B21CA2">
      <w:start w:val="1"/>
      <w:numFmt w:val="bullet"/>
      <w:lvlText w:val=""/>
      <w:lvlJc w:val="left"/>
      <w:pPr>
        <w:ind w:left="6480" w:hanging="360"/>
      </w:pPr>
      <w:rPr>
        <w:rFonts w:ascii="Wingdings" w:hAnsi="Wingdings" w:hint="default"/>
      </w:rPr>
    </w:lvl>
  </w:abstractNum>
  <w:abstractNum w:abstractNumId="89" w15:restartNumberingAfterBreak="0">
    <w:nsid w:val="508F3964"/>
    <w:multiLevelType w:val="hybridMultilevel"/>
    <w:tmpl w:val="D0FE415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513936FB"/>
    <w:multiLevelType w:val="hybridMultilevel"/>
    <w:tmpl w:val="DE7CD76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1C131F6"/>
    <w:multiLevelType w:val="hybridMultilevel"/>
    <w:tmpl w:val="A8206176"/>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29902C4"/>
    <w:multiLevelType w:val="hybridMultilevel"/>
    <w:tmpl w:val="A0DA31B6"/>
    <w:lvl w:ilvl="0" w:tplc="5DF8755E">
      <w:start w:val="1"/>
      <w:numFmt w:val="bullet"/>
      <w:lvlText w:val=""/>
      <w:lvlJc w:val="left"/>
      <w:pPr>
        <w:ind w:left="720" w:hanging="360"/>
      </w:pPr>
      <w:rPr>
        <w:rFonts w:ascii="Symbol" w:hAnsi="Symbol" w:hint="default"/>
      </w:rPr>
    </w:lvl>
    <w:lvl w:ilvl="1" w:tplc="FF8C52B2">
      <w:start w:val="1"/>
      <w:numFmt w:val="bullet"/>
      <w:lvlText w:val="o"/>
      <w:lvlJc w:val="left"/>
      <w:pPr>
        <w:ind w:left="1440" w:hanging="360"/>
      </w:pPr>
      <w:rPr>
        <w:rFonts w:ascii="Courier New" w:hAnsi="Courier New" w:hint="default"/>
      </w:rPr>
    </w:lvl>
    <w:lvl w:ilvl="2" w:tplc="D744C996">
      <w:start w:val="1"/>
      <w:numFmt w:val="bullet"/>
      <w:lvlText w:val=""/>
      <w:lvlJc w:val="left"/>
      <w:pPr>
        <w:ind w:left="2160" w:hanging="360"/>
      </w:pPr>
      <w:rPr>
        <w:rFonts w:ascii="Wingdings" w:hAnsi="Wingdings" w:hint="default"/>
      </w:rPr>
    </w:lvl>
    <w:lvl w:ilvl="3" w:tplc="08B8D16E">
      <w:start w:val="1"/>
      <w:numFmt w:val="bullet"/>
      <w:lvlText w:val=""/>
      <w:lvlJc w:val="left"/>
      <w:pPr>
        <w:ind w:left="2880" w:hanging="360"/>
      </w:pPr>
      <w:rPr>
        <w:rFonts w:ascii="Symbol" w:hAnsi="Symbol" w:hint="default"/>
      </w:rPr>
    </w:lvl>
    <w:lvl w:ilvl="4" w:tplc="022CA09E">
      <w:start w:val="1"/>
      <w:numFmt w:val="bullet"/>
      <w:lvlText w:val="o"/>
      <w:lvlJc w:val="left"/>
      <w:pPr>
        <w:ind w:left="3600" w:hanging="360"/>
      </w:pPr>
      <w:rPr>
        <w:rFonts w:ascii="Courier New" w:hAnsi="Courier New" w:hint="default"/>
      </w:rPr>
    </w:lvl>
    <w:lvl w:ilvl="5" w:tplc="43824F1C">
      <w:start w:val="1"/>
      <w:numFmt w:val="bullet"/>
      <w:lvlText w:val=""/>
      <w:lvlJc w:val="left"/>
      <w:pPr>
        <w:ind w:left="4320" w:hanging="360"/>
      </w:pPr>
      <w:rPr>
        <w:rFonts w:ascii="Wingdings" w:hAnsi="Wingdings" w:hint="default"/>
      </w:rPr>
    </w:lvl>
    <w:lvl w:ilvl="6" w:tplc="408A37F2">
      <w:start w:val="1"/>
      <w:numFmt w:val="bullet"/>
      <w:lvlText w:val=""/>
      <w:lvlJc w:val="left"/>
      <w:pPr>
        <w:ind w:left="5040" w:hanging="360"/>
      </w:pPr>
      <w:rPr>
        <w:rFonts w:ascii="Symbol" w:hAnsi="Symbol" w:hint="default"/>
      </w:rPr>
    </w:lvl>
    <w:lvl w:ilvl="7" w:tplc="B2225C50">
      <w:start w:val="1"/>
      <w:numFmt w:val="bullet"/>
      <w:lvlText w:val="o"/>
      <w:lvlJc w:val="left"/>
      <w:pPr>
        <w:ind w:left="5760" w:hanging="360"/>
      </w:pPr>
      <w:rPr>
        <w:rFonts w:ascii="Courier New" w:hAnsi="Courier New" w:hint="default"/>
      </w:rPr>
    </w:lvl>
    <w:lvl w:ilvl="8" w:tplc="015EBB02">
      <w:start w:val="1"/>
      <w:numFmt w:val="bullet"/>
      <w:lvlText w:val=""/>
      <w:lvlJc w:val="left"/>
      <w:pPr>
        <w:ind w:left="6480" w:hanging="360"/>
      </w:pPr>
      <w:rPr>
        <w:rFonts w:ascii="Wingdings" w:hAnsi="Wingdings" w:hint="default"/>
      </w:rPr>
    </w:lvl>
  </w:abstractNum>
  <w:abstractNum w:abstractNumId="93" w15:restartNumberingAfterBreak="0">
    <w:nsid w:val="54F90A9E"/>
    <w:multiLevelType w:val="hybridMultilevel"/>
    <w:tmpl w:val="2556E23E"/>
    <w:lvl w:ilvl="0" w:tplc="CEB8FA6E">
      <w:start w:val="1"/>
      <w:numFmt w:val="bullet"/>
      <w:lvlText w:val=""/>
      <w:lvlJc w:val="left"/>
      <w:pPr>
        <w:ind w:left="1428" w:hanging="360"/>
      </w:pPr>
      <w:rPr>
        <w:rFonts w:ascii="Symbol" w:hAnsi="Symbol" w:hint="default"/>
      </w:rPr>
    </w:lvl>
    <w:lvl w:ilvl="1" w:tplc="6956A77C">
      <w:start w:val="1"/>
      <w:numFmt w:val="bullet"/>
      <w:lvlText w:val="o"/>
      <w:lvlJc w:val="left"/>
      <w:pPr>
        <w:ind w:left="2148" w:hanging="360"/>
      </w:pPr>
      <w:rPr>
        <w:rFonts w:ascii="Courier New" w:hAnsi="Courier New" w:hint="default"/>
      </w:rPr>
    </w:lvl>
    <w:lvl w:ilvl="2" w:tplc="D8864592">
      <w:start w:val="1"/>
      <w:numFmt w:val="bullet"/>
      <w:lvlText w:val=""/>
      <w:lvlJc w:val="left"/>
      <w:pPr>
        <w:ind w:left="2868" w:hanging="360"/>
      </w:pPr>
      <w:rPr>
        <w:rFonts w:ascii="Wingdings" w:hAnsi="Wingdings" w:hint="default"/>
      </w:rPr>
    </w:lvl>
    <w:lvl w:ilvl="3" w:tplc="4020765A">
      <w:start w:val="1"/>
      <w:numFmt w:val="bullet"/>
      <w:lvlText w:val=""/>
      <w:lvlJc w:val="left"/>
      <w:pPr>
        <w:ind w:left="3588" w:hanging="360"/>
      </w:pPr>
      <w:rPr>
        <w:rFonts w:ascii="Symbol" w:hAnsi="Symbol" w:hint="default"/>
      </w:rPr>
    </w:lvl>
    <w:lvl w:ilvl="4" w:tplc="C09EE54A">
      <w:start w:val="1"/>
      <w:numFmt w:val="bullet"/>
      <w:lvlText w:val="o"/>
      <w:lvlJc w:val="left"/>
      <w:pPr>
        <w:ind w:left="4308" w:hanging="360"/>
      </w:pPr>
      <w:rPr>
        <w:rFonts w:ascii="Courier New" w:hAnsi="Courier New" w:hint="default"/>
      </w:rPr>
    </w:lvl>
    <w:lvl w:ilvl="5" w:tplc="CFB87248">
      <w:start w:val="1"/>
      <w:numFmt w:val="bullet"/>
      <w:lvlText w:val=""/>
      <w:lvlJc w:val="left"/>
      <w:pPr>
        <w:ind w:left="5028" w:hanging="360"/>
      </w:pPr>
      <w:rPr>
        <w:rFonts w:ascii="Wingdings" w:hAnsi="Wingdings" w:hint="default"/>
      </w:rPr>
    </w:lvl>
    <w:lvl w:ilvl="6" w:tplc="BDBA11D6">
      <w:start w:val="1"/>
      <w:numFmt w:val="bullet"/>
      <w:lvlText w:val=""/>
      <w:lvlJc w:val="left"/>
      <w:pPr>
        <w:ind w:left="5748" w:hanging="360"/>
      </w:pPr>
      <w:rPr>
        <w:rFonts w:ascii="Symbol" w:hAnsi="Symbol" w:hint="default"/>
      </w:rPr>
    </w:lvl>
    <w:lvl w:ilvl="7" w:tplc="B4BE95F0">
      <w:start w:val="1"/>
      <w:numFmt w:val="bullet"/>
      <w:lvlText w:val="o"/>
      <w:lvlJc w:val="left"/>
      <w:pPr>
        <w:ind w:left="6468" w:hanging="360"/>
      </w:pPr>
      <w:rPr>
        <w:rFonts w:ascii="Courier New" w:hAnsi="Courier New" w:hint="default"/>
      </w:rPr>
    </w:lvl>
    <w:lvl w:ilvl="8" w:tplc="A4EEC8CE">
      <w:start w:val="1"/>
      <w:numFmt w:val="bullet"/>
      <w:lvlText w:val=""/>
      <w:lvlJc w:val="left"/>
      <w:pPr>
        <w:ind w:left="7188" w:hanging="360"/>
      </w:pPr>
      <w:rPr>
        <w:rFonts w:ascii="Wingdings" w:hAnsi="Wingdings" w:hint="default"/>
      </w:rPr>
    </w:lvl>
  </w:abstractNum>
  <w:abstractNum w:abstractNumId="94" w15:restartNumberingAfterBreak="0">
    <w:nsid w:val="558230D9"/>
    <w:multiLevelType w:val="hybridMultilevel"/>
    <w:tmpl w:val="5F326E44"/>
    <w:lvl w:ilvl="0" w:tplc="A16E8088">
      <w:start w:val="1"/>
      <w:numFmt w:val="bullet"/>
      <w:lvlText w:val=""/>
      <w:lvlJc w:val="left"/>
      <w:pPr>
        <w:ind w:left="720" w:hanging="360"/>
      </w:pPr>
      <w:rPr>
        <w:rFonts w:ascii="Symbol" w:hAnsi="Symbol" w:hint="default"/>
      </w:rPr>
    </w:lvl>
    <w:lvl w:ilvl="1" w:tplc="785824D6">
      <w:start w:val="1"/>
      <w:numFmt w:val="bullet"/>
      <w:lvlText w:val="o"/>
      <w:lvlJc w:val="left"/>
      <w:pPr>
        <w:ind w:left="1440" w:hanging="360"/>
      </w:pPr>
      <w:rPr>
        <w:rFonts w:ascii="Courier New" w:hAnsi="Courier New" w:hint="default"/>
      </w:rPr>
    </w:lvl>
    <w:lvl w:ilvl="2" w:tplc="7AD24F32">
      <w:start w:val="1"/>
      <w:numFmt w:val="bullet"/>
      <w:lvlText w:val=""/>
      <w:lvlJc w:val="left"/>
      <w:pPr>
        <w:ind w:left="2160" w:hanging="360"/>
      </w:pPr>
      <w:rPr>
        <w:rFonts w:ascii="Wingdings" w:hAnsi="Wingdings" w:hint="default"/>
      </w:rPr>
    </w:lvl>
    <w:lvl w:ilvl="3" w:tplc="857687F6">
      <w:start w:val="1"/>
      <w:numFmt w:val="bullet"/>
      <w:lvlText w:val=""/>
      <w:lvlJc w:val="left"/>
      <w:pPr>
        <w:ind w:left="2880" w:hanging="360"/>
      </w:pPr>
      <w:rPr>
        <w:rFonts w:ascii="Symbol" w:hAnsi="Symbol" w:hint="default"/>
      </w:rPr>
    </w:lvl>
    <w:lvl w:ilvl="4" w:tplc="51FA70DC">
      <w:start w:val="1"/>
      <w:numFmt w:val="bullet"/>
      <w:lvlText w:val="o"/>
      <w:lvlJc w:val="left"/>
      <w:pPr>
        <w:ind w:left="3600" w:hanging="360"/>
      </w:pPr>
      <w:rPr>
        <w:rFonts w:ascii="Courier New" w:hAnsi="Courier New" w:hint="default"/>
      </w:rPr>
    </w:lvl>
    <w:lvl w:ilvl="5" w:tplc="1B04A75E">
      <w:start w:val="1"/>
      <w:numFmt w:val="bullet"/>
      <w:lvlText w:val=""/>
      <w:lvlJc w:val="left"/>
      <w:pPr>
        <w:ind w:left="4320" w:hanging="360"/>
      </w:pPr>
      <w:rPr>
        <w:rFonts w:ascii="Wingdings" w:hAnsi="Wingdings" w:hint="default"/>
      </w:rPr>
    </w:lvl>
    <w:lvl w:ilvl="6" w:tplc="3FAE5754">
      <w:start w:val="1"/>
      <w:numFmt w:val="bullet"/>
      <w:lvlText w:val=""/>
      <w:lvlJc w:val="left"/>
      <w:pPr>
        <w:ind w:left="5040" w:hanging="360"/>
      </w:pPr>
      <w:rPr>
        <w:rFonts w:ascii="Symbol" w:hAnsi="Symbol" w:hint="default"/>
      </w:rPr>
    </w:lvl>
    <w:lvl w:ilvl="7" w:tplc="B9826802">
      <w:start w:val="1"/>
      <w:numFmt w:val="bullet"/>
      <w:lvlText w:val="o"/>
      <w:lvlJc w:val="left"/>
      <w:pPr>
        <w:ind w:left="5760" w:hanging="360"/>
      </w:pPr>
      <w:rPr>
        <w:rFonts w:ascii="Courier New" w:hAnsi="Courier New" w:hint="default"/>
      </w:rPr>
    </w:lvl>
    <w:lvl w:ilvl="8" w:tplc="7F9603E8">
      <w:start w:val="1"/>
      <w:numFmt w:val="bullet"/>
      <w:lvlText w:val=""/>
      <w:lvlJc w:val="left"/>
      <w:pPr>
        <w:ind w:left="6480" w:hanging="360"/>
      </w:pPr>
      <w:rPr>
        <w:rFonts w:ascii="Wingdings" w:hAnsi="Wingdings" w:hint="default"/>
      </w:rPr>
    </w:lvl>
  </w:abstractNum>
  <w:abstractNum w:abstractNumId="95" w15:restartNumberingAfterBreak="0">
    <w:nsid w:val="55B952B7"/>
    <w:multiLevelType w:val="hybridMultilevel"/>
    <w:tmpl w:val="8BBE6EBA"/>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FA0EAB"/>
    <w:multiLevelType w:val="hybridMultilevel"/>
    <w:tmpl w:val="BFE0A858"/>
    <w:lvl w:ilvl="0" w:tplc="E29AB8E0">
      <w:start w:val="1"/>
      <w:numFmt w:val="bullet"/>
      <w:lvlText w:val=""/>
      <w:lvlJc w:val="left"/>
      <w:pPr>
        <w:ind w:left="720" w:hanging="360"/>
      </w:pPr>
      <w:rPr>
        <w:rFonts w:ascii="Symbol" w:hAnsi="Symbol" w:hint="default"/>
      </w:rPr>
    </w:lvl>
    <w:lvl w:ilvl="1" w:tplc="1332C3BA">
      <w:start w:val="1"/>
      <w:numFmt w:val="bullet"/>
      <w:lvlText w:val="o"/>
      <w:lvlJc w:val="left"/>
      <w:pPr>
        <w:ind w:left="1440" w:hanging="360"/>
      </w:pPr>
      <w:rPr>
        <w:rFonts w:ascii="Courier New" w:hAnsi="Courier New" w:hint="default"/>
      </w:rPr>
    </w:lvl>
    <w:lvl w:ilvl="2" w:tplc="73B0982C">
      <w:start w:val="1"/>
      <w:numFmt w:val="bullet"/>
      <w:lvlText w:val=""/>
      <w:lvlJc w:val="left"/>
      <w:pPr>
        <w:ind w:left="2160" w:hanging="360"/>
      </w:pPr>
      <w:rPr>
        <w:rFonts w:ascii="Wingdings" w:hAnsi="Wingdings" w:hint="default"/>
      </w:rPr>
    </w:lvl>
    <w:lvl w:ilvl="3" w:tplc="49B646E0">
      <w:start w:val="1"/>
      <w:numFmt w:val="bullet"/>
      <w:lvlText w:val=""/>
      <w:lvlJc w:val="left"/>
      <w:pPr>
        <w:ind w:left="2880" w:hanging="360"/>
      </w:pPr>
      <w:rPr>
        <w:rFonts w:ascii="Symbol" w:hAnsi="Symbol" w:hint="default"/>
      </w:rPr>
    </w:lvl>
    <w:lvl w:ilvl="4" w:tplc="752EDB86">
      <w:start w:val="1"/>
      <w:numFmt w:val="bullet"/>
      <w:lvlText w:val="o"/>
      <w:lvlJc w:val="left"/>
      <w:pPr>
        <w:ind w:left="3600" w:hanging="360"/>
      </w:pPr>
      <w:rPr>
        <w:rFonts w:ascii="Courier New" w:hAnsi="Courier New" w:hint="default"/>
      </w:rPr>
    </w:lvl>
    <w:lvl w:ilvl="5" w:tplc="33104852">
      <w:start w:val="1"/>
      <w:numFmt w:val="bullet"/>
      <w:lvlText w:val=""/>
      <w:lvlJc w:val="left"/>
      <w:pPr>
        <w:ind w:left="4320" w:hanging="360"/>
      </w:pPr>
      <w:rPr>
        <w:rFonts w:ascii="Wingdings" w:hAnsi="Wingdings" w:hint="default"/>
      </w:rPr>
    </w:lvl>
    <w:lvl w:ilvl="6" w:tplc="D5B2B820">
      <w:start w:val="1"/>
      <w:numFmt w:val="bullet"/>
      <w:lvlText w:val=""/>
      <w:lvlJc w:val="left"/>
      <w:pPr>
        <w:ind w:left="5040" w:hanging="360"/>
      </w:pPr>
      <w:rPr>
        <w:rFonts w:ascii="Symbol" w:hAnsi="Symbol" w:hint="default"/>
      </w:rPr>
    </w:lvl>
    <w:lvl w:ilvl="7" w:tplc="2EDC085E">
      <w:start w:val="1"/>
      <w:numFmt w:val="bullet"/>
      <w:lvlText w:val="o"/>
      <w:lvlJc w:val="left"/>
      <w:pPr>
        <w:ind w:left="5760" w:hanging="360"/>
      </w:pPr>
      <w:rPr>
        <w:rFonts w:ascii="Courier New" w:hAnsi="Courier New" w:hint="default"/>
      </w:rPr>
    </w:lvl>
    <w:lvl w:ilvl="8" w:tplc="7752ECA8">
      <w:start w:val="1"/>
      <w:numFmt w:val="bullet"/>
      <w:lvlText w:val=""/>
      <w:lvlJc w:val="left"/>
      <w:pPr>
        <w:ind w:left="6480" w:hanging="360"/>
      </w:pPr>
      <w:rPr>
        <w:rFonts w:ascii="Wingdings" w:hAnsi="Wingdings" w:hint="default"/>
      </w:rPr>
    </w:lvl>
  </w:abstractNum>
  <w:abstractNum w:abstractNumId="97" w15:restartNumberingAfterBreak="0">
    <w:nsid w:val="55FE40E0"/>
    <w:multiLevelType w:val="hybridMultilevel"/>
    <w:tmpl w:val="4BB25892"/>
    <w:lvl w:ilvl="0" w:tplc="2BD2690C">
      <w:start w:val="1"/>
      <w:numFmt w:val="bullet"/>
      <w:lvlText w:val=""/>
      <w:lvlJc w:val="left"/>
      <w:pPr>
        <w:ind w:left="720" w:hanging="360"/>
      </w:pPr>
      <w:rPr>
        <w:rFonts w:ascii="Symbol" w:hAnsi="Symbol" w:hint="default"/>
      </w:rPr>
    </w:lvl>
    <w:lvl w:ilvl="1" w:tplc="5FFCE1BE">
      <w:start w:val="1"/>
      <w:numFmt w:val="bullet"/>
      <w:lvlText w:val=""/>
      <w:lvlJc w:val="left"/>
      <w:pPr>
        <w:ind w:left="1440" w:hanging="360"/>
      </w:pPr>
      <w:rPr>
        <w:rFonts w:ascii="Symbol" w:hAnsi="Symbol" w:hint="default"/>
      </w:rPr>
    </w:lvl>
    <w:lvl w:ilvl="2" w:tplc="D6900252">
      <w:start w:val="1"/>
      <w:numFmt w:val="bullet"/>
      <w:lvlText w:val=""/>
      <w:lvlJc w:val="left"/>
      <w:pPr>
        <w:ind w:left="2160" w:hanging="360"/>
      </w:pPr>
      <w:rPr>
        <w:rFonts w:ascii="Wingdings" w:hAnsi="Wingdings" w:hint="default"/>
      </w:rPr>
    </w:lvl>
    <w:lvl w:ilvl="3" w:tplc="4FC6F050">
      <w:start w:val="1"/>
      <w:numFmt w:val="bullet"/>
      <w:lvlText w:val=""/>
      <w:lvlJc w:val="left"/>
      <w:pPr>
        <w:ind w:left="2880" w:hanging="360"/>
      </w:pPr>
      <w:rPr>
        <w:rFonts w:ascii="Symbol" w:hAnsi="Symbol" w:hint="default"/>
      </w:rPr>
    </w:lvl>
    <w:lvl w:ilvl="4" w:tplc="B3729B34">
      <w:start w:val="1"/>
      <w:numFmt w:val="bullet"/>
      <w:lvlText w:val="o"/>
      <w:lvlJc w:val="left"/>
      <w:pPr>
        <w:ind w:left="3600" w:hanging="360"/>
      </w:pPr>
      <w:rPr>
        <w:rFonts w:ascii="Courier New" w:hAnsi="Courier New" w:hint="default"/>
      </w:rPr>
    </w:lvl>
    <w:lvl w:ilvl="5" w:tplc="86AACED2">
      <w:start w:val="1"/>
      <w:numFmt w:val="bullet"/>
      <w:lvlText w:val=""/>
      <w:lvlJc w:val="left"/>
      <w:pPr>
        <w:ind w:left="4320" w:hanging="360"/>
      </w:pPr>
      <w:rPr>
        <w:rFonts w:ascii="Wingdings" w:hAnsi="Wingdings" w:hint="default"/>
      </w:rPr>
    </w:lvl>
    <w:lvl w:ilvl="6" w:tplc="CBD8BA4C">
      <w:start w:val="1"/>
      <w:numFmt w:val="bullet"/>
      <w:lvlText w:val=""/>
      <w:lvlJc w:val="left"/>
      <w:pPr>
        <w:ind w:left="5040" w:hanging="360"/>
      </w:pPr>
      <w:rPr>
        <w:rFonts w:ascii="Symbol" w:hAnsi="Symbol" w:hint="default"/>
      </w:rPr>
    </w:lvl>
    <w:lvl w:ilvl="7" w:tplc="9CC49DE8">
      <w:start w:val="1"/>
      <w:numFmt w:val="bullet"/>
      <w:lvlText w:val="o"/>
      <w:lvlJc w:val="left"/>
      <w:pPr>
        <w:ind w:left="5760" w:hanging="360"/>
      </w:pPr>
      <w:rPr>
        <w:rFonts w:ascii="Courier New" w:hAnsi="Courier New" w:hint="default"/>
      </w:rPr>
    </w:lvl>
    <w:lvl w:ilvl="8" w:tplc="787C9D26">
      <w:start w:val="1"/>
      <w:numFmt w:val="bullet"/>
      <w:lvlText w:val=""/>
      <w:lvlJc w:val="left"/>
      <w:pPr>
        <w:ind w:left="6480" w:hanging="360"/>
      </w:pPr>
      <w:rPr>
        <w:rFonts w:ascii="Wingdings" w:hAnsi="Wingdings" w:hint="default"/>
      </w:rPr>
    </w:lvl>
  </w:abstractNum>
  <w:abstractNum w:abstractNumId="98" w15:restartNumberingAfterBreak="0">
    <w:nsid w:val="56536C80"/>
    <w:multiLevelType w:val="hybridMultilevel"/>
    <w:tmpl w:val="7AB4EAB8"/>
    <w:lvl w:ilvl="0" w:tplc="FFFFFFFF">
      <w:start w:val="1"/>
      <w:numFmt w:val="bullet"/>
      <w:lvlText w:val=""/>
      <w:lvlJc w:val="left"/>
      <w:pPr>
        <w:ind w:left="720" w:hanging="360"/>
      </w:pPr>
      <w:rPr>
        <w:rFonts w:ascii="Symbol" w:hAnsi="Symbol" w:hint="default"/>
      </w:rPr>
    </w:lvl>
    <w:lvl w:ilvl="1" w:tplc="D1E498EC">
      <w:start w:val="1"/>
      <w:numFmt w:val="bullet"/>
      <w:lvlText w:val="o"/>
      <w:lvlJc w:val="left"/>
      <w:pPr>
        <w:ind w:left="1440" w:hanging="360"/>
      </w:pPr>
      <w:rPr>
        <w:rFonts w:ascii="Courier New" w:hAnsi="Courier New" w:hint="default"/>
      </w:rPr>
    </w:lvl>
    <w:lvl w:ilvl="2" w:tplc="3F54C774">
      <w:start w:val="1"/>
      <w:numFmt w:val="bullet"/>
      <w:lvlText w:val=""/>
      <w:lvlJc w:val="left"/>
      <w:pPr>
        <w:ind w:left="2160" w:hanging="360"/>
      </w:pPr>
      <w:rPr>
        <w:rFonts w:ascii="Wingdings" w:hAnsi="Wingdings" w:hint="default"/>
      </w:rPr>
    </w:lvl>
    <w:lvl w:ilvl="3" w:tplc="2B304856">
      <w:start w:val="1"/>
      <w:numFmt w:val="bullet"/>
      <w:lvlText w:val=""/>
      <w:lvlJc w:val="left"/>
      <w:pPr>
        <w:ind w:left="2880" w:hanging="360"/>
      </w:pPr>
      <w:rPr>
        <w:rFonts w:ascii="Symbol" w:hAnsi="Symbol" w:hint="default"/>
      </w:rPr>
    </w:lvl>
    <w:lvl w:ilvl="4" w:tplc="633C8292">
      <w:start w:val="1"/>
      <w:numFmt w:val="bullet"/>
      <w:lvlText w:val="o"/>
      <w:lvlJc w:val="left"/>
      <w:pPr>
        <w:ind w:left="3600" w:hanging="360"/>
      </w:pPr>
      <w:rPr>
        <w:rFonts w:ascii="Courier New" w:hAnsi="Courier New" w:hint="default"/>
      </w:rPr>
    </w:lvl>
    <w:lvl w:ilvl="5" w:tplc="9F9CAE66">
      <w:start w:val="1"/>
      <w:numFmt w:val="bullet"/>
      <w:lvlText w:val=""/>
      <w:lvlJc w:val="left"/>
      <w:pPr>
        <w:ind w:left="4320" w:hanging="360"/>
      </w:pPr>
      <w:rPr>
        <w:rFonts w:ascii="Wingdings" w:hAnsi="Wingdings" w:hint="default"/>
      </w:rPr>
    </w:lvl>
    <w:lvl w:ilvl="6" w:tplc="19D2E922">
      <w:start w:val="1"/>
      <w:numFmt w:val="bullet"/>
      <w:lvlText w:val=""/>
      <w:lvlJc w:val="left"/>
      <w:pPr>
        <w:ind w:left="5040" w:hanging="360"/>
      </w:pPr>
      <w:rPr>
        <w:rFonts w:ascii="Symbol" w:hAnsi="Symbol" w:hint="default"/>
      </w:rPr>
    </w:lvl>
    <w:lvl w:ilvl="7" w:tplc="6B725144">
      <w:start w:val="1"/>
      <w:numFmt w:val="bullet"/>
      <w:lvlText w:val="o"/>
      <w:lvlJc w:val="left"/>
      <w:pPr>
        <w:ind w:left="5760" w:hanging="360"/>
      </w:pPr>
      <w:rPr>
        <w:rFonts w:ascii="Courier New" w:hAnsi="Courier New" w:hint="default"/>
      </w:rPr>
    </w:lvl>
    <w:lvl w:ilvl="8" w:tplc="2E46C10C">
      <w:start w:val="1"/>
      <w:numFmt w:val="bullet"/>
      <w:lvlText w:val=""/>
      <w:lvlJc w:val="left"/>
      <w:pPr>
        <w:ind w:left="6480" w:hanging="360"/>
      </w:pPr>
      <w:rPr>
        <w:rFonts w:ascii="Wingdings" w:hAnsi="Wingdings" w:hint="default"/>
      </w:rPr>
    </w:lvl>
  </w:abstractNum>
  <w:abstractNum w:abstractNumId="99" w15:restartNumberingAfterBreak="0">
    <w:nsid w:val="59E621B0"/>
    <w:multiLevelType w:val="hybridMultilevel"/>
    <w:tmpl w:val="0612535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B69155A"/>
    <w:multiLevelType w:val="hybridMultilevel"/>
    <w:tmpl w:val="98F44B12"/>
    <w:lvl w:ilvl="0" w:tplc="645205A6">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A43B5D"/>
    <w:multiLevelType w:val="hybridMultilevel"/>
    <w:tmpl w:val="40FA45C2"/>
    <w:lvl w:ilvl="0" w:tplc="B1162D30">
      <w:start w:val="1"/>
      <w:numFmt w:val="bullet"/>
      <w:lvlText w:val=""/>
      <w:lvlJc w:val="left"/>
      <w:pPr>
        <w:ind w:left="720" w:hanging="360"/>
      </w:pPr>
      <w:rPr>
        <w:rFonts w:ascii="Symbol" w:hAnsi="Symbol" w:hint="default"/>
      </w:rPr>
    </w:lvl>
    <w:lvl w:ilvl="1" w:tplc="F04C2B96">
      <w:start w:val="1"/>
      <w:numFmt w:val="bullet"/>
      <w:lvlText w:val="o"/>
      <w:lvlJc w:val="left"/>
      <w:pPr>
        <w:ind w:left="1440" w:hanging="360"/>
      </w:pPr>
      <w:rPr>
        <w:rFonts w:ascii="Courier New" w:hAnsi="Courier New" w:hint="default"/>
      </w:rPr>
    </w:lvl>
    <w:lvl w:ilvl="2" w:tplc="A7F25D18">
      <w:start w:val="1"/>
      <w:numFmt w:val="bullet"/>
      <w:lvlText w:val=""/>
      <w:lvlJc w:val="left"/>
      <w:pPr>
        <w:ind w:left="2160" w:hanging="360"/>
      </w:pPr>
      <w:rPr>
        <w:rFonts w:ascii="Wingdings" w:hAnsi="Wingdings" w:hint="default"/>
      </w:rPr>
    </w:lvl>
    <w:lvl w:ilvl="3" w:tplc="C390190C">
      <w:start w:val="1"/>
      <w:numFmt w:val="bullet"/>
      <w:lvlText w:val=""/>
      <w:lvlJc w:val="left"/>
      <w:pPr>
        <w:ind w:left="2880" w:hanging="360"/>
      </w:pPr>
      <w:rPr>
        <w:rFonts w:ascii="Symbol" w:hAnsi="Symbol" w:hint="default"/>
      </w:rPr>
    </w:lvl>
    <w:lvl w:ilvl="4" w:tplc="304E90F2">
      <w:start w:val="1"/>
      <w:numFmt w:val="bullet"/>
      <w:lvlText w:val="o"/>
      <w:lvlJc w:val="left"/>
      <w:pPr>
        <w:ind w:left="3600" w:hanging="360"/>
      </w:pPr>
      <w:rPr>
        <w:rFonts w:ascii="Courier New" w:hAnsi="Courier New" w:hint="default"/>
      </w:rPr>
    </w:lvl>
    <w:lvl w:ilvl="5" w:tplc="FA7610A8">
      <w:start w:val="1"/>
      <w:numFmt w:val="bullet"/>
      <w:lvlText w:val=""/>
      <w:lvlJc w:val="left"/>
      <w:pPr>
        <w:ind w:left="4320" w:hanging="360"/>
      </w:pPr>
      <w:rPr>
        <w:rFonts w:ascii="Wingdings" w:hAnsi="Wingdings" w:hint="default"/>
      </w:rPr>
    </w:lvl>
    <w:lvl w:ilvl="6" w:tplc="5586683A">
      <w:start w:val="1"/>
      <w:numFmt w:val="bullet"/>
      <w:lvlText w:val=""/>
      <w:lvlJc w:val="left"/>
      <w:pPr>
        <w:ind w:left="5040" w:hanging="360"/>
      </w:pPr>
      <w:rPr>
        <w:rFonts w:ascii="Symbol" w:hAnsi="Symbol" w:hint="default"/>
      </w:rPr>
    </w:lvl>
    <w:lvl w:ilvl="7" w:tplc="F5E01E84">
      <w:start w:val="1"/>
      <w:numFmt w:val="bullet"/>
      <w:lvlText w:val="o"/>
      <w:lvlJc w:val="left"/>
      <w:pPr>
        <w:ind w:left="5760" w:hanging="360"/>
      </w:pPr>
      <w:rPr>
        <w:rFonts w:ascii="Courier New" w:hAnsi="Courier New" w:hint="default"/>
      </w:rPr>
    </w:lvl>
    <w:lvl w:ilvl="8" w:tplc="176E559C">
      <w:start w:val="1"/>
      <w:numFmt w:val="bullet"/>
      <w:lvlText w:val=""/>
      <w:lvlJc w:val="left"/>
      <w:pPr>
        <w:ind w:left="6480" w:hanging="360"/>
      </w:pPr>
      <w:rPr>
        <w:rFonts w:ascii="Wingdings" w:hAnsi="Wingdings" w:hint="default"/>
      </w:rPr>
    </w:lvl>
  </w:abstractNum>
  <w:abstractNum w:abstractNumId="102" w15:restartNumberingAfterBreak="0">
    <w:nsid w:val="5E010453"/>
    <w:multiLevelType w:val="hybridMultilevel"/>
    <w:tmpl w:val="3CE81BF6"/>
    <w:lvl w:ilvl="0" w:tplc="FD541220">
      <w:start w:val="1"/>
      <w:numFmt w:val="bullet"/>
      <w:lvlText w:val=""/>
      <w:lvlJc w:val="left"/>
      <w:pPr>
        <w:ind w:left="1428" w:hanging="360"/>
      </w:pPr>
      <w:rPr>
        <w:rFonts w:ascii="Symbol" w:hAnsi="Symbol" w:hint="default"/>
      </w:rPr>
    </w:lvl>
    <w:lvl w:ilvl="1" w:tplc="D3723E68">
      <w:start w:val="1"/>
      <w:numFmt w:val="bullet"/>
      <w:lvlText w:val="o"/>
      <w:lvlJc w:val="left"/>
      <w:pPr>
        <w:ind w:left="2148" w:hanging="360"/>
      </w:pPr>
      <w:rPr>
        <w:rFonts w:ascii="Courier New" w:hAnsi="Courier New" w:hint="default"/>
      </w:rPr>
    </w:lvl>
    <w:lvl w:ilvl="2" w:tplc="667E48D6">
      <w:start w:val="1"/>
      <w:numFmt w:val="bullet"/>
      <w:lvlText w:val=""/>
      <w:lvlJc w:val="left"/>
      <w:pPr>
        <w:ind w:left="2868" w:hanging="360"/>
      </w:pPr>
      <w:rPr>
        <w:rFonts w:ascii="Wingdings" w:hAnsi="Wingdings" w:hint="default"/>
      </w:rPr>
    </w:lvl>
    <w:lvl w:ilvl="3" w:tplc="8E946A70">
      <w:start w:val="1"/>
      <w:numFmt w:val="bullet"/>
      <w:lvlText w:val=""/>
      <w:lvlJc w:val="left"/>
      <w:pPr>
        <w:ind w:left="3588" w:hanging="360"/>
      </w:pPr>
      <w:rPr>
        <w:rFonts w:ascii="Symbol" w:hAnsi="Symbol" w:hint="default"/>
      </w:rPr>
    </w:lvl>
    <w:lvl w:ilvl="4" w:tplc="A84AA05E">
      <w:start w:val="1"/>
      <w:numFmt w:val="bullet"/>
      <w:lvlText w:val="o"/>
      <w:lvlJc w:val="left"/>
      <w:pPr>
        <w:ind w:left="4308" w:hanging="360"/>
      </w:pPr>
      <w:rPr>
        <w:rFonts w:ascii="Courier New" w:hAnsi="Courier New" w:hint="default"/>
      </w:rPr>
    </w:lvl>
    <w:lvl w:ilvl="5" w:tplc="E1FAED26">
      <w:start w:val="1"/>
      <w:numFmt w:val="bullet"/>
      <w:lvlText w:val=""/>
      <w:lvlJc w:val="left"/>
      <w:pPr>
        <w:ind w:left="5028" w:hanging="360"/>
      </w:pPr>
      <w:rPr>
        <w:rFonts w:ascii="Wingdings" w:hAnsi="Wingdings" w:hint="default"/>
      </w:rPr>
    </w:lvl>
    <w:lvl w:ilvl="6" w:tplc="7E8406C2">
      <w:start w:val="1"/>
      <w:numFmt w:val="bullet"/>
      <w:lvlText w:val=""/>
      <w:lvlJc w:val="left"/>
      <w:pPr>
        <w:ind w:left="5748" w:hanging="360"/>
      </w:pPr>
      <w:rPr>
        <w:rFonts w:ascii="Symbol" w:hAnsi="Symbol" w:hint="default"/>
      </w:rPr>
    </w:lvl>
    <w:lvl w:ilvl="7" w:tplc="7B2CC6D6">
      <w:start w:val="1"/>
      <w:numFmt w:val="bullet"/>
      <w:lvlText w:val="o"/>
      <w:lvlJc w:val="left"/>
      <w:pPr>
        <w:ind w:left="6468" w:hanging="360"/>
      </w:pPr>
      <w:rPr>
        <w:rFonts w:ascii="Courier New" w:hAnsi="Courier New" w:hint="default"/>
      </w:rPr>
    </w:lvl>
    <w:lvl w:ilvl="8" w:tplc="B7C213B6">
      <w:start w:val="1"/>
      <w:numFmt w:val="bullet"/>
      <w:lvlText w:val=""/>
      <w:lvlJc w:val="left"/>
      <w:pPr>
        <w:ind w:left="7188" w:hanging="360"/>
      </w:pPr>
      <w:rPr>
        <w:rFonts w:ascii="Wingdings" w:hAnsi="Wingdings" w:hint="default"/>
      </w:rPr>
    </w:lvl>
  </w:abstractNum>
  <w:abstractNum w:abstractNumId="103" w15:restartNumberingAfterBreak="0">
    <w:nsid w:val="5E05292B"/>
    <w:multiLevelType w:val="hybridMultilevel"/>
    <w:tmpl w:val="65587D8A"/>
    <w:lvl w:ilvl="0" w:tplc="928C89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5F16080B"/>
    <w:multiLevelType w:val="hybridMultilevel"/>
    <w:tmpl w:val="69CE5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1B257D"/>
    <w:multiLevelType w:val="hybridMultilevel"/>
    <w:tmpl w:val="3F1C7A5E"/>
    <w:lvl w:ilvl="0" w:tplc="AC9C7BA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6" w15:restartNumberingAfterBreak="0">
    <w:nsid w:val="62C621EE"/>
    <w:multiLevelType w:val="hybridMultilevel"/>
    <w:tmpl w:val="CCC8976E"/>
    <w:lvl w:ilvl="0" w:tplc="CFE29906">
      <w:start w:val="1"/>
      <w:numFmt w:val="bullet"/>
      <w:lvlText w:val=""/>
      <w:lvlJc w:val="left"/>
      <w:pPr>
        <w:ind w:left="720" w:hanging="360"/>
      </w:pPr>
      <w:rPr>
        <w:rFonts w:ascii="Symbol" w:hAnsi="Symbol" w:hint="default"/>
      </w:rPr>
    </w:lvl>
    <w:lvl w:ilvl="1" w:tplc="17A451A8">
      <w:start w:val="1"/>
      <w:numFmt w:val="bullet"/>
      <w:lvlText w:val="o"/>
      <w:lvlJc w:val="left"/>
      <w:pPr>
        <w:ind w:left="1440" w:hanging="360"/>
      </w:pPr>
      <w:rPr>
        <w:rFonts w:ascii="Courier New" w:hAnsi="Courier New" w:hint="default"/>
      </w:rPr>
    </w:lvl>
    <w:lvl w:ilvl="2" w:tplc="EBC6CBF4">
      <w:start w:val="1"/>
      <w:numFmt w:val="bullet"/>
      <w:lvlText w:val=""/>
      <w:lvlJc w:val="left"/>
      <w:pPr>
        <w:ind w:left="2160" w:hanging="360"/>
      </w:pPr>
      <w:rPr>
        <w:rFonts w:ascii="Wingdings" w:hAnsi="Wingdings" w:hint="default"/>
      </w:rPr>
    </w:lvl>
    <w:lvl w:ilvl="3" w:tplc="F2624DF4">
      <w:start w:val="1"/>
      <w:numFmt w:val="bullet"/>
      <w:lvlText w:val=""/>
      <w:lvlJc w:val="left"/>
      <w:pPr>
        <w:ind w:left="2880" w:hanging="360"/>
      </w:pPr>
      <w:rPr>
        <w:rFonts w:ascii="Symbol" w:hAnsi="Symbol" w:hint="default"/>
      </w:rPr>
    </w:lvl>
    <w:lvl w:ilvl="4" w:tplc="12BE4F24">
      <w:start w:val="1"/>
      <w:numFmt w:val="bullet"/>
      <w:lvlText w:val="o"/>
      <w:lvlJc w:val="left"/>
      <w:pPr>
        <w:ind w:left="3600" w:hanging="360"/>
      </w:pPr>
      <w:rPr>
        <w:rFonts w:ascii="Courier New" w:hAnsi="Courier New" w:hint="default"/>
      </w:rPr>
    </w:lvl>
    <w:lvl w:ilvl="5" w:tplc="7F88F5CA">
      <w:start w:val="1"/>
      <w:numFmt w:val="bullet"/>
      <w:lvlText w:val=""/>
      <w:lvlJc w:val="left"/>
      <w:pPr>
        <w:ind w:left="4320" w:hanging="360"/>
      </w:pPr>
      <w:rPr>
        <w:rFonts w:ascii="Wingdings" w:hAnsi="Wingdings" w:hint="default"/>
      </w:rPr>
    </w:lvl>
    <w:lvl w:ilvl="6" w:tplc="E92CCE66">
      <w:start w:val="1"/>
      <w:numFmt w:val="bullet"/>
      <w:lvlText w:val=""/>
      <w:lvlJc w:val="left"/>
      <w:pPr>
        <w:ind w:left="5040" w:hanging="360"/>
      </w:pPr>
      <w:rPr>
        <w:rFonts w:ascii="Symbol" w:hAnsi="Symbol" w:hint="default"/>
      </w:rPr>
    </w:lvl>
    <w:lvl w:ilvl="7" w:tplc="C9288BBE">
      <w:start w:val="1"/>
      <w:numFmt w:val="bullet"/>
      <w:lvlText w:val="o"/>
      <w:lvlJc w:val="left"/>
      <w:pPr>
        <w:ind w:left="5760" w:hanging="360"/>
      </w:pPr>
      <w:rPr>
        <w:rFonts w:ascii="Courier New" w:hAnsi="Courier New" w:hint="default"/>
      </w:rPr>
    </w:lvl>
    <w:lvl w:ilvl="8" w:tplc="89341108">
      <w:start w:val="1"/>
      <w:numFmt w:val="bullet"/>
      <w:lvlText w:val=""/>
      <w:lvlJc w:val="left"/>
      <w:pPr>
        <w:ind w:left="6480" w:hanging="360"/>
      </w:pPr>
      <w:rPr>
        <w:rFonts w:ascii="Wingdings" w:hAnsi="Wingdings" w:hint="default"/>
      </w:rPr>
    </w:lvl>
  </w:abstractNum>
  <w:abstractNum w:abstractNumId="107" w15:restartNumberingAfterBreak="0">
    <w:nsid w:val="63DF298A"/>
    <w:multiLevelType w:val="hybridMultilevel"/>
    <w:tmpl w:val="7FD22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4E32DF9"/>
    <w:multiLevelType w:val="hybridMultilevel"/>
    <w:tmpl w:val="B8DA074E"/>
    <w:lvl w:ilvl="0" w:tplc="81D41F88">
      <w:start w:val="1"/>
      <w:numFmt w:val="bullet"/>
      <w:lvlText w:val=""/>
      <w:lvlJc w:val="left"/>
      <w:pPr>
        <w:ind w:left="720" w:hanging="360"/>
      </w:pPr>
      <w:rPr>
        <w:rFonts w:ascii="Symbol" w:hAnsi="Symbol" w:hint="default"/>
      </w:rPr>
    </w:lvl>
    <w:lvl w:ilvl="1" w:tplc="ED28B6BC">
      <w:start w:val="1"/>
      <w:numFmt w:val="bullet"/>
      <w:lvlText w:val="o"/>
      <w:lvlJc w:val="left"/>
      <w:pPr>
        <w:ind w:left="1440" w:hanging="360"/>
      </w:pPr>
      <w:rPr>
        <w:rFonts w:ascii="Courier New" w:hAnsi="Courier New" w:hint="default"/>
      </w:rPr>
    </w:lvl>
    <w:lvl w:ilvl="2" w:tplc="ED882ABA">
      <w:start w:val="1"/>
      <w:numFmt w:val="bullet"/>
      <w:lvlText w:val=""/>
      <w:lvlJc w:val="left"/>
      <w:pPr>
        <w:ind w:left="2160" w:hanging="360"/>
      </w:pPr>
      <w:rPr>
        <w:rFonts w:ascii="Wingdings" w:hAnsi="Wingdings" w:hint="default"/>
      </w:rPr>
    </w:lvl>
    <w:lvl w:ilvl="3" w:tplc="65DAEE34">
      <w:start w:val="1"/>
      <w:numFmt w:val="bullet"/>
      <w:lvlText w:val=""/>
      <w:lvlJc w:val="left"/>
      <w:pPr>
        <w:ind w:left="2880" w:hanging="360"/>
      </w:pPr>
      <w:rPr>
        <w:rFonts w:ascii="Symbol" w:hAnsi="Symbol" w:hint="default"/>
      </w:rPr>
    </w:lvl>
    <w:lvl w:ilvl="4" w:tplc="DF9C21FA">
      <w:start w:val="1"/>
      <w:numFmt w:val="bullet"/>
      <w:lvlText w:val="o"/>
      <w:lvlJc w:val="left"/>
      <w:pPr>
        <w:ind w:left="3600" w:hanging="360"/>
      </w:pPr>
      <w:rPr>
        <w:rFonts w:ascii="Courier New" w:hAnsi="Courier New" w:hint="default"/>
      </w:rPr>
    </w:lvl>
    <w:lvl w:ilvl="5" w:tplc="F6500F28">
      <w:start w:val="1"/>
      <w:numFmt w:val="bullet"/>
      <w:lvlText w:val=""/>
      <w:lvlJc w:val="left"/>
      <w:pPr>
        <w:ind w:left="4320" w:hanging="360"/>
      </w:pPr>
      <w:rPr>
        <w:rFonts w:ascii="Wingdings" w:hAnsi="Wingdings" w:hint="default"/>
      </w:rPr>
    </w:lvl>
    <w:lvl w:ilvl="6" w:tplc="BA887154">
      <w:start w:val="1"/>
      <w:numFmt w:val="bullet"/>
      <w:lvlText w:val=""/>
      <w:lvlJc w:val="left"/>
      <w:pPr>
        <w:ind w:left="5040" w:hanging="360"/>
      </w:pPr>
      <w:rPr>
        <w:rFonts w:ascii="Symbol" w:hAnsi="Symbol" w:hint="default"/>
      </w:rPr>
    </w:lvl>
    <w:lvl w:ilvl="7" w:tplc="181A0DA4">
      <w:start w:val="1"/>
      <w:numFmt w:val="bullet"/>
      <w:lvlText w:val="o"/>
      <w:lvlJc w:val="left"/>
      <w:pPr>
        <w:ind w:left="5760" w:hanging="360"/>
      </w:pPr>
      <w:rPr>
        <w:rFonts w:ascii="Courier New" w:hAnsi="Courier New" w:hint="default"/>
      </w:rPr>
    </w:lvl>
    <w:lvl w:ilvl="8" w:tplc="AC84F09C">
      <w:start w:val="1"/>
      <w:numFmt w:val="bullet"/>
      <w:lvlText w:val=""/>
      <w:lvlJc w:val="left"/>
      <w:pPr>
        <w:ind w:left="6480" w:hanging="360"/>
      </w:pPr>
      <w:rPr>
        <w:rFonts w:ascii="Wingdings" w:hAnsi="Wingdings" w:hint="default"/>
      </w:rPr>
    </w:lvl>
  </w:abstractNum>
  <w:abstractNum w:abstractNumId="109" w15:restartNumberingAfterBreak="0">
    <w:nsid w:val="65153367"/>
    <w:multiLevelType w:val="hybridMultilevel"/>
    <w:tmpl w:val="D7F0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234255"/>
    <w:multiLevelType w:val="hybridMultilevel"/>
    <w:tmpl w:val="9C38775C"/>
    <w:lvl w:ilvl="0" w:tplc="CEB8FA6E">
      <w:start w:val="1"/>
      <w:numFmt w:val="bullet"/>
      <w:lvlText w:val=""/>
      <w:lvlJc w:val="left"/>
      <w:pPr>
        <w:ind w:left="720" w:hanging="360"/>
      </w:pPr>
      <w:rPr>
        <w:rFonts w:ascii="Symbol" w:hAnsi="Symbol" w:hint="default"/>
      </w:rPr>
    </w:lvl>
    <w:lvl w:ilvl="1" w:tplc="D7E29AE0">
      <w:start w:val="1"/>
      <w:numFmt w:val="bullet"/>
      <w:lvlText w:val="o"/>
      <w:lvlJc w:val="left"/>
      <w:pPr>
        <w:ind w:left="1440" w:hanging="360"/>
      </w:pPr>
      <w:rPr>
        <w:rFonts w:ascii="Courier New" w:hAnsi="Courier New" w:hint="default"/>
      </w:rPr>
    </w:lvl>
    <w:lvl w:ilvl="2" w:tplc="07D24774">
      <w:start w:val="1"/>
      <w:numFmt w:val="bullet"/>
      <w:lvlText w:val=""/>
      <w:lvlJc w:val="left"/>
      <w:pPr>
        <w:ind w:left="2160" w:hanging="360"/>
      </w:pPr>
      <w:rPr>
        <w:rFonts w:ascii="Wingdings" w:hAnsi="Wingdings" w:hint="default"/>
      </w:rPr>
    </w:lvl>
    <w:lvl w:ilvl="3" w:tplc="8AC8A1D4">
      <w:start w:val="1"/>
      <w:numFmt w:val="bullet"/>
      <w:lvlText w:val=""/>
      <w:lvlJc w:val="left"/>
      <w:pPr>
        <w:ind w:left="2880" w:hanging="360"/>
      </w:pPr>
      <w:rPr>
        <w:rFonts w:ascii="Symbol" w:hAnsi="Symbol" w:hint="default"/>
      </w:rPr>
    </w:lvl>
    <w:lvl w:ilvl="4" w:tplc="B3B4A91A">
      <w:start w:val="1"/>
      <w:numFmt w:val="bullet"/>
      <w:lvlText w:val="o"/>
      <w:lvlJc w:val="left"/>
      <w:pPr>
        <w:ind w:left="3600" w:hanging="360"/>
      </w:pPr>
      <w:rPr>
        <w:rFonts w:ascii="Courier New" w:hAnsi="Courier New" w:hint="default"/>
      </w:rPr>
    </w:lvl>
    <w:lvl w:ilvl="5" w:tplc="C328761E">
      <w:start w:val="1"/>
      <w:numFmt w:val="bullet"/>
      <w:lvlText w:val=""/>
      <w:lvlJc w:val="left"/>
      <w:pPr>
        <w:ind w:left="4320" w:hanging="360"/>
      </w:pPr>
      <w:rPr>
        <w:rFonts w:ascii="Wingdings" w:hAnsi="Wingdings" w:hint="default"/>
      </w:rPr>
    </w:lvl>
    <w:lvl w:ilvl="6" w:tplc="E9C857AA">
      <w:start w:val="1"/>
      <w:numFmt w:val="bullet"/>
      <w:lvlText w:val=""/>
      <w:lvlJc w:val="left"/>
      <w:pPr>
        <w:ind w:left="5040" w:hanging="360"/>
      </w:pPr>
      <w:rPr>
        <w:rFonts w:ascii="Symbol" w:hAnsi="Symbol" w:hint="default"/>
      </w:rPr>
    </w:lvl>
    <w:lvl w:ilvl="7" w:tplc="876EF086">
      <w:start w:val="1"/>
      <w:numFmt w:val="bullet"/>
      <w:lvlText w:val="o"/>
      <w:lvlJc w:val="left"/>
      <w:pPr>
        <w:ind w:left="5760" w:hanging="360"/>
      </w:pPr>
      <w:rPr>
        <w:rFonts w:ascii="Courier New" w:hAnsi="Courier New" w:hint="default"/>
      </w:rPr>
    </w:lvl>
    <w:lvl w:ilvl="8" w:tplc="05E6C99E">
      <w:start w:val="1"/>
      <w:numFmt w:val="bullet"/>
      <w:lvlText w:val=""/>
      <w:lvlJc w:val="left"/>
      <w:pPr>
        <w:ind w:left="6480" w:hanging="360"/>
      </w:pPr>
      <w:rPr>
        <w:rFonts w:ascii="Wingdings" w:hAnsi="Wingdings" w:hint="default"/>
      </w:rPr>
    </w:lvl>
  </w:abstractNum>
  <w:abstractNum w:abstractNumId="111" w15:restartNumberingAfterBreak="0">
    <w:nsid w:val="660E6C9B"/>
    <w:multiLevelType w:val="hybridMultilevel"/>
    <w:tmpl w:val="89A03A68"/>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622012E"/>
    <w:multiLevelType w:val="hybridMultilevel"/>
    <w:tmpl w:val="ECF03670"/>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63F4F6A"/>
    <w:multiLevelType w:val="hybridMultilevel"/>
    <w:tmpl w:val="A9B04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D13D8C"/>
    <w:multiLevelType w:val="hybridMultilevel"/>
    <w:tmpl w:val="B6EE6B2E"/>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72F4279"/>
    <w:multiLevelType w:val="hybridMultilevel"/>
    <w:tmpl w:val="D3D65460"/>
    <w:lvl w:ilvl="0" w:tplc="11403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68A83A4C"/>
    <w:multiLevelType w:val="hybridMultilevel"/>
    <w:tmpl w:val="294E0276"/>
    <w:lvl w:ilvl="0" w:tplc="11403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92611C"/>
    <w:multiLevelType w:val="hybridMultilevel"/>
    <w:tmpl w:val="2A16DAF2"/>
    <w:lvl w:ilvl="0" w:tplc="04150011">
      <w:start w:val="1"/>
      <w:numFmt w:val="decimal"/>
      <w:lvlText w:val="%1)"/>
      <w:lvlJc w:val="left"/>
      <w:pPr>
        <w:ind w:left="720" w:hanging="360"/>
      </w:pPr>
    </w:lvl>
    <w:lvl w:ilvl="1" w:tplc="19E26AC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1A478D"/>
    <w:multiLevelType w:val="hybridMultilevel"/>
    <w:tmpl w:val="4C6E6708"/>
    <w:lvl w:ilvl="0" w:tplc="356A79A8">
      <w:start w:val="1"/>
      <w:numFmt w:val="bullet"/>
      <w:lvlText w:val=""/>
      <w:lvlJc w:val="left"/>
      <w:pPr>
        <w:ind w:left="720" w:hanging="360"/>
      </w:pPr>
      <w:rPr>
        <w:rFonts w:ascii="Symbol" w:hAnsi="Symbol" w:hint="default"/>
      </w:rPr>
    </w:lvl>
    <w:lvl w:ilvl="1" w:tplc="CEB8FA6E">
      <w:start w:val="1"/>
      <w:numFmt w:val="bullet"/>
      <w:lvlText w:val=""/>
      <w:lvlJc w:val="left"/>
      <w:pPr>
        <w:ind w:left="1440" w:hanging="360"/>
      </w:pPr>
      <w:rPr>
        <w:rFonts w:ascii="Symbol" w:hAnsi="Symbol" w:hint="default"/>
      </w:rPr>
    </w:lvl>
    <w:lvl w:ilvl="2" w:tplc="222A0812">
      <w:start w:val="1"/>
      <w:numFmt w:val="bullet"/>
      <w:lvlText w:val=""/>
      <w:lvlJc w:val="left"/>
      <w:pPr>
        <w:ind w:left="2160" w:hanging="360"/>
      </w:pPr>
      <w:rPr>
        <w:rFonts w:ascii="Wingdings" w:hAnsi="Wingdings" w:hint="default"/>
      </w:rPr>
    </w:lvl>
    <w:lvl w:ilvl="3" w:tplc="EFD8C0EA">
      <w:start w:val="1"/>
      <w:numFmt w:val="bullet"/>
      <w:lvlText w:val=""/>
      <w:lvlJc w:val="left"/>
      <w:pPr>
        <w:ind w:left="2880" w:hanging="360"/>
      </w:pPr>
      <w:rPr>
        <w:rFonts w:ascii="Symbol" w:hAnsi="Symbol" w:hint="default"/>
      </w:rPr>
    </w:lvl>
    <w:lvl w:ilvl="4" w:tplc="654A4202">
      <w:start w:val="1"/>
      <w:numFmt w:val="bullet"/>
      <w:lvlText w:val="o"/>
      <w:lvlJc w:val="left"/>
      <w:pPr>
        <w:ind w:left="3600" w:hanging="360"/>
      </w:pPr>
      <w:rPr>
        <w:rFonts w:ascii="Courier New" w:hAnsi="Courier New" w:hint="default"/>
      </w:rPr>
    </w:lvl>
    <w:lvl w:ilvl="5" w:tplc="D9947EB0">
      <w:start w:val="1"/>
      <w:numFmt w:val="bullet"/>
      <w:lvlText w:val=""/>
      <w:lvlJc w:val="left"/>
      <w:pPr>
        <w:ind w:left="4320" w:hanging="360"/>
      </w:pPr>
      <w:rPr>
        <w:rFonts w:ascii="Wingdings" w:hAnsi="Wingdings" w:hint="default"/>
      </w:rPr>
    </w:lvl>
    <w:lvl w:ilvl="6" w:tplc="978C7996">
      <w:start w:val="1"/>
      <w:numFmt w:val="bullet"/>
      <w:lvlText w:val=""/>
      <w:lvlJc w:val="left"/>
      <w:pPr>
        <w:ind w:left="5040" w:hanging="360"/>
      </w:pPr>
      <w:rPr>
        <w:rFonts w:ascii="Symbol" w:hAnsi="Symbol" w:hint="default"/>
      </w:rPr>
    </w:lvl>
    <w:lvl w:ilvl="7" w:tplc="DE643BB0">
      <w:start w:val="1"/>
      <w:numFmt w:val="bullet"/>
      <w:lvlText w:val="o"/>
      <w:lvlJc w:val="left"/>
      <w:pPr>
        <w:ind w:left="5760" w:hanging="360"/>
      </w:pPr>
      <w:rPr>
        <w:rFonts w:ascii="Courier New" w:hAnsi="Courier New" w:hint="default"/>
      </w:rPr>
    </w:lvl>
    <w:lvl w:ilvl="8" w:tplc="36721800">
      <w:start w:val="1"/>
      <w:numFmt w:val="bullet"/>
      <w:lvlText w:val=""/>
      <w:lvlJc w:val="left"/>
      <w:pPr>
        <w:ind w:left="6480" w:hanging="360"/>
      </w:pPr>
      <w:rPr>
        <w:rFonts w:ascii="Wingdings" w:hAnsi="Wingdings" w:hint="default"/>
      </w:rPr>
    </w:lvl>
  </w:abstractNum>
  <w:abstractNum w:abstractNumId="119" w15:restartNumberingAfterBreak="0">
    <w:nsid w:val="6B267025"/>
    <w:multiLevelType w:val="hybridMultilevel"/>
    <w:tmpl w:val="223017F4"/>
    <w:lvl w:ilvl="0" w:tplc="5E265C22">
      <w:start w:val="1"/>
      <w:numFmt w:val="bullet"/>
      <w:lvlText w:val=""/>
      <w:lvlJc w:val="left"/>
      <w:pPr>
        <w:ind w:left="720" w:hanging="360"/>
      </w:pPr>
      <w:rPr>
        <w:rFonts w:ascii="Symbol" w:hAnsi="Symbol" w:hint="default"/>
      </w:rPr>
    </w:lvl>
    <w:lvl w:ilvl="1" w:tplc="0D7C8C1E">
      <w:start w:val="1"/>
      <w:numFmt w:val="bullet"/>
      <w:lvlText w:val="o"/>
      <w:lvlJc w:val="left"/>
      <w:pPr>
        <w:ind w:left="1440" w:hanging="360"/>
      </w:pPr>
      <w:rPr>
        <w:rFonts w:ascii="Courier New" w:hAnsi="Courier New" w:hint="default"/>
      </w:rPr>
    </w:lvl>
    <w:lvl w:ilvl="2" w:tplc="D85E105C">
      <w:start w:val="1"/>
      <w:numFmt w:val="bullet"/>
      <w:lvlText w:val=""/>
      <w:lvlJc w:val="left"/>
      <w:pPr>
        <w:ind w:left="2160" w:hanging="360"/>
      </w:pPr>
      <w:rPr>
        <w:rFonts w:ascii="Wingdings" w:hAnsi="Wingdings" w:hint="default"/>
      </w:rPr>
    </w:lvl>
    <w:lvl w:ilvl="3" w:tplc="20BAD396">
      <w:start w:val="1"/>
      <w:numFmt w:val="bullet"/>
      <w:lvlText w:val=""/>
      <w:lvlJc w:val="left"/>
      <w:pPr>
        <w:ind w:left="2880" w:hanging="360"/>
      </w:pPr>
      <w:rPr>
        <w:rFonts w:ascii="Symbol" w:hAnsi="Symbol" w:hint="default"/>
      </w:rPr>
    </w:lvl>
    <w:lvl w:ilvl="4" w:tplc="D996E3C2">
      <w:start w:val="1"/>
      <w:numFmt w:val="bullet"/>
      <w:lvlText w:val="o"/>
      <w:lvlJc w:val="left"/>
      <w:pPr>
        <w:ind w:left="3600" w:hanging="360"/>
      </w:pPr>
      <w:rPr>
        <w:rFonts w:ascii="Courier New" w:hAnsi="Courier New" w:hint="default"/>
      </w:rPr>
    </w:lvl>
    <w:lvl w:ilvl="5" w:tplc="1874689A">
      <w:start w:val="1"/>
      <w:numFmt w:val="bullet"/>
      <w:lvlText w:val=""/>
      <w:lvlJc w:val="left"/>
      <w:pPr>
        <w:ind w:left="4320" w:hanging="360"/>
      </w:pPr>
      <w:rPr>
        <w:rFonts w:ascii="Wingdings" w:hAnsi="Wingdings" w:hint="default"/>
      </w:rPr>
    </w:lvl>
    <w:lvl w:ilvl="6" w:tplc="69B0E076">
      <w:start w:val="1"/>
      <w:numFmt w:val="bullet"/>
      <w:lvlText w:val=""/>
      <w:lvlJc w:val="left"/>
      <w:pPr>
        <w:ind w:left="5040" w:hanging="360"/>
      </w:pPr>
      <w:rPr>
        <w:rFonts w:ascii="Symbol" w:hAnsi="Symbol" w:hint="default"/>
      </w:rPr>
    </w:lvl>
    <w:lvl w:ilvl="7" w:tplc="C5E21414">
      <w:start w:val="1"/>
      <w:numFmt w:val="bullet"/>
      <w:lvlText w:val="o"/>
      <w:lvlJc w:val="left"/>
      <w:pPr>
        <w:ind w:left="5760" w:hanging="360"/>
      </w:pPr>
      <w:rPr>
        <w:rFonts w:ascii="Courier New" w:hAnsi="Courier New" w:hint="default"/>
      </w:rPr>
    </w:lvl>
    <w:lvl w:ilvl="8" w:tplc="93D49734">
      <w:start w:val="1"/>
      <w:numFmt w:val="bullet"/>
      <w:lvlText w:val=""/>
      <w:lvlJc w:val="left"/>
      <w:pPr>
        <w:ind w:left="6480" w:hanging="360"/>
      </w:pPr>
      <w:rPr>
        <w:rFonts w:ascii="Wingdings" w:hAnsi="Wingdings" w:hint="default"/>
      </w:rPr>
    </w:lvl>
  </w:abstractNum>
  <w:abstractNum w:abstractNumId="120" w15:restartNumberingAfterBreak="0">
    <w:nsid w:val="6B7F443C"/>
    <w:multiLevelType w:val="hybridMultilevel"/>
    <w:tmpl w:val="E1143F60"/>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D7977C3"/>
    <w:multiLevelType w:val="hybridMultilevel"/>
    <w:tmpl w:val="A9C6819E"/>
    <w:lvl w:ilvl="0" w:tplc="CEB8FA6E">
      <w:start w:val="1"/>
      <w:numFmt w:val="bullet"/>
      <w:lvlText w:val=""/>
      <w:lvlJc w:val="left"/>
      <w:pPr>
        <w:ind w:left="644" w:hanging="360"/>
      </w:pPr>
      <w:rPr>
        <w:rFonts w:ascii="Symbol" w:hAnsi="Symbol" w:hint="default"/>
      </w:rPr>
    </w:lvl>
    <w:lvl w:ilvl="1" w:tplc="BC4C6A7C">
      <w:start w:val="1"/>
      <w:numFmt w:val="decimal"/>
      <w:lvlText w:val="%2)"/>
      <w:lvlJc w:val="left"/>
      <w:pPr>
        <w:ind w:left="1514" w:hanging="51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15:restartNumberingAfterBreak="0">
    <w:nsid w:val="6D982A1D"/>
    <w:multiLevelType w:val="hybridMultilevel"/>
    <w:tmpl w:val="B91E47E2"/>
    <w:lvl w:ilvl="0" w:tplc="11403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1E2444D"/>
    <w:multiLevelType w:val="hybridMultilevel"/>
    <w:tmpl w:val="E5603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261F75"/>
    <w:multiLevelType w:val="hybridMultilevel"/>
    <w:tmpl w:val="B7C0E4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75697CC6"/>
    <w:multiLevelType w:val="hybridMultilevel"/>
    <w:tmpl w:val="112AF008"/>
    <w:lvl w:ilvl="0" w:tplc="E7DEE230">
      <w:start w:val="1"/>
      <w:numFmt w:val="lowerLetter"/>
      <w:lvlText w:val="%1."/>
      <w:lvlJc w:val="left"/>
      <w:pPr>
        <w:ind w:left="720" w:hanging="360"/>
      </w:pPr>
    </w:lvl>
    <w:lvl w:ilvl="1" w:tplc="0734D516">
      <w:start w:val="1"/>
      <w:numFmt w:val="lowerLetter"/>
      <w:lvlText w:val="%2."/>
      <w:lvlJc w:val="left"/>
      <w:pPr>
        <w:ind w:left="1440" w:hanging="360"/>
      </w:pPr>
    </w:lvl>
    <w:lvl w:ilvl="2" w:tplc="4FA4B6E4">
      <w:start w:val="1"/>
      <w:numFmt w:val="lowerRoman"/>
      <w:lvlText w:val="%3."/>
      <w:lvlJc w:val="right"/>
      <w:pPr>
        <w:ind w:left="2160" w:hanging="180"/>
      </w:pPr>
    </w:lvl>
    <w:lvl w:ilvl="3" w:tplc="C7C2F9DC">
      <w:start w:val="1"/>
      <w:numFmt w:val="decimal"/>
      <w:lvlText w:val="%4."/>
      <w:lvlJc w:val="left"/>
      <w:pPr>
        <w:ind w:left="2880" w:hanging="360"/>
      </w:pPr>
    </w:lvl>
    <w:lvl w:ilvl="4" w:tplc="3946B568">
      <w:start w:val="1"/>
      <w:numFmt w:val="lowerLetter"/>
      <w:lvlText w:val="%5."/>
      <w:lvlJc w:val="left"/>
      <w:pPr>
        <w:ind w:left="3600" w:hanging="360"/>
      </w:pPr>
    </w:lvl>
    <w:lvl w:ilvl="5" w:tplc="0CC6864A">
      <w:start w:val="1"/>
      <w:numFmt w:val="lowerRoman"/>
      <w:lvlText w:val="%6."/>
      <w:lvlJc w:val="right"/>
      <w:pPr>
        <w:ind w:left="4320" w:hanging="180"/>
      </w:pPr>
    </w:lvl>
    <w:lvl w:ilvl="6" w:tplc="4CFE1EC6">
      <w:start w:val="1"/>
      <w:numFmt w:val="decimal"/>
      <w:lvlText w:val="%7."/>
      <w:lvlJc w:val="left"/>
      <w:pPr>
        <w:ind w:left="5040" w:hanging="360"/>
      </w:pPr>
    </w:lvl>
    <w:lvl w:ilvl="7" w:tplc="09B85800">
      <w:start w:val="1"/>
      <w:numFmt w:val="lowerLetter"/>
      <w:lvlText w:val="%8."/>
      <w:lvlJc w:val="left"/>
      <w:pPr>
        <w:ind w:left="5760" w:hanging="360"/>
      </w:pPr>
    </w:lvl>
    <w:lvl w:ilvl="8" w:tplc="736673C0">
      <w:start w:val="1"/>
      <w:numFmt w:val="lowerRoman"/>
      <w:lvlText w:val="%9."/>
      <w:lvlJc w:val="right"/>
      <w:pPr>
        <w:ind w:left="6480" w:hanging="180"/>
      </w:pPr>
    </w:lvl>
  </w:abstractNum>
  <w:abstractNum w:abstractNumId="126" w15:restartNumberingAfterBreak="0">
    <w:nsid w:val="761E1C70"/>
    <w:multiLevelType w:val="hybridMultilevel"/>
    <w:tmpl w:val="9DAC7DB6"/>
    <w:lvl w:ilvl="0" w:tplc="F2C4110E">
      <w:start w:val="1"/>
      <w:numFmt w:val="lowerLetter"/>
      <w:lvlText w:val="%1)"/>
      <w:lvlJc w:val="left"/>
      <w:pPr>
        <w:ind w:left="1068" w:hanging="360"/>
      </w:pPr>
    </w:lvl>
    <w:lvl w:ilvl="1" w:tplc="04150019">
      <w:start w:val="1"/>
      <w:numFmt w:val="decimal"/>
      <w:lvlText w:val="%2."/>
      <w:lvlJc w:val="left"/>
      <w:pPr>
        <w:tabs>
          <w:tab w:val="num" w:pos="-2460"/>
        </w:tabs>
        <w:ind w:left="-2460" w:hanging="360"/>
      </w:pPr>
    </w:lvl>
    <w:lvl w:ilvl="2" w:tplc="0415001B">
      <w:start w:val="1"/>
      <w:numFmt w:val="decimal"/>
      <w:lvlText w:val="%3."/>
      <w:lvlJc w:val="left"/>
      <w:pPr>
        <w:tabs>
          <w:tab w:val="num" w:pos="-1740"/>
        </w:tabs>
        <w:ind w:left="-1740" w:hanging="360"/>
      </w:pPr>
    </w:lvl>
    <w:lvl w:ilvl="3" w:tplc="0415000F">
      <w:start w:val="1"/>
      <w:numFmt w:val="decimal"/>
      <w:lvlText w:val="%4."/>
      <w:lvlJc w:val="left"/>
      <w:pPr>
        <w:tabs>
          <w:tab w:val="num" w:pos="-1020"/>
        </w:tabs>
        <w:ind w:left="-1020" w:hanging="360"/>
      </w:pPr>
    </w:lvl>
    <w:lvl w:ilvl="4" w:tplc="04150019">
      <w:start w:val="1"/>
      <w:numFmt w:val="decimal"/>
      <w:lvlText w:val="%5."/>
      <w:lvlJc w:val="left"/>
      <w:pPr>
        <w:tabs>
          <w:tab w:val="num" w:pos="-300"/>
        </w:tabs>
        <w:ind w:left="-300" w:hanging="360"/>
      </w:pPr>
    </w:lvl>
    <w:lvl w:ilvl="5" w:tplc="0415001B">
      <w:start w:val="1"/>
      <w:numFmt w:val="decimal"/>
      <w:lvlText w:val="%6."/>
      <w:lvlJc w:val="left"/>
      <w:pPr>
        <w:tabs>
          <w:tab w:val="num" w:pos="420"/>
        </w:tabs>
        <w:ind w:left="420" w:hanging="360"/>
      </w:pPr>
    </w:lvl>
    <w:lvl w:ilvl="6" w:tplc="0415000F">
      <w:start w:val="1"/>
      <w:numFmt w:val="decimal"/>
      <w:lvlText w:val="%7."/>
      <w:lvlJc w:val="left"/>
      <w:pPr>
        <w:tabs>
          <w:tab w:val="num" w:pos="1140"/>
        </w:tabs>
        <w:ind w:left="1140" w:hanging="360"/>
      </w:pPr>
    </w:lvl>
    <w:lvl w:ilvl="7" w:tplc="04150019">
      <w:start w:val="1"/>
      <w:numFmt w:val="decimal"/>
      <w:lvlText w:val="%8."/>
      <w:lvlJc w:val="left"/>
      <w:pPr>
        <w:tabs>
          <w:tab w:val="num" w:pos="1860"/>
        </w:tabs>
        <w:ind w:left="1860" w:hanging="360"/>
      </w:pPr>
    </w:lvl>
    <w:lvl w:ilvl="8" w:tplc="0415001B">
      <w:start w:val="1"/>
      <w:numFmt w:val="decimal"/>
      <w:lvlText w:val="%9."/>
      <w:lvlJc w:val="left"/>
      <w:pPr>
        <w:tabs>
          <w:tab w:val="num" w:pos="2580"/>
        </w:tabs>
        <w:ind w:left="2580" w:hanging="360"/>
      </w:pPr>
    </w:lvl>
  </w:abstractNum>
  <w:abstractNum w:abstractNumId="127" w15:restartNumberingAfterBreak="0">
    <w:nsid w:val="77B07E94"/>
    <w:multiLevelType w:val="hybridMultilevel"/>
    <w:tmpl w:val="A00086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D61DC0"/>
    <w:multiLevelType w:val="hybridMultilevel"/>
    <w:tmpl w:val="E6C6BD66"/>
    <w:lvl w:ilvl="0" w:tplc="63FC32B2">
      <w:start w:val="1"/>
      <w:numFmt w:val="decimal"/>
      <w:lvlText w:val="%1."/>
      <w:lvlJc w:val="left"/>
      <w:pPr>
        <w:ind w:left="720" w:hanging="360"/>
      </w:pPr>
    </w:lvl>
    <w:lvl w:ilvl="1" w:tplc="2FAA0702">
      <w:start w:val="1"/>
      <w:numFmt w:val="lowerLetter"/>
      <w:lvlText w:val="%2."/>
      <w:lvlJc w:val="left"/>
      <w:pPr>
        <w:ind w:left="1440" w:hanging="360"/>
      </w:pPr>
    </w:lvl>
    <w:lvl w:ilvl="2" w:tplc="4BDEF222">
      <w:start w:val="1"/>
      <w:numFmt w:val="lowerRoman"/>
      <w:lvlText w:val="%3."/>
      <w:lvlJc w:val="right"/>
      <w:pPr>
        <w:ind w:left="2160" w:hanging="180"/>
      </w:pPr>
    </w:lvl>
    <w:lvl w:ilvl="3" w:tplc="BC104944">
      <w:start w:val="1"/>
      <w:numFmt w:val="decimal"/>
      <w:lvlText w:val="%4."/>
      <w:lvlJc w:val="left"/>
      <w:pPr>
        <w:ind w:left="2880" w:hanging="360"/>
      </w:pPr>
    </w:lvl>
    <w:lvl w:ilvl="4" w:tplc="16761E78">
      <w:start w:val="1"/>
      <w:numFmt w:val="lowerLetter"/>
      <w:lvlText w:val="%5."/>
      <w:lvlJc w:val="left"/>
      <w:pPr>
        <w:ind w:left="3600" w:hanging="360"/>
      </w:pPr>
    </w:lvl>
    <w:lvl w:ilvl="5" w:tplc="4E8A6FD6">
      <w:start w:val="1"/>
      <w:numFmt w:val="lowerRoman"/>
      <w:lvlText w:val="%6."/>
      <w:lvlJc w:val="right"/>
      <w:pPr>
        <w:ind w:left="4320" w:hanging="180"/>
      </w:pPr>
    </w:lvl>
    <w:lvl w:ilvl="6" w:tplc="EB00E242">
      <w:start w:val="1"/>
      <w:numFmt w:val="decimal"/>
      <w:lvlText w:val="%7."/>
      <w:lvlJc w:val="left"/>
      <w:pPr>
        <w:ind w:left="5040" w:hanging="360"/>
      </w:pPr>
    </w:lvl>
    <w:lvl w:ilvl="7" w:tplc="83E0A29E">
      <w:start w:val="1"/>
      <w:numFmt w:val="lowerLetter"/>
      <w:lvlText w:val="%8."/>
      <w:lvlJc w:val="left"/>
      <w:pPr>
        <w:ind w:left="5760" w:hanging="360"/>
      </w:pPr>
    </w:lvl>
    <w:lvl w:ilvl="8" w:tplc="1E7A7B72">
      <w:start w:val="1"/>
      <w:numFmt w:val="lowerRoman"/>
      <w:lvlText w:val="%9."/>
      <w:lvlJc w:val="right"/>
      <w:pPr>
        <w:ind w:left="6480" w:hanging="180"/>
      </w:pPr>
    </w:lvl>
  </w:abstractNum>
  <w:abstractNum w:abstractNumId="129" w15:restartNumberingAfterBreak="0">
    <w:nsid w:val="785F35F0"/>
    <w:multiLevelType w:val="hybridMultilevel"/>
    <w:tmpl w:val="0C2C7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6D4F28"/>
    <w:multiLevelType w:val="hybridMultilevel"/>
    <w:tmpl w:val="09184422"/>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7E50D9"/>
    <w:multiLevelType w:val="hybridMultilevel"/>
    <w:tmpl w:val="A392A9B8"/>
    <w:lvl w:ilvl="0" w:tplc="58ECC5C8">
      <w:start w:val="1"/>
      <w:numFmt w:val="bullet"/>
      <w:lvlText w:val=""/>
      <w:lvlJc w:val="left"/>
      <w:pPr>
        <w:ind w:left="1068" w:hanging="360"/>
      </w:pPr>
      <w:rPr>
        <w:rFonts w:ascii="Symbol" w:hAnsi="Symbol" w:hint="default"/>
      </w:rPr>
    </w:lvl>
    <w:lvl w:ilvl="1" w:tplc="25E8A396">
      <w:start w:val="1"/>
      <w:numFmt w:val="bullet"/>
      <w:lvlText w:val="o"/>
      <w:lvlJc w:val="left"/>
      <w:pPr>
        <w:ind w:left="1788" w:hanging="360"/>
      </w:pPr>
      <w:rPr>
        <w:rFonts w:ascii="Courier New" w:hAnsi="Courier New" w:hint="default"/>
      </w:rPr>
    </w:lvl>
    <w:lvl w:ilvl="2" w:tplc="44666068">
      <w:start w:val="1"/>
      <w:numFmt w:val="bullet"/>
      <w:lvlText w:val=""/>
      <w:lvlJc w:val="left"/>
      <w:pPr>
        <w:ind w:left="2508" w:hanging="360"/>
      </w:pPr>
      <w:rPr>
        <w:rFonts w:ascii="Wingdings" w:hAnsi="Wingdings" w:hint="default"/>
      </w:rPr>
    </w:lvl>
    <w:lvl w:ilvl="3" w:tplc="D1F8B9D4">
      <w:start w:val="1"/>
      <w:numFmt w:val="bullet"/>
      <w:lvlText w:val=""/>
      <w:lvlJc w:val="left"/>
      <w:pPr>
        <w:ind w:left="3228" w:hanging="360"/>
      </w:pPr>
      <w:rPr>
        <w:rFonts w:ascii="Symbol" w:hAnsi="Symbol" w:hint="default"/>
      </w:rPr>
    </w:lvl>
    <w:lvl w:ilvl="4" w:tplc="B1E89C04">
      <w:start w:val="1"/>
      <w:numFmt w:val="bullet"/>
      <w:lvlText w:val="o"/>
      <w:lvlJc w:val="left"/>
      <w:pPr>
        <w:ind w:left="3948" w:hanging="360"/>
      </w:pPr>
      <w:rPr>
        <w:rFonts w:ascii="Courier New" w:hAnsi="Courier New" w:hint="default"/>
      </w:rPr>
    </w:lvl>
    <w:lvl w:ilvl="5" w:tplc="DB5A84F6">
      <w:start w:val="1"/>
      <w:numFmt w:val="bullet"/>
      <w:lvlText w:val=""/>
      <w:lvlJc w:val="left"/>
      <w:pPr>
        <w:ind w:left="4668" w:hanging="360"/>
      </w:pPr>
      <w:rPr>
        <w:rFonts w:ascii="Wingdings" w:hAnsi="Wingdings" w:hint="default"/>
      </w:rPr>
    </w:lvl>
    <w:lvl w:ilvl="6" w:tplc="6352C6A8">
      <w:start w:val="1"/>
      <w:numFmt w:val="bullet"/>
      <w:lvlText w:val=""/>
      <w:lvlJc w:val="left"/>
      <w:pPr>
        <w:ind w:left="5388" w:hanging="360"/>
      </w:pPr>
      <w:rPr>
        <w:rFonts w:ascii="Symbol" w:hAnsi="Symbol" w:hint="default"/>
      </w:rPr>
    </w:lvl>
    <w:lvl w:ilvl="7" w:tplc="B434DF80">
      <w:start w:val="1"/>
      <w:numFmt w:val="bullet"/>
      <w:lvlText w:val="o"/>
      <w:lvlJc w:val="left"/>
      <w:pPr>
        <w:ind w:left="6108" w:hanging="360"/>
      </w:pPr>
      <w:rPr>
        <w:rFonts w:ascii="Courier New" w:hAnsi="Courier New" w:hint="default"/>
      </w:rPr>
    </w:lvl>
    <w:lvl w:ilvl="8" w:tplc="C84819D4">
      <w:start w:val="1"/>
      <w:numFmt w:val="bullet"/>
      <w:lvlText w:val=""/>
      <w:lvlJc w:val="left"/>
      <w:pPr>
        <w:ind w:left="6828" w:hanging="360"/>
      </w:pPr>
      <w:rPr>
        <w:rFonts w:ascii="Wingdings" w:hAnsi="Wingdings" w:hint="default"/>
      </w:rPr>
    </w:lvl>
  </w:abstractNum>
  <w:abstractNum w:abstractNumId="132" w15:restartNumberingAfterBreak="0">
    <w:nsid w:val="78CF7DB8"/>
    <w:multiLevelType w:val="hybridMultilevel"/>
    <w:tmpl w:val="1B84F7CA"/>
    <w:lvl w:ilvl="0" w:tplc="CEB8FA6E">
      <w:start w:val="1"/>
      <w:numFmt w:val="bullet"/>
      <w:lvlText w:val=""/>
      <w:lvlJc w:val="left"/>
      <w:pPr>
        <w:ind w:left="644" w:hanging="360"/>
      </w:pPr>
      <w:rPr>
        <w:rFonts w:ascii="Symbol" w:hAnsi="Symbol" w:hint="default"/>
      </w:rPr>
    </w:lvl>
    <w:lvl w:ilvl="1" w:tplc="CEB8FA6E">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3" w15:restartNumberingAfterBreak="0">
    <w:nsid w:val="7900422E"/>
    <w:multiLevelType w:val="hybridMultilevel"/>
    <w:tmpl w:val="2EA84FA0"/>
    <w:lvl w:ilvl="0" w:tplc="CEB8FA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7A333AEF"/>
    <w:multiLevelType w:val="hybridMultilevel"/>
    <w:tmpl w:val="3FDAFB6E"/>
    <w:lvl w:ilvl="0" w:tplc="50542BF6">
      <w:start w:val="1"/>
      <w:numFmt w:val="bullet"/>
      <w:lvlText w:val=""/>
      <w:lvlJc w:val="left"/>
      <w:pPr>
        <w:ind w:left="720" w:hanging="360"/>
      </w:pPr>
      <w:rPr>
        <w:rFonts w:ascii="Symbol" w:hAnsi="Symbol" w:hint="default"/>
        <w:u w:color="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A514192"/>
    <w:multiLevelType w:val="hybridMultilevel"/>
    <w:tmpl w:val="5AC6E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B90B0A"/>
    <w:multiLevelType w:val="hybridMultilevel"/>
    <w:tmpl w:val="5A468CCC"/>
    <w:lvl w:ilvl="0" w:tplc="11403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E8349AD"/>
    <w:multiLevelType w:val="hybridMultilevel"/>
    <w:tmpl w:val="59B03400"/>
    <w:lvl w:ilvl="0" w:tplc="50542BF6">
      <w:start w:val="1"/>
      <w:numFmt w:val="bullet"/>
      <w:lvlText w:val=""/>
      <w:lvlJc w:val="left"/>
      <w:pPr>
        <w:ind w:left="720" w:hanging="360"/>
      </w:pPr>
      <w:rPr>
        <w:rFonts w:ascii="Symbol" w:hAnsi="Symbol" w:hint="default"/>
        <w:u w:color="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E9C0BC5"/>
    <w:multiLevelType w:val="hybridMultilevel"/>
    <w:tmpl w:val="71ECF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8"/>
  </w:num>
  <w:num w:numId="2">
    <w:abstractNumId w:val="29"/>
  </w:num>
  <w:num w:numId="3">
    <w:abstractNumId w:val="101"/>
  </w:num>
  <w:num w:numId="4">
    <w:abstractNumId w:val="54"/>
  </w:num>
  <w:num w:numId="5">
    <w:abstractNumId w:val="4"/>
  </w:num>
  <w:num w:numId="6">
    <w:abstractNumId w:val="73"/>
  </w:num>
  <w:num w:numId="7">
    <w:abstractNumId w:val="34"/>
  </w:num>
  <w:num w:numId="8">
    <w:abstractNumId w:val="102"/>
  </w:num>
  <w:num w:numId="9">
    <w:abstractNumId w:val="80"/>
  </w:num>
  <w:num w:numId="10">
    <w:abstractNumId w:val="7"/>
  </w:num>
  <w:num w:numId="11">
    <w:abstractNumId w:val="11"/>
  </w:num>
  <w:num w:numId="12">
    <w:abstractNumId w:val="62"/>
  </w:num>
  <w:num w:numId="13">
    <w:abstractNumId w:val="72"/>
  </w:num>
  <w:num w:numId="14">
    <w:abstractNumId w:val="63"/>
  </w:num>
  <w:num w:numId="15">
    <w:abstractNumId w:val="97"/>
  </w:num>
  <w:num w:numId="16">
    <w:abstractNumId w:val="42"/>
  </w:num>
  <w:num w:numId="17">
    <w:abstractNumId w:val="58"/>
  </w:num>
  <w:num w:numId="18">
    <w:abstractNumId w:val="87"/>
  </w:num>
  <w:num w:numId="19">
    <w:abstractNumId w:val="52"/>
  </w:num>
  <w:num w:numId="20">
    <w:abstractNumId w:val="96"/>
  </w:num>
  <w:num w:numId="21">
    <w:abstractNumId w:val="94"/>
  </w:num>
  <w:num w:numId="22">
    <w:abstractNumId w:val="21"/>
  </w:num>
  <w:num w:numId="23">
    <w:abstractNumId w:val="53"/>
  </w:num>
  <w:num w:numId="24">
    <w:abstractNumId w:val="98"/>
  </w:num>
  <w:num w:numId="25">
    <w:abstractNumId w:val="92"/>
  </w:num>
  <w:num w:numId="26">
    <w:abstractNumId w:val="125"/>
  </w:num>
  <w:num w:numId="27">
    <w:abstractNumId w:val="8"/>
  </w:num>
  <w:num w:numId="28">
    <w:abstractNumId w:val="33"/>
  </w:num>
  <w:num w:numId="2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0"/>
  </w:num>
  <w:num w:numId="33">
    <w:abstractNumId w:val="28"/>
  </w:num>
  <w:num w:numId="34">
    <w:abstractNumId w:val="64"/>
  </w:num>
  <w:num w:numId="35">
    <w:abstractNumId w:val="137"/>
  </w:num>
  <w:num w:numId="36">
    <w:abstractNumId w:val="69"/>
  </w:num>
  <w:num w:numId="37">
    <w:abstractNumId w:val="74"/>
  </w:num>
  <w:num w:numId="38">
    <w:abstractNumId w:val="89"/>
  </w:num>
  <w:num w:numId="39">
    <w:abstractNumId w:val="124"/>
  </w:num>
  <w:num w:numId="40">
    <w:abstractNumId w:val="39"/>
  </w:num>
  <w:num w:numId="41">
    <w:abstractNumId w:val="27"/>
  </w:num>
  <w:num w:numId="42">
    <w:abstractNumId w:val="83"/>
  </w:num>
  <w:num w:numId="43">
    <w:abstractNumId w:val="107"/>
  </w:num>
  <w:num w:numId="44">
    <w:abstractNumId w:val="84"/>
  </w:num>
  <w:num w:numId="45">
    <w:abstractNumId w:val="57"/>
  </w:num>
  <w:num w:numId="46">
    <w:abstractNumId w:val="32"/>
  </w:num>
  <w:num w:numId="47">
    <w:abstractNumId w:val="90"/>
  </w:num>
  <w:num w:numId="48">
    <w:abstractNumId w:val="134"/>
  </w:num>
  <w:num w:numId="49">
    <w:abstractNumId w:val="49"/>
  </w:num>
  <w:num w:numId="50">
    <w:abstractNumId w:val="91"/>
  </w:num>
  <w:num w:numId="51">
    <w:abstractNumId w:val="122"/>
  </w:num>
  <w:num w:numId="52">
    <w:abstractNumId w:val="43"/>
  </w:num>
  <w:num w:numId="53">
    <w:abstractNumId w:val="38"/>
  </w:num>
  <w:num w:numId="54">
    <w:abstractNumId w:val="116"/>
  </w:num>
  <w:num w:numId="55">
    <w:abstractNumId w:val="115"/>
  </w:num>
  <w:num w:numId="56">
    <w:abstractNumId w:val="114"/>
  </w:num>
  <w:num w:numId="57">
    <w:abstractNumId w:val="35"/>
  </w:num>
  <w:num w:numId="58">
    <w:abstractNumId w:val="119"/>
  </w:num>
  <w:num w:numId="59">
    <w:abstractNumId w:val="31"/>
  </w:num>
  <w:num w:numId="60">
    <w:abstractNumId w:val="59"/>
  </w:num>
  <w:num w:numId="61">
    <w:abstractNumId w:val="81"/>
  </w:num>
  <w:num w:numId="62">
    <w:abstractNumId w:val="75"/>
  </w:num>
  <w:num w:numId="63">
    <w:abstractNumId w:val="20"/>
  </w:num>
  <w:num w:numId="64">
    <w:abstractNumId w:val="106"/>
  </w:num>
  <w:num w:numId="65">
    <w:abstractNumId w:val="51"/>
  </w:num>
  <w:num w:numId="66">
    <w:abstractNumId w:val="56"/>
  </w:num>
  <w:num w:numId="67">
    <w:abstractNumId w:val="108"/>
  </w:num>
  <w:num w:numId="68">
    <w:abstractNumId w:val="47"/>
  </w:num>
  <w:num w:numId="69">
    <w:abstractNumId w:val="130"/>
  </w:num>
  <w:num w:numId="70">
    <w:abstractNumId w:val="120"/>
  </w:num>
  <w:num w:numId="71">
    <w:abstractNumId w:val="131"/>
  </w:num>
  <w:num w:numId="72">
    <w:abstractNumId w:val="23"/>
  </w:num>
  <w:num w:numId="73">
    <w:abstractNumId w:val="60"/>
  </w:num>
  <w:num w:numId="74">
    <w:abstractNumId w:val="24"/>
  </w:num>
  <w:num w:numId="75">
    <w:abstractNumId w:val="88"/>
  </w:num>
  <w:num w:numId="76">
    <w:abstractNumId w:val="110"/>
  </w:num>
  <w:num w:numId="77">
    <w:abstractNumId w:val="6"/>
  </w:num>
  <w:num w:numId="78">
    <w:abstractNumId w:val="40"/>
  </w:num>
  <w:num w:numId="79">
    <w:abstractNumId w:val="3"/>
  </w:num>
  <w:num w:numId="80">
    <w:abstractNumId w:val="82"/>
  </w:num>
  <w:num w:numId="81">
    <w:abstractNumId w:val="105"/>
  </w:num>
  <w:num w:numId="82">
    <w:abstractNumId w:val="95"/>
  </w:num>
  <w:num w:numId="83">
    <w:abstractNumId w:val="16"/>
  </w:num>
  <w:num w:numId="84">
    <w:abstractNumId w:val="36"/>
  </w:num>
  <w:num w:numId="85">
    <w:abstractNumId w:val="136"/>
  </w:num>
  <w:num w:numId="86">
    <w:abstractNumId w:val="10"/>
  </w:num>
  <w:num w:numId="87">
    <w:abstractNumId w:val="19"/>
  </w:num>
  <w:num w:numId="88">
    <w:abstractNumId w:val="9"/>
  </w:num>
  <w:num w:numId="89">
    <w:abstractNumId w:val="77"/>
  </w:num>
  <w:num w:numId="90">
    <w:abstractNumId w:val="109"/>
  </w:num>
  <w:num w:numId="91">
    <w:abstractNumId w:val="123"/>
  </w:num>
  <w:num w:numId="92">
    <w:abstractNumId w:val="100"/>
  </w:num>
  <w:num w:numId="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num>
  <w:num w:numId="95">
    <w:abstractNumId w:val="117"/>
  </w:num>
  <w:num w:numId="96">
    <w:abstractNumId w:val="76"/>
  </w:num>
  <w:num w:numId="97">
    <w:abstractNumId w:val="50"/>
  </w:num>
  <w:num w:numId="98">
    <w:abstractNumId w:val="61"/>
  </w:num>
  <w:num w:numId="99">
    <w:abstractNumId w:val="41"/>
  </w:num>
  <w:num w:numId="100">
    <w:abstractNumId w:val="133"/>
  </w:num>
  <w:num w:numId="101">
    <w:abstractNumId w:val="112"/>
  </w:num>
  <w:num w:numId="102">
    <w:abstractNumId w:val="111"/>
  </w:num>
  <w:num w:numId="103">
    <w:abstractNumId w:val="118"/>
  </w:num>
  <w:num w:numId="104">
    <w:abstractNumId w:val="66"/>
  </w:num>
  <w:num w:numId="105">
    <w:abstractNumId w:val="93"/>
  </w:num>
  <w:num w:numId="106">
    <w:abstractNumId w:val="113"/>
  </w:num>
  <w:num w:numId="107">
    <w:abstractNumId w:val="12"/>
  </w:num>
  <w:num w:numId="108">
    <w:abstractNumId w:val="25"/>
  </w:num>
  <w:num w:numId="109">
    <w:abstractNumId w:val="121"/>
  </w:num>
  <w:num w:numId="110">
    <w:abstractNumId w:val="79"/>
  </w:num>
  <w:num w:numId="111">
    <w:abstractNumId w:val="18"/>
  </w:num>
  <w:num w:numId="112">
    <w:abstractNumId w:val="71"/>
  </w:num>
  <w:num w:numId="113">
    <w:abstractNumId w:val="99"/>
  </w:num>
  <w:num w:numId="114">
    <w:abstractNumId w:val="65"/>
  </w:num>
  <w:num w:numId="115">
    <w:abstractNumId w:val="30"/>
  </w:num>
  <w:num w:numId="116">
    <w:abstractNumId w:val="14"/>
  </w:num>
  <w:num w:numId="117">
    <w:abstractNumId w:val="13"/>
  </w:num>
  <w:num w:numId="118">
    <w:abstractNumId w:val="78"/>
  </w:num>
  <w:num w:numId="119">
    <w:abstractNumId w:val="135"/>
  </w:num>
  <w:num w:numId="120">
    <w:abstractNumId w:val="138"/>
  </w:num>
  <w:num w:numId="121">
    <w:abstractNumId w:val="70"/>
  </w:num>
  <w:num w:numId="122">
    <w:abstractNumId w:val="68"/>
  </w:num>
  <w:num w:numId="123">
    <w:abstractNumId w:val="15"/>
  </w:num>
  <w:num w:numId="124">
    <w:abstractNumId w:val="104"/>
  </w:num>
  <w:num w:numId="125">
    <w:abstractNumId w:val="44"/>
  </w:num>
  <w:num w:numId="126">
    <w:abstractNumId w:val="129"/>
  </w:num>
  <w:num w:numId="127">
    <w:abstractNumId w:val="17"/>
  </w:num>
  <w:num w:numId="128">
    <w:abstractNumId w:val="45"/>
  </w:num>
  <w:num w:numId="129">
    <w:abstractNumId w:val="132"/>
  </w:num>
  <w:num w:numId="130">
    <w:abstractNumId w:val="55"/>
  </w:num>
  <w:num w:numId="131">
    <w:abstractNumId w:val="127"/>
  </w:num>
  <w:num w:numId="132">
    <w:abstractNumId w:val="85"/>
  </w:num>
  <w:num w:numId="133">
    <w:abstractNumId w:val="5"/>
  </w:num>
  <w:num w:numId="134">
    <w:abstractNumId w:val="22"/>
  </w:num>
  <w:num w:numId="135">
    <w:abstractNumId w:val="67"/>
  </w:num>
  <w:num w:numId="136">
    <w:abstractNumId w:val="26"/>
  </w:num>
  <w:num w:numId="137">
    <w:abstractNumId w:val="48"/>
  </w:num>
  <w:num w:numId="138">
    <w:abstractNumId w:val="37"/>
  </w:num>
  <w:num w:numId="139">
    <w:abstractNumId w:val="8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6E"/>
    <w:rsid w:val="000006C5"/>
    <w:rsid w:val="000010AF"/>
    <w:rsid w:val="00001729"/>
    <w:rsid w:val="000017A1"/>
    <w:rsid w:val="00002272"/>
    <w:rsid w:val="00002CC4"/>
    <w:rsid w:val="00004021"/>
    <w:rsid w:val="00004065"/>
    <w:rsid w:val="000044EB"/>
    <w:rsid w:val="00004C4C"/>
    <w:rsid w:val="0000510C"/>
    <w:rsid w:val="00006527"/>
    <w:rsid w:val="00007460"/>
    <w:rsid w:val="0000746B"/>
    <w:rsid w:val="000079AA"/>
    <w:rsid w:val="00007A9B"/>
    <w:rsid w:val="0001050E"/>
    <w:rsid w:val="00011438"/>
    <w:rsid w:val="0001231E"/>
    <w:rsid w:val="000127CF"/>
    <w:rsid w:val="00013378"/>
    <w:rsid w:val="00013A92"/>
    <w:rsid w:val="000143B3"/>
    <w:rsid w:val="0001443D"/>
    <w:rsid w:val="00014CF9"/>
    <w:rsid w:val="00016142"/>
    <w:rsid w:val="000167A2"/>
    <w:rsid w:val="000168D9"/>
    <w:rsid w:val="00016930"/>
    <w:rsid w:val="00020C3A"/>
    <w:rsid w:val="000211DC"/>
    <w:rsid w:val="0002124E"/>
    <w:rsid w:val="00021743"/>
    <w:rsid w:val="00021E31"/>
    <w:rsid w:val="00021F24"/>
    <w:rsid w:val="000221CF"/>
    <w:rsid w:val="00023A23"/>
    <w:rsid w:val="00023E03"/>
    <w:rsid w:val="00024A2C"/>
    <w:rsid w:val="00024AC7"/>
    <w:rsid w:val="00026532"/>
    <w:rsid w:val="00027531"/>
    <w:rsid w:val="00027C14"/>
    <w:rsid w:val="000306CC"/>
    <w:rsid w:val="00031FE5"/>
    <w:rsid w:val="000329E0"/>
    <w:rsid w:val="00032F1E"/>
    <w:rsid w:val="0003381A"/>
    <w:rsid w:val="00033FD5"/>
    <w:rsid w:val="000401B5"/>
    <w:rsid w:val="00040597"/>
    <w:rsid w:val="000408A7"/>
    <w:rsid w:val="00042312"/>
    <w:rsid w:val="000439AD"/>
    <w:rsid w:val="0004478F"/>
    <w:rsid w:val="00045F29"/>
    <w:rsid w:val="0004715E"/>
    <w:rsid w:val="00051647"/>
    <w:rsid w:val="00051854"/>
    <w:rsid w:val="00051890"/>
    <w:rsid w:val="00051A99"/>
    <w:rsid w:val="00052116"/>
    <w:rsid w:val="00053236"/>
    <w:rsid w:val="0005376A"/>
    <w:rsid w:val="00053BEB"/>
    <w:rsid w:val="00054380"/>
    <w:rsid w:val="0005540B"/>
    <w:rsid w:val="00055E05"/>
    <w:rsid w:val="00056BDA"/>
    <w:rsid w:val="0005778A"/>
    <w:rsid w:val="00057EDB"/>
    <w:rsid w:val="00060834"/>
    <w:rsid w:val="0006107B"/>
    <w:rsid w:val="00061A56"/>
    <w:rsid w:val="00061EBB"/>
    <w:rsid w:val="000636A6"/>
    <w:rsid w:val="000655B8"/>
    <w:rsid w:val="00065A41"/>
    <w:rsid w:val="00066B34"/>
    <w:rsid w:val="00067E0A"/>
    <w:rsid w:val="00067FDF"/>
    <w:rsid w:val="00070773"/>
    <w:rsid w:val="00071C91"/>
    <w:rsid w:val="00073342"/>
    <w:rsid w:val="00073737"/>
    <w:rsid w:val="00074179"/>
    <w:rsid w:val="000746D3"/>
    <w:rsid w:val="00075563"/>
    <w:rsid w:val="00075FE9"/>
    <w:rsid w:val="000766DF"/>
    <w:rsid w:val="000767D9"/>
    <w:rsid w:val="000802D2"/>
    <w:rsid w:val="00080A68"/>
    <w:rsid w:val="0008121A"/>
    <w:rsid w:val="00081A7D"/>
    <w:rsid w:val="00081F63"/>
    <w:rsid w:val="000830F0"/>
    <w:rsid w:val="000847F8"/>
    <w:rsid w:val="000855C4"/>
    <w:rsid w:val="00086241"/>
    <w:rsid w:val="00086786"/>
    <w:rsid w:val="00087093"/>
    <w:rsid w:val="000874E9"/>
    <w:rsid w:val="00087ABF"/>
    <w:rsid w:val="00090620"/>
    <w:rsid w:val="00090C1D"/>
    <w:rsid w:val="00091D1D"/>
    <w:rsid w:val="00093AD3"/>
    <w:rsid w:val="00093BAA"/>
    <w:rsid w:val="000949AE"/>
    <w:rsid w:val="00095D13"/>
    <w:rsid w:val="000961A9"/>
    <w:rsid w:val="000961D3"/>
    <w:rsid w:val="00096FD6"/>
    <w:rsid w:val="0009751F"/>
    <w:rsid w:val="000975CF"/>
    <w:rsid w:val="000A15FA"/>
    <w:rsid w:val="000A1AA3"/>
    <w:rsid w:val="000A3CC6"/>
    <w:rsid w:val="000A3DC6"/>
    <w:rsid w:val="000A42D1"/>
    <w:rsid w:val="000A43EE"/>
    <w:rsid w:val="000A4E14"/>
    <w:rsid w:val="000A54D5"/>
    <w:rsid w:val="000A5770"/>
    <w:rsid w:val="000A60FD"/>
    <w:rsid w:val="000B07CF"/>
    <w:rsid w:val="000B0EE6"/>
    <w:rsid w:val="000B151E"/>
    <w:rsid w:val="000B25B9"/>
    <w:rsid w:val="000B4120"/>
    <w:rsid w:val="000B4440"/>
    <w:rsid w:val="000B477D"/>
    <w:rsid w:val="000B5313"/>
    <w:rsid w:val="000B794E"/>
    <w:rsid w:val="000B7C66"/>
    <w:rsid w:val="000BB015"/>
    <w:rsid w:val="000C0599"/>
    <w:rsid w:val="000C4611"/>
    <w:rsid w:val="000C5181"/>
    <w:rsid w:val="000C5342"/>
    <w:rsid w:val="000C5588"/>
    <w:rsid w:val="000C5BA1"/>
    <w:rsid w:val="000C69EC"/>
    <w:rsid w:val="000C76CB"/>
    <w:rsid w:val="000C7E4A"/>
    <w:rsid w:val="000D0B7C"/>
    <w:rsid w:val="000D1C9F"/>
    <w:rsid w:val="000D2F03"/>
    <w:rsid w:val="000D404D"/>
    <w:rsid w:val="000D46A7"/>
    <w:rsid w:val="000D50E3"/>
    <w:rsid w:val="000D5F36"/>
    <w:rsid w:val="000D6A8A"/>
    <w:rsid w:val="000D6D1A"/>
    <w:rsid w:val="000D71FB"/>
    <w:rsid w:val="000D7641"/>
    <w:rsid w:val="000D79A4"/>
    <w:rsid w:val="000E0446"/>
    <w:rsid w:val="000E074B"/>
    <w:rsid w:val="000E1B85"/>
    <w:rsid w:val="000E354D"/>
    <w:rsid w:val="000E4178"/>
    <w:rsid w:val="000E4B39"/>
    <w:rsid w:val="000E50AB"/>
    <w:rsid w:val="000E527A"/>
    <w:rsid w:val="000E5680"/>
    <w:rsid w:val="000E6BD7"/>
    <w:rsid w:val="000F0AB9"/>
    <w:rsid w:val="000F19ED"/>
    <w:rsid w:val="000F19F1"/>
    <w:rsid w:val="000F286A"/>
    <w:rsid w:val="000F496D"/>
    <w:rsid w:val="000F4D20"/>
    <w:rsid w:val="000F5727"/>
    <w:rsid w:val="000F656B"/>
    <w:rsid w:val="000F69DE"/>
    <w:rsid w:val="000F7C4E"/>
    <w:rsid w:val="000F7C6D"/>
    <w:rsid w:val="001003F8"/>
    <w:rsid w:val="00100972"/>
    <w:rsid w:val="0010395A"/>
    <w:rsid w:val="00103B20"/>
    <w:rsid w:val="001069B6"/>
    <w:rsid w:val="00106B7C"/>
    <w:rsid w:val="00107C7A"/>
    <w:rsid w:val="00110166"/>
    <w:rsid w:val="00110F4E"/>
    <w:rsid w:val="001123AC"/>
    <w:rsid w:val="001125B7"/>
    <w:rsid w:val="0011362E"/>
    <w:rsid w:val="001148BE"/>
    <w:rsid w:val="00115391"/>
    <w:rsid w:val="00115814"/>
    <w:rsid w:val="00115A6B"/>
    <w:rsid w:val="0011648E"/>
    <w:rsid w:val="001170E6"/>
    <w:rsid w:val="0011723C"/>
    <w:rsid w:val="0011728A"/>
    <w:rsid w:val="001173A3"/>
    <w:rsid w:val="0012184A"/>
    <w:rsid w:val="0012218B"/>
    <w:rsid w:val="00122530"/>
    <w:rsid w:val="001234C7"/>
    <w:rsid w:val="00124DEE"/>
    <w:rsid w:val="00125BAC"/>
    <w:rsid w:val="00126B5A"/>
    <w:rsid w:val="00126EC6"/>
    <w:rsid w:val="00130A35"/>
    <w:rsid w:val="00132191"/>
    <w:rsid w:val="001322F0"/>
    <w:rsid w:val="00134484"/>
    <w:rsid w:val="0013506C"/>
    <w:rsid w:val="001351E6"/>
    <w:rsid w:val="00135C0A"/>
    <w:rsid w:val="0013610D"/>
    <w:rsid w:val="00136451"/>
    <w:rsid w:val="001377FB"/>
    <w:rsid w:val="0014030D"/>
    <w:rsid w:val="001406F9"/>
    <w:rsid w:val="001410A1"/>
    <w:rsid w:val="001434F4"/>
    <w:rsid w:val="001434FD"/>
    <w:rsid w:val="0014467A"/>
    <w:rsid w:val="001449DE"/>
    <w:rsid w:val="00144A58"/>
    <w:rsid w:val="00145B7A"/>
    <w:rsid w:val="00145DC4"/>
    <w:rsid w:val="00146D50"/>
    <w:rsid w:val="00146F5E"/>
    <w:rsid w:val="001471CF"/>
    <w:rsid w:val="0014782B"/>
    <w:rsid w:val="00147A09"/>
    <w:rsid w:val="00150A1F"/>
    <w:rsid w:val="00150D02"/>
    <w:rsid w:val="00151494"/>
    <w:rsid w:val="001519F9"/>
    <w:rsid w:val="00152BFF"/>
    <w:rsid w:val="00153233"/>
    <w:rsid w:val="0015385A"/>
    <w:rsid w:val="00153C47"/>
    <w:rsid w:val="00154334"/>
    <w:rsid w:val="0015441D"/>
    <w:rsid w:val="00155E13"/>
    <w:rsid w:val="00156403"/>
    <w:rsid w:val="00157152"/>
    <w:rsid w:val="0015742B"/>
    <w:rsid w:val="001609C9"/>
    <w:rsid w:val="00160A4D"/>
    <w:rsid w:val="00160D24"/>
    <w:rsid w:val="00160D69"/>
    <w:rsid w:val="001633C4"/>
    <w:rsid w:val="00163DF5"/>
    <w:rsid w:val="00164D1B"/>
    <w:rsid w:val="001716C9"/>
    <w:rsid w:val="00172E5C"/>
    <w:rsid w:val="0017503F"/>
    <w:rsid w:val="00175C86"/>
    <w:rsid w:val="00176E3F"/>
    <w:rsid w:val="00176F72"/>
    <w:rsid w:val="00176F99"/>
    <w:rsid w:val="00177269"/>
    <w:rsid w:val="00177A02"/>
    <w:rsid w:val="00177FA0"/>
    <w:rsid w:val="00181507"/>
    <w:rsid w:val="00181E05"/>
    <w:rsid w:val="0018248A"/>
    <w:rsid w:val="00182C68"/>
    <w:rsid w:val="00182E2F"/>
    <w:rsid w:val="00182FE3"/>
    <w:rsid w:val="0018509D"/>
    <w:rsid w:val="00185D2F"/>
    <w:rsid w:val="00186BFB"/>
    <w:rsid w:val="001877B8"/>
    <w:rsid w:val="00190024"/>
    <w:rsid w:val="0019106D"/>
    <w:rsid w:val="001910F2"/>
    <w:rsid w:val="0019178E"/>
    <w:rsid w:val="00191D3A"/>
    <w:rsid w:val="00192BD2"/>
    <w:rsid w:val="001930F5"/>
    <w:rsid w:val="0019350B"/>
    <w:rsid w:val="0019361A"/>
    <w:rsid w:val="0019378B"/>
    <w:rsid w:val="00193FDD"/>
    <w:rsid w:val="00194BBE"/>
    <w:rsid w:val="00195464"/>
    <w:rsid w:val="001955D3"/>
    <w:rsid w:val="00196C8D"/>
    <w:rsid w:val="00196FF5"/>
    <w:rsid w:val="00197017"/>
    <w:rsid w:val="00197E6F"/>
    <w:rsid w:val="001A032F"/>
    <w:rsid w:val="001A03FB"/>
    <w:rsid w:val="001A0975"/>
    <w:rsid w:val="001A1482"/>
    <w:rsid w:val="001A1558"/>
    <w:rsid w:val="001A2BA0"/>
    <w:rsid w:val="001A5C29"/>
    <w:rsid w:val="001A5C9D"/>
    <w:rsid w:val="001A5F92"/>
    <w:rsid w:val="001A60CB"/>
    <w:rsid w:val="001A681B"/>
    <w:rsid w:val="001A7CDF"/>
    <w:rsid w:val="001B0448"/>
    <w:rsid w:val="001B3FA4"/>
    <w:rsid w:val="001B4237"/>
    <w:rsid w:val="001B5B0F"/>
    <w:rsid w:val="001B6732"/>
    <w:rsid w:val="001B6795"/>
    <w:rsid w:val="001B7777"/>
    <w:rsid w:val="001B7D88"/>
    <w:rsid w:val="001B82CF"/>
    <w:rsid w:val="001C051E"/>
    <w:rsid w:val="001C0591"/>
    <w:rsid w:val="001C16F8"/>
    <w:rsid w:val="001C305E"/>
    <w:rsid w:val="001C310F"/>
    <w:rsid w:val="001C42FE"/>
    <w:rsid w:val="001C51E4"/>
    <w:rsid w:val="001C568C"/>
    <w:rsid w:val="001C5A83"/>
    <w:rsid w:val="001C6AED"/>
    <w:rsid w:val="001C6FF2"/>
    <w:rsid w:val="001C737C"/>
    <w:rsid w:val="001D0ABD"/>
    <w:rsid w:val="001D0EBA"/>
    <w:rsid w:val="001D2650"/>
    <w:rsid w:val="001D2845"/>
    <w:rsid w:val="001D3052"/>
    <w:rsid w:val="001D37B9"/>
    <w:rsid w:val="001D5A22"/>
    <w:rsid w:val="001D5BFB"/>
    <w:rsid w:val="001E097C"/>
    <w:rsid w:val="001E0AF0"/>
    <w:rsid w:val="001E0F46"/>
    <w:rsid w:val="001E15EA"/>
    <w:rsid w:val="001E1DFA"/>
    <w:rsid w:val="001E246B"/>
    <w:rsid w:val="001E2EFD"/>
    <w:rsid w:val="001E3D1C"/>
    <w:rsid w:val="001E54A4"/>
    <w:rsid w:val="001E54FC"/>
    <w:rsid w:val="001E642D"/>
    <w:rsid w:val="001E6435"/>
    <w:rsid w:val="001E67DA"/>
    <w:rsid w:val="001F02B3"/>
    <w:rsid w:val="001F02E8"/>
    <w:rsid w:val="001F0D8C"/>
    <w:rsid w:val="001F1843"/>
    <w:rsid w:val="001F1BC4"/>
    <w:rsid w:val="001F21F6"/>
    <w:rsid w:val="001F229D"/>
    <w:rsid w:val="001F2532"/>
    <w:rsid w:val="001F28F0"/>
    <w:rsid w:val="001F2E7F"/>
    <w:rsid w:val="001F3A17"/>
    <w:rsid w:val="001F41DF"/>
    <w:rsid w:val="001F4207"/>
    <w:rsid w:val="001F560D"/>
    <w:rsid w:val="001F5B88"/>
    <w:rsid w:val="001F6578"/>
    <w:rsid w:val="001F6713"/>
    <w:rsid w:val="001F6B30"/>
    <w:rsid w:val="001F6D22"/>
    <w:rsid w:val="001F7C8B"/>
    <w:rsid w:val="001FF302"/>
    <w:rsid w:val="00201042"/>
    <w:rsid w:val="002028FA"/>
    <w:rsid w:val="00202D77"/>
    <w:rsid w:val="00203380"/>
    <w:rsid w:val="00203474"/>
    <w:rsid w:val="00203579"/>
    <w:rsid w:val="0020436F"/>
    <w:rsid w:val="0020508A"/>
    <w:rsid w:val="002050AC"/>
    <w:rsid w:val="0020520D"/>
    <w:rsid w:val="002066F7"/>
    <w:rsid w:val="00206888"/>
    <w:rsid w:val="0020781A"/>
    <w:rsid w:val="00207B96"/>
    <w:rsid w:val="00207C20"/>
    <w:rsid w:val="00207EBE"/>
    <w:rsid w:val="00211805"/>
    <w:rsid w:val="00211907"/>
    <w:rsid w:val="00211DA7"/>
    <w:rsid w:val="002128EB"/>
    <w:rsid w:val="0021373F"/>
    <w:rsid w:val="002141C5"/>
    <w:rsid w:val="00214917"/>
    <w:rsid w:val="00214B8C"/>
    <w:rsid w:val="00215185"/>
    <w:rsid w:val="002175B5"/>
    <w:rsid w:val="00220638"/>
    <w:rsid w:val="00221330"/>
    <w:rsid w:val="002217D4"/>
    <w:rsid w:val="002230EE"/>
    <w:rsid w:val="002239EA"/>
    <w:rsid w:val="00223C04"/>
    <w:rsid w:val="00223C08"/>
    <w:rsid w:val="00223C42"/>
    <w:rsid w:val="00227261"/>
    <w:rsid w:val="002272EF"/>
    <w:rsid w:val="002285F6"/>
    <w:rsid w:val="0022C0D4"/>
    <w:rsid w:val="0023121E"/>
    <w:rsid w:val="00231D04"/>
    <w:rsid w:val="002322B1"/>
    <w:rsid w:val="002334FB"/>
    <w:rsid w:val="00233CB0"/>
    <w:rsid w:val="00233D3A"/>
    <w:rsid w:val="00234A30"/>
    <w:rsid w:val="00235655"/>
    <w:rsid w:val="00235FE6"/>
    <w:rsid w:val="00237422"/>
    <w:rsid w:val="00237726"/>
    <w:rsid w:val="002379BB"/>
    <w:rsid w:val="0024099B"/>
    <w:rsid w:val="00240DB1"/>
    <w:rsid w:val="002410E3"/>
    <w:rsid w:val="002419D3"/>
    <w:rsid w:val="00241D14"/>
    <w:rsid w:val="00241DA0"/>
    <w:rsid w:val="0024218F"/>
    <w:rsid w:val="0024227A"/>
    <w:rsid w:val="002423F4"/>
    <w:rsid w:val="00242805"/>
    <w:rsid w:val="00243F2A"/>
    <w:rsid w:val="00244B5C"/>
    <w:rsid w:val="00244DCC"/>
    <w:rsid w:val="00244E70"/>
    <w:rsid w:val="002455CA"/>
    <w:rsid w:val="00246362"/>
    <w:rsid w:val="002466A6"/>
    <w:rsid w:val="00246F5F"/>
    <w:rsid w:val="00247B1B"/>
    <w:rsid w:val="00249E35"/>
    <w:rsid w:val="00250B25"/>
    <w:rsid w:val="00250CED"/>
    <w:rsid w:val="002548FE"/>
    <w:rsid w:val="00256A20"/>
    <w:rsid w:val="0025723F"/>
    <w:rsid w:val="002585A0"/>
    <w:rsid w:val="002605A1"/>
    <w:rsid w:val="002618B2"/>
    <w:rsid w:val="00261A01"/>
    <w:rsid w:val="00261D6B"/>
    <w:rsid w:val="00262036"/>
    <w:rsid w:val="00262313"/>
    <w:rsid w:val="00263A79"/>
    <w:rsid w:val="002641B3"/>
    <w:rsid w:val="002641F6"/>
    <w:rsid w:val="00264765"/>
    <w:rsid w:val="00264FEF"/>
    <w:rsid w:val="002656D2"/>
    <w:rsid w:val="00265BA3"/>
    <w:rsid w:val="00265D16"/>
    <w:rsid w:val="00266278"/>
    <w:rsid w:val="00267B4E"/>
    <w:rsid w:val="0026C70B"/>
    <w:rsid w:val="00271009"/>
    <w:rsid w:val="002718AC"/>
    <w:rsid w:val="00271F27"/>
    <w:rsid w:val="0027212A"/>
    <w:rsid w:val="00272D38"/>
    <w:rsid w:val="00274FEA"/>
    <w:rsid w:val="00276AE5"/>
    <w:rsid w:val="00280095"/>
    <w:rsid w:val="002805D0"/>
    <w:rsid w:val="00280ECE"/>
    <w:rsid w:val="002811AC"/>
    <w:rsid w:val="00281DB6"/>
    <w:rsid w:val="00282C38"/>
    <w:rsid w:val="00283140"/>
    <w:rsid w:val="002832D3"/>
    <w:rsid w:val="0028357B"/>
    <w:rsid w:val="00283F91"/>
    <w:rsid w:val="002852AC"/>
    <w:rsid w:val="00286282"/>
    <w:rsid w:val="002863C2"/>
    <w:rsid w:val="002868AE"/>
    <w:rsid w:val="00287011"/>
    <w:rsid w:val="002873C7"/>
    <w:rsid w:val="00287563"/>
    <w:rsid w:val="00287890"/>
    <w:rsid w:val="00287F25"/>
    <w:rsid w:val="00290604"/>
    <w:rsid w:val="00291A70"/>
    <w:rsid w:val="002935CC"/>
    <w:rsid w:val="00293DBB"/>
    <w:rsid w:val="00294547"/>
    <w:rsid w:val="00294E1B"/>
    <w:rsid w:val="00294F92"/>
    <w:rsid w:val="00295524"/>
    <w:rsid w:val="00296E93"/>
    <w:rsid w:val="002A043A"/>
    <w:rsid w:val="002A0A6D"/>
    <w:rsid w:val="002A1D8C"/>
    <w:rsid w:val="002A2511"/>
    <w:rsid w:val="002A52DE"/>
    <w:rsid w:val="002A588D"/>
    <w:rsid w:val="002A58CF"/>
    <w:rsid w:val="002A5B6E"/>
    <w:rsid w:val="002A6166"/>
    <w:rsid w:val="002A6712"/>
    <w:rsid w:val="002A71A2"/>
    <w:rsid w:val="002A7969"/>
    <w:rsid w:val="002B02F9"/>
    <w:rsid w:val="002B16EC"/>
    <w:rsid w:val="002B1DFD"/>
    <w:rsid w:val="002B1E8B"/>
    <w:rsid w:val="002B2A7F"/>
    <w:rsid w:val="002B2E6C"/>
    <w:rsid w:val="002B3890"/>
    <w:rsid w:val="002B3EE6"/>
    <w:rsid w:val="002B4794"/>
    <w:rsid w:val="002B601C"/>
    <w:rsid w:val="002B6092"/>
    <w:rsid w:val="002B68AB"/>
    <w:rsid w:val="002B7874"/>
    <w:rsid w:val="002B7999"/>
    <w:rsid w:val="002C00A7"/>
    <w:rsid w:val="002C145C"/>
    <w:rsid w:val="002C19DB"/>
    <w:rsid w:val="002C355B"/>
    <w:rsid w:val="002C3E5A"/>
    <w:rsid w:val="002C64F8"/>
    <w:rsid w:val="002C7319"/>
    <w:rsid w:val="002D0712"/>
    <w:rsid w:val="002D0CE7"/>
    <w:rsid w:val="002D1C88"/>
    <w:rsid w:val="002D2A86"/>
    <w:rsid w:val="002D2F49"/>
    <w:rsid w:val="002D32F6"/>
    <w:rsid w:val="002D352F"/>
    <w:rsid w:val="002D3CC3"/>
    <w:rsid w:val="002D488F"/>
    <w:rsid w:val="002D4BA3"/>
    <w:rsid w:val="002D512E"/>
    <w:rsid w:val="002D57E1"/>
    <w:rsid w:val="002D5832"/>
    <w:rsid w:val="002D583D"/>
    <w:rsid w:val="002D602C"/>
    <w:rsid w:val="002D604C"/>
    <w:rsid w:val="002D6B91"/>
    <w:rsid w:val="002D752B"/>
    <w:rsid w:val="002D7566"/>
    <w:rsid w:val="002D7B12"/>
    <w:rsid w:val="002E0D09"/>
    <w:rsid w:val="002E1644"/>
    <w:rsid w:val="002E232D"/>
    <w:rsid w:val="002E2894"/>
    <w:rsid w:val="002E293C"/>
    <w:rsid w:val="002E334A"/>
    <w:rsid w:val="002E353C"/>
    <w:rsid w:val="002E362E"/>
    <w:rsid w:val="002E43A1"/>
    <w:rsid w:val="002E5381"/>
    <w:rsid w:val="002E612C"/>
    <w:rsid w:val="002EB5D1"/>
    <w:rsid w:val="002EC6CE"/>
    <w:rsid w:val="002F017D"/>
    <w:rsid w:val="002F0DD5"/>
    <w:rsid w:val="002F121F"/>
    <w:rsid w:val="002F1964"/>
    <w:rsid w:val="002F1FF4"/>
    <w:rsid w:val="002F6052"/>
    <w:rsid w:val="002F74F0"/>
    <w:rsid w:val="002F7B5D"/>
    <w:rsid w:val="00302318"/>
    <w:rsid w:val="0030252D"/>
    <w:rsid w:val="003067F6"/>
    <w:rsid w:val="00311410"/>
    <w:rsid w:val="00311B34"/>
    <w:rsid w:val="00311E70"/>
    <w:rsid w:val="00312E15"/>
    <w:rsid w:val="0031465E"/>
    <w:rsid w:val="00315835"/>
    <w:rsid w:val="00317414"/>
    <w:rsid w:val="00317516"/>
    <w:rsid w:val="00317614"/>
    <w:rsid w:val="0032011A"/>
    <w:rsid w:val="003203FB"/>
    <w:rsid w:val="0032063E"/>
    <w:rsid w:val="0032116D"/>
    <w:rsid w:val="0032137F"/>
    <w:rsid w:val="003218E4"/>
    <w:rsid w:val="00322CC1"/>
    <w:rsid w:val="00322EA1"/>
    <w:rsid w:val="00323695"/>
    <w:rsid w:val="00323898"/>
    <w:rsid w:val="00324207"/>
    <w:rsid w:val="003247EB"/>
    <w:rsid w:val="00324F13"/>
    <w:rsid w:val="00325734"/>
    <w:rsid w:val="003258AB"/>
    <w:rsid w:val="00325FFB"/>
    <w:rsid w:val="003267B3"/>
    <w:rsid w:val="00326C29"/>
    <w:rsid w:val="00326DCA"/>
    <w:rsid w:val="00327071"/>
    <w:rsid w:val="00327F80"/>
    <w:rsid w:val="00331B01"/>
    <w:rsid w:val="00332150"/>
    <w:rsid w:val="003329EA"/>
    <w:rsid w:val="00332E21"/>
    <w:rsid w:val="00333A9D"/>
    <w:rsid w:val="00334383"/>
    <w:rsid w:val="0033465A"/>
    <w:rsid w:val="00334AB9"/>
    <w:rsid w:val="003357AD"/>
    <w:rsid w:val="0033642B"/>
    <w:rsid w:val="003364D8"/>
    <w:rsid w:val="0033710D"/>
    <w:rsid w:val="00337AE5"/>
    <w:rsid w:val="0033C66B"/>
    <w:rsid w:val="00340477"/>
    <w:rsid w:val="00340573"/>
    <w:rsid w:val="003405EC"/>
    <w:rsid w:val="0034130C"/>
    <w:rsid w:val="00341DEA"/>
    <w:rsid w:val="0034315E"/>
    <w:rsid w:val="003431EC"/>
    <w:rsid w:val="00343870"/>
    <w:rsid w:val="00343CA9"/>
    <w:rsid w:val="00344C67"/>
    <w:rsid w:val="00344FBE"/>
    <w:rsid w:val="0034502E"/>
    <w:rsid w:val="0034519B"/>
    <w:rsid w:val="003460A0"/>
    <w:rsid w:val="00347521"/>
    <w:rsid w:val="00347DCC"/>
    <w:rsid w:val="003501C1"/>
    <w:rsid w:val="00350B0F"/>
    <w:rsid w:val="00351B53"/>
    <w:rsid w:val="00351EFD"/>
    <w:rsid w:val="00352FA3"/>
    <w:rsid w:val="00354C22"/>
    <w:rsid w:val="00354D50"/>
    <w:rsid w:val="0035599A"/>
    <w:rsid w:val="003563A2"/>
    <w:rsid w:val="00356966"/>
    <w:rsid w:val="00356A91"/>
    <w:rsid w:val="003570D0"/>
    <w:rsid w:val="00357184"/>
    <w:rsid w:val="00360062"/>
    <w:rsid w:val="00361A5C"/>
    <w:rsid w:val="00361F4F"/>
    <w:rsid w:val="00361F99"/>
    <w:rsid w:val="0036212F"/>
    <w:rsid w:val="003630AE"/>
    <w:rsid w:val="00363A2F"/>
    <w:rsid w:val="00363E66"/>
    <w:rsid w:val="00364483"/>
    <w:rsid w:val="0036469A"/>
    <w:rsid w:val="003652FB"/>
    <w:rsid w:val="00365F2B"/>
    <w:rsid w:val="003663A9"/>
    <w:rsid w:val="003667BB"/>
    <w:rsid w:val="00366F9E"/>
    <w:rsid w:val="003676B5"/>
    <w:rsid w:val="00367FD3"/>
    <w:rsid w:val="00370C89"/>
    <w:rsid w:val="00370D3E"/>
    <w:rsid w:val="003713E9"/>
    <w:rsid w:val="00371EEA"/>
    <w:rsid w:val="00372B80"/>
    <w:rsid w:val="00372BD0"/>
    <w:rsid w:val="00373578"/>
    <w:rsid w:val="00373E57"/>
    <w:rsid w:val="0037430F"/>
    <w:rsid w:val="00374F29"/>
    <w:rsid w:val="003751D3"/>
    <w:rsid w:val="00375E40"/>
    <w:rsid w:val="00376423"/>
    <w:rsid w:val="00377CCB"/>
    <w:rsid w:val="0038001F"/>
    <w:rsid w:val="00380635"/>
    <w:rsid w:val="003815DB"/>
    <w:rsid w:val="00381609"/>
    <w:rsid w:val="00381661"/>
    <w:rsid w:val="00382341"/>
    <w:rsid w:val="003825C8"/>
    <w:rsid w:val="00382752"/>
    <w:rsid w:val="003846D8"/>
    <w:rsid w:val="00384801"/>
    <w:rsid w:val="00384CA0"/>
    <w:rsid w:val="00385757"/>
    <w:rsid w:val="00385D45"/>
    <w:rsid w:val="00386C51"/>
    <w:rsid w:val="0038729E"/>
    <w:rsid w:val="00387562"/>
    <w:rsid w:val="00387FDF"/>
    <w:rsid w:val="003928B6"/>
    <w:rsid w:val="0039356C"/>
    <w:rsid w:val="00393980"/>
    <w:rsid w:val="00395574"/>
    <w:rsid w:val="00397982"/>
    <w:rsid w:val="003A309E"/>
    <w:rsid w:val="003A3AD5"/>
    <w:rsid w:val="003A3E8F"/>
    <w:rsid w:val="003A42FB"/>
    <w:rsid w:val="003A4E05"/>
    <w:rsid w:val="003A4F82"/>
    <w:rsid w:val="003A601F"/>
    <w:rsid w:val="003A6982"/>
    <w:rsid w:val="003A753A"/>
    <w:rsid w:val="003A78FC"/>
    <w:rsid w:val="003B1A1D"/>
    <w:rsid w:val="003B48E0"/>
    <w:rsid w:val="003B6473"/>
    <w:rsid w:val="003B650C"/>
    <w:rsid w:val="003B6870"/>
    <w:rsid w:val="003B6CD7"/>
    <w:rsid w:val="003B7DCC"/>
    <w:rsid w:val="003C164E"/>
    <w:rsid w:val="003C1840"/>
    <w:rsid w:val="003C2A8D"/>
    <w:rsid w:val="003C3126"/>
    <w:rsid w:val="003C48E9"/>
    <w:rsid w:val="003C4B3C"/>
    <w:rsid w:val="003C5479"/>
    <w:rsid w:val="003C5AFE"/>
    <w:rsid w:val="003C5F3B"/>
    <w:rsid w:val="003C6B4B"/>
    <w:rsid w:val="003C7019"/>
    <w:rsid w:val="003D00A7"/>
    <w:rsid w:val="003D06D8"/>
    <w:rsid w:val="003D0C38"/>
    <w:rsid w:val="003D110A"/>
    <w:rsid w:val="003D1548"/>
    <w:rsid w:val="003D2296"/>
    <w:rsid w:val="003D477B"/>
    <w:rsid w:val="003D5944"/>
    <w:rsid w:val="003D5F8E"/>
    <w:rsid w:val="003D62F0"/>
    <w:rsid w:val="003D6878"/>
    <w:rsid w:val="003D6E8C"/>
    <w:rsid w:val="003D76FC"/>
    <w:rsid w:val="003E0D3C"/>
    <w:rsid w:val="003E1E23"/>
    <w:rsid w:val="003E1FF8"/>
    <w:rsid w:val="003E2E73"/>
    <w:rsid w:val="003E31B3"/>
    <w:rsid w:val="003E486E"/>
    <w:rsid w:val="003E5F0D"/>
    <w:rsid w:val="003E6A1B"/>
    <w:rsid w:val="003E6FDB"/>
    <w:rsid w:val="003E7809"/>
    <w:rsid w:val="003E7B5D"/>
    <w:rsid w:val="003F1364"/>
    <w:rsid w:val="003F2804"/>
    <w:rsid w:val="003F2BE4"/>
    <w:rsid w:val="003F312E"/>
    <w:rsid w:val="003F412C"/>
    <w:rsid w:val="003F437C"/>
    <w:rsid w:val="003F62D6"/>
    <w:rsid w:val="003F6484"/>
    <w:rsid w:val="003F6E43"/>
    <w:rsid w:val="0040057B"/>
    <w:rsid w:val="0040084E"/>
    <w:rsid w:val="00401436"/>
    <w:rsid w:val="004015C0"/>
    <w:rsid w:val="0040164E"/>
    <w:rsid w:val="0040252C"/>
    <w:rsid w:val="0040286D"/>
    <w:rsid w:val="0040394D"/>
    <w:rsid w:val="004041EA"/>
    <w:rsid w:val="00405342"/>
    <w:rsid w:val="00407368"/>
    <w:rsid w:val="0041025C"/>
    <w:rsid w:val="00410F99"/>
    <w:rsid w:val="0041205F"/>
    <w:rsid w:val="00412E0F"/>
    <w:rsid w:val="00413982"/>
    <w:rsid w:val="00414995"/>
    <w:rsid w:val="00415545"/>
    <w:rsid w:val="00415779"/>
    <w:rsid w:val="00415E51"/>
    <w:rsid w:val="00416CA2"/>
    <w:rsid w:val="00416CEC"/>
    <w:rsid w:val="00417985"/>
    <w:rsid w:val="00421BE3"/>
    <w:rsid w:val="004225E0"/>
    <w:rsid w:val="00422604"/>
    <w:rsid w:val="004233FC"/>
    <w:rsid w:val="00423F47"/>
    <w:rsid w:val="0042484A"/>
    <w:rsid w:val="00425222"/>
    <w:rsid w:val="00425C07"/>
    <w:rsid w:val="00425EC3"/>
    <w:rsid w:val="004270E2"/>
    <w:rsid w:val="00430A1B"/>
    <w:rsid w:val="004315E6"/>
    <w:rsid w:val="00433057"/>
    <w:rsid w:val="00433C76"/>
    <w:rsid w:val="004341A3"/>
    <w:rsid w:val="00434CDC"/>
    <w:rsid w:val="004365FF"/>
    <w:rsid w:val="004369E6"/>
    <w:rsid w:val="00436C3F"/>
    <w:rsid w:val="0044009E"/>
    <w:rsid w:val="00440357"/>
    <w:rsid w:val="004403FD"/>
    <w:rsid w:val="00440902"/>
    <w:rsid w:val="0044106E"/>
    <w:rsid w:val="00441117"/>
    <w:rsid w:val="0044188F"/>
    <w:rsid w:val="00441F49"/>
    <w:rsid w:val="00443A6A"/>
    <w:rsid w:val="0044466A"/>
    <w:rsid w:val="004446B8"/>
    <w:rsid w:val="00444EC5"/>
    <w:rsid w:val="00445296"/>
    <w:rsid w:val="004452BF"/>
    <w:rsid w:val="00445ABA"/>
    <w:rsid w:val="00446FDD"/>
    <w:rsid w:val="0045022D"/>
    <w:rsid w:val="00450310"/>
    <w:rsid w:val="0045087C"/>
    <w:rsid w:val="00450A76"/>
    <w:rsid w:val="00450DD2"/>
    <w:rsid w:val="00450EDD"/>
    <w:rsid w:val="00451B10"/>
    <w:rsid w:val="004526F8"/>
    <w:rsid w:val="00453667"/>
    <w:rsid w:val="00453E28"/>
    <w:rsid w:val="00454484"/>
    <w:rsid w:val="00454A53"/>
    <w:rsid w:val="0045592B"/>
    <w:rsid w:val="0045648D"/>
    <w:rsid w:val="00460E58"/>
    <w:rsid w:val="00462FCB"/>
    <w:rsid w:val="0046344B"/>
    <w:rsid w:val="00463B81"/>
    <w:rsid w:val="00463DF5"/>
    <w:rsid w:val="00463ED6"/>
    <w:rsid w:val="004660B9"/>
    <w:rsid w:val="0046748A"/>
    <w:rsid w:val="00467FC8"/>
    <w:rsid w:val="0047172A"/>
    <w:rsid w:val="004718DF"/>
    <w:rsid w:val="00472713"/>
    <w:rsid w:val="00472E5E"/>
    <w:rsid w:val="004734DF"/>
    <w:rsid w:val="004739FD"/>
    <w:rsid w:val="00474034"/>
    <w:rsid w:val="00474247"/>
    <w:rsid w:val="004746AA"/>
    <w:rsid w:val="0047573A"/>
    <w:rsid w:val="00477FB4"/>
    <w:rsid w:val="00480230"/>
    <w:rsid w:val="00480EC5"/>
    <w:rsid w:val="00481C38"/>
    <w:rsid w:val="00482725"/>
    <w:rsid w:val="004830FA"/>
    <w:rsid w:val="0048381A"/>
    <w:rsid w:val="00483D26"/>
    <w:rsid w:val="00485E0D"/>
    <w:rsid w:val="00486D7B"/>
    <w:rsid w:val="0048D4CE"/>
    <w:rsid w:val="00491353"/>
    <w:rsid w:val="00492A9F"/>
    <w:rsid w:val="0049423B"/>
    <w:rsid w:val="00494530"/>
    <w:rsid w:val="0049727B"/>
    <w:rsid w:val="004A05A6"/>
    <w:rsid w:val="004A25C0"/>
    <w:rsid w:val="004A26CB"/>
    <w:rsid w:val="004A30C6"/>
    <w:rsid w:val="004A44BD"/>
    <w:rsid w:val="004A4730"/>
    <w:rsid w:val="004A5A5F"/>
    <w:rsid w:val="004A5C60"/>
    <w:rsid w:val="004A69FD"/>
    <w:rsid w:val="004B0068"/>
    <w:rsid w:val="004B432C"/>
    <w:rsid w:val="004B5FAB"/>
    <w:rsid w:val="004B6620"/>
    <w:rsid w:val="004B6D5A"/>
    <w:rsid w:val="004B6E12"/>
    <w:rsid w:val="004B7EC5"/>
    <w:rsid w:val="004C03E7"/>
    <w:rsid w:val="004C0675"/>
    <w:rsid w:val="004C248E"/>
    <w:rsid w:val="004C2843"/>
    <w:rsid w:val="004C2CF3"/>
    <w:rsid w:val="004C2CFC"/>
    <w:rsid w:val="004C33E1"/>
    <w:rsid w:val="004C3959"/>
    <w:rsid w:val="004C46ED"/>
    <w:rsid w:val="004C48E7"/>
    <w:rsid w:val="004C4BC6"/>
    <w:rsid w:val="004C65FD"/>
    <w:rsid w:val="004C69A0"/>
    <w:rsid w:val="004C6E4B"/>
    <w:rsid w:val="004C79FC"/>
    <w:rsid w:val="004C7A6D"/>
    <w:rsid w:val="004C7B59"/>
    <w:rsid w:val="004C7F6F"/>
    <w:rsid w:val="004D0161"/>
    <w:rsid w:val="004D1F8F"/>
    <w:rsid w:val="004D3A23"/>
    <w:rsid w:val="004D3DFC"/>
    <w:rsid w:val="004D42A3"/>
    <w:rsid w:val="004D43C6"/>
    <w:rsid w:val="004D4913"/>
    <w:rsid w:val="004D4ADD"/>
    <w:rsid w:val="004D59CC"/>
    <w:rsid w:val="004D6447"/>
    <w:rsid w:val="004D68E7"/>
    <w:rsid w:val="004D73F5"/>
    <w:rsid w:val="004D7C2B"/>
    <w:rsid w:val="004E093E"/>
    <w:rsid w:val="004E0B22"/>
    <w:rsid w:val="004E2D2A"/>
    <w:rsid w:val="004E3570"/>
    <w:rsid w:val="004E3C51"/>
    <w:rsid w:val="004E61BB"/>
    <w:rsid w:val="004E7184"/>
    <w:rsid w:val="004E74D2"/>
    <w:rsid w:val="004E77A9"/>
    <w:rsid w:val="004E79E8"/>
    <w:rsid w:val="004E7D59"/>
    <w:rsid w:val="004E7F03"/>
    <w:rsid w:val="004F02BA"/>
    <w:rsid w:val="004F07C4"/>
    <w:rsid w:val="004F0B14"/>
    <w:rsid w:val="004F3FAD"/>
    <w:rsid w:val="004F42D4"/>
    <w:rsid w:val="004F4731"/>
    <w:rsid w:val="004F57D0"/>
    <w:rsid w:val="004F6296"/>
    <w:rsid w:val="004F68C3"/>
    <w:rsid w:val="004F73D0"/>
    <w:rsid w:val="004F7406"/>
    <w:rsid w:val="00500ACB"/>
    <w:rsid w:val="00500F7A"/>
    <w:rsid w:val="0050142E"/>
    <w:rsid w:val="00501600"/>
    <w:rsid w:val="0050205C"/>
    <w:rsid w:val="00502127"/>
    <w:rsid w:val="00502441"/>
    <w:rsid w:val="0050275B"/>
    <w:rsid w:val="00502E13"/>
    <w:rsid w:val="00502F82"/>
    <w:rsid w:val="00503513"/>
    <w:rsid w:val="005042E8"/>
    <w:rsid w:val="00504D32"/>
    <w:rsid w:val="00504E7E"/>
    <w:rsid w:val="00504FF6"/>
    <w:rsid w:val="005059F2"/>
    <w:rsid w:val="00505C86"/>
    <w:rsid w:val="005064B6"/>
    <w:rsid w:val="005066AE"/>
    <w:rsid w:val="00506791"/>
    <w:rsid w:val="005107BA"/>
    <w:rsid w:val="00510E44"/>
    <w:rsid w:val="005119EE"/>
    <w:rsid w:val="00512BB5"/>
    <w:rsid w:val="00512CB2"/>
    <w:rsid w:val="00512DEE"/>
    <w:rsid w:val="005133C5"/>
    <w:rsid w:val="00513412"/>
    <w:rsid w:val="00513A94"/>
    <w:rsid w:val="005149E1"/>
    <w:rsid w:val="00516C58"/>
    <w:rsid w:val="005179F4"/>
    <w:rsid w:val="00520CF0"/>
    <w:rsid w:val="00520FA5"/>
    <w:rsid w:val="0052113B"/>
    <w:rsid w:val="00521C33"/>
    <w:rsid w:val="00521D3F"/>
    <w:rsid w:val="00522923"/>
    <w:rsid w:val="00525340"/>
    <w:rsid w:val="00525D45"/>
    <w:rsid w:val="0052658F"/>
    <w:rsid w:val="00526727"/>
    <w:rsid w:val="00526D4C"/>
    <w:rsid w:val="00527939"/>
    <w:rsid w:val="0052795A"/>
    <w:rsid w:val="0052F3CE"/>
    <w:rsid w:val="005301D0"/>
    <w:rsid w:val="0053048C"/>
    <w:rsid w:val="00530589"/>
    <w:rsid w:val="0053061E"/>
    <w:rsid w:val="00530781"/>
    <w:rsid w:val="005308F0"/>
    <w:rsid w:val="00531388"/>
    <w:rsid w:val="005323D1"/>
    <w:rsid w:val="00533CD4"/>
    <w:rsid w:val="00536064"/>
    <w:rsid w:val="00536671"/>
    <w:rsid w:val="00537497"/>
    <w:rsid w:val="005409E1"/>
    <w:rsid w:val="005410D8"/>
    <w:rsid w:val="00541CE4"/>
    <w:rsid w:val="0054225A"/>
    <w:rsid w:val="0054261A"/>
    <w:rsid w:val="005431B6"/>
    <w:rsid w:val="00543DFF"/>
    <w:rsid w:val="0054485A"/>
    <w:rsid w:val="00544AC6"/>
    <w:rsid w:val="00545038"/>
    <w:rsid w:val="00546378"/>
    <w:rsid w:val="00546470"/>
    <w:rsid w:val="00546611"/>
    <w:rsid w:val="0054710B"/>
    <w:rsid w:val="00547125"/>
    <w:rsid w:val="0054778F"/>
    <w:rsid w:val="00547BDF"/>
    <w:rsid w:val="00547F2F"/>
    <w:rsid w:val="00550FA4"/>
    <w:rsid w:val="00551C60"/>
    <w:rsid w:val="00555A4B"/>
    <w:rsid w:val="005560A5"/>
    <w:rsid w:val="0055671D"/>
    <w:rsid w:val="005567DB"/>
    <w:rsid w:val="00556DCD"/>
    <w:rsid w:val="005574A1"/>
    <w:rsid w:val="00560267"/>
    <w:rsid w:val="00560504"/>
    <w:rsid w:val="00561A46"/>
    <w:rsid w:val="00561C9B"/>
    <w:rsid w:val="005622E0"/>
    <w:rsid w:val="005625D8"/>
    <w:rsid w:val="00562713"/>
    <w:rsid w:val="00564A45"/>
    <w:rsid w:val="005656F9"/>
    <w:rsid w:val="00565915"/>
    <w:rsid w:val="00566171"/>
    <w:rsid w:val="005661D8"/>
    <w:rsid w:val="00566484"/>
    <w:rsid w:val="005708C7"/>
    <w:rsid w:val="00570D3B"/>
    <w:rsid w:val="00570EC0"/>
    <w:rsid w:val="00571C88"/>
    <w:rsid w:val="00571C8A"/>
    <w:rsid w:val="00571D23"/>
    <w:rsid w:val="00572CF8"/>
    <w:rsid w:val="00573881"/>
    <w:rsid w:val="00573E59"/>
    <w:rsid w:val="005747C8"/>
    <w:rsid w:val="005759D4"/>
    <w:rsid w:val="00575D5A"/>
    <w:rsid w:val="00581545"/>
    <w:rsid w:val="0058175A"/>
    <w:rsid w:val="00583185"/>
    <w:rsid w:val="00583F3D"/>
    <w:rsid w:val="005842EA"/>
    <w:rsid w:val="00584B54"/>
    <w:rsid w:val="00584E1F"/>
    <w:rsid w:val="0058787E"/>
    <w:rsid w:val="00587E8B"/>
    <w:rsid w:val="0058F91B"/>
    <w:rsid w:val="005902FB"/>
    <w:rsid w:val="00590310"/>
    <w:rsid w:val="005903F4"/>
    <w:rsid w:val="005918DF"/>
    <w:rsid w:val="00593809"/>
    <w:rsid w:val="00594001"/>
    <w:rsid w:val="005945D3"/>
    <w:rsid w:val="005949F7"/>
    <w:rsid w:val="00594BC6"/>
    <w:rsid w:val="005954FA"/>
    <w:rsid w:val="00595CCA"/>
    <w:rsid w:val="0059717D"/>
    <w:rsid w:val="00597450"/>
    <w:rsid w:val="005A0519"/>
    <w:rsid w:val="005A06D0"/>
    <w:rsid w:val="005A1CFE"/>
    <w:rsid w:val="005A2945"/>
    <w:rsid w:val="005A3BDF"/>
    <w:rsid w:val="005A4185"/>
    <w:rsid w:val="005A5348"/>
    <w:rsid w:val="005A5582"/>
    <w:rsid w:val="005A55B3"/>
    <w:rsid w:val="005A58F3"/>
    <w:rsid w:val="005A5E68"/>
    <w:rsid w:val="005A7264"/>
    <w:rsid w:val="005B0CAF"/>
    <w:rsid w:val="005B127B"/>
    <w:rsid w:val="005B16EE"/>
    <w:rsid w:val="005B171A"/>
    <w:rsid w:val="005B1BCF"/>
    <w:rsid w:val="005B2928"/>
    <w:rsid w:val="005B3DF9"/>
    <w:rsid w:val="005B501A"/>
    <w:rsid w:val="005B5055"/>
    <w:rsid w:val="005B5553"/>
    <w:rsid w:val="005B569E"/>
    <w:rsid w:val="005B7213"/>
    <w:rsid w:val="005B72BA"/>
    <w:rsid w:val="005B7370"/>
    <w:rsid w:val="005C0D0C"/>
    <w:rsid w:val="005C0DB3"/>
    <w:rsid w:val="005C0FAE"/>
    <w:rsid w:val="005C3534"/>
    <w:rsid w:val="005C40F3"/>
    <w:rsid w:val="005C4500"/>
    <w:rsid w:val="005C5B25"/>
    <w:rsid w:val="005D036F"/>
    <w:rsid w:val="005D057A"/>
    <w:rsid w:val="005D077C"/>
    <w:rsid w:val="005D0E13"/>
    <w:rsid w:val="005D0F4B"/>
    <w:rsid w:val="005D13BE"/>
    <w:rsid w:val="005D2861"/>
    <w:rsid w:val="005D3177"/>
    <w:rsid w:val="005D3582"/>
    <w:rsid w:val="005D4908"/>
    <w:rsid w:val="005D49E2"/>
    <w:rsid w:val="005D4C1B"/>
    <w:rsid w:val="005D5264"/>
    <w:rsid w:val="005D5AE1"/>
    <w:rsid w:val="005D7631"/>
    <w:rsid w:val="005D77B5"/>
    <w:rsid w:val="005E0411"/>
    <w:rsid w:val="005E0CA9"/>
    <w:rsid w:val="005E0DB1"/>
    <w:rsid w:val="005E14B4"/>
    <w:rsid w:val="005E2D89"/>
    <w:rsid w:val="005E4245"/>
    <w:rsid w:val="005E495A"/>
    <w:rsid w:val="005E4FB8"/>
    <w:rsid w:val="005E5EA8"/>
    <w:rsid w:val="005E7A5B"/>
    <w:rsid w:val="005E7F72"/>
    <w:rsid w:val="005F1682"/>
    <w:rsid w:val="005F4681"/>
    <w:rsid w:val="005F4788"/>
    <w:rsid w:val="005F4B70"/>
    <w:rsid w:val="005F59CF"/>
    <w:rsid w:val="005F5E77"/>
    <w:rsid w:val="005F6468"/>
    <w:rsid w:val="005F6940"/>
    <w:rsid w:val="005F69BF"/>
    <w:rsid w:val="00600A46"/>
    <w:rsid w:val="00600B40"/>
    <w:rsid w:val="006017C7"/>
    <w:rsid w:val="00601E89"/>
    <w:rsid w:val="00602179"/>
    <w:rsid w:val="00602BCA"/>
    <w:rsid w:val="0060316A"/>
    <w:rsid w:val="006034A5"/>
    <w:rsid w:val="00603537"/>
    <w:rsid w:val="00603873"/>
    <w:rsid w:val="00603BC3"/>
    <w:rsid w:val="006041F0"/>
    <w:rsid w:val="00605B9C"/>
    <w:rsid w:val="00605FA3"/>
    <w:rsid w:val="00607438"/>
    <w:rsid w:val="006101AC"/>
    <w:rsid w:val="006126DB"/>
    <w:rsid w:val="00612EAA"/>
    <w:rsid w:val="00613411"/>
    <w:rsid w:val="00615253"/>
    <w:rsid w:val="00615B9B"/>
    <w:rsid w:val="00617A07"/>
    <w:rsid w:val="00620AAA"/>
    <w:rsid w:val="00620BD1"/>
    <w:rsid w:val="00623036"/>
    <w:rsid w:val="00623684"/>
    <w:rsid w:val="006239CB"/>
    <w:rsid w:val="00624B70"/>
    <w:rsid w:val="0062500A"/>
    <w:rsid w:val="0062536E"/>
    <w:rsid w:val="006254D8"/>
    <w:rsid w:val="006256E6"/>
    <w:rsid w:val="00630863"/>
    <w:rsid w:val="006316A2"/>
    <w:rsid w:val="00632D11"/>
    <w:rsid w:val="00633ADD"/>
    <w:rsid w:val="00634729"/>
    <w:rsid w:val="00634900"/>
    <w:rsid w:val="00634A12"/>
    <w:rsid w:val="00634EDD"/>
    <w:rsid w:val="006351C9"/>
    <w:rsid w:val="00635794"/>
    <w:rsid w:val="0063600A"/>
    <w:rsid w:val="00636C29"/>
    <w:rsid w:val="00637357"/>
    <w:rsid w:val="00637428"/>
    <w:rsid w:val="00637865"/>
    <w:rsid w:val="00640581"/>
    <w:rsid w:val="00642D34"/>
    <w:rsid w:val="00645BC4"/>
    <w:rsid w:val="0064754F"/>
    <w:rsid w:val="00650B59"/>
    <w:rsid w:val="0065220A"/>
    <w:rsid w:val="00653DE5"/>
    <w:rsid w:val="006547EC"/>
    <w:rsid w:val="00654AEC"/>
    <w:rsid w:val="00654D42"/>
    <w:rsid w:val="0065554D"/>
    <w:rsid w:val="00655ED0"/>
    <w:rsid w:val="00656EAB"/>
    <w:rsid w:val="0065C382"/>
    <w:rsid w:val="00660607"/>
    <w:rsid w:val="0066128E"/>
    <w:rsid w:val="00661796"/>
    <w:rsid w:val="00661C20"/>
    <w:rsid w:val="00662BDE"/>
    <w:rsid w:val="00663847"/>
    <w:rsid w:val="0066481A"/>
    <w:rsid w:val="006648EA"/>
    <w:rsid w:val="00666011"/>
    <w:rsid w:val="00666DF9"/>
    <w:rsid w:val="00667B64"/>
    <w:rsid w:val="00667E33"/>
    <w:rsid w:val="006702F6"/>
    <w:rsid w:val="00670309"/>
    <w:rsid w:val="00670959"/>
    <w:rsid w:val="00671C00"/>
    <w:rsid w:val="00672785"/>
    <w:rsid w:val="00673879"/>
    <w:rsid w:val="00673A7D"/>
    <w:rsid w:val="00674686"/>
    <w:rsid w:val="00675123"/>
    <w:rsid w:val="00676B22"/>
    <w:rsid w:val="00676D44"/>
    <w:rsid w:val="00677E20"/>
    <w:rsid w:val="00677E7F"/>
    <w:rsid w:val="00681316"/>
    <w:rsid w:val="006826BF"/>
    <w:rsid w:val="006828B2"/>
    <w:rsid w:val="00682FC3"/>
    <w:rsid w:val="00683E36"/>
    <w:rsid w:val="00684193"/>
    <w:rsid w:val="006855F3"/>
    <w:rsid w:val="006858B4"/>
    <w:rsid w:val="00686BC5"/>
    <w:rsid w:val="0068716A"/>
    <w:rsid w:val="006921A9"/>
    <w:rsid w:val="0069287E"/>
    <w:rsid w:val="00692D0F"/>
    <w:rsid w:val="00694C34"/>
    <w:rsid w:val="00694CB6"/>
    <w:rsid w:val="0069504A"/>
    <w:rsid w:val="0069524E"/>
    <w:rsid w:val="0069543A"/>
    <w:rsid w:val="00695D8E"/>
    <w:rsid w:val="00696205"/>
    <w:rsid w:val="00696EA9"/>
    <w:rsid w:val="006970AE"/>
    <w:rsid w:val="006974D4"/>
    <w:rsid w:val="00697FA9"/>
    <w:rsid w:val="006A1638"/>
    <w:rsid w:val="006A1E30"/>
    <w:rsid w:val="006A1F1D"/>
    <w:rsid w:val="006A2D5A"/>
    <w:rsid w:val="006A33C7"/>
    <w:rsid w:val="006A3D76"/>
    <w:rsid w:val="006A510B"/>
    <w:rsid w:val="006A650C"/>
    <w:rsid w:val="006A6591"/>
    <w:rsid w:val="006A687F"/>
    <w:rsid w:val="006A73E7"/>
    <w:rsid w:val="006B04D5"/>
    <w:rsid w:val="006B156D"/>
    <w:rsid w:val="006B1D82"/>
    <w:rsid w:val="006B1F33"/>
    <w:rsid w:val="006B2CBB"/>
    <w:rsid w:val="006B3069"/>
    <w:rsid w:val="006B3BB9"/>
    <w:rsid w:val="006B4BE3"/>
    <w:rsid w:val="006B53AC"/>
    <w:rsid w:val="006B54D8"/>
    <w:rsid w:val="006B59BF"/>
    <w:rsid w:val="006B61BE"/>
    <w:rsid w:val="006B6C34"/>
    <w:rsid w:val="006B7EBF"/>
    <w:rsid w:val="006C03C5"/>
    <w:rsid w:val="006C065E"/>
    <w:rsid w:val="006C0F74"/>
    <w:rsid w:val="006C213E"/>
    <w:rsid w:val="006C2443"/>
    <w:rsid w:val="006C34F8"/>
    <w:rsid w:val="006C4005"/>
    <w:rsid w:val="006C4477"/>
    <w:rsid w:val="006C4B24"/>
    <w:rsid w:val="006C5D07"/>
    <w:rsid w:val="006C6293"/>
    <w:rsid w:val="006C79BF"/>
    <w:rsid w:val="006D049D"/>
    <w:rsid w:val="006D080F"/>
    <w:rsid w:val="006D0F4A"/>
    <w:rsid w:val="006D102E"/>
    <w:rsid w:val="006D1401"/>
    <w:rsid w:val="006D1608"/>
    <w:rsid w:val="006D1D54"/>
    <w:rsid w:val="006D2FB7"/>
    <w:rsid w:val="006D396A"/>
    <w:rsid w:val="006D44DA"/>
    <w:rsid w:val="006D6BDE"/>
    <w:rsid w:val="006D7BD2"/>
    <w:rsid w:val="006DFCEA"/>
    <w:rsid w:val="006E044C"/>
    <w:rsid w:val="006E0790"/>
    <w:rsid w:val="006E198F"/>
    <w:rsid w:val="006E1D06"/>
    <w:rsid w:val="006E29A6"/>
    <w:rsid w:val="006E333F"/>
    <w:rsid w:val="006E3F34"/>
    <w:rsid w:val="006E4C0D"/>
    <w:rsid w:val="006E5912"/>
    <w:rsid w:val="006E5E1A"/>
    <w:rsid w:val="006F174D"/>
    <w:rsid w:val="006F1ADA"/>
    <w:rsid w:val="006F1F97"/>
    <w:rsid w:val="006F36A6"/>
    <w:rsid w:val="006F3DAD"/>
    <w:rsid w:val="006F4370"/>
    <w:rsid w:val="006F56CD"/>
    <w:rsid w:val="006F660C"/>
    <w:rsid w:val="006F76A4"/>
    <w:rsid w:val="00700D5E"/>
    <w:rsid w:val="00701600"/>
    <w:rsid w:val="0070168D"/>
    <w:rsid w:val="00704454"/>
    <w:rsid w:val="00705005"/>
    <w:rsid w:val="00705E3A"/>
    <w:rsid w:val="007062CE"/>
    <w:rsid w:val="007068D2"/>
    <w:rsid w:val="00707A39"/>
    <w:rsid w:val="00707B22"/>
    <w:rsid w:val="00707D10"/>
    <w:rsid w:val="00711B17"/>
    <w:rsid w:val="00711D35"/>
    <w:rsid w:val="0071228C"/>
    <w:rsid w:val="00712B52"/>
    <w:rsid w:val="0071302C"/>
    <w:rsid w:val="0071309B"/>
    <w:rsid w:val="00713205"/>
    <w:rsid w:val="00713683"/>
    <w:rsid w:val="00714143"/>
    <w:rsid w:val="00714B41"/>
    <w:rsid w:val="0071515B"/>
    <w:rsid w:val="0071771A"/>
    <w:rsid w:val="00717D12"/>
    <w:rsid w:val="00720DB3"/>
    <w:rsid w:val="00721B44"/>
    <w:rsid w:val="00721B6B"/>
    <w:rsid w:val="0072261D"/>
    <w:rsid w:val="0072293E"/>
    <w:rsid w:val="00722AA6"/>
    <w:rsid w:val="00723BFA"/>
    <w:rsid w:val="00725614"/>
    <w:rsid w:val="00725C32"/>
    <w:rsid w:val="00726325"/>
    <w:rsid w:val="00726B76"/>
    <w:rsid w:val="00726BCE"/>
    <w:rsid w:val="007272FB"/>
    <w:rsid w:val="007275B2"/>
    <w:rsid w:val="00727809"/>
    <w:rsid w:val="00727870"/>
    <w:rsid w:val="00727A6C"/>
    <w:rsid w:val="00730136"/>
    <w:rsid w:val="00730AB0"/>
    <w:rsid w:val="00730D27"/>
    <w:rsid w:val="00731570"/>
    <w:rsid w:val="00731B47"/>
    <w:rsid w:val="00731D1F"/>
    <w:rsid w:val="00732327"/>
    <w:rsid w:val="00732DA9"/>
    <w:rsid w:val="007334E0"/>
    <w:rsid w:val="007337F4"/>
    <w:rsid w:val="00734C7A"/>
    <w:rsid w:val="007357A4"/>
    <w:rsid w:val="00736772"/>
    <w:rsid w:val="00737511"/>
    <w:rsid w:val="00740B86"/>
    <w:rsid w:val="00740CA6"/>
    <w:rsid w:val="0074180B"/>
    <w:rsid w:val="007432B4"/>
    <w:rsid w:val="00743689"/>
    <w:rsid w:val="00743F94"/>
    <w:rsid w:val="0074403E"/>
    <w:rsid w:val="0074461C"/>
    <w:rsid w:val="00744F7D"/>
    <w:rsid w:val="007451F8"/>
    <w:rsid w:val="00745266"/>
    <w:rsid w:val="007453B4"/>
    <w:rsid w:val="00747131"/>
    <w:rsid w:val="00747ED7"/>
    <w:rsid w:val="007502A9"/>
    <w:rsid w:val="00750A03"/>
    <w:rsid w:val="00752081"/>
    <w:rsid w:val="00752A29"/>
    <w:rsid w:val="00754575"/>
    <w:rsid w:val="007554D4"/>
    <w:rsid w:val="00755A0C"/>
    <w:rsid w:val="00757784"/>
    <w:rsid w:val="007611F8"/>
    <w:rsid w:val="00761C36"/>
    <w:rsid w:val="00761DB2"/>
    <w:rsid w:val="0076374D"/>
    <w:rsid w:val="007647D5"/>
    <w:rsid w:val="00764BF5"/>
    <w:rsid w:val="0076540C"/>
    <w:rsid w:val="0077135C"/>
    <w:rsid w:val="007739BF"/>
    <w:rsid w:val="00773D55"/>
    <w:rsid w:val="007743EC"/>
    <w:rsid w:val="00774AA6"/>
    <w:rsid w:val="0077549A"/>
    <w:rsid w:val="00776B5B"/>
    <w:rsid w:val="00776D62"/>
    <w:rsid w:val="0077777F"/>
    <w:rsid w:val="007804D7"/>
    <w:rsid w:val="00780728"/>
    <w:rsid w:val="00780AD1"/>
    <w:rsid w:val="00781312"/>
    <w:rsid w:val="00783701"/>
    <w:rsid w:val="00783A01"/>
    <w:rsid w:val="00783F82"/>
    <w:rsid w:val="00784429"/>
    <w:rsid w:val="00785706"/>
    <w:rsid w:val="00785AFB"/>
    <w:rsid w:val="007864B2"/>
    <w:rsid w:val="00787BBC"/>
    <w:rsid w:val="00791907"/>
    <w:rsid w:val="007919A2"/>
    <w:rsid w:val="007923E9"/>
    <w:rsid w:val="00793DD6"/>
    <w:rsid w:val="0079451C"/>
    <w:rsid w:val="00794A00"/>
    <w:rsid w:val="00794C2D"/>
    <w:rsid w:val="00794E7F"/>
    <w:rsid w:val="0079502C"/>
    <w:rsid w:val="00795198"/>
    <w:rsid w:val="007952CC"/>
    <w:rsid w:val="00795759"/>
    <w:rsid w:val="00795E06"/>
    <w:rsid w:val="00796501"/>
    <w:rsid w:val="00796933"/>
    <w:rsid w:val="00797D4B"/>
    <w:rsid w:val="007A0266"/>
    <w:rsid w:val="007A0C8A"/>
    <w:rsid w:val="007A3053"/>
    <w:rsid w:val="007A497E"/>
    <w:rsid w:val="007A4B8D"/>
    <w:rsid w:val="007A610D"/>
    <w:rsid w:val="007A6BFA"/>
    <w:rsid w:val="007A78B5"/>
    <w:rsid w:val="007B2B2E"/>
    <w:rsid w:val="007B3AE3"/>
    <w:rsid w:val="007B5696"/>
    <w:rsid w:val="007B596A"/>
    <w:rsid w:val="007B5A76"/>
    <w:rsid w:val="007B7427"/>
    <w:rsid w:val="007B7F95"/>
    <w:rsid w:val="007B8A93"/>
    <w:rsid w:val="007C0314"/>
    <w:rsid w:val="007C0706"/>
    <w:rsid w:val="007C122D"/>
    <w:rsid w:val="007C2885"/>
    <w:rsid w:val="007C4E78"/>
    <w:rsid w:val="007C4E7F"/>
    <w:rsid w:val="007C53B9"/>
    <w:rsid w:val="007C5492"/>
    <w:rsid w:val="007C5BEA"/>
    <w:rsid w:val="007C77E5"/>
    <w:rsid w:val="007C7E56"/>
    <w:rsid w:val="007C965F"/>
    <w:rsid w:val="007D0643"/>
    <w:rsid w:val="007D09E9"/>
    <w:rsid w:val="007D10A4"/>
    <w:rsid w:val="007D1E7E"/>
    <w:rsid w:val="007D2B18"/>
    <w:rsid w:val="007D36BE"/>
    <w:rsid w:val="007D3F2D"/>
    <w:rsid w:val="007D3F36"/>
    <w:rsid w:val="007D44C3"/>
    <w:rsid w:val="007D4DB5"/>
    <w:rsid w:val="007D543B"/>
    <w:rsid w:val="007D6338"/>
    <w:rsid w:val="007D7CC2"/>
    <w:rsid w:val="007D7FBD"/>
    <w:rsid w:val="007E003E"/>
    <w:rsid w:val="007E0869"/>
    <w:rsid w:val="007E0C12"/>
    <w:rsid w:val="007E1633"/>
    <w:rsid w:val="007E2272"/>
    <w:rsid w:val="007E420B"/>
    <w:rsid w:val="007E45FA"/>
    <w:rsid w:val="007E466F"/>
    <w:rsid w:val="007E51A5"/>
    <w:rsid w:val="007E53BF"/>
    <w:rsid w:val="007E5A68"/>
    <w:rsid w:val="007E5C14"/>
    <w:rsid w:val="007E5DAF"/>
    <w:rsid w:val="007E60BE"/>
    <w:rsid w:val="007E653D"/>
    <w:rsid w:val="007E68AF"/>
    <w:rsid w:val="007E6E08"/>
    <w:rsid w:val="007E738D"/>
    <w:rsid w:val="007E75A9"/>
    <w:rsid w:val="007F0174"/>
    <w:rsid w:val="007F0989"/>
    <w:rsid w:val="007F13D7"/>
    <w:rsid w:val="007F1F0C"/>
    <w:rsid w:val="007F2A4B"/>
    <w:rsid w:val="007F3DCC"/>
    <w:rsid w:val="007F413D"/>
    <w:rsid w:val="007F481B"/>
    <w:rsid w:val="007F6BF6"/>
    <w:rsid w:val="00801D96"/>
    <w:rsid w:val="008020F2"/>
    <w:rsid w:val="008025ED"/>
    <w:rsid w:val="008029C4"/>
    <w:rsid w:val="00802C44"/>
    <w:rsid w:val="0080306A"/>
    <w:rsid w:val="0080392B"/>
    <w:rsid w:val="0080392E"/>
    <w:rsid w:val="00803F15"/>
    <w:rsid w:val="00804CF1"/>
    <w:rsid w:val="00805650"/>
    <w:rsid w:val="00806989"/>
    <w:rsid w:val="0080700C"/>
    <w:rsid w:val="008073BA"/>
    <w:rsid w:val="00807BE6"/>
    <w:rsid w:val="00807EA4"/>
    <w:rsid w:val="00811F2F"/>
    <w:rsid w:val="008132B2"/>
    <w:rsid w:val="008138FE"/>
    <w:rsid w:val="00814037"/>
    <w:rsid w:val="008142C1"/>
    <w:rsid w:val="00814D38"/>
    <w:rsid w:val="00815A04"/>
    <w:rsid w:val="008162AB"/>
    <w:rsid w:val="008163DE"/>
    <w:rsid w:val="0081647A"/>
    <w:rsid w:val="00816CBB"/>
    <w:rsid w:val="00816DC9"/>
    <w:rsid w:val="0081742E"/>
    <w:rsid w:val="0081787B"/>
    <w:rsid w:val="00821038"/>
    <w:rsid w:val="00821A15"/>
    <w:rsid w:val="00821B48"/>
    <w:rsid w:val="0082237C"/>
    <w:rsid w:val="00822463"/>
    <w:rsid w:val="0082345B"/>
    <w:rsid w:val="008235FF"/>
    <w:rsid w:val="00823B7E"/>
    <w:rsid w:val="008242E4"/>
    <w:rsid w:val="0082540E"/>
    <w:rsid w:val="00830A06"/>
    <w:rsid w:val="00831874"/>
    <w:rsid w:val="008319CF"/>
    <w:rsid w:val="00832761"/>
    <w:rsid w:val="00832F19"/>
    <w:rsid w:val="00832F4D"/>
    <w:rsid w:val="00833245"/>
    <w:rsid w:val="0083596D"/>
    <w:rsid w:val="00835FC6"/>
    <w:rsid w:val="00836045"/>
    <w:rsid w:val="008360C5"/>
    <w:rsid w:val="00837B06"/>
    <w:rsid w:val="00840D87"/>
    <w:rsid w:val="008420FE"/>
    <w:rsid w:val="00842421"/>
    <w:rsid w:val="0084279C"/>
    <w:rsid w:val="008427B7"/>
    <w:rsid w:val="00844ADE"/>
    <w:rsid w:val="008454A0"/>
    <w:rsid w:val="008466EE"/>
    <w:rsid w:val="00846D90"/>
    <w:rsid w:val="008472CB"/>
    <w:rsid w:val="008473CE"/>
    <w:rsid w:val="00850100"/>
    <w:rsid w:val="00850941"/>
    <w:rsid w:val="00850C75"/>
    <w:rsid w:val="008523C2"/>
    <w:rsid w:val="00852A3F"/>
    <w:rsid w:val="00852AC8"/>
    <w:rsid w:val="0085333E"/>
    <w:rsid w:val="008539F3"/>
    <w:rsid w:val="0085427C"/>
    <w:rsid w:val="008551BC"/>
    <w:rsid w:val="00855323"/>
    <w:rsid w:val="0085583F"/>
    <w:rsid w:val="00855964"/>
    <w:rsid w:val="008559C4"/>
    <w:rsid w:val="00856AAC"/>
    <w:rsid w:val="008573FC"/>
    <w:rsid w:val="0085761D"/>
    <w:rsid w:val="00860333"/>
    <w:rsid w:val="00860A79"/>
    <w:rsid w:val="00860C75"/>
    <w:rsid w:val="008616CA"/>
    <w:rsid w:val="00861DA9"/>
    <w:rsid w:val="00862484"/>
    <w:rsid w:val="00862AB7"/>
    <w:rsid w:val="00863E0B"/>
    <w:rsid w:val="0086496C"/>
    <w:rsid w:val="00864AD6"/>
    <w:rsid w:val="00864B32"/>
    <w:rsid w:val="00865394"/>
    <w:rsid w:val="00865AE9"/>
    <w:rsid w:val="008662BA"/>
    <w:rsid w:val="008671DC"/>
    <w:rsid w:val="008706D1"/>
    <w:rsid w:val="00870745"/>
    <w:rsid w:val="00870946"/>
    <w:rsid w:val="00870BC1"/>
    <w:rsid w:val="00870FFD"/>
    <w:rsid w:val="0087287A"/>
    <w:rsid w:val="008734AF"/>
    <w:rsid w:val="00873931"/>
    <w:rsid w:val="00874446"/>
    <w:rsid w:val="00876B94"/>
    <w:rsid w:val="00877F54"/>
    <w:rsid w:val="00880691"/>
    <w:rsid w:val="00881F09"/>
    <w:rsid w:val="008821B4"/>
    <w:rsid w:val="0088296C"/>
    <w:rsid w:val="008829F1"/>
    <w:rsid w:val="00883EA6"/>
    <w:rsid w:val="00884159"/>
    <w:rsid w:val="008850CF"/>
    <w:rsid w:val="00885E83"/>
    <w:rsid w:val="008865FD"/>
    <w:rsid w:val="00887AC9"/>
    <w:rsid w:val="00890630"/>
    <w:rsid w:val="008908C9"/>
    <w:rsid w:val="00890CC6"/>
    <w:rsid w:val="00890EDC"/>
    <w:rsid w:val="00891364"/>
    <w:rsid w:val="008919B7"/>
    <w:rsid w:val="00891C0F"/>
    <w:rsid w:val="00891E42"/>
    <w:rsid w:val="00892047"/>
    <w:rsid w:val="0089256D"/>
    <w:rsid w:val="00894659"/>
    <w:rsid w:val="0089491F"/>
    <w:rsid w:val="00894C34"/>
    <w:rsid w:val="00895B28"/>
    <w:rsid w:val="00895BC6"/>
    <w:rsid w:val="0089626F"/>
    <w:rsid w:val="00896285"/>
    <w:rsid w:val="00896995"/>
    <w:rsid w:val="00896DB8"/>
    <w:rsid w:val="00896EAA"/>
    <w:rsid w:val="00897456"/>
    <w:rsid w:val="008977AC"/>
    <w:rsid w:val="00897857"/>
    <w:rsid w:val="00897CEB"/>
    <w:rsid w:val="008A0ED6"/>
    <w:rsid w:val="008A1BE2"/>
    <w:rsid w:val="008A1CBD"/>
    <w:rsid w:val="008A22BF"/>
    <w:rsid w:val="008A2869"/>
    <w:rsid w:val="008A2D17"/>
    <w:rsid w:val="008A2D66"/>
    <w:rsid w:val="008A34CC"/>
    <w:rsid w:val="008A57B0"/>
    <w:rsid w:val="008A57BE"/>
    <w:rsid w:val="008A6631"/>
    <w:rsid w:val="008A6A91"/>
    <w:rsid w:val="008A6BFE"/>
    <w:rsid w:val="008A71D6"/>
    <w:rsid w:val="008A75FE"/>
    <w:rsid w:val="008B08CD"/>
    <w:rsid w:val="008B2797"/>
    <w:rsid w:val="008B2895"/>
    <w:rsid w:val="008B2D75"/>
    <w:rsid w:val="008B2EE8"/>
    <w:rsid w:val="008B3A29"/>
    <w:rsid w:val="008B3B23"/>
    <w:rsid w:val="008B4110"/>
    <w:rsid w:val="008B417F"/>
    <w:rsid w:val="008B4E8B"/>
    <w:rsid w:val="008B57F0"/>
    <w:rsid w:val="008B5856"/>
    <w:rsid w:val="008B5AF3"/>
    <w:rsid w:val="008B5EBD"/>
    <w:rsid w:val="008B6241"/>
    <w:rsid w:val="008B7B0B"/>
    <w:rsid w:val="008C1280"/>
    <w:rsid w:val="008C1440"/>
    <w:rsid w:val="008C1B3B"/>
    <w:rsid w:val="008C24B9"/>
    <w:rsid w:val="008C29C6"/>
    <w:rsid w:val="008C308C"/>
    <w:rsid w:val="008C3C9F"/>
    <w:rsid w:val="008C43A4"/>
    <w:rsid w:val="008C46E0"/>
    <w:rsid w:val="008C51B8"/>
    <w:rsid w:val="008C612F"/>
    <w:rsid w:val="008C6BC6"/>
    <w:rsid w:val="008C6C43"/>
    <w:rsid w:val="008C70F1"/>
    <w:rsid w:val="008C73AA"/>
    <w:rsid w:val="008C7594"/>
    <w:rsid w:val="008D017B"/>
    <w:rsid w:val="008D0A76"/>
    <w:rsid w:val="008D0E44"/>
    <w:rsid w:val="008D34F6"/>
    <w:rsid w:val="008D5024"/>
    <w:rsid w:val="008D5A15"/>
    <w:rsid w:val="008D62A4"/>
    <w:rsid w:val="008D6FF1"/>
    <w:rsid w:val="008E0C30"/>
    <w:rsid w:val="008E114D"/>
    <w:rsid w:val="008E32A5"/>
    <w:rsid w:val="008E3469"/>
    <w:rsid w:val="008E5640"/>
    <w:rsid w:val="008E6420"/>
    <w:rsid w:val="008E6A9F"/>
    <w:rsid w:val="008E748E"/>
    <w:rsid w:val="008F1090"/>
    <w:rsid w:val="008F1E0E"/>
    <w:rsid w:val="008F4A13"/>
    <w:rsid w:val="008F5077"/>
    <w:rsid w:val="008F5A12"/>
    <w:rsid w:val="008F5B98"/>
    <w:rsid w:val="008F6A58"/>
    <w:rsid w:val="008F7011"/>
    <w:rsid w:val="008F71ED"/>
    <w:rsid w:val="00901DE0"/>
    <w:rsid w:val="00902A22"/>
    <w:rsid w:val="00902B6B"/>
    <w:rsid w:val="00902FA6"/>
    <w:rsid w:val="0090308D"/>
    <w:rsid w:val="0090347E"/>
    <w:rsid w:val="00904845"/>
    <w:rsid w:val="00904E11"/>
    <w:rsid w:val="00905691"/>
    <w:rsid w:val="0090629A"/>
    <w:rsid w:val="00906517"/>
    <w:rsid w:val="00907135"/>
    <w:rsid w:val="009077DC"/>
    <w:rsid w:val="00907948"/>
    <w:rsid w:val="009098B3"/>
    <w:rsid w:val="0091022A"/>
    <w:rsid w:val="00910AC9"/>
    <w:rsid w:val="00911084"/>
    <w:rsid w:val="0091195E"/>
    <w:rsid w:val="00912324"/>
    <w:rsid w:val="00912401"/>
    <w:rsid w:val="00912746"/>
    <w:rsid w:val="00912B47"/>
    <w:rsid w:val="0091388F"/>
    <w:rsid w:val="00920120"/>
    <w:rsid w:val="0092013C"/>
    <w:rsid w:val="00920997"/>
    <w:rsid w:val="00920B3F"/>
    <w:rsid w:val="00920CD4"/>
    <w:rsid w:val="00921F5B"/>
    <w:rsid w:val="009223B5"/>
    <w:rsid w:val="00922D94"/>
    <w:rsid w:val="00922E6B"/>
    <w:rsid w:val="00923F09"/>
    <w:rsid w:val="0092577F"/>
    <w:rsid w:val="009265F4"/>
    <w:rsid w:val="00930EDE"/>
    <w:rsid w:val="009310CE"/>
    <w:rsid w:val="009314FD"/>
    <w:rsid w:val="009322BD"/>
    <w:rsid w:val="0093262D"/>
    <w:rsid w:val="0093399D"/>
    <w:rsid w:val="00934412"/>
    <w:rsid w:val="00934580"/>
    <w:rsid w:val="00934783"/>
    <w:rsid w:val="009347A4"/>
    <w:rsid w:val="00935151"/>
    <w:rsid w:val="00936570"/>
    <w:rsid w:val="0093679F"/>
    <w:rsid w:val="00936F0D"/>
    <w:rsid w:val="0094122A"/>
    <w:rsid w:val="00941C32"/>
    <w:rsid w:val="00941ECD"/>
    <w:rsid w:val="00942AF2"/>
    <w:rsid w:val="00942BED"/>
    <w:rsid w:val="009444B4"/>
    <w:rsid w:val="0094510A"/>
    <w:rsid w:val="009457C6"/>
    <w:rsid w:val="00947196"/>
    <w:rsid w:val="009471EA"/>
    <w:rsid w:val="00950185"/>
    <w:rsid w:val="009507D8"/>
    <w:rsid w:val="00951F7D"/>
    <w:rsid w:val="009520B0"/>
    <w:rsid w:val="009521ED"/>
    <w:rsid w:val="009534E0"/>
    <w:rsid w:val="00953AEE"/>
    <w:rsid w:val="009548E7"/>
    <w:rsid w:val="00955030"/>
    <w:rsid w:val="00955618"/>
    <w:rsid w:val="00956433"/>
    <w:rsid w:val="0095686E"/>
    <w:rsid w:val="0095739B"/>
    <w:rsid w:val="00957577"/>
    <w:rsid w:val="00957ADC"/>
    <w:rsid w:val="00957B9C"/>
    <w:rsid w:val="0096020D"/>
    <w:rsid w:val="0096042F"/>
    <w:rsid w:val="009605A6"/>
    <w:rsid w:val="009605E7"/>
    <w:rsid w:val="00960C3C"/>
    <w:rsid w:val="009615B1"/>
    <w:rsid w:val="00961DB0"/>
    <w:rsid w:val="00961FF7"/>
    <w:rsid w:val="00962622"/>
    <w:rsid w:val="00962DC8"/>
    <w:rsid w:val="0096321B"/>
    <w:rsid w:val="00963B4A"/>
    <w:rsid w:val="00963CAE"/>
    <w:rsid w:val="009640BB"/>
    <w:rsid w:val="00965779"/>
    <w:rsid w:val="00967962"/>
    <w:rsid w:val="00967B1B"/>
    <w:rsid w:val="00970B2E"/>
    <w:rsid w:val="0097132F"/>
    <w:rsid w:val="009719A9"/>
    <w:rsid w:val="009738A5"/>
    <w:rsid w:val="00974F28"/>
    <w:rsid w:val="00975FD9"/>
    <w:rsid w:val="00977022"/>
    <w:rsid w:val="00977506"/>
    <w:rsid w:val="00977822"/>
    <w:rsid w:val="0097794A"/>
    <w:rsid w:val="00977F10"/>
    <w:rsid w:val="00980DE1"/>
    <w:rsid w:val="00982426"/>
    <w:rsid w:val="0098258D"/>
    <w:rsid w:val="00982FB1"/>
    <w:rsid w:val="009831E4"/>
    <w:rsid w:val="0098321C"/>
    <w:rsid w:val="00983602"/>
    <w:rsid w:val="009838F4"/>
    <w:rsid w:val="00983BCE"/>
    <w:rsid w:val="00984088"/>
    <w:rsid w:val="00986D8D"/>
    <w:rsid w:val="00987933"/>
    <w:rsid w:val="00987B19"/>
    <w:rsid w:val="00990239"/>
    <w:rsid w:val="00990823"/>
    <w:rsid w:val="00990835"/>
    <w:rsid w:val="00990B4D"/>
    <w:rsid w:val="0099172D"/>
    <w:rsid w:val="00991A8D"/>
    <w:rsid w:val="00991C3D"/>
    <w:rsid w:val="00991CB2"/>
    <w:rsid w:val="00992C6E"/>
    <w:rsid w:val="00993FAD"/>
    <w:rsid w:val="00995959"/>
    <w:rsid w:val="00995A65"/>
    <w:rsid w:val="009975DF"/>
    <w:rsid w:val="009A0C4B"/>
    <w:rsid w:val="009A0FD6"/>
    <w:rsid w:val="009A1393"/>
    <w:rsid w:val="009A1AC4"/>
    <w:rsid w:val="009A24B0"/>
    <w:rsid w:val="009A2D2A"/>
    <w:rsid w:val="009A6438"/>
    <w:rsid w:val="009A6575"/>
    <w:rsid w:val="009A6C87"/>
    <w:rsid w:val="009A7690"/>
    <w:rsid w:val="009A776F"/>
    <w:rsid w:val="009A781D"/>
    <w:rsid w:val="009A794C"/>
    <w:rsid w:val="009B0851"/>
    <w:rsid w:val="009B0F29"/>
    <w:rsid w:val="009B17D0"/>
    <w:rsid w:val="009B24B9"/>
    <w:rsid w:val="009B29C5"/>
    <w:rsid w:val="009B3143"/>
    <w:rsid w:val="009B34F3"/>
    <w:rsid w:val="009B5474"/>
    <w:rsid w:val="009B64F6"/>
    <w:rsid w:val="009B6688"/>
    <w:rsid w:val="009B769A"/>
    <w:rsid w:val="009B7B1A"/>
    <w:rsid w:val="009C0041"/>
    <w:rsid w:val="009C1978"/>
    <w:rsid w:val="009C2C2D"/>
    <w:rsid w:val="009C2FCB"/>
    <w:rsid w:val="009C4E49"/>
    <w:rsid w:val="009C58BD"/>
    <w:rsid w:val="009C5C87"/>
    <w:rsid w:val="009C6CA7"/>
    <w:rsid w:val="009C6F2E"/>
    <w:rsid w:val="009C7531"/>
    <w:rsid w:val="009C79A3"/>
    <w:rsid w:val="009C79FC"/>
    <w:rsid w:val="009D06AD"/>
    <w:rsid w:val="009D1405"/>
    <w:rsid w:val="009D1566"/>
    <w:rsid w:val="009D1CDD"/>
    <w:rsid w:val="009D2489"/>
    <w:rsid w:val="009D2584"/>
    <w:rsid w:val="009D2F8F"/>
    <w:rsid w:val="009D3325"/>
    <w:rsid w:val="009D351F"/>
    <w:rsid w:val="009D4B40"/>
    <w:rsid w:val="009D5300"/>
    <w:rsid w:val="009D5DEA"/>
    <w:rsid w:val="009D6508"/>
    <w:rsid w:val="009D67F8"/>
    <w:rsid w:val="009D71C5"/>
    <w:rsid w:val="009D747C"/>
    <w:rsid w:val="009D7F35"/>
    <w:rsid w:val="009D7F4C"/>
    <w:rsid w:val="009E045C"/>
    <w:rsid w:val="009E1396"/>
    <w:rsid w:val="009E2667"/>
    <w:rsid w:val="009E2874"/>
    <w:rsid w:val="009E2C6E"/>
    <w:rsid w:val="009E3839"/>
    <w:rsid w:val="009E4B77"/>
    <w:rsid w:val="009E4CE6"/>
    <w:rsid w:val="009E5FFC"/>
    <w:rsid w:val="009E64B1"/>
    <w:rsid w:val="009E6A12"/>
    <w:rsid w:val="009E7D3A"/>
    <w:rsid w:val="009F082A"/>
    <w:rsid w:val="009F1509"/>
    <w:rsid w:val="009F178C"/>
    <w:rsid w:val="009F180B"/>
    <w:rsid w:val="009F1DF0"/>
    <w:rsid w:val="009F33FE"/>
    <w:rsid w:val="009F4A71"/>
    <w:rsid w:val="009F4BA3"/>
    <w:rsid w:val="009F4D5D"/>
    <w:rsid w:val="009F6B45"/>
    <w:rsid w:val="009F6CE6"/>
    <w:rsid w:val="009F6F73"/>
    <w:rsid w:val="009F71F6"/>
    <w:rsid w:val="00A00CB6"/>
    <w:rsid w:val="00A00FCD"/>
    <w:rsid w:val="00A01484"/>
    <w:rsid w:val="00A01CB2"/>
    <w:rsid w:val="00A03997"/>
    <w:rsid w:val="00A040DB"/>
    <w:rsid w:val="00A046A6"/>
    <w:rsid w:val="00A04A33"/>
    <w:rsid w:val="00A04D10"/>
    <w:rsid w:val="00A05245"/>
    <w:rsid w:val="00A05B7E"/>
    <w:rsid w:val="00A05E60"/>
    <w:rsid w:val="00A07617"/>
    <w:rsid w:val="00A079CB"/>
    <w:rsid w:val="00A1047C"/>
    <w:rsid w:val="00A112F7"/>
    <w:rsid w:val="00A11F34"/>
    <w:rsid w:val="00A14409"/>
    <w:rsid w:val="00A145BC"/>
    <w:rsid w:val="00A16015"/>
    <w:rsid w:val="00A1694F"/>
    <w:rsid w:val="00A16CE6"/>
    <w:rsid w:val="00A208F5"/>
    <w:rsid w:val="00A23D68"/>
    <w:rsid w:val="00A2415D"/>
    <w:rsid w:val="00A245E2"/>
    <w:rsid w:val="00A24D71"/>
    <w:rsid w:val="00A24F18"/>
    <w:rsid w:val="00A250E3"/>
    <w:rsid w:val="00A263E2"/>
    <w:rsid w:val="00A2669E"/>
    <w:rsid w:val="00A26EFC"/>
    <w:rsid w:val="00A27907"/>
    <w:rsid w:val="00A30901"/>
    <w:rsid w:val="00A30947"/>
    <w:rsid w:val="00A318AA"/>
    <w:rsid w:val="00A31D09"/>
    <w:rsid w:val="00A3221C"/>
    <w:rsid w:val="00A32241"/>
    <w:rsid w:val="00A3233D"/>
    <w:rsid w:val="00A3379B"/>
    <w:rsid w:val="00A34F9C"/>
    <w:rsid w:val="00A34FA2"/>
    <w:rsid w:val="00A35315"/>
    <w:rsid w:val="00A36D59"/>
    <w:rsid w:val="00A37084"/>
    <w:rsid w:val="00A374DB"/>
    <w:rsid w:val="00A39B8A"/>
    <w:rsid w:val="00A41AB5"/>
    <w:rsid w:val="00A42A4D"/>
    <w:rsid w:val="00A42B7B"/>
    <w:rsid w:val="00A42E59"/>
    <w:rsid w:val="00A43797"/>
    <w:rsid w:val="00A43BBD"/>
    <w:rsid w:val="00A440D1"/>
    <w:rsid w:val="00A44CBF"/>
    <w:rsid w:val="00A45254"/>
    <w:rsid w:val="00A4578F"/>
    <w:rsid w:val="00A46258"/>
    <w:rsid w:val="00A462CB"/>
    <w:rsid w:val="00A467A5"/>
    <w:rsid w:val="00A4694E"/>
    <w:rsid w:val="00A47296"/>
    <w:rsid w:val="00A47B9B"/>
    <w:rsid w:val="00A50E9C"/>
    <w:rsid w:val="00A5162C"/>
    <w:rsid w:val="00A5279B"/>
    <w:rsid w:val="00A527AF"/>
    <w:rsid w:val="00A52A76"/>
    <w:rsid w:val="00A53196"/>
    <w:rsid w:val="00A53629"/>
    <w:rsid w:val="00A5481D"/>
    <w:rsid w:val="00A54EE4"/>
    <w:rsid w:val="00A551F0"/>
    <w:rsid w:val="00A55396"/>
    <w:rsid w:val="00A557B2"/>
    <w:rsid w:val="00A572AB"/>
    <w:rsid w:val="00A60509"/>
    <w:rsid w:val="00A60775"/>
    <w:rsid w:val="00A60B41"/>
    <w:rsid w:val="00A60D8A"/>
    <w:rsid w:val="00A6376A"/>
    <w:rsid w:val="00A639CC"/>
    <w:rsid w:val="00A643CD"/>
    <w:rsid w:val="00A66152"/>
    <w:rsid w:val="00A66890"/>
    <w:rsid w:val="00A669CF"/>
    <w:rsid w:val="00A6DEFD"/>
    <w:rsid w:val="00A7158A"/>
    <w:rsid w:val="00A72CC9"/>
    <w:rsid w:val="00A74CCD"/>
    <w:rsid w:val="00A753BE"/>
    <w:rsid w:val="00A7550B"/>
    <w:rsid w:val="00A75946"/>
    <w:rsid w:val="00A76C95"/>
    <w:rsid w:val="00A76FAD"/>
    <w:rsid w:val="00A775FF"/>
    <w:rsid w:val="00A80135"/>
    <w:rsid w:val="00A809B2"/>
    <w:rsid w:val="00A831A9"/>
    <w:rsid w:val="00A835E3"/>
    <w:rsid w:val="00A84753"/>
    <w:rsid w:val="00A87B79"/>
    <w:rsid w:val="00A909B4"/>
    <w:rsid w:val="00A921A9"/>
    <w:rsid w:val="00A93818"/>
    <w:rsid w:val="00A93E8C"/>
    <w:rsid w:val="00A94319"/>
    <w:rsid w:val="00A94D5C"/>
    <w:rsid w:val="00A95006"/>
    <w:rsid w:val="00A95C3E"/>
    <w:rsid w:val="00A96B54"/>
    <w:rsid w:val="00A9700F"/>
    <w:rsid w:val="00A973A9"/>
    <w:rsid w:val="00A9747D"/>
    <w:rsid w:val="00A97B4B"/>
    <w:rsid w:val="00AA0145"/>
    <w:rsid w:val="00AA0616"/>
    <w:rsid w:val="00AA0F0D"/>
    <w:rsid w:val="00AA1056"/>
    <w:rsid w:val="00AA1A59"/>
    <w:rsid w:val="00AA1BB9"/>
    <w:rsid w:val="00AA2F7E"/>
    <w:rsid w:val="00AA36EF"/>
    <w:rsid w:val="00AA371D"/>
    <w:rsid w:val="00AA3879"/>
    <w:rsid w:val="00AA3A1C"/>
    <w:rsid w:val="00AA44FA"/>
    <w:rsid w:val="00AA5087"/>
    <w:rsid w:val="00AA570E"/>
    <w:rsid w:val="00AA640E"/>
    <w:rsid w:val="00AA7EAC"/>
    <w:rsid w:val="00AA7F21"/>
    <w:rsid w:val="00AB0E29"/>
    <w:rsid w:val="00AB1AE9"/>
    <w:rsid w:val="00AB247E"/>
    <w:rsid w:val="00AB2D30"/>
    <w:rsid w:val="00AB2E81"/>
    <w:rsid w:val="00AB4E94"/>
    <w:rsid w:val="00AB504C"/>
    <w:rsid w:val="00AB5E58"/>
    <w:rsid w:val="00AB5FF6"/>
    <w:rsid w:val="00AB69F0"/>
    <w:rsid w:val="00AB739E"/>
    <w:rsid w:val="00AB76BC"/>
    <w:rsid w:val="00AB7A2F"/>
    <w:rsid w:val="00AC1BB3"/>
    <w:rsid w:val="00AC351C"/>
    <w:rsid w:val="00AC3A75"/>
    <w:rsid w:val="00AC3E4C"/>
    <w:rsid w:val="00AC40E7"/>
    <w:rsid w:val="00AC4116"/>
    <w:rsid w:val="00AC48E7"/>
    <w:rsid w:val="00AC52F6"/>
    <w:rsid w:val="00AC6D2B"/>
    <w:rsid w:val="00AD0A75"/>
    <w:rsid w:val="00AD10A4"/>
    <w:rsid w:val="00AD1716"/>
    <w:rsid w:val="00AD1DA0"/>
    <w:rsid w:val="00AD1EC9"/>
    <w:rsid w:val="00AD2095"/>
    <w:rsid w:val="00AD2E5B"/>
    <w:rsid w:val="00AD4E47"/>
    <w:rsid w:val="00AD4F66"/>
    <w:rsid w:val="00AD55A1"/>
    <w:rsid w:val="00AD7157"/>
    <w:rsid w:val="00AD7F7B"/>
    <w:rsid w:val="00AE0213"/>
    <w:rsid w:val="00AE08A8"/>
    <w:rsid w:val="00AE1406"/>
    <w:rsid w:val="00AE1591"/>
    <w:rsid w:val="00AE1598"/>
    <w:rsid w:val="00AE20B4"/>
    <w:rsid w:val="00AE277D"/>
    <w:rsid w:val="00AE2FF6"/>
    <w:rsid w:val="00AE38FA"/>
    <w:rsid w:val="00AE480C"/>
    <w:rsid w:val="00AE4D44"/>
    <w:rsid w:val="00AE4E8D"/>
    <w:rsid w:val="00AE69BB"/>
    <w:rsid w:val="00AE6B09"/>
    <w:rsid w:val="00AF14BB"/>
    <w:rsid w:val="00AF18A3"/>
    <w:rsid w:val="00AF1BC6"/>
    <w:rsid w:val="00AF1DB1"/>
    <w:rsid w:val="00AF1DD7"/>
    <w:rsid w:val="00AF24CD"/>
    <w:rsid w:val="00AF2C86"/>
    <w:rsid w:val="00AF3A4C"/>
    <w:rsid w:val="00AF4C85"/>
    <w:rsid w:val="00AF52AE"/>
    <w:rsid w:val="00AF5B01"/>
    <w:rsid w:val="00AF5FE1"/>
    <w:rsid w:val="00AF68F3"/>
    <w:rsid w:val="00AF7579"/>
    <w:rsid w:val="00B00754"/>
    <w:rsid w:val="00B012F1"/>
    <w:rsid w:val="00B01662"/>
    <w:rsid w:val="00B01DAE"/>
    <w:rsid w:val="00B038C6"/>
    <w:rsid w:val="00B03B0C"/>
    <w:rsid w:val="00B04245"/>
    <w:rsid w:val="00B048D7"/>
    <w:rsid w:val="00B05573"/>
    <w:rsid w:val="00B05BF0"/>
    <w:rsid w:val="00B069C7"/>
    <w:rsid w:val="00B07528"/>
    <w:rsid w:val="00B07C01"/>
    <w:rsid w:val="00B07D64"/>
    <w:rsid w:val="00B12435"/>
    <w:rsid w:val="00B12889"/>
    <w:rsid w:val="00B13692"/>
    <w:rsid w:val="00B15B64"/>
    <w:rsid w:val="00B169B5"/>
    <w:rsid w:val="00B176D6"/>
    <w:rsid w:val="00B17771"/>
    <w:rsid w:val="00B17D2D"/>
    <w:rsid w:val="00B1F38C"/>
    <w:rsid w:val="00B20B64"/>
    <w:rsid w:val="00B20C43"/>
    <w:rsid w:val="00B21E39"/>
    <w:rsid w:val="00B226E8"/>
    <w:rsid w:val="00B22A8D"/>
    <w:rsid w:val="00B23136"/>
    <w:rsid w:val="00B23973"/>
    <w:rsid w:val="00B23B8F"/>
    <w:rsid w:val="00B24958"/>
    <w:rsid w:val="00B250E7"/>
    <w:rsid w:val="00B252B2"/>
    <w:rsid w:val="00B256AB"/>
    <w:rsid w:val="00B25A6D"/>
    <w:rsid w:val="00B2798C"/>
    <w:rsid w:val="00B27B0C"/>
    <w:rsid w:val="00B30CA9"/>
    <w:rsid w:val="00B30EB8"/>
    <w:rsid w:val="00B310C4"/>
    <w:rsid w:val="00B31383"/>
    <w:rsid w:val="00B31FCF"/>
    <w:rsid w:val="00B3216A"/>
    <w:rsid w:val="00B3311D"/>
    <w:rsid w:val="00B342FB"/>
    <w:rsid w:val="00B34BF4"/>
    <w:rsid w:val="00B36B93"/>
    <w:rsid w:val="00B37080"/>
    <w:rsid w:val="00B40247"/>
    <w:rsid w:val="00B40BD7"/>
    <w:rsid w:val="00B40C47"/>
    <w:rsid w:val="00B421B0"/>
    <w:rsid w:val="00B4246F"/>
    <w:rsid w:val="00B4252A"/>
    <w:rsid w:val="00B43AF6"/>
    <w:rsid w:val="00B43CC8"/>
    <w:rsid w:val="00B44005"/>
    <w:rsid w:val="00B447D9"/>
    <w:rsid w:val="00B45451"/>
    <w:rsid w:val="00B45E4E"/>
    <w:rsid w:val="00B46A20"/>
    <w:rsid w:val="00B47182"/>
    <w:rsid w:val="00B47D4D"/>
    <w:rsid w:val="00B47ECA"/>
    <w:rsid w:val="00B527D3"/>
    <w:rsid w:val="00B52ED4"/>
    <w:rsid w:val="00B53468"/>
    <w:rsid w:val="00B55B55"/>
    <w:rsid w:val="00B56143"/>
    <w:rsid w:val="00B568FB"/>
    <w:rsid w:val="00B60A99"/>
    <w:rsid w:val="00B61396"/>
    <w:rsid w:val="00B621AF"/>
    <w:rsid w:val="00B62763"/>
    <w:rsid w:val="00B63526"/>
    <w:rsid w:val="00B635AF"/>
    <w:rsid w:val="00B64322"/>
    <w:rsid w:val="00B64991"/>
    <w:rsid w:val="00B65799"/>
    <w:rsid w:val="00B65959"/>
    <w:rsid w:val="00B65E27"/>
    <w:rsid w:val="00B6600D"/>
    <w:rsid w:val="00B660D8"/>
    <w:rsid w:val="00B708B9"/>
    <w:rsid w:val="00B72722"/>
    <w:rsid w:val="00B72AF7"/>
    <w:rsid w:val="00B72B56"/>
    <w:rsid w:val="00B72FB9"/>
    <w:rsid w:val="00B731B3"/>
    <w:rsid w:val="00B74782"/>
    <w:rsid w:val="00B751C7"/>
    <w:rsid w:val="00B759FB"/>
    <w:rsid w:val="00B77ED0"/>
    <w:rsid w:val="00B77EFB"/>
    <w:rsid w:val="00B80855"/>
    <w:rsid w:val="00B80C46"/>
    <w:rsid w:val="00B80C77"/>
    <w:rsid w:val="00B81202"/>
    <w:rsid w:val="00B81608"/>
    <w:rsid w:val="00B81743"/>
    <w:rsid w:val="00B8307A"/>
    <w:rsid w:val="00B83310"/>
    <w:rsid w:val="00B833DB"/>
    <w:rsid w:val="00B8377C"/>
    <w:rsid w:val="00B83853"/>
    <w:rsid w:val="00B83E84"/>
    <w:rsid w:val="00B85A26"/>
    <w:rsid w:val="00B86A45"/>
    <w:rsid w:val="00B86E1E"/>
    <w:rsid w:val="00B879C3"/>
    <w:rsid w:val="00B926BF"/>
    <w:rsid w:val="00B92D90"/>
    <w:rsid w:val="00B94950"/>
    <w:rsid w:val="00B949FA"/>
    <w:rsid w:val="00B95654"/>
    <w:rsid w:val="00B95880"/>
    <w:rsid w:val="00B96362"/>
    <w:rsid w:val="00B96B60"/>
    <w:rsid w:val="00B96FBC"/>
    <w:rsid w:val="00B97845"/>
    <w:rsid w:val="00B97D30"/>
    <w:rsid w:val="00BA1A16"/>
    <w:rsid w:val="00BA1C01"/>
    <w:rsid w:val="00BA26EB"/>
    <w:rsid w:val="00BA36D9"/>
    <w:rsid w:val="00BA372D"/>
    <w:rsid w:val="00BA3A36"/>
    <w:rsid w:val="00BA3B6D"/>
    <w:rsid w:val="00BA4846"/>
    <w:rsid w:val="00BA4C1D"/>
    <w:rsid w:val="00BA5744"/>
    <w:rsid w:val="00BA6204"/>
    <w:rsid w:val="00BA70FA"/>
    <w:rsid w:val="00BA7948"/>
    <w:rsid w:val="00BA7DF0"/>
    <w:rsid w:val="00BB06EE"/>
    <w:rsid w:val="00BB0A5A"/>
    <w:rsid w:val="00BB0E21"/>
    <w:rsid w:val="00BB1275"/>
    <w:rsid w:val="00BB13B7"/>
    <w:rsid w:val="00BB1EBB"/>
    <w:rsid w:val="00BB27E3"/>
    <w:rsid w:val="00BB2DD7"/>
    <w:rsid w:val="00BB3584"/>
    <w:rsid w:val="00BB439D"/>
    <w:rsid w:val="00BB4B40"/>
    <w:rsid w:val="00BB4CFE"/>
    <w:rsid w:val="00BB57B2"/>
    <w:rsid w:val="00BB5C0E"/>
    <w:rsid w:val="00BB6A86"/>
    <w:rsid w:val="00BB7AA4"/>
    <w:rsid w:val="00BC0400"/>
    <w:rsid w:val="00BC1797"/>
    <w:rsid w:val="00BC1A7C"/>
    <w:rsid w:val="00BC3193"/>
    <w:rsid w:val="00BC3521"/>
    <w:rsid w:val="00BC3734"/>
    <w:rsid w:val="00BC3837"/>
    <w:rsid w:val="00BC3C21"/>
    <w:rsid w:val="00BC3D56"/>
    <w:rsid w:val="00BC561F"/>
    <w:rsid w:val="00BC6457"/>
    <w:rsid w:val="00BC652E"/>
    <w:rsid w:val="00BC6A1D"/>
    <w:rsid w:val="00BD00AA"/>
    <w:rsid w:val="00BD1543"/>
    <w:rsid w:val="00BD1EA4"/>
    <w:rsid w:val="00BD3518"/>
    <w:rsid w:val="00BD3E8A"/>
    <w:rsid w:val="00BD4128"/>
    <w:rsid w:val="00BD55A3"/>
    <w:rsid w:val="00BD5A4D"/>
    <w:rsid w:val="00BD60D8"/>
    <w:rsid w:val="00BD6168"/>
    <w:rsid w:val="00BD632A"/>
    <w:rsid w:val="00BD6454"/>
    <w:rsid w:val="00BD7DC2"/>
    <w:rsid w:val="00BD7E94"/>
    <w:rsid w:val="00BE2789"/>
    <w:rsid w:val="00BE333D"/>
    <w:rsid w:val="00BE337C"/>
    <w:rsid w:val="00BE4892"/>
    <w:rsid w:val="00BE49DF"/>
    <w:rsid w:val="00BE52F8"/>
    <w:rsid w:val="00BE5BCF"/>
    <w:rsid w:val="00BE64D4"/>
    <w:rsid w:val="00BEC9A2"/>
    <w:rsid w:val="00BF1F2E"/>
    <w:rsid w:val="00BF267B"/>
    <w:rsid w:val="00BF3312"/>
    <w:rsid w:val="00BF38E7"/>
    <w:rsid w:val="00BF44A3"/>
    <w:rsid w:val="00BF4A1D"/>
    <w:rsid w:val="00BF4CC5"/>
    <w:rsid w:val="00BF5F80"/>
    <w:rsid w:val="00BF77EE"/>
    <w:rsid w:val="00C015AD"/>
    <w:rsid w:val="00C01CDF"/>
    <w:rsid w:val="00C02277"/>
    <w:rsid w:val="00C030EC"/>
    <w:rsid w:val="00C03AA6"/>
    <w:rsid w:val="00C03F50"/>
    <w:rsid w:val="00C04579"/>
    <w:rsid w:val="00C047DF"/>
    <w:rsid w:val="00C05704"/>
    <w:rsid w:val="00C06809"/>
    <w:rsid w:val="00C10038"/>
    <w:rsid w:val="00C10DF9"/>
    <w:rsid w:val="00C10E2B"/>
    <w:rsid w:val="00C1393C"/>
    <w:rsid w:val="00C157D3"/>
    <w:rsid w:val="00C1649C"/>
    <w:rsid w:val="00C1659C"/>
    <w:rsid w:val="00C17123"/>
    <w:rsid w:val="00C17D1B"/>
    <w:rsid w:val="00C2034D"/>
    <w:rsid w:val="00C21BBE"/>
    <w:rsid w:val="00C221E7"/>
    <w:rsid w:val="00C22750"/>
    <w:rsid w:val="00C230CC"/>
    <w:rsid w:val="00C23363"/>
    <w:rsid w:val="00C235FF"/>
    <w:rsid w:val="00C23A15"/>
    <w:rsid w:val="00C2400D"/>
    <w:rsid w:val="00C2411D"/>
    <w:rsid w:val="00C242B1"/>
    <w:rsid w:val="00C24952"/>
    <w:rsid w:val="00C24E03"/>
    <w:rsid w:val="00C25310"/>
    <w:rsid w:val="00C2698E"/>
    <w:rsid w:val="00C26B10"/>
    <w:rsid w:val="00C26B37"/>
    <w:rsid w:val="00C26E42"/>
    <w:rsid w:val="00C27BE6"/>
    <w:rsid w:val="00C2B481"/>
    <w:rsid w:val="00C307A7"/>
    <w:rsid w:val="00C30D60"/>
    <w:rsid w:val="00C3226C"/>
    <w:rsid w:val="00C32D9D"/>
    <w:rsid w:val="00C3339F"/>
    <w:rsid w:val="00C35543"/>
    <w:rsid w:val="00C35620"/>
    <w:rsid w:val="00C362B0"/>
    <w:rsid w:val="00C36669"/>
    <w:rsid w:val="00C37B4E"/>
    <w:rsid w:val="00C405CA"/>
    <w:rsid w:val="00C4189D"/>
    <w:rsid w:val="00C41BB2"/>
    <w:rsid w:val="00C42F1C"/>
    <w:rsid w:val="00C430C9"/>
    <w:rsid w:val="00C43740"/>
    <w:rsid w:val="00C43BC5"/>
    <w:rsid w:val="00C44093"/>
    <w:rsid w:val="00C44113"/>
    <w:rsid w:val="00C44753"/>
    <w:rsid w:val="00C456DC"/>
    <w:rsid w:val="00C45FD0"/>
    <w:rsid w:val="00C4709E"/>
    <w:rsid w:val="00C478D0"/>
    <w:rsid w:val="00C5066A"/>
    <w:rsid w:val="00C51590"/>
    <w:rsid w:val="00C51769"/>
    <w:rsid w:val="00C5185F"/>
    <w:rsid w:val="00C51F2B"/>
    <w:rsid w:val="00C528A6"/>
    <w:rsid w:val="00C5299A"/>
    <w:rsid w:val="00C5366C"/>
    <w:rsid w:val="00C5379E"/>
    <w:rsid w:val="00C5392E"/>
    <w:rsid w:val="00C53EAB"/>
    <w:rsid w:val="00C5428A"/>
    <w:rsid w:val="00C54A91"/>
    <w:rsid w:val="00C55F47"/>
    <w:rsid w:val="00C55F80"/>
    <w:rsid w:val="00C56652"/>
    <w:rsid w:val="00C575F9"/>
    <w:rsid w:val="00C5796A"/>
    <w:rsid w:val="00C601B4"/>
    <w:rsid w:val="00C613CF"/>
    <w:rsid w:val="00C61B41"/>
    <w:rsid w:val="00C61F0D"/>
    <w:rsid w:val="00C62317"/>
    <w:rsid w:val="00C633F8"/>
    <w:rsid w:val="00C63C9A"/>
    <w:rsid w:val="00C63F4B"/>
    <w:rsid w:val="00C640FD"/>
    <w:rsid w:val="00C65066"/>
    <w:rsid w:val="00C650A1"/>
    <w:rsid w:val="00C65186"/>
    <w:rsid w:val="00C65A17"/>
    <w:rsid w:val="00C66BDB"/>
    <w:rsid w:val="00C6758F"/>
    <w:rsid w:val="00C676FB"/>
    <w:rsid w:val="00C71F2A"/>
    <w:rsid w:val="00C7428D"/>
    <w:rsid w:val="00C75B99"/>
    <w:rsid w:val="00C76511"/>
    <w:rsid w:val="00C77D8A"/>
    <w:rsid w:val="00C8145C"/>
    <w:rsid w:val="00C818D3"/>
    <w:rsid w:val="00C81AA4"/>
    <w:rsid w:val="00C820E4"/>
    <w:rsid w:val="00C82927"/>
    <w:rsid w:val="00C83A1B"/>
    <w:rsid w:val="00C840DF"/>
    <w:rsid w:val="00C855B3"/>
    <w:rsid w:val="00C856D1"/>
    <w:rsid w:val="00C86FE4"/>
    <w:rsid w:val="00C90BC1"/>
    <w:rsid w:val="00C9120D"/>
    <w:rsid w:val="00C912DE"/>
    <w:rsid w:val="00C9157B"/>
    <w:rsid w:val="00C93FD4"/>
    <w:rsid w:val="00C94095"/>
    <w:rsid w:val="00C94769"/>
    <w:rsid w:val="00C9521A"/>
    <w:rsid w:val="00C9537F"/>
    <w:rsid w:val="00C953E3"/>
    <w:rsid w:val="00C966E5"/>
    <w:rsid w:val="00C96D57"/>
    <w:rsid w:val="00C976CB"/>
    <w:rsid w:val="00C9791C"/>
    <w:rsid w:val="00CA04AA"/>
    <w:rsid w:val="00CA05D7"/>
    <w:rsid w:val="00CA1904"/>
    <w:rsid w:val="00CA3467"/>
    <w:rsid w:val="00CA353D"/>
    <w:rsid w:val="00CA38EB"/>
    <w:rsid w:val="00CA44DC"/>
    <w:rsid w:val="00CA4D65"/>
    <w:rsid w:val="00CA5EDE"/>
    <w:rsid w:val="00CA6A12"/>
    <w:rsid w:val="00CA7217"/>
    <w:rsid w:val="00CB0727"/>
    <w:rsid w:val="00CB2542"/>
    <w:rsid w:val="00CB28DC"/>
    <w:rsid w:val="00CB2B78"/>
    <w:rsid w:val="00CB30F0"/>
    <w:rsid w:val="00CB38CF"/>
    <w:rsid w:val="00CB51D4"/>
    <w:rsid w:val="00CB53D7"/>
    <w:rsid w:val="00CB66E5"/>
    <w:rsid w:val="00CC14F1"/>
    <w:rsid w:val="00CC1B14"/>
    <w:rsid w:val="00CC2145"/>
    <w:rsid w:val="00CC288E"/>
    <w:rsid w:val="00CC2B22"/>
    <w:rsid w:val="00CC3561"/>
    <w:rsid w:val="00CC3626"/>
    <w:rsid w:val="00CC3CFC"/>
    <w:rsid w:val="00CC3D75"/>
    <w:rsid w:val="00CC4F00"/>
    <w:rsid w:val="00CC5781"/>
    <w:rsid w:val="00CC5D25"/>
    <w:rsid w:val="00CC6835"/>
    <w:rsid w:val="00CC6B8B"/>
    <w:rsid w:val="00CC777E"/>
    <w:rsid w:val="00CC7CAF"/>
    <w:rsid w:val="00CC7DC7"/>
    <w:rsid w:val="00CD144A"/>
    <w:rsid w:val="00CD1C26"/>
    <w:rsid w:val="00CD2298"/>
    <w:rsid w:val="00CD369F"/>
    <w:rsid w:val="00CD56CA"/>
    <w:rsid w:val="00CD5889"/>
    <w:rsid w:val="00CE0581"/>
    <w:rsid w:val="00CE34E9"/>
    <w:rsid w:val="00CE354D"/>
    <w:rsid w:val="00CE3CC7"/>
    <w:rsid w:val="00CE52BD"/>
    <w:rsid w:val="00CE5386"/>
    <w:rsid w:val="00CE66F1"/>
    <w:rsid w:val="00CE71B5"/>
    <w:rsid w:val="00CE727C"/>
    <w:rsid w:val="00CE78F0"/>
    <w:rsid w:val="00CE7DAF"/>
    <w:rsid w:val="00CE7EA4"/>
    <w:rsid w:val="00CF059A"/>
    <w:rsid w:val="00CF28A3"/>
    <w:rsid w:val="00CF2F3E"/>
    <w:rsid w:val="00CF3E66"/>
    <w:rsid w:val="00CF448A"/>
    <w:rsid w:val="00CF4BE4"/>
    <w:rsid w:val="00CF5A71"/>
    <w:rsid w:val="00CF6475"/>
    <w:rsid w:val="00CF6B18"/>
    <w:rsid w:val="00CF7FB2"/>
    <w:rsid w:val="00D008A2"/>
    <w:rsid w:val="00D012F4"/>
    <w:rsid w:val="00D03005"/>
    <w:rsid w:val="00D034E6"/>
    <w:rsid w:val="00D03512"/>
    <w:rsid w:val="00D04591"/>
    <w:rsid w:val="00D04859"/>
    <w:rsid w:val="00D0640D"/>
    <w:rsid w:val="00D107D7"/>
    <w:rsid w:val="00D112F9"/>
    <w:rsid w:val="00D1260A"/>
    <w:rsid w:val="00D134B9"/>
    <w:rsid w:val="00D14154"/>
    <w:rsid w:val="00D15855"/>
    <w:rsid w:val="00D15F7E"/>
    <w:rsid w:val="00D169C6"/>
    <w:rsid w:val="00D16BD4"/>
    <w:rsid w:val="00D16DCD"/>
    <w:rsid w:val="00D17BCD"/>
    <w:rsid w:val="00D194E8"/>
    <w:rsid w:val="00D20170"/>
    <w:rsid w:val="00D207C7"/>
    <w:rsid w:val="00D21A2D"/>
    <w:rsid w:val="00D21A93"/>
    <w:rsid w:val="00D21D6B"/>
    <w:rsid w:val="00D222AC"/>
    <w:rsid w:val="00D23CC1"/>
    <w:rsid w:val="00D27819"/>
    <w:rsid w:val="00D27B0D"/>
    <w:rsid w:val="00D30723"/>
    <w:rsid w:val="00D30869"/>
    <w:rsid w:val="00D30F26"/>
    <w:rsid w:val="00D3100F"/>
    <w:rsid w:val="00D31EE0"/>
    <w:rsid w:val="00D3278F"/>
    <w:rsid w:val="00D34BAF"/>
    <w:rsid w:val="00D35329"/>
    <w:rsid w:val="00D35531"/>
    <w:rsid w:val="00D35932"/>
    <w:rsid w:val="00D363C6"/>
    <w:rsid w:val="00D3658D"/>
    <w:rsid w:val="00D368EE"/>
    <w:rsid w:val="00D37720"/>
    <w:rsid w:val="00D4087D"/>
    <w:rsid w:val="00D41F12"/>
    <w:rsid w:val="00D426A9"/>
    <w:rsid w:val="00D42E5A"/>
    <w:rsid w:val="00D4386C"/>
    <w:rsid w:val="00D449FA"/>
    <w:rsid w:val="00D44D33"/>
    <w:rsid w:val="00D452DD"/>
    <w:rsid w:val="00D4663C"/>
    <w:rsid w:val="00D475F6"/>
    <w:rsid w:val="00D51037"/>
    <w:rsid w:val="00D51095"/>
    <w:rsid w:val="00D51CBD"/>
    <w:rsid w:val="00D532FD"/>
    <w:rsid w:val="00D53D9F"/>
    <w:rsid w:val="00D5762E"/>
    <w:rsid w:val="00D57816"/>
    <w:rsid w:val="00D60272"/>
    <w:rsid w:val="00D60426"/>
    <w:rsid w:val="00D60597"/>
    <w:rsid w:val="00D6136B"/>
    <w:rsid w:val="00D615ED"/>
    <w:rsid w:val="00D62CF8"/>
    <w:rsid w:val="00D63879"/>
    <w:rsid w:val="00D64A58"/>
    <w:rsid w:val="00D65B6B"/>
    <w:rsid w:val="00D662DB"/>
    <w:rsid w:val="00D6660D"/>
    <w:rsid w:val="00D70641"/>
    <w:rsid w:val="00D709E6"/>
    <w:rsid w:val="00D717F4"/>
    <w:rsid w:val="00D71D0E"/>
    <w:rsid w:val="00D71D3D"/>
    <w:rsid w:val="00D72623"/>
    <w:rsid w:val="00D734ED"/>
    <w:rsid w:val="00D736AA"/>
    <w:rsid w:val="00D737C1"/>
    <w:rsid w:val="00D73B12"/>
    <w:rsid w:val="00D73BFE"/>
    <w:rsid w:val="00D755CE"/>
    <w:rsid w:val="00D75B07"/>
    <w:rsid w:val="00D75B3E"/>
    <w:rsid w:val="00D76609"/>
    <w:rsid w:val="00D767D5"/>
    <w:rsid w:val="00D76CF0"/>
    <w:rsid w:val="00D77440"/>
    <w:rsid w:val="00D77D4A"/>
    <w:rsid w:val="00D78D86"/>
    <w:rsid w:val="00D80517"/>
    <w:rsid w:val="00D80663"/>
    <w:rsid w:val="00D81592"/>
    <w:rsid w:val="00D81F08"/>
    <w:rsid w:val="00D8315D"/>
    <w:rsid w:val="00D83692"/>
    <w:rsid w:val="00D83833"/>
    <w:rsid w:val="00D8448A"/>
    <w:rsid w:val="00D85681"/>
    <w:rsid w:val="00D85717"/>
    <w:rsid w:val="00D863DC"/>
    <w:rsid w:val="00D86819"/>
    <w:rsid w:val="00D87F0C"/>
    <w:rsid w:val="00D90338"/>
    <w:rsid w:val="00D91266"/>
    <w:rsid w:val="00D924B7"/>
    <w:rsid w:val="00D93597"/>
    <w:rsid w:val="00D93B64"/>
    <w:rsid w:val="00D93DD5"/>
    <w:rsid w:val="00D94671"/>
    <w:rsid w:val="00D94B44"/>
    <w:rsid w:val="00D95311"/>
    <w:rsid w:val="00D95718"/>
    <w:rsid w:val="00D95BEB"/>
    <w:rsid w:val="00D96536"/>
    <w:rsid w:val="00D96D93"/>
    <w:rsid w:val="00D97819"/>
    <w:rsid w:val="00D978C5"/>
    <w:rsid w:val="00DA0326"/>
    <w:rsid w:val="00DA0528"/>
    <w:rsid w:val="00DA06C2"/>
    <w:rsid w:val="00DA0D58"/>
    <w:rsid w:val="00DA0F12"/>
    <w:rsid w:val="00DA277F"/>
    <w:rsid w:val="00DA2964"/>
    <w:rsid w:val="00DA2E9E"/>
    <w:rsid w:val="00DA3B80"/>
    <w:rsid w:val="00DA409C"/>
    <w:rsid w:val="00DA5172"/>
    <w:rsid w:val="00DA5A27"/>
    <w:rsid w:val="00DA66D6"/>
    <w:rsid w:val="00DA6E7A"/>
    <w:rsid w:val="00DA75A8"/>
    <w:rsid w:val="00DA7DCC"/>
    <w:rsid w:val="00DB020E"/>
    <w:rsid w:val="00DB0929"/>
    <w:rsid w:val="00DB0BFA"/>
    <w:rsid w:val="00DB0E64"/>
    <w:rsid w:val="00DB17A0"/>
    <w:rsid w:val="00DB1A38"/>
    <w:rsid w:val="00DB3DB1"/>
    <w:rsid w:val="00DB4241"/>
    <w:rsid w:val="00DB46C5"/>
    <w:rsid w:val="00DB47BB"/>
    <w:rsid w:val="00DB4AE2"/>
    <w:rsid w:val="00DB4D63"/>
    <w:rsid w:val="00DB503A"/>
    <w:rsid w:val="00DB550E"/>
    <w:rsid w:val="00DB7120"/>
    <w:rsid w:val="00DB7390"/>
    <w:rsid w:val="00DB7BF4"/>
    <w:rsid w:val="00DB7F97"/>
    <w:rsid w:val="00DBA958"/>
    <w:rsid w:val="00DC0A03"/>
    <w:rsid w:val="00DC123B"/>
    <w:rsid w:val="00DC2102"/>
    <w:rsid w:val="00DC2C9F"/>
    <w:rsid w:val="00DC3243"/>
    <w:rsid w:val="00DC48B8"/>
    <w:rsid w:val="00DC4EDB"/>
    <w:rsid w:val="00DC661A"/>
    <w:rsid w:val="00DC6817"/>
    <w:rsid w:val="00DD0DA5"/>
    <w:rsid w:val="00DD1A99"/>
    <w:rsid w:val="00DD21B2"/>
    <w:rsid w:val="00DD231D"/>
    <w:rsid w:val="00DD29C4"/>
    <w:rsid w:val="00DD3B4D"/>
    <w:rsid w:val="00DD3DFA"/>
    <w:rsid w:val="00DD4EB4"/>
    <w:rsid w:val="00DD569B"/>
    <w:rsid w:val="00DD5CC7"/>
    <w:rsid w:val="00DD6F27"/>
    <w:rsid w:val="00DD7790"/>
    <w:rsid w:val="00DD7F59"/>
    <w:rsid w:val="00DE0CB5"/>
    <w:rsid w:val="00DE13CF"/>
    <w:rsid w:val="00DE1418"/>
    <w:rsid w:val="00DE19F2"/>
    <w:rsid w:val="00DE23F0"/>
    <w:rsid w:val="00DE2E29"/>
    <w:rsid w:val="00DE2E9C"/>
    <w:rsid w:val="00DE32D2"/>
    <w:rsid w:val="00DE52E9"/>
    <w:rsid w:val="00DE530D"/>
    <w:rsid w:val="00DE557A"/>
    <w:rsid w:val="00DE5D40"/>
    <w:rsid w:val="00DE6EE5"/>
    <w:rsid w:val="00DE74E1"/>
    <w:rsid w:val="00DF0305"/>
    <w:rsid w:val="00DF03AE"/>
    <w:rsid w:val="00DF1BB6"/>
    <w:rsid w:val="00DF55BD"/>
    <w:rsid w:val="00DF7965"/>
    <w:rsid w:val="00E0004A"/>
    <w:rsid w:val="00E0072F"/>
    <w:rsid w:val="00E00DDC"/>
    <w:rsid w:val="00E013CA"/>
    <w:rsid w:val="00E0255F"/>
    <w:rsid w:val="00E02A1D"/>
    <w:rsid w:val="00E037DC"/>
    <w:rsid w:val="00E03C33"/>
    <w:rsid w:val="00E04426"/>
    <w:rsid w:val="00E04A52"/>
    <w:rsid w:val="00E04B19"/>
    <w:rsid w:val="00E04FF7"/>
    <w:rsid w:val="00E05250"/>
    <w:rsid w:val="00E06AE2"/>
    <w:rsid w:val="00E07874"/>
    <w:rsid w:val="00E078E4"/>
    <w:rsid w:val="00E102CA"/>
    <w:rsid w:val="00E12751"/>
    <w:rsid w:val="00E13946"/>
    <w:rsid w:val="00E14265"/>
    <w:rsid w:val="00E142C4"/>
    <w:rsid w:val="00E14853"/>
    <w:rsid w:val="00E14F29"/>
    <w:rsid w:val="00E1519A"/>
    <w:rsid w:val="00E155A9"/>
    <w:rsid w:val="00E15D9F"/>
    <w:rsid w:val="00E16D66"/>
    <w:rsid w:val="00E2199E"/>
    <w:rsid w:val="00E2246B"/>
    <w:rsid w:val="00E228E9"/>
    <w:rsid w:val="00E23353"/>
    <w:rsid w:val="00E23462"/>
    <w:rsid w:val="00E24295"/>
    <w:rsid w:val="00E248DB"/>
    <w:rsid w:val="00E24DE8"/>
    <w:rsid w:val="00E250CE"/>
    <w:rsid w:val="00E25298"/>
    <w:rsid w:val="00E25DDC"/>
    <w:rsid w:val="00E26426"/>
    <w:rsid w:val="00E26DBD"/>
    <w:rsid w:val="00E27A21"/>
    <w:rsid w:val="00E27A80"/>
    <w:rsid w:val="00E302CC"/>
    <w:rsid w:val="00E30BB1"/>
    <w:rsid w:val="00E30D52"/>
    <w:rsid w:val="00E30D88"/>
    <w:rsid w:val="00E30E00"/>
    <w:rsid w:val="00E33959"/>
    <w:rsid w:val="00E33C64"/>
    <w:rsid w:val="00E33F9C"/>
    <w:rsid w:val="00E3404D"/>
    <w:rsid w:val="00E348DB"/>
    <w:rsid w:val="00E34DDF"/>
    <w:rsid w:val="00E35263"/>
    <w:rsid w:val="00E355FD"/>
    <w:rsid w:val="00E36781"/>
    <w:rsid w:val="00E36BB3"/>
    <w:rsid w:val="00E3733C"/>
    <w:rsid w:val="00E374C9"/>
    <w:rsid w:val="00E378B5"/>
    <w:rsid w:val="00E37ADC"/>
    <w:rsid w:val="00E37FC4"/>
    <w:rsid w:val="00E412E5"/>
    <w:rsid w:val="00E42735"/>
    <w:rsid w:val="00E42A23"/>
    <w:rsid w:val="00E42ECA"/>
    <w:rsid w:val="00E43168"/>
    <w:rsid w:val="00E432FA"/>
    <w:rsid w:val="00E439B6"/>
    <w:rsid w:val="00E4443E"/>
    <w:rsid w:val="00E44572"/>
    <w:rsid w:val="00E44CDF"/>
    <w:rsid w:val="00E4569A"/>
    <w:rsid w:val="00E46231"/>
    <w:rsid w:val="00E46BF4"/>
    <w:rsid w:val="00E46F6D"/>
    <w:rsid w:val="00E507A0"/>
    <w:rsid w:val="00E50F68"/>
    <w:rsid w:val="00E51653"/>
    <w:rsid w:val="00E5176E"/>
    <w:rsid w:val="00E52448"/>
    <w:rsid w:val="00E5259B"/>
    <w:rsid w:val="00E5318F"/>
    <w:rsid w:val="00E532AA"/>
    <w:rsid w:val="00E53B39"/>
    <w:rsid w:val="00E562F0"/>
    <w:rsid w:val="00E5711D"/>
    <w:rsid w:val="00E57359"/>
    <w:rsid w:val="00E575BD"/>
    <w:rsid w:val="00E5780E"/>
    <w:rsid w:val="00E57AEF"/>
    <w:rsid w:val="00E57D24"/>
    <w:rsid w:val="00E609DE"/>
    <w:rsid w:val="00E60B7B"/>
    <w:rsid w:val="00E6105D"/>
    <w:rsid w:val="00E623F6"/>
    <w:rsid w:val="00E6260F"/>
    <w:rsid w:val="00E62749"/>
    <w:rsid w:val="00E6355D"/>
    <w:rsid w:val="00E64201"/>
    <w:rsid w:val="00E64860"/>
    <w:rsid w:val="00E65782"/>
    <w:rsid w:val="00E662A2"/>
    <w:rsid w:val="00E67553"/>
    <w:rsid w:val="00E676E2"/>
    <w:rsid w:val="00E67872"/>
    <w:rsid w:val="00E67DF9"/>
    <w:rsid w:val="00E71649"/>
    <w:rsid w:val="00E719BB"/>
    <w:rsid w:val="00E727ED"/>
    <w:rsid w:val="00E72A20"/>
    <w:rsid w:val="00E72EDF"/>
    <w:rsid w:val="00E73BB5"/>
    <w:rsid w:val="00E73C09"/>
    <w:rsid w:val="00E755E7"/>
    <w:rsid w:val="00E75B56"/>
    <w:rsid w:val="00E75C57"/>
    <w:rsid w:val="00E75FC1"/>
    <w:rsid w:val="00E77547"/>
    <w:rsid w:val="00E77A58"/>
    <w:rsid w:val="00E77C4F"/>
    <w:rsid w:val="00E800ED"/>
    <w:rsid w:val="00E8043D"/>
    <w:rsid w:val="00E816D8"/>
    <w:rsid w:val="00E821C9"/>
    <w:rsid w:val="00E8265A"/>
    <w:rsid w:val="00E835A1"/>
    <w:rsid w:val="00E83F2C"/>
    <w:rsid w:val="00E84A7B"/>
    <w:rsid w:val="00E85638"/>
    <w:rsid w:val="00E86635"/>
    <w:rsid w:val="00E8700D"/>
    <w:rsid w:val="00E87CEA"/>
    <w:rsid w:val="00E90539"/>
    <w:rsid w:val="00E91F39"/>
    <w:rsid w:val="00E91FC8"/>
    <w:rsid w:val="00E95C2A"/>
    <w:rsid w:val="00E95F40"/>
    <w:rsid w:val="00E97367"/>
    <w:rsid w:val="00E97BFD"/>
    <w:rsid w:val="00E97D02"/>
    <w:rsid w:val="00E97D0F"/>
    <w:rsid w:val="00EA10F7"/>
    <w:rsid w:val="00EA114B"/>
    <w:rsid w:val="00EA1A71"/>
    <w:rsid w:val="00EA1F84"/>
    <w:rsid w:val="00EA3167"/>
    <w:rsid w:val="00EA4485"/>
    <w:rsid w:val="00EA588C"/>
    <w:rsid w:val="00EA5AF5"/>
    <w:rsid w:val="00EA67F6"/>
    <w:rsid w:val="00EA7096"/>
    <w:rsid w:val="00EA77B7"/>
    <w:rsid w:val="00EA7BA8"/>
    <w:rsid w:val="00EB010E"/>
    <w:rsid w:val="00EB01DC"/>
    <w:rsid w:val="00EB1269"/>
    <w:rsid w:val="00EB16C7"/>
    <w:rsid w:val="00EB1A63"/>
    <w:rsid w:val="00EB1E3E"/>
    <w:rsid w:val="00EB3762"/>
    <w:rsid w:val="00EB4493"/>
    <w:rsid w:val="00EB51CF"/>
    <w:rsid w:val="00EB5232"/>
    <w:rsid w:val="00EB640F"/>
    <w:rsid w:val="00EB7FB8"/>
    <w:rsid w:val="00EBBC59"/>
    <w:rsid w:val="00EC04D8"/>
    <w:rsid w:val="00EC12BA"/>
    <w:rsid w:val="00EC12CE"/>
    <w:rsid w:val="00EC137F"/>
    <w:rsid w:val="00EC2ACA"/>
    <w:rsid w:val="00EC2DEE"/>
    <w:rsid w:val="00EC4545"/>
    <w:rsid w:val="00EC475B"/>
    <w:rsid w:val="00EC4773"/>
    <w:rsid w:val="00EC4B15"/>
    <w:rsid w:val="00EC4E2A"/>
    <w:rsid w:val="00EC51D6"/>
    <w:rsid w:val="00EC58D5"/>
    <w:rsid w:val="00EC5EFF"/>
    <w:rsid w:val="00EC68AE"/>
    <w:rsid w:val="00EC70B2"/>
    <w:rsid w:val="00ED0677"/>
    <w:rsid w:val="00ED0B15"/>
    <w:rsid w:val="00ED20F0"/>
    <w:rsid w:val="00ED2E9A"/>
    <w:rsid w:val="00ED307F"/>
    <w:rsid w:val="00ED31A9"/>
    <w:rsid w:val="00ED3240"/>
    <w:rsid w:val="00ED32FA"/>
    <w:rsid w:val="00ED48A1"/>
    <w:rsid w:val="00ED4E93"/>
    <w:rsid w:val="00ED5025"/>
    <w:rsid w:val="00ED50F1"/>
    <w:rsid w:val="00ED534C"/>
    <w:rsid w:val="00ED571C"/>
    <w:rsid w:val="00ED582C"/>
    <w:rsid w:val="00ED6522"/>
    <w:rsid w:val="00ED6905"/>
    <w:rsid w:val="00ED7253"/>
    <w:rsid w:val="00ED7D7F"/>
    <w:rsid w:val="00ED7F4C"/>
    <w:rsid w:val="00EE1595"/>
    <w:rsid w:val="00EE1607"/>
    <w:rsid w:val="00EE1C30"/>
    <w:rsid w:val="00EE28D0"/>
    <w:rsid w:val="00EE2A84"/>
    <w:rsid w:val="00EE2ED6"/>
    <w:rsid w:val="00EE32AB"/>
    <w:rsid w:val="00EE529F"/>
    <w:rsid w:val="00EE5DA5"/>
    <w:rsid w:val="00EE6338"/>
    <w:rsid w:val="00EF2BB9"/>
    <w:rsid w:val="00EF2D27"/>
    <w:rsid w:val="00EF4266"/>
    <w:rsid w:val="00EF43E2"/>
    <w:rsid w:val="00EF44E7"/>
    <w:rsid w:val="00EF580B"/>
    <w:rsid w:val="00EF7B17"/>
    <w:rsid w:val="00F00CE0"/>
    <w:rsid w:val="00F01158"/>
    <w:rsid w:val="00F02018"/>
    <w:rsid w:val="00F02A4D"/>
    <w:rsid w:val="00F02A7A"/>
    <w:rsid w:val="00F02CE0"/>
    <w:rsid w:val="00F03462"/>
    <w:rsid w:val="00F0555A"/>
    <w:rsid w:val="00F056BC"/>
    <w:rsid w:val="00F05928"/>
    <w:rsid w:val="00F05D68"/>
    <w:rsid w:val="00F061B0"/>
    <w:rsid w:val="00F06E00"/>
    <w:rsid w:val="00F07188"/>
    <w:rsid w:val="00F079F6"/>
    <w:rsid w:val="00F07FD5"/>
    <w:rsid w:val="00F0A846"/>
    <w:rsid w:val="00F10D72"/>
    <w:rsid w:val="00F11881"/>
    <w:rsid w:val="00F13920"/>
    <w:rsid w:val="00F13E91"/>
    <w:rsid w:val="00F148DC"/>
    <w:rsid w:val="00F15EBA"/>
    <w:rsid w:val="00F16293"/>
    <w:rsid w:val="00F16F0F"/>
    <w:rsid w:val="00F171CD"/>
    <w:rsid w:val="00F20309"/>
    <w:rsid w:val="00F20C12"/>
    <w:rsid w:val="00F20D89"/>
    <w:rsid w:val="00F20F72"/>
    <w:rsid w:val="00F21A8C"/>
    <w:rsid w:val="00F21E75"/>
    <w:rsid w:val="00F22004"/>
    <w:rsid w:val="00F23A48"/>
    <w:rsid w:val="00F2402A"/>
    <w:rsid w:val="00F244FE"/>
    <w:rsid w:val="00F265B5"/>
    <w:rsid w:val="00F31319"/>
    <w:rsid w:val="00F31757"/>
    <w:rsid w:val="00F31D4C"/>
    <w:rsid w:val="00F345B2"/>
    <w:rsid w:val="00F34C6D"/>
    <w:rsid w:val="00F35274"/>
    <w:rsid w:val="00F357A4"/>
    <w:rsid w:val="00F35B2B"/>
    <w:rsid w:val="00F36DEC"/>
    <w:rsid w:val="00F3763E"/>
    <w:rsid w:val="00F40B33"/>
    <w:rsid w:val="00F40CFE"/>
    <w:rsid w:val="00F4105F"/>
    <w:rsid w:val="00F41646"/>
    <w:rsid w:val="00F44BCA"/>
    <w:rsid w:val="00F45100"/>
    <w:rsid w:val="00F4567C"/>
    <w:rsid w:val="00F46019"/>
    <w:rsid w:val="00F46178"/>
    <w:rsid w:val="00F468B5"/>
    <w:rsid w:val="00F46C42"/>
    <w:rsid w:val="00F47625"/>
    <w:rsid w:val="00F50834"/>
    <w:rsid w:val="00F508D8"/>
    <w:rsid w:val="00F51646"/>
    <w:rsid w:val="00F51F53"/>
    <w:rsid w:val="00F52D4D"/>
    <w:rsid w:val="00F53516"/>
    <w:rsid w:val="00F545BF"/>
    <w:rsid w:val="00F54E81"/>
    <w:rsid w:val="00F55A36"/>
    <w:rsid w:val="00F55E17"/>
    <w:rsid w:val="00F57CC0"/>
    <w:rsid w:val="00F57F1E"/>
    <w:rsid w:val="00F57F4E"/>
    <w:rsid w:val="00F607C9"/>
    <w:rsid w:val="00F60802"/>
    <w:rsid w:val="00F60B2E"/>
    <w:rsid w:val="00F61372"/>
    <w:rsid w:val="00F616A3"/>
    <w:rsid w:val="00F6284A"/>
    <w:rsid w:val="00F63277"/>
    <w:rsid w:val="00F643AF"/>
    <w:rsid w:val="00F65041"/>
    <w:rsid w:val="00F658ED"/>
    <w:rsid w:val="00F65CCF"/>
    <w:rsid w:val="00F661A2"/>
    <w:rsid w:val="00F664F5"/>
    <w:rsid w:val="00F676BE"/>
    <w:rsid w:val="00F70349"/>
    <w:rsid w:val="00F7054E"/>
    <w:rsid w:val="00F71510"/>
    <w:rsid w:val="00F71FCC"/>
    <w:rsid w:val="00F7227A"/>
    <w:rsid w:val="00F72DAB"/>
    <w:rsid w:val="00F73625"/>
    <w:rsid w:val="00F73767"/>
    <w:rsid w:val="00F739AD"/>
    <w:rsid w:val="00F74B99"/>
    <w:rsid w:val="00F755E1"/>
    <w:rsid w:val="00F75D63"/>
    <w:rsid w:val="00F777FA"/>
    <w:rsid w:val="00F801E7"/>
    <w:rsid w:val="00F81314"/>
    <w:rsid w:val="00F81DDE"/>
    <w:rsid w:val="00F83AB5"/>
    <w:rsid w:val="00F83C12"/>
    <w:rsid w:val="00F83FB8"/>
    <w:rsid w:val="00F852F2"/>
    <w:rsid w:val="00F85814"/>
    <w:rsid w:val="00F86E3F"/>
    <w:rsid w:val="00F870B0"/>
    <w:rsid w:val="00F907BB"/>
    <w:rsid w:val="00F909A1"/>
    <w:rsid w:val="00F90E60"/>
    <w:rsid w:val="00F911A1"/>
    <w:rsid w:val="00F94297"/>
    <w:rsid w:val="00F9583A"/>
    <w:rsid w:val="00F95DF9"/>
    <w:rsid w:val="00F9654F"/>
    <w:rsid w:val="00F97B3E"/>
    <w:rsid w:val="00F97D9D"/>
    <w:rsid w:val="00FA15E4"/>
    <w:rsid w:val="00FA1C9C"/>
    <w:rsid w:val="00FA26AE"/>
    <w:rsid w:val="00FA2D97"/>
    <w:rsid w:val="00FA3AFB"/>
    <w:rsid w:val="00FA3FA7"/>
    <w:rsid w:val="00FA4E68"/>
    <w:rsid w:val="00FA557E"/>
    <w:rsid w:val="00FA568E"/>
    <w:rsid w:val="00FA5695"/>
    <w:rsid w:val="00FA5D2D"/>
    <w:rsid w:val="00FA5ECC"/>
    <w:rsid w:val="00FA6495"/>
    <w:rsid w:val="00FA77EF"/>
    <w:rsid w:val="00FB04D8"/>
    <w:rsid w:val="00FB16DE"/>
    <w:rsid w:val="00FB2203"/>
    <w:rsid w:val="00FB29C7"/>
    <w:rsid w:val="00FB33E8"/>
    <w:rsid w:val="00FB5435"/>
    <w:rsid w:val="00FB5B7E"/>
    <w:rsid w:val="00FB5D23"/>
    <w:rsid w:val="00FB6019"/>
    <w:rsid w:val="00FB66B0"/>
    <w:rsid w:val="00FB714D"/>
    <w:rsid w:val="00FB7835"/>
    <w:rsid w:val="00FC0A8E"/>
    <w:rsid w:val="00FC1749"/>
    <w:rsid w:val="00FC269E"/>
    <w:rsid w:val="00FC2A69"/>
    <w:rsid w:val="00FC31EB"/>
    <w:rsid w:val="00FC35EF"/>
    <w:rsid w:val="00FC3700"/>
    <w:rsid w:val="00FC3E24"/>
    <w:rsid w:val="00FC4379"/>
    <w:rsid w:val="00FC4648"/>
    <w:rsid w:val="00FC47F0"/>
    <w:rsid w:val="00FC606A"/>
    <w:rsid w:val="00FC72AE"/>
    <w:rsid w:val="00FC7346"/>
    <w:rsid w:val="00FD01DD"/>
    <w:rsid w:val="00FD0BEB"/>
    <w:rsid w:val="00FD3104"/>
    <w:rsid w:val="00FD3C0C"/>
    <w:rsid w:val="00FD3F93"/>
    <w:rsid w:val="00FD5E9D"/>
    <w:rsid w:val="00FD6052"/>
    <w:rsid w:val="00FD69F5"/>
    <w:rsid w:val="00FD7339"/>
    <w:rsid w:val="00FD7437"/>
    <w:rsid w:val="00FD7BF5"/>
    <w:rsid w:val="00FE0299"/>
    <w:rsid w:val="00FE2F71"/>
    <w:rsid w:val="00FE3802"/>
    <w:rsid w:val="00FE386D"/>
    <w:rsid w:val="00FE49F1"/>
    <w:rsid w:val="00FE4B4B"/>
    <w:rsid w:val="00FE4BFA"/>
    <w:rsid w:val="00FE5B0C"/>
    <w:rsid w:val="00FE619E"/>
    <w:rsid w:val="00FE6948"/>
    <w:rsid w:val="00FE7AE5"/>
    <w:rsid w:val="00FF0005"/>
    <w:rsid w:val="00FF1854"/>
    <w:rsid w:val="00FF186C"/>
    <w:rsid w:val="00FF305C"/>
    <w:rsid w:val="00FF3CF7"/>
    <w:rsid w:val="00FF5358"/>
    <w:rsid w:val="00FF5685"/>
    <w:rsid w:val="00FF5FB8"/>
    <w:rsid w:val="00FF684B"/>
    <w:rsid w:val="00FF788A"/>
    <w:rsid w:val="00FF7922"/>
    <w:rsid w:val="00FF7A7A"/>
    <w:rsid w:val="0107B1EB"/>
    <w:rsid w:val="0108E082"/>
    <w:rsid w:val="011312AA"/>
    <w:rsid w:val="01162CE7"/>
    <w:rsid w:val="0116A427"/>
    <w:rsid w:val="01199A42"/>
    <w:rsid w:val="011C7901"/>
    <w:rsid w:val="01251696"/>
    <w:rsid w:val="0127A02E"/>
    <w:rsid w:val="01292FDA"/>
    <w:rsid w:val="0130D0BA"/>
    <w:rsid w:val="0132D173"/>
    <w:rsid w:val="01371B49"/>
    <w:rsid w:val="013D2473"/>
    <w:rsid w:val="014260BA"/>
    <w:rsid w:val="01484B38"/>
    <w:rsid w:val="014A2FC1"/>
    <w:rsid w:val="014A3A14"/>
    <w:rsid w:val="01522F78"/>
    <w:rsid w:val="01534BAA"/>
    <w:rsid w:val="0154D777"/>
    <w:rsid w:val="015616C4"/>
    <w:rsid w:val="01574B66"/>
    <w:rsid w:val="01576B0B"/>
    <w:rsid w:val="01590F41"/>
    <w:rsid w:val="015BAC49"/>
    <w:rsid w:val="015E47FD"/>
    <w:rsid w:val="015EFF2B"/>
    <w:rsid w:val="01636986"/>
    <w:rsid w:val="01684873"/>
    <w:rsid w:val="0168E496"/>
    <w:rsid w:val="01690562"/>
    <w:rsid w:val="016B49B7"/>
    <w:rsid w:val="016F973F"/>
    <w:rsid w:val="01790BD7"/>
    <w:rsid w:val="0179DA54"/>
    <w:rsid w:val="017B1BCB"/>
    <w:rsid w:val="017ECD7F"/>
    <w:rsid w:val="018243C9"/>
    <w:rsid w:val="018546F5"/>
    <w:rsid w:val="0188C429"/>
    <w:rsid w:val="018A71D5"/>
    <w:rsid w:val="018AD4D7"/>
    <w:rsid w:val="0199CF99"/>
    <w:rsid w:val="019EA608"/>
    <w:rsid w:val="01A42079"/>
    <w:rsid w:val="01A91E62"/>
    <w:rsid w:val="01A9C42B"/>
    <w:rsid w:val="01AAAB7E"/>
    <w:rsid w:val="01AE5948"/>
    <w:rsid w:val="01AF4306"/>
    <w:rsid w:val="01B16FFA"/>
    <w:rsid w:val="01B72C9C"/>
    <w:rsid w:val="01BAE47D"/>
    <w:rsid w:val="01BB277F"/>
    <w:rsid w:val="01BDBEB2"/>
    <w:rsid w:val="01C15601"/>
    <w:rsid w:val="01C2AE41"/>
    <w:rsid w:val="01C50E99"/>
    <w:rsid w:val="01C5F97B"/>
    <w:rsid w:val="01C96C5A"/>
    <w:rsid w:val="01CEF742"/>
    <w:rsid w:val="01D0B488"/>
    <w:rsid w:val="01D2CD41"/>
    <w:rsid w:val="01D67272"/>
    <w:rsid w:val="01D9380D"/>
    <w:rsid w:val="01DEB7C0"/>
    <w:rsid w:val="01E919B9"/>
    <w:rsid w:val="01E969D0"/>
    <w:rsid w:val="01EA2694"/>
    <w:rsid w:val="01F8277F"/>
    <w:rsid w:val="0201FABB"/>
    <w:rsid w:val="0202406B"/>
    <w:rsid w:val="020639E4"/>
    <w:rsid w:val="0206CBB4"/>
    <w:rsid w:val="020EB420"/>
    <w:rsid w:val="0211EDB9"/>
    <w:rsid w:val="021E6F92"/>
    <w:rsid w:val="02256261"/>
    <w:rsid w:val="0228708F"/>
    <w:rsid w:val="022B8BD3"/>
    <w:rsid w:val="02354402"/>
    <w:rsid w:val="0236DBED"/>
    <w:rsid w:val="0245C02F"/>
    <w:rsid w:val="0248A365"/>
    <w:rsid w:val="024CA77A"/>
    <w:rsid w:val="024DFA2E"/>
    <w:rsid w:val="024EF4AA"/>
    <w:rsid w:val="024F39DD"/>
    <w:rsid w:val="0251310A"/>
    <w:rsid w:val="0253ABD8"/>
    <w:rsid w:val="02565323"/>
    <w:rsid w:val="025D6C19"/>
    <w:rsid w:val="025F6527"/>
    <w:rsid w:val="025FB616"/>
    <w:rsid w:val="026868A2"/>
    <w:rsid w:val="027114C2"/>
    <w:rsid w:val="02733ED3"/>
    <w:rsid w:val="027D02A1"/>
    <w:rsid w:val="027D6B51"/>
    <w:rsid w:val="02828E97"/>
    <w:rsid w:val="0284BC8D"/>
    <w:rsid w:val="028B19F7"/>
    <w:rsid w:val="028C7578"/>
    <w:rsid w:val="0291433C"/>
    <w:rsid w:val="0299A188"/>
    <w:rsid w:val="029A6878"/>
    <w:rsid w:val="029DB737"/>
    <w:rsid w:val="02A37C5C"/>
    <w:rsid w:val="02A48A82"/>
    <w:rsid w:val="02AA5BE1"/>
    <w:rsid w:val="02B0C16A"/>
    <w:rsid w:val="02B749E8"/>
    <w:rsid w:val="02B8A906"/>
    <w:rsid w:val="02BBF23D"/>
    <w:rsid w:val="02BEE754"/>
    <w:rsid w:val="02C56B1A"/>
    <w:rsid w:val="02C5EF68"/>
    <w:rsid w:val="02D17BDA"/>
    <w:rsid w:val="02D48BBF"/>
    <w:rsid w:val="02D500AB"/>
    <w:rsid w:val="02D5229C"/>
    <w:rsid w:val="02D694DD"/>
    <w:rsid w:val="02D90080"/>
    <w:rsid w:val="02DE8A1B"/>
    <w:rsid w:val="02E195B2"/>
    <w:rsid w:val="02F06089"/>
    <w:rsid w:val="02FA12EE"/>
    <w:rsid w:val="02FC9151"/>
    <w:rsid w:val="03085C79"/>
    <w:rsid w:val="03098FF0"/>
    <w:rsid w:val="030A34D9"/>
    <w:rsid w:val="03120E60"/>
    <w:rsid w:val="0312E2BD"/>
    <w:rsid w:val="03135CC1"/>
    <w:rsid w:val="03170F27"/>
    <w:rsid w:val="0317D8C3"/>
    <w:rsid w:val="03182D30"/>
    <w:rsid w:val="031F1FB2"/>
    <w:rsid w:val="0321C215"/>
    <w:rsid w:val="032D5163"/>
    <w:rsid w:val="0334C0E0"/>
    <w:rsid w:val="03362572"/>
    <w:rsid w:val="0338DC20"/>
    <w:rsid w:val="03462F37"/>
    <w:rsid w:val="034BC0D2"/>
    <w:rsid w:val="034C882F"/>
    <w:rsid w:val="03557512"/>
    <w:rsid w:val="035AF6D4"/>
    <w:rsid w:val="035C8062"/>
    <w:rsid w:val="03657806"/>
    <w:rsid w:val="0367F273"/>
    <w:rsid w:val="036AFF9F"/>
    <w:rsid w:val="036DA696"/>
    <w:rsid w:val="037011B6"/>
    <w:rsid w:val="03717486"/>
    <w:rsid w:val="0371DC0B"/>
    <w:rsid w:val="0374AD03"/>
    <w:rsid w:val="0377681B"/>
    <w:rsid w:val="037A78B1"/>
    <w:rsid w:val="037D06D7"/>
    <w:rsid w:val="037EDA12"/>
    <w:rsid w:val="037FE959"/>
    <w:rsid w:val="0381E6D6"/>
    <w:rsid w:val="0385E5C6"/>
    <w:rsid w:val="03888E3F"/>
    <w:rsid w:val="039CEDC5"/>
    <w:rsid w:val="03A1C8BE"/>
    <w:rsid w:val="03A30E2C"/>
    <w:rsid w:val="03A51523"/>
    <w:rsid w:val="03A7B613"/>
    <w:rsid w:val="03B04E6A"/>
    <w:rsid w:val="03B11E91"/>
    <w:rsid w:val="03B2BC13"/>
    <w:rsid w:val="03B903A7"/>
    <w:rsid w:val="03C92141"/>
    <w:rsid w:val="03CB02EA"/>
    <w:rsid w:val="03D05283"/>
    <w:rsid w:val="03DC40CA"/>
    <w:rsid w:val="03DC66A5"/>
    <w:rsid w:val="03DD106F"/>
    <w:rsid w:val="03E15A84"/>
    <w:rsid w:val="03E164CD"/>
    <w:rsid w:val="03E98E54"/>
    <w:rsid w:val="03EAB15A"/>
    <w:rsid w:val="03ED2AFA"/>
    <w:rsid w:val="03EDCD0E"/>
    <w:rsid w:val="03F266B4"/>
    <w:rsid w:val="03F44C8A"/>
    <w:rsid w:val="03F74363"/>
    <w:rsid w:val="03F75E59"/>
    <w:rsid w:val="03F9494A"/>
    <w:rsid w:val="04064EEE"/>
    <w:rsid w:val="040FE2A4"/>
    <w:rsid w:val="0415706F"/>
    <w:rsid w:val="04213AFE"/>
    <w:rsid w:val="0425AB9A"/>
    <w:rsid w:val="042C9B89"/>
    <w:rsid w:val="04369D58"/>
    <w:rsid w:val="0436C44F"/>
    <w:rsid w:val="0439F5AC"/>
    <w:rsid w:val="043B384D"/>
    <w:rsid w:val="043C6E5A"/>
    <w:rsid w:val="043FCD4C"/>
    <w:rsid w:val="04441E52"/>
    <w:rsid w:val="044BDE6D"/>
    <w:rsid w:val="04579137"/>
    <w:rsid w:val="0459281C"/>
    <w:rsid w:val="045B0323"/>
    <w:rsid w:val="045E8BA4"/>
    <w:rsid w:val="04614549"/>
    <w:rsid w:val="046C9F04"/>
    <w:rsid w:val="046D52C4"/>
    <w:rsid w:val="0479D466"/>
    <w:rsid w:val="047CC8A6"/>
    <w:rsid w:val="047E8CE2"/>
    <w:rsid w:val="047F0224"/>
    <w:rsid w:val="04845182"/>
    <w:rsid w:val="04927F1A"/>
    <w:rsid w:val="04A599FF"/>
    <w:rsid w:val="04A7E62A"/>
    <w:rsid w:val="04AC96B1"/>
    <w:rsid w:val="04AD1DDB"/>
    <w:rsid w:val="04B00181"/>
    <w:rsid w:val="04B5054C"/>
    <w:rsid w:val="04B7B686"/>
    <w:rsid w:val="04C1642D"/>
    <w:rsid w:val="04C6CA45"/>
    <w:rsid w:val="04C80FBD"/>
    <w:rsid w:val="04C8E7D1"/>
    <w:rsid w:val="04C8F5B2"/>
    <w:rsid w:val="04C9FB09"/>
    <w:rsid w:val="04D2DA2C"/>
    <w:rsid w:val="04D3530D"/>
    <w:rsid w:val="04DF07A3"/>
    <w:rsid w:val="04EB01C2"/>
    <w:rsid w:val="04F2AF81"/>
    <w:rsid w:val="04F5FA38"/>
    <w:rsid w:val="04F7D274"/>
    <w:rsid w:val="04FBD025"/>
    <w:rsid w:val="04FE30F7"/>
    <w:rsid w:val="04FEA52A"/>
    <w:rsid w:val="0500F5AA"/>
    <w:rsid w:val="0503BD4F"/>
    <w:rsid w:val="05063548"/>
    <w:rsid w:val="050CE7B4"/>
    <w:rsid w:val="051193BA"/>
    <w:rsid w:val="05131314"/>
    <w:rsid w:val="051A5E50"/>
    <w:rsid w:val="051AE859"/>
    <w:rsid w:val="0522019C"/>
    <w:rsid w:val="05253F74"/>
    <w:rsid w:val="052CB1C6"/>
    <w:rsid w:val="052F4C33"/>
    <w:rsid w:val="05309056"/>
    <w:rsid w:val="0535E9CD"/>
    <w:rsid w:val="053A87F9"/>
    <w:rsid w:val="054469F6"/>
    <w:rsid w:val="0545FDFA"/>
    <w:rsid w:val="0546555A"/>
    <w:rsid w:val="0547B759"/>
    <w:rsid w:val="054821C5"/>
    <w:rsid w:val="054C9E55"/>
    <w:rsid w:val="054DCC3C"/>
    <w:rsid w:val="0550F5B2"/>
    <w:rsid w:val="055129E0"/>
    <w:rsid w:val="05524AE7"/>
    <w:rsid w:val="0553DF67"/>
    <w:rsid w:val="0558368B"/>
    <w:rsid w:val="0558B067"/>
    <w:rsid w:val="0558E1F7"/>
    <w:rsid w:val="055C2CEC"/>
    <w:rsid w:val="056041AA"/>
    <w:rsid w:val="0563C9CF"/>
    <w:rsid w:val="0564C11E"/>
    <w:rsid w:val="0566B8D3"/>
    <w:rsid w:val="0567EF0A"/>
    <w:rsid w:val="056B04B7"/>
    <w:rsid w:val="0572814A"/>
    <w:rsid w:val="0579C912"/>
    <w:rsid w:val="057DF84E"/>
    <w:rsid w:val="0590B9F0"/>
    <w:rsid w:val="05912E77"/>
    <w:rsid w:val="05936C49"/>
    <w:rsid w:val="0596249B"/>
    <w:rsid w:val="0597BA1E"/>
    <w:rsid w:val="059865E6"/>
    <w:rsid w:val="059989B8"/>
    <w:rsid w:val="059A3B9F"/>
    <w:rsid w:val="05A067EB"/>
    <w:rsid w:val="05A181D0"/>
    <w:rsid w:val="05A4B36E"/>
    <w:rsid w:val="05A866C5"/>
    <w:rsid w:val="05A870F3"/>
    <w:rsid w:val="05A99EE8"/>
    <w:rsid w:val="05AA2FB3"/>
    <w:rsid w:val="05AC34BF"/>
    <w:rsid w:val="05ACBA42"/>
    <w:rsid w:val="05AE7610"/>
    <w:rsid w:val="05AEC0A8"/>
    <w:rsid w:val="05B15DAF"/>
    <w:rsid w:val="05B27CE6"/>
    <w:rsid w:val="05B75578"/>
    <w:rsid w:val="05B782F5"/>
    <w:rsid w:val="05B82028"/>
    <w:rsid w:val="05B8ED5B"/>
    <w:rsid w:val="05C562E2"/>
    <w:rsid w:val="05C9E390"/>
    <w:rsid w:val="05CA8F55"/>
    <w:rsid w:val="05CBB4C4"/>
    <w:rsid w:val="05CF2896"/>
    <w:rsid w:val="05D00A6A"/>
    <w:rsid w:val="05DBDF8A"/>
    <w:rsid w:val="05E330E5"/>
    <w:rsid w:val="05E449F4"/>
    <w:rsid w:val="05E84441"/>
    <w:rsid w:val="05EEF67B"/>
    <w:rsid w:val="05F5FC45"/>
    <w:rsid w:val="05F734C1"/>
    <w:rsid w:val="05FC3F6A"/>
    <w:rsid w:val="0604387E"/>
    <w:rsid w:val="0604B10B"/>
    <w:rsid w:val="060FADE5"/>
    <w:rsid w:val="061101F6"/>
    <w:rsid w:val="06123504"/>
    <w:rsid w:val="0615F0E1"/>
    <w:rsid w:val="06194E25"/>
    <w:rsid w:val="061C1810"/>
    <w:rsid w:val="062019A4"/>
    <w:rsid w:val="062287E4"/>
    <w:rsid w:val="06243F7C"/>
    <w:rsid w:val="06247885"/>
    <w:rsid w:val="06281354"/>
    <w:rsid w:val="06295E25"/>
    <w:rsid w:val="062D3BB4"/>
    <w:rsid w:val="06317D4A"/>
    <w:rsid w:val="06374225"/>
    <w:rsid w:val="063A237E"/>
    <w:rsid w:val="063B9725"/>
    <w:rsid w:val="063C0796"/>
    <w:rsid w:val="063D4BD2"/>
    <w:rsid w:val="0641D773"/>
    <w:rsid w:val="0643F0B7"/>
    <w:rsid w:val="06445117"/>
    <w:rsid w:val="06453F84"/>
    <w:rsid w:val="0646EA3A"/>
    <w:rsid w:val="064781B8"/>
    <w:rsid w:val="0648A154"/>
    <w:rsid w:val="064F20BF"/>
    <w:rsid w:val="064F300A"/>
    <w:rsid w:val="065227BB"/>
    <w:rsid w:val="06584662"/>
    <w:rsid w:val="065C1486"/>
    <w:rsid w:val="065CDCA1"/>
    <w:rsid w:val="065FF2E3"/>
    <w:rsid w:val="06683B15"/>
    <w:rsid w:val="06693851"/>
    <w:rsid w:val="06696602"/>
    <w:rsid w:val="066CA0D5"/>
    <w:rsid w:val="067405A3"/>
    <w:rsid w:val="0676A699"/>
    <w:rsid w:val="0681486D"/>
    <w:rsid w:val="0684C65A"/>
    <w:rsid w:val="0685D26D"/>
    <w:rsid w:val="06908D43"/>
    <w:rsid w:val="0694605C"/>
    <w:rsid w:val="06949FC3"/>
    <w:rsid w:val="0696160B"/>
    <w:rsid w:val="069969E9"/>
    <w:rsid w:val="069E7008"/>
    <w:rsid w:val="06A42BA8"/>
    <w:rsid w:val="06A66040"/>
    <w:rsid w:val="06A6C8D7"/>
    <w:rsid w:val="06A6FF21"/>
    <w:rsid w:val="06A8D5AB"/>
    <w:rsid w:val="06B1A6E9"/>
    <w:rsid w:val="06B60C20"/>
    <w:rsid w:val="06B61160"/>
    <w:rsid w:val="06B801FA"/>
    <w:rsid w:val="06BC3314"/>
    <w:rsid w:val="06BC5FEE"/>
    <w:rsid w:val="06BFED84"/>
    <w:rsid w:val="06C4158C"/>
    <w:rsid w:val="06CB7CE0"/>
    <w:rsid w:val="06CD7466"/>
    <w:rsid w:val="06CE390B"/>
    <w:rsid w:val="06D23417"/>
    <w:rsid w:val="06DCFCE5"/>
    <w:rsid w:val="06DEACCD"/>
    <w:rsid w:val="06EE275B"/>
    <w:rsid w:val="06EE696B"/>
    <w:rsid w:val="06F11ADC"/>
    <w:rsid w:val="06F1E7E6"/>
    <w:rsid w:val="06F320C1"/>
    <w:rsid w:val="06F4D583"/>
    <w:rsid w:val="06F625B6"/>
    <w:rsid w:val="07085E10"/>
    <w:rsid w:val="070C128E"/>
    <w:rsid w:val="070C4358"/>
    <w:rsid w:val="070E929B"/>
    <w:rsid w:val="0710771B"/>
    <w:rsid w:val="07135E42"/>
    <w:rsid w:val="07139B09"/>
    <w:rsid w:val="07186782"/>
    <w:rsid w:val="071F1F7F"/>
    <w:rsid w:val="072242B8"/>
    <w:rsid w:val="07236634"/>
    <w:rsid w:val="0727784F"/>
    <w:rsid w:val="07280632"/>
    <w:rsid w:val="072999DD"/>
    <w:rsid w:val="072A954C"/>
    <w:rsid w:val="072E883C"/>
    <w:rsid w:val="072FEC6C"/>
    <w:rsid w:val="0732855B"/>
    <w:rsid w:val="0736CD17"/>
    <w:rsid w:val="073B57AF"/>
    <w:rsid w:val="073DA508"/>
    <w:rsid w:val="073FEF2C"/>
    <w:rsid w:val="07405C34"/>
    <w:rsid w:val="07406047"/>
    <w:rsid w:val="0747DC8B"/>
    <w:rsid w:val="074980CD"/>
    <w:rsid w:val="074AAF41"/>
    <w:rsid w:val="074E54D1"/>
    <w:rsid w:val="07577C44"/>
    <w:rsid w:val="075D5ECE"/>
    <w:rsid w:val="0760078A"/>
    <w:rsid w:val="0761EE75"/>
    <w:rsid w:val="076A79AC"/>
    <w:rsid w:val="0770DBB7"/>
    <w:rsid w:val="07736546"/>
    <w:rsid w:val="07770B1E"/>
    <w:rsid w:val="07771C6F"/>
    <w:rsid w:val="077A474A"/>
    <w:rsid w:val="077E256D"/>
    <w:rsid w:val="0783A233"/>
    <w:rsid w:val="0784DCA1"/>
    <w:rsid w:val="078556A3"/>
    <w:rsid w:val="078B8593"/>
    <w:rsid w:val="079911D5"/>
    <w:rsid w:val="079C6C4B"/>
    <w:rsid w:val="079EC150"/>
    <w:rsid w:val="07A02B07"/>
    <w:rsid w:val="07A02E74"/>
    <w:rsid w:val="07A10C6F"/>
    <w:rsid w:val="07A28E9F"/>
    <w:rsid w:val="07A5ADFD"/>
    <w:rsid w:val="07A97739"/>
    <w:rsid w:val="07AAD780"/>
    <w:rsid w:val="07B28415"/>
    <w:rsid w:val="07B2BCCB"/>
    <w:rsid w:val="07B48368"/>
    <w:rsid w:val="07B75965"/>
    <w:rsid w:val="07BB3A88"/>
    <w:rsid w:val="07BBADD2"/>
    <w:rsid w:val="07C9314E"/>
    <w:rsid w:val="07CA0BB0"/>
    <w:rsid w:val="07D975A0"/>
    <w:rsid w:val="07DEF271"/>
    <w:rsid w:val="07E4ADA2"/>
    <w:rsid w:val="07EEEE28"/>
    <w:rsid w:val="07F28662"/>
    <w:rsid w:val="07FCC733"/>
    <w:rsid w:val="08026FCF"/>
    <w:rsid w:val="0807FEE9"/>
    <w:rsid w:val="08089047"/>
    <w:rsid w:val="0808F82A"/>
    <w:rsid w:val="080C4ACC"/>
    <w:rsid w:val="080FDE39"/>
    <w:rsid w:val="08106A95"/>
    <w:rsid w:val="08111B60"/>
    <w:rsid w:val="0811EA53"/>
    <w:rsid w:val="08130B7D"/>
    <w:rsid w:val="08153B33"/>
    <w:rsid w:val="08182461"/>
    <w:rsid w:val="081DCB72"/>
    <w:rsid w:val="081F3FB3"/>
    <w:rsid w:val="081F610C"/>
    <w:rsid w:val="081FB0A4"/>
    <w:rsid w:val="0823B946"/>
    <w:rsid w:val="08271094"/>
    <w:rsid w:val="082A2AD7"/>
    <w:rsid w:val="082AB816"/>
    <w:rsid w:val="082CDA4A"/>
    <w:rsid w:val="08301801"/>
    <w:rsid w:val="0831A070"/>
    <w:rsid w:val="0840AC62"/>
    <w:rsid w:val="08480ABE"/>
    <w:rsid w:val="084CB53A"/>
    <w:rsid w:val="084CDF1F"/>
    <w:rsid w:val="085C2BD1"/>
    <w:rsid w:val="0866AE22"/>
    <w:rsid w:val="08670FCF"/>
    <w:rsid w:val="08671985"/>
    <w:rsid w:val="08679D30"/>
    <w:rsid w:val="0869291A"/>
    <w:rsid w:val="086E0BBC"/>
    <w:rsid w:val="086E329E"/>
    <w:rsid w:val="08705202"/>
    <w:rsid w:val="0877F75C"/>
    <w:rsid w:val="0883AE68"/>
    <w:rsid w:val="08856A52"/>
    <w:rsid w:val="0889ACB2"/>
    <w:rsid w:val="08931B61"/>
    <w:rsid w:val="08935C44"/>
    <w:rsid w:val="08953B39"/>
    <w:rsid w:val="08965940"/>
    <w:rsid w:val="08997BF8"/>
    <w:rsid w:val="089A6BF1"/>
    <w:rsid w:val="089B0435"/>
    <w:rsid w:val="089CEEA6"/>
    <w:rsid w:val="089E0731"/>
    <w:rsid w:val="08A1B1C6"/>
    <w:rsid w:val="08A21A93"/>
    <w:rsid w:val="08A2A980"/>
    <w:rsid w:val="08A54AC4"/>
    <w:rsid w:val="08A6BA93"/>
    <w:rsid w:val="08A71010"/>
    <w:rsid w:val="08A719F6"/>
    <w:rsid w:val="08A9514D"/>
    <w:rsid w:val="08AA8E59"/>
    <w:rsid w:val="08B7FFA0"/>
    <w:rsid w:val="08B92C71"/>
    <w:rsid w:val="08B93A53"/>
    <w:rsid w:val="08B9B2C7"/>
    <w:rsid w:val="08BBD83B"/>
    <w:rsid w:val="08C528F8"/>
    <w:rsid w:val="08C8FB6E"/>
    <w:rsid w:val="08CC632B"/>
    <w:rsid w:val="08CC8287"/>
    <w:rsid w:val="08D37468"/>
    <w:rsid w:val="08D612F1"/>
    <w:rsid w:val="08D7B648"/>
    <w:rsid w:val="08D7EAF9"/>
    <w:rsid w:val="08D992BD"/>
    <w:rsid w:val="08DF5719"/>
    <w:rsid w:val="08E0EBA3"/>
    <w:rsid w:val="08E14DC2"/>
    <w:rsid w:val="08E3C5BA"/>
    <w:rsid w:val="08EC94DF"/>
    <w:rsid w:val="08EF46F2"/>
    <w:rsid w:val="08F24A6A"/>
    <w:rsid w:val="08F55481"/>
    <w:rsid w:val="08F6A544"/>
    <w:rsid w:val="08F8D225"/>
    <w:rsid w:val="08F9695F"/>
    <w:rsid w:val="08FBA099"/>
    <w:rsid w:val="08FEA4A6"/>
    <w:rsid w:val="09025E0D"/>
    <w:rsid w:val="0904EEC9"/>
    <w:rsid w:val="09065FA6"/>
    <w:rsid w:val="09086FD6"/>
    <w:rsid w:val="090873EB"/>
    <w:rsid w:val="0909B189"/>
    <w:rsid w:val="0912ECD0"/>
    <w:rsid w:val="0919062F"/>
    <w:rsid w:val="091948D3"/>
    <w:rsid w:val="0919B4C8"/>
    <w:rsid w:val="091A685A"/>
    <w:rsid w:val="091F735D"/>
    <w:rsid w:val="09294D3A"/>
    <w:rsid w:val="092B51E0"/>
    <w:rsid w:val="0931F6E3"/>
    <w:rsid w:val="0932B17C"/>
    <w:rsid w:val="09394BF3"/>
    <w:rsid w:val="093B1D0F"/>
    <w:rsid w:val="093B26F4"/>
    <w:rsid w:val="093D741F"/>
    <w:rsid w:val="094019C7"/>
    <w:rsid w:val="094EDDAB"/>
    <w:rsid w:val="09567253"/>
    <w:rsid w:val="095A789E"/>
    <w:rsid w:val="09632831"/>
    <w:rsid w:val="09633A69"/>
    <w:rsid w:val="0963FD6B"/>
    <w:rsid w:val="096CBFCD"/>
    <w:rsid w:val="096CC34D"/>
    <w:rsid w:val="096D0CB4"/>
    <w:rsid w:val="096E7B6B"/>
    <w:rsid w:val="096F3799"/>
    <w:rsid w:val="09748224"/>
    <w:rsid w:val="097489EB"/>
    <w:rsid w:val="09764CAB"/>
    <w:rsid w:val="09767A8D"/>
    <w:rsid w:val="0977307D"/>
    <w:rsid w:val="097ADEB2"/>
    <w:rsid w:val="097CC11F"/>
    <w:rsid w:val="097EA8A0"/>
    <w:rsid w:val="098268EF"/>
    <w:rsid w:val="0984B867"/>
    <w:rsid w:val="0986351C"/>
    <w:rsid w:val="09891C65"/>
    <w:rsid w:val="098CDF0B"/>
    <w:rsid w:val="098E3B8E"/>
    <w:rsid w:val="09921EE9"/>
    <w:rsid w:val="09929D7F"/>
    <w:rsid w:val="09952B7D"/>
    <w:rsid w:val="09956A9E"/>
    <w:rsid w:val="099572DA"/>
    <w:rsid w:val="099841FE"/>
    <w:rsid w:val="099B8990"/>
    <w:rsid w:val="099FDF44"/>
    <w:rsid w:val="09A3B7AF"/>
    <w:rsid w:val="09A85DEE"/>
    <w:rsid w:val="09AA2029"/>
    <w:rsid w:val="09AB6252"/>
    <w:rsid w:val="09AF3D7B"/>
    <w:rsid w:val="09B1971B"/>
    <w:rsid w:val="09B43047"/>
    <w:rsid w:val="09B5FB1F"/>
    <w:rsid w:val="09BCCFFA"/>
    <w:rsid w:val="09BE2ACB"/>
    <w:rsid w:val="09BE72E5"/>
    <w:rsid w:val="09BF1F20"/>
    <w:rsid w:val="09BF685F"/>
    <w:rsid w:val="09C043E3"/>
    <w:rsid w:val="09C0C448"/>
    <w:rsid w:val="09C3E6F4"/>
    <w:rsid w:val="09C3E750"/>
    <w:rsid w:val="09C4D9CD"/>
    <w:rsid w:val="09C87879"/>
    <w:rsid w:val="09D11EF3"/>
    <w:rsid w:val="09D6BF9A"/>
    <w:rsid w:val="09DA1D1D"/>
    <w:rsid w:val="09DDA290"/>
    <w:rsid w:val="09E1F4BE"/>
    <w:rsid w:val="09E7363F"/>
    <w:rsid w:val="09E80990"/>
    <w:rsid w:val="09EC14DD"/>
    <w:rsid w:val="09F0BDB2"/>
    <w:rsid w:val="09F2132E"/>
    <w:rsid w:val="09F223C3"/>
    <w:rsid w:val="09F26413"/>
    <w:rsid w:val="09F4A2AC"/>
    <w:rsid w:val="09F81662"/>
    <w:rsid w:val="09FAA91C"/>
    <w:rsid w:val="09FC20D5"/>
    <w:rsid w:val="09FE058A"/>
    <w:rsid w:val="0A0CD1DF"/>
    <w:rsid w:val="0A0F2ACC"/>
    <w:rsid w:val="0A123A77"/>
    <w:rsid w:val="0A168C2F"/>
    <w:rsid w:val="0A174775"/>
    <w:rsid w:val="0A17746E"/>
    <w:rsid w:val="0A1A1874"/>
    <w:rsid w:val="0A1EB173"/>
    <w:rsid w:val="0A263594"/>
    <w:rsid w:val="0A384AB1"/>
    <w:rsid w:val="0A39D1C1"/>
    <w:rsid w:val="0A42AF10"/>
    <w:rsid w:val="0A457EEF"/>
    <w:rsid w:val="0A4C8468"/>
    <w:rsid w:val="0A4CB1E3"/>
    <w:rsid w:val="0A4E5139"/>
    <w:rsid w:val="0A5144DD"/>
    <w:rsid w:val="0A56AC23"/>
    <w:rsid w:val="0A58FD21"/>
    <w:rsid w:val="0A59C1CC"/>
    <w:rsid w:val="0A5D3157"/>
    <w:rsid w:val="0A61196C"/>
    <w:rsid w:val="0A6309EE"/>
    <w:rsid w:val="0A6625E9"/>
    <w:rsid w:val="0A68D7EB"/>
    <w:rsid w:val="0A729555"/>
    <w:rsid w:val="0A72C1DC"/>
    <w:rsid w:val="0A733637"/>
    <w:rsid w:val="0A791D33"/>
    <w:rsid w:val="0A7B85FE"/>
    <w:rsid w:val="0A7B9C2C"/>
    <w:rsid w:val="0A7DF4F3"/>
    <w:rsid w:val="0A7EBB8C"/>
    <w:rsid w:val="0A7F90DC"/>
    <w:rsid w:val="0A7FF4D4"/>
    <w:rsid w:val="0A80A201"/>
    <w:rsid w:val="0A87C5F5"/>
    <w:rsid w:val="0A89D81F"/>
    <w:rsid w:val="0A95C5A2"/>
    <w:rsid w:val="0A96175F"/>
    <w:rsid w:val="0A9638CC"/>
    <w:rsid w:val="0A998115"/>
    <w:rsid w:val="0A9B5EEE"/>
    <w:rsid w:val="0A9BBFFE"/>
    <w:rsid w:val="0A9FD858"/>
    <w:rsid w:val="0AA207FA"/>
    <w:rsid w:val="0AA2DA60"/>
    <w:rsid w:val="0AA32C75"/>
    <w:rsid w:val="0AA5D964"/>
    <w:rsid w:val="0AA75438"/>
    <w:rsid w:val="0AA7F33A"/>
    <w:rsid w:val="0AA85842"/>
    <w:rsid w:val="0AA8A545"/>
    <w:rsid w:val="0AAB4A12"/>
    <w:rsid w:val="0AAB6EF2"/>
    <w:rsid w:val="0AAC2042"/>
    <w:rsid w:val="0AAC2A2A"/>
    <w:rsid w:val="0AAE7D59"/>
    <w:rsid w:val="0ABF18C1"/>
    <w:rsid w:val="0AC8304A"/>
    <w:rsid w:val="0ACB0FEE"/>
    <w:rsid w:val="0AD179C7"/>
    <w:rsid w:val="0ADC47EB"/>
    <w:rsid w:val="0AE089CE"/>
    <w:rsid w:val="0AE7FFFD"/>
    <w:rsid w:val="0AE8EAC3"/>
    <w:rsid w:val="0AE9F0BC"/>
    <w:rsid w:val="0AEF6FBA"/>
    <w:rsid w:val="0AEFF4EF"/>
    <w:rsid w:val="0AF532AB"/>
    <w:rsid w:val="0AFAACF8"/>
    <w:rsid w:val="0B028AB5"/>
    <w:rsid w:val="0B02A59C"/>
    <w:rsid w:val="0B1BF98F"/>
    <w:rsid w:val="0B1C70E3"/>
    <w:rsid w:val="0B1E131E"/>
    <w:rsid w:val="0B20538C"/>
    <w:rsid w:val="0B214E5F"/>
    <w:rsid w:val="0B26AA68"/>
    <w:rsid w:val="0B28C0DE"/>
    <w:rsid w:val="0B2FB381"/>
    <w:rsid w:val="0B33C0D1"/>
    <w:rsid w:val="0B3D3D2B"/>
    <w:rsid w:val="0B3F8C11"/>
    <w:rsid w:val="0B480E02"/>
    <w:rsid w:val="0B4A0B09"/>
    <w:rsid w:val="0B4DA2CA"/>
    <w:rsid w:val="0B5292FF"/>
    <w:rsid w:val="0B57253A"/>
    <w:rsid w:val="0B5732F6"/>
    <w:rsid w:val="0B589C6B"/>
    <w:rsid w:val="0B597C13"/>
    <w:rsid w:val="0B5BA2EA"/>
    <w:rsid w:val="0B6043AC"/>
    <w:rsid w:val="0B651A4E"/>
    <w:rsid w:val="0B6709DD"/>
    <w:rsid w:val="0B67DE51"/>
    <w:rsid w:val="0B71D24F"/>
    <w:rsid w:val="0B77172C"/>
    <w:rsid w:val="0B79E2EB"/>
    <w:rsid w:val="0B7BEC6B"/>
    <w:rsid w:val="0B7C7019"/>
    <w:rsid w:val="0B8077F3"/>
    <w:rsid w:val="0B82A3B7"/>
    <w:rsid w:val="0B82E537"/>
    <w:rsid w:val="0B88674F"/>
    <w:rsid w:val="0B8C9339"/>
    <w:rsid w:val="0B8F096D"/>
    <w:rsid w:val="0B90730D"/>
    <w:rsid w:val="0B9150D4"/>
    <w:rsid w:val="0B9A2F49"/>
    <w:rsid w:val="0B9FD604"/>
    <w:rsid w:val="0BA35A25"/>
    <w:rsid w:val="0BA6D82E"/>
    <w:rsid w:val="0BA6DFA1"/>
    <w:rsid w:val="0BAAE72A"/>
    <w:rsid w:val="0BC2F7E5"/>
    <w:rsid w:val="0BC8ADB7"/>
    <w:rsid w:val="0BCBE349"/>
    <w:rsid w:val="0BCCC292"/>
    <w:rsid w:val="0BCE5487"/>
    <w:rsid w:val="0BCFF527"/>
    <w:rsid w:val="0BDAD960"/>
    <w:rsid w:val="0BDF4D4A"/>
    <w:rsid w:val="0BE52817"/>
    <w:rsid w:val="0BEC3DC2"/>
    <w:rsid w:val="0BEFA9B3"/>
    <w:rsid w:val="0BF2E51E"/>
    <w:rsid w:val="0BF35405"/>
    <w:rsid w:val="0BF78A0E"/>
    <w:rsid w:val="0BFACCCB"/>
    <w:rsid w:val="0BFCD80E"/>
    <w:rsid w:val="0BFE64DE"/>
    <w:rsid w:val="0BFFF099"/>
    <w:rsid w:val="0C01C199"/>
    <w:rsid w:val="0C046C6F"/>
    <w:rsid w:val="0C0A039C"/>
    <w:rsid w:val="0C0D2B96"/>
    <w:rsid w:val="0C0EE761"/>
    <w:rsid w:val="0C15A115"/>
    <w:rsid w:val="0C25E92B"/>
    <w:rsid w:val="0C2B0BE5"/>
    <w:rsid w:val="0C2C046A"/>
    <w:rsid w:val="0C2CAC37"/>
    <w:rsid w:val="0C2F4CEE"/>
    <w:rsid w:val="0C31C056"/>
    <w:rsid w:val="0C371E66"/>
    <w:rsid w:val="0C391EC7"/>
    <w:rsid w:val="0C3A528A"/>
    <w:rsid w:val="0C3CC5CC"/>
    <w:rsid w:val="0C3CDC90"/>
    <w:rsid w:val="0C41399E"/>
    <w:rsid w:val="0C47404E"/>
    <w:rsid w:val="0C4A2990"/>
    <w:rsid w:val="0C5570B4"/>
    <w:rsid w:val="0C5B553A"/>
    <w:rsid w:val="0C5F254F"/>
    <w:rsid w:val="0C609AAB"/>
    <w:rsid w:val="0C60D375"/>
    <w:rsid w:val="0C6211B8"/>
    <w:rsid w:val="0C66939B"/>
    <w:rsid w:val="0C6F7CB7"/>
    <w:rsid w:val="0C722829"/>
    <w:rsid w:val="0C7298C5"/>
    <w:rsid w:val="0C7CC7CF"/>
    <w:rsid w:val="0C7EC843"/>
    <w:rsid w:val="0C860484"/>
    <w:rsid w:val="0C8728F2"/>
    <w:rsid w:val="0C8E823F"/>
    <w:rsid w:val="0C8FB395"/>
    <w:rsid w:val="0C95F758"/>
    <w:rsid w:val="0C9EEB85"/>
    <w:rsid w:val="0CA2EE6A"/>
    <w:rsid w:val="0CA4E6B1"/>
    <w:rsid w:val="0CA64B71"/>
    <w:rsid w:val="0CA791FE"/>
    <w:rsid w:val="0CA8D6A5"/>
    <w:rsid w:val="0CB22A1C"/>
    <w:rsid w:val="0CB697A9"/>
    <w:rsid w:val="0CBCE28A"/>
    <w:rsid w:val="0CC6D840"/>
    <w:rsid w:val="0CCAC126"/>
    <w:rsid w:val="0CCB428E"/>
    <w:rsid w:val="0CCB591E"/>
    <w:rsid w:val="0CCBE5B3"/>
    <w:rsid w:val="0CCEC5DE"/>
    <w:rsid w:val="0CCF27CC"/>
    <w:rsid w:val="0CD7E66B"/>
    <w:rsid w:val="0CE258FD"/>
    <w:rsid w:val="0CE35BEA"/>
    <w:rsid w:val="0CE508A6"/>
    <w:rsid w:val="0CE99E05"/>
    <w:rsid w:val="0CE9E594"/>
    <w:rsid w:val="0CF351C6"/>
    <w:rsid w:val="0CF454FB"/>
    <w:rsid w:val="0CF738B2"/>
    <w:rsid w:val="0CFAA032"/>
    <w:rsid w:val="0CFDB0A7"/>
    <w:rsid w:val="0CFE5AF9"/>
    <w:rsid w:val="0D01A410"/>
    <w:rsid w:val="0D01C7F7"/>
    <w:rsid w:val="0D030DDB"/>
    <w:rsid w:val="0D13C69C"/>
    <w:rsid w:val="0D1687A2"/>
    <w:rsid w:val="0D1901F8"/>
    <w:rsid w:val="0D23C8B4"/>
    <w:rsid w:val="0D252184"/>
    <w:rsid w:val="0D2E59E7"/>
    <w:rsid w:val="0D3148BB"/>
    <w:rsid w:val="0D315CD9"/>
    <w:rsid w:val="0D3888A6"/>
    <w:rsid w:val="0D3DAA9A"/>
    <w:rsid w:val="0D3E1240"/>
    <w:rsid w:val="0D419DC6"/>
    <w:rsid w:val="0D45B495"/>
    <w:rsid w:val="0D49D3B1"/>
    <w:rsid w:val="0D4AA737"/>
    <w:rsid w:val="0D4EDB71"/>
    <w:rsid w:val="0D536760"/>
    <w:rsid w:val="0D5A88AB"/>
    <w:rsid w:val="0D5A94C3"/>
    <w:rsid w:val="0D5AEAC9"/>
    <w:rsid w:val="0D5D4D4E"/>
    <w:rsid w:val="0D600530"/>
    <w:rsid w:val="0D61D17C"/>
    <w:rsid w:val="0D629F00"/>
    <w:rsid w:val="0D63388D"/>
    <w:rsid w:val="0D641C42"/>
    <w:rsid w:val="0D6C0DA2"/>
    <w:rsid w:val="0D73036B"/>
    <w:rsid w:val="0D756A61"/>
    <w:rsid w:val="0D7C0444"/>
    <w:rsid w:val="0D7F2576"/>
    <w:rsid w:val="0D7FD24D"/>
    <w:rsid w:val="0D7FF016"/>
    <w:rsid w:val="0D872137"/>
    <w:rsid w:val="0D8A4466"/>
    <w:rsid w:val="0D8A4474"/>
    <w:rsid w:val="0D8BDBD7"/>
    <w:rsid w:val="0D8E0C98"/>
    <w:rsid w:val="0D8E0EB3"/>
    <w:rsid w:val="0D8F9BCF"/>
    <w:rsid w:val="0D9422CD"/>
    <w:rsid w:val="0D95B21F"/>
    <w:rsid w:val="0D96B506"/>
    <w:rsid w:val="0D980333"/>
    <w:rsid w:val="0D9B893B"/>
    <w:rsid w:val="0DB19790"/>
    <w:rsid w:val="0DB794BF"/>
    <w:rsid w:val="0DB9885E"/>
    <w:rsid w:val="0DCAD263"/>
    <w:rsid w:val="0DCF92AA"/>
    <w:rsid w:val="0DD1A83E"/>
    <w:rsid w:val="0DD231C5"/>
    <w:rsid w:val="0DDAFF42"/>
    <w:rsid w:val="0DDB4713"/>
    <w:rsid w:val="0DDED31A"/>
    <w:rsid w:val="0DDFF284"/>
    <w:rsid w:val="0DE56D36"/>
    <w:rsid w:val="0DE7E034"/>
    <w:rsid w:val="0DE9AC84"/>
    <w:rsid w:val="0DEA9105"/>
    <w:rsid w:val="0DF4B6BD"/>
    <w:rsid w:val="0DF9B61E"/>
    <w:rsid w:val="0DFC8FE1"/>
    <w:rsid w:val="0DFE697F"/>
    <w:rsid w:val="0E03D187"/>
    <w:rsid w:val="0E05E2F4"/>
    <w:rsid w:val="0E0AA891"/>
    <w:rsid w:val="0E0ED426"/>
    <w:rsid w:val="0E165CCB"/>
    <w:rsid w:val="0E18DA65"/>
    <w:rsid w:val="0E1DD1EB"/>
    <w:rsid w:val="0E1E7B5D"/>
    <w:rsid w:val="0E20BD4D"/>
    <w:rsid w:val="0E27561E"/>
    <w:rsid w:val="0E29B040"/>
    <w:rsid w:val="0E2A0800"/>
    <w:rsid w:val="0E2BCDDF"/>
    <w:rsid w:val="0E2FDCC2"/>
    <w:rsid w:val="0E332DB6"/>
    <w:rsid w:val="0E33ED0B"/>
    <w:rsid w:val="0E3A8BA6"/>
    <w:rsid w:val="0E3D358B"/>
    <w:rsid w:val="0E3D6AA8"/>
    <w:rsid w:val="0E4000F4"/>
    <w:rsid w:val="0E427DCE"/>
    <w:rsid w:val="0E432042"/>
    <w:rsid w:val="0E4423AB"/>
    <w:rsid w:val="0E447643"/>
    <w:rsid w:val="0E44B45A"/>
    <w:rsid w:val="0E4943EE"/>
    <w:rsid w:val="0E4A5D7C"/>
    <w:rsid w:val="0E4A83AB"/>
    <w:rsid w:val="0E4C2547"/>
    <w:rsid w:val="0E51634A"/>
    <w:rsid w:val="0E55376E"/>
    <w:rsid w:val="0E559ED9"/>
    <w:rsid w:val="0E57894C"/>
    <w:rsid w:val="0E5AFEB7"/>
    <w:rsid w:val="0E6194C6"/>
    <w:rsid w:val="0E6AD025"/>
    <w:rsid w:val="0E765195"/>
    <w:rsid w:val="0E7C99B2"/>
    <w:rsid w:val="0E7D93CB"/>
    <w:rsid w:val="0E82EBC8"/>
    <w:rsid w:val="0E852BDC"/>
    <w:rsid w:val="0E85F7D4"/>
    <w:rsid w:val="0E8B13D9"/>
    <w:rsid w:val="0E947B53"/>
    <w:rsid w:val="0E964438"/>
    <w:rsid w:val="0EAD5C4F"/>
    <w:rsid w:val="0EAD63B1"/>
    <w:rsid w:val="0EAD81E9"/>
    <w:rsid w:val="0EB0E760"/>
    <w:rsid w:val="0EB13DB5"/>
    <w:rsid w:val="0EB8976E"/>
    <w:rsid w:val="0EBA20A6"/>
    <w:rsid w:val="0EC615DC"/>
    <w:rsid w:val="0ECEB467"/>
    <w:rsid w:val="0ED3F768"/>
    <w:rsid w:val="0ED47093"/>
    <w:rsid w:val="0EDF54BB"/>
    <w:rsid w:val="0EDFDF6D"/>
    <w:rsid w:val="0EE0AEBF"/>
    <w:rsid w:val="0EE2C714"/>
    <w:rsid w:val="0EE4F74C"/>
    <w:rsid w:val="0EE52CFC"/>
    <w:rsid w:val="0EE55826"/>
    <w:rsid w:val="0EF1B200"/>
    <w:rsid w:val="0EF294F3"/>
    <w:rsid w:val="0EF97B50"/>
    <w:rsid w:val="0EFCEAB1"/>
    <w:rsid w:val="0EFE8AF7"/>
    <w:rsid w:val="0F085249"/>
    <w:rsid w:val="0F09AA0A"/>
    <w:rsid w:val="0F0C45B0"/>
    <w:rsid w:val="0F0DF1F3"/>
    <w:rsid w:val="0F112265"/>
    <w:rsid w:val="0F1367A0"/>
    <w:rsid w:val="0F175515"/>
    <w:rsid w:val="0F187E82"/>
    <w:rsid w:val="0F1C810E"/>
    <w:rsid w:val="0F1D877D"/>
    <w:rsid w:val="0F217BAE"/>
    <w:rsid w:val="0F237CEE"/>
    <w:rsid w:val="0F2B87F3"/>
    <w:rsid w:val="0F2FFFFD"/>
    <w:rsid w:val="0F3160AA"/>
    <w:rsid w:val="0F318F45"/>
    <w:rsid w:val="0F319B53"/>
    <w:rsid w:val="0F322AFF"/>
    <w:rsid w:val="0F352B13"/>
    <w:rsid w:val="0F3571FE"/>
    <w:rsid w:val="0F3605A0"/>
    <w:rsid w:val="0F37F08B"/>
    <w:rsid w:val="0F3AA197"/>
    <w:rsid w:val="0F47884B"/>
    <w:rsid w:val="0F47BFDA"/>
    <w:rsid w:val="0F517EB0"/>
    <w:rsid w:val="0F55EC37"/>
    <w:rsid w:val="0F5B914F"/>
    <w:rsid w:val="0F622F8F"/>
    <w:rsid w:val="0F639664"/>
    <w:rsid w:val="0F68C8EA"/>
    <w:rsid w:val="0F69FB8A"/>
    <w:rsid w:val="0F6E331E"/>
    <w:rsid w:val="0F758354"/>
    <w:rsid w:val="0F7A3EAE"/>
    <w:rsid w:val="0F7BB7DB"/>
    <w:rsid w:val="0F7BC200"/>
    <w:rsid w:val="0F7C0C7B"/>
    <w:rsid w:val="0F7CCF3C"/>
    <w:rsid w:val="0F841BF0"/>
    <w:rsid w:val="0F8669E0"/>
    <w:rsid w:val="0F8C1F4C"/>
    <w:rsid w:val="0F8C414B"/>
    <w:rsid w:val="0F8DD780"/>
    <w:rsid w:val="0F8E0677"/>
    <w:rsid w:val="0F944040"/>
    <w:rsid w:val="0F95EC04"/>
    <w:rsid w:val="0F98D6A0"/>
    <w:rsid w:val="0FA091FC"/>
    <w:rsid w:val="0FA1A338"/>
    <w:rsid w:val="0FA1DE8F"/>
    <w:rsid w:val="0FA44C17"/>
    <w:rsid w:val="0FAB14F6"/>
    <w:rsid w:val="0FAF1E73"/>
    <w:rsid w:val="0FB0851E"/>
    <w:rsid w:val="0FB4C4CF"/>
    <w:rsid w:val="0FB660E9"/>
    <w:rsid w:val="0FBA87F5"/>
    <w:rsid w:val="0FBB7D23"/>
    <w:rsid w:val="0FBC95F1"/>
    <w:rsid w:val="0FC4AB3D"/>
    <w:rsid w:val="0FC5234A"/>
    <w:rsid w:val="0FC95FE6"/>
    <w:rsid w:val="0FCD8691"/>
    <w:rsid w:val="0FCDF74A"/>
    <w:rsid w:val="0FD85E5F"/>
    <w:rsid w:val="0FDB5168"/>
    <w:rsid w:val="0FDC21D1"/>
    <w:rsid w:val="0FDE0B41"/>
    <w:rsid w:val="0FEADB23"/>
    <w:rsid w:val="0FEC32D0"/>
    <w:rsid w:val="0FEDA0B2"/>
    <w:rsid w:val="0FF1BB98"/>
    <w:rsid w:val="0FF57AE1"/>
    <w:rsid w:val="0FFA47E4"/>
    <w:rsid w:val="10014BCA"/>
    <w:rsid w:val="100D64C8"/>
    <w:rsid w:val="100FEA16"/>
    <w:rsid w:val="101023BE"/>
    <w:rsid w:val="1010DBCE"/>
    <w:rsid w:val="101249F5"/>
    <w:rsid w:val="101645C4"/>
    <w:rsid w:val="1016FD77"/>
    <w:rsid w:val="10183BB7"/>
    <w:rsid w:val="1018DD5A"/>
    <w:rsid w:val="10196311"/>
    <w:rsid w:val="101C223D"/>
    <w:rsid w:val="101DA6C3"/>
    <w:rsid w:val="101E1096"/>
    <w:rsid w:val="101F36AD"/>
    <w:rsid w:val="1020F925"/>
    <w:rsid w:val="1022B1FE"/>
    <w:rsid w:val="10284AB7"/>
    <w:rsid w:val="10288930"/>
    <w:rsid w:val="102B146C"/>
    <w:rsid w:val="102DC139"/>
    <w:rsid w:val="102E3FBA"/>
    <w:rsid w:val="1030A4C3"/>
    <w:rsid w:val="1035208C"/>
    <w:rsid w:val="1036A59C"/>
    <w:rsid w:val="103B8D2C"/>
    <w:rsid w:val="103E9656"/>
    <w:rsid w:val="10400DD0"/>
    <w:rsid w:val="10431FEB"/>
    <w:rsid w:val="104768CF"/>
    <w:rsid w:val="1049AADB"/>
    <w:rsid w:val="104E93CB"/>
    <w:rsid w:val="104EC3A2"/>
    <w:rsid w:val="10577156"/>
    <w:rsid w:val="10584A6E"/>
    <w:rsid w:val="1058EC95"/>
    <w:rsid w:val="105B6434"/>
    <w:rsid w:val="105BFF43"/>
    <w:rsid w:val="105C134F"/>
    <w:rsid w:val="105F4947"/>
    <w:rsid w:val="1069D5DC"/>
    <w:rsid w:val="106ADD43"/>
    <w:rsid w:val="106E43F6"/>
    <w:rsid w:val="10723FB0"/>
    <w:rsid w:val="1076E1A9"/>
    <w:rsid w:val="107B4FF1"/>
    <w:rsid w:val="108C6225"/>
    <w:rsid w:val="10900640"/>
    <w:rsid w:val="1099B416"/>
    <w:rsid w:val="109C981D"/>
    <w:rsid w:val="109D2084"/>
    <w:rsid w:val="109E64BB"/>
    <w:rsid w:val="10A0F0AE"/>
    <w:rsid w:val="10A4D634"/>
    <w:rsid w:val="10A4FF9D"/>
    <w:rsid w:val="10A88FAA"/>
    <w:rsid w:val="10AA0D04"/>
    <w:rsid w:val="10AE14AA"/>
    <w:rsid w:val="10B29A3F"/>
    <w:rsid w:val="10B5B4EF"/>
    <w:rsid w:val="10B61919"/>
    <w:rsid w:val="10B7F1CD"/>
    <w:rsid w:val="10B802FE"/>
    <w:rsid w:val="10BE087A"/>
    <w:rsid w:val="10BE8CDA"/>
    <w:rsid w:val="10C175AD"/>
    <w:rsid w:val="10C223E7"/>
    <w:rsid w:val="10C53651"/>
    <w:rsid w:val="10C58B18"/>
    <w:rsid w:val="10C86FCB"/>
    <w:rsid w:val="10CC579A"/>
    <w:rsid w:val="10D37087"/>
    <w:rsid w:val="10D3C212"/>
    <w:rsid w:val="10D5E5C3"/>
    <w:rsid w:val="10DB2556"/>
    <w:rsid w:val="10DC5B47"/>
    <w:rsid w:val="10DC6C33"/>
    <w:rsid w:val="10DF72EC"/>
    <w:rsid w:val="10E08DBE"/>
    <w:rsid w:val="10EC263D"/>
    <w:rsid w:val="10F20D54"/>
    <w:rsid w:val="1102F113"/>
    <w:rsid w:val="1105BEFB"/>
    <w:rsid w:val="110700C2"/>
    <w:rsid w:val="11071643"/>
    <w:rsid w:val="110B0FF1"/>
    <w:rsid w:val="110D2ADF"/>
    <w:rsid w:val="110DDC1A"/>
    <w:rsid w:val="11109C64"/>
    <w:rsid w:val="111449BD"/>
    <w:rsid w:val="11145C22"/>
    <w:rsid w:val="11146FAC"/>
    <w:rsid w:val="1114BD91"/>
    <w:rsid w:val="1116BFC6"/>
    <w:rsid w:val="11170715"/>
    <w:rsid w:val="111B8224"/>
    <w:rsid w:val="112ACF21"/>
    <w:rsid w:val="112FC736"/>
    <w:rsid w:val="11364BDB"/>
    <w:rsid w:val="11370D3A"/>
    <w:rsid w:val="1138102B"/>
    <w:rsid w:val="1138577E"/>
    <w:rsid w:val="11387B51"/>
    <w:rsid w:val="11398660"/>
    <w:rsid w:val="113C5B84"/>
    <w:rsid w:val="113D8544"/>
    <w:rsid w:val="1145FD27"/>
    <w:rsid w:val="1147967D"/>
    <w:rsid w:val="1153B9C9"/>
    <w:rsid w:val="11547256"/>
    <w:rsid w:val="11578098"/>
    <w:rsid w:val="1157D360"/>
    <w:rsid w:val="115AE28D"/>
    <w:rsid w:val="115BD793"/>
    <w:rsid w:val="115CF907"/>
    <w:rsid w:val="115EEF1C"/>
    <w:rsid w:val="115FA9D9"/>
    <w:rsid w:val="11620195"/>
    <w:rsid w:val="1163118E"/>
    <w:rsid w:val="1166FA5F"/>
    <w:rsid w:val="116798EF"/>
    <w:rsid w:val="116E2051"/>
    <w:rsid w:val="116FF2D2"/>
    <w:rsid w:val="1170C55C"/>
    <w:rsid w:val="117159FD"/>
    <w:rsid w:val="1172A04E"/>
    <w:rsid w:val="117C292F"/>
    <w:rsid w:val="117C629F"/>
    <w:rsid w:val="117E4FFE"/>
    <w:rsid w:val="1182F250"/>
    <w:rsid w:val="1188E1C2"/>
    <w:rsid w:val="118A921E"/>
    <w:rsid w:val="118BAC94"/>
    <w:rsid w:val="118E5A0B"/>
    <w:rsid w:val="118F3DC6"/>
    <w:rsid w:val="119281F9"/>
    <w:rsid w:val="119745CA"/>
    <w:rsid w:val="1198ACCE"/>
    <w:rsid w:val="1199554E"/>
    <w:rsid w:val="119C264A"/>
    <w:rsid w:val="11A05E32"/>
    <w:rsid w:val="11A0D981"/>
    <w:rsid w:val="11A3CF18"/>
    <w:rsid w:val="11A554B4"/>
    <w:rsid w:val="11A980A3"/>
    <w:rsid w:val="11ACEBC5"/>
    <w:rsid w:val="11AF2B0B"/>
    <w:rsid w:val="11B044AD"/>
    <w:rsid w:val="11B325EE"/>
    <w:rsid w:val="11B3A2D4"/>
    <w:rsid w:val="11B49024"/>
    <w:rsid w:val="11B576C9"/>
    <w:rsid w:val="11B71E13"/>
    <w:rsid w:val="11C5B6FA"/>
    <w:rsid w:val="11C649DD"/>
    <w:rsid w:val="11C90CAD"/>
    <w:rsid w:val="11D4A52C"/>
    <w:rsid w:val="11D5CB54"/>
    <w:rsid w:val="11D6D05E"/>
    <w:rsid w:val="11D6F04D"/>
    <w:rsid w:val="11D842DB"/>
    <w:rsid w:val="11DFFAD6"/>
    <w:rsid w:val="11E333FC"/>
    <w:rsid w:val="11E425DB"/>
    <w:rsid w:val="11E4397A"/>
    <w:rsid w:val="11E43EB2"/>
    <w:rsid w:val="11E4D533"/>
    <w:rsid w:val="11E66B71"/>
    <w:rsid w:val="11F5A316"/>
    <w:rsid w:val="11F6B808"/>
    <w:rsid w:val="11F7A906"/>
    <w:rsid w:val="11FAD018"/>
    <w:rsid w:val="12003523"/>
    <w:rsid w:val="1202673B"/>
    <w:rsid w:val="120A88BF"/>
    <w:rsid w:val="120C2091"/>
    <w:rsid w:val="1210F07C"/>
    <w:rsid w:val="12115E53"/>
    <w:rsid w:val="12182659"/>
    <w:rsid w:val="121D146F"/>
    <w:rsid w:val="121F852C"/>
    <w:rsid w:val="1220C22C"/>
    <w:rsid w:val="12272B1A"/>
    <w:rsid w:val="1228424A"/>
    <w:rsid w:val="122F4DCC"/>
    <w:rsid w:val="1231FBE4"/>
    <w:rsid w:val="12325185"/>
    <w:rsid w:val="1232B504"/>
    <w:rsid w:val="123AA909"/>
    <w:rsid w:val="12483550"/>
    <w:rsid w:val="124BB1C6"/>
    <w:rsid w:val="124CAEBF"/>
    <w:rsid w:val="124DEAE6"/>
    <w:rsid w:val="1250B5EA"/>
    <w:rsid w:val="125D1C4C"/>
    <w:rsid w:val="126176DA"/>
    <w:rsid w:val="1263850D"/>
    <w:rsid w:val="1264ECD6"/>
    <w:rsid w:val="12685B9C"/>
    <w:rsid w:val="126A60B6"/>
    <w:rsid w:val="126C106D"/>
    <w:rsid w:val="12714BE2"/>
    <w:rsid w:val="12727ED0"/>
    <w:rsid w:val="127B94B8"/>
    <w:rsid w:val="127C9975"/>
    <w:rsid w:val="127FE57E"/>
    <w:rsid w:val="128126D8"/>
    <w:rsid w:val="12821C1A"/>
    <w:rsid w:val="1285E155"/>
    <w:rsid w:val="128BB143"/>
    <w:rsid w:val="12905DB3"/>
    <w:rsid w:val="1293D75F"/>
    <w:rsid w:val="1296F1C1"/>
    <w:rsid w:val="129A49E5"/>
    <w:rsid w:val="129CE4DB"/>
    <w:rsid w:val="129E0450"/>
    <w:rsid w:val="12A3FDD4"/>
    <w:rsid w:val="12A7E7C5"/>
    <w:rsid w:val="12A8CB6C"/>
    <w:rsid w:val="12AB7934"/>
    <w:rsid w:val="12ADD4B1"/>
    <w:rsid w:val="12AEB65E"/>
    <w:rsid w:val="12AF0331"/>
    <w:rsid w:val="12B1434A"/>
    <w:rsid w:val="12B1C2E6"/>
    <w:rsid w:val="12B21461"/>
    <w:rsid w:val="12B47022"/>
    <w:rsid w:val="12B87597"/>
    <w:rsid w:val="12B92C1C"/>
    <w:rsid w:val="12BA9E8B"/>
    <w:rsid w:val="12BAF157"/>
    <w:rsid w:val="12C1B2DE"/>
    <w:rsid w:val="12C698C0"/>
    <w:rsid w:val="12CB2E06"/>
    <w:rsid w:val="12CB6C0C"/>
    <w:rsid w:val="12CBDA51"/>
    <w:rsid w:val="12D3D58D"/>
    <w:rsid w:val="12D6701A"/>
    <w:rsid w:val="12DE2223"/>
    <w:rsid w:val="12E27CB4"/>
    <w:rsid w:val="12EC4E07"/>
    <w:rsid w:val="12F15BC5"/>
    <w:rsid w:val="12FDC55F"/>
    <w:rsid w:val="12FE7E3D"/>
    <w:rsid w:val="1302CAD7"/>
    <w:rsid w:val="130437CE"/>
    <w:rsid w:val="13095236"/>
    <w:rsid w:val="130B7E17"/>
    <w:rsid w:val="130CCB0D"/>
    <w:rsid w:val="13141AA1"/>
    <w:rsid w:val="131B29E8"/>
    <w:rsid w:val="131E12C3"/>
    <w:rsid w:val="131E574D"/>
    <w:rsid w:val="131F44E6"/>
    <w:rsid w:val="131F7D10"/>
    <w:rsid w:val="131F9343"/>
    <w:rsid w:val="132476F5"/>
    <w:rsid w:val="132A9D70"/>
    <w:rsid w:val="132D9F65"/>
    <w:rsid w:val="132FD945"/>
    <w:rsid w:val="1335C308"/>
    <w:rsid w:val="13391946"/>
    <w:rsid w:val="133B1815"/>
    <w:rsid w:val="1342A4B8"/>
    <w:rsid w:val="1342A631"/>
    <w:rsid w:val="1345D67E"/>
    <w:rsid w:val="13479C1A"/>
    <w:rsid w:val="1350A4AA"/>
    <w:rsid w:val="13516CE9"/>
    <w:rsid w:val="1353F468"/>
    <w:rsid w:val="13561BBE"/>
    <w:rsid w:val="135B9F6D"/>
    <w:rsid w:val="135F2BD2"/>
    <w:rsid w:val="1360B126"/>
    <w:rsid w:val="13650B37"/>
    <w:rsid w:val="13666ED2"/>
    <w:rsid w:val="136704E2"/>
    <w:rsid w:val="1369289A"/>
    <w:rsid w:val="137B37B2"/>
    <w:rsid w:val="137CA961"/>
    <w:rsid w:val="1380528F"/>
    <w:rsid w:val="13825A3B"/>
    <w:rsid w:val="1382DC66"/>
    <w:rsid w:val="1388AF1C"/>
    <w:rsid w:val="138AC576"/>
    <w:rsid w:val="138BDF04"/>
    <w:rsid w:val="1391E477"/>
    <w:rsid w:val="13951C60"/>
    <w:rsid w:val="139A7532"/>
    <w:rsid w:val="139ED41E"/>
    <w:rsid w:val="13A54381"/>
    <w:rsid w:val="13A561DA"/>
    <w:rsid w:val="13AA9316"/>
    <w:rsid w:val="13AEE45F"/>
    <w:rsid w:val="13AFEFAA"/>
    <w:rsid w:val="13B21719"/>
    <w:rsid w:val="13B69D0B"/>
    <w:rsid w:val="13B72198"/>
    <w:rsid w:val="13B7CCB5"/>
    <w:rsid w:val="13B7DB3B"/>
    <w:rsid w:val="13B7F2EC"/>
    <w:rsid w:val="13B813A2"/>
    <w:rsid w:val="13B9A769"/>
    <w:rsid w:val="13BF85A4"/>
    <w:rsid w:val="13CF3C51"/>
    <w:rsid w:val="13D01D16"/>
    <w:rsid w:val="13D07F6C"/>
    <w:rsid w:val="13D27BA9"/>
    <w:rsid w:val="13D4FD01"/>
    <w:rsid w:val="13DC8BEB"/>
    <w:rsid w:val="13DF9E96"/>
    <w:rsid w:val="13E1F71C"/>
    <w:rsid w:val="13E33D43"/>
    <w:rsid w:val="13E3C469"/>
    <w:rsid w:val="13E9547E"/>
    <w:rsid w:val="13EB0F4E"/>
    <w:rsid w:val="13EE31A4"/>
    <w:rsid w:val="13F543DF"/>
    <w:rsid w:val="140438AC"/>
    <w:rsid w:val="14045080"/>
    <w:rsid w:val="14071F39"/>
    <w:rsid w:val="14109BEF"/>
    <w:rsid w:val="1412BE38"/>
    <w:rsid w:val="14143F6A"/>
    <w:rsid w:val="14179576"/>
    <w:rsid w:val="1419EC91"/>
    <w:rsid w:val="141B1C1F"/>
    <w:rsid w:val="14211462"/>
    <w:rsid w:val="1425AB99"/>
    <w:rsid w:val="142D688C"/>
    <w:rsid w:val="142E5E8B"/>
    <w:rsid w:val="143796B6"/>
    <w:rsid w:val="14407D15"/>
    <w:rsid w:val="14430AB6"/>
    <w:rsid w:val="144B5758"/>
    <w:rsid w:val="144DD204"/>
    <w:rsid w:val="144F3D08"/>
    <w:rsid w:val="1451E00C"/>
    <w:rsid w:val="14562002"/>
    <w:rsid w:val="1456D639"/>
    <w:rsid w:val="14574E38"/>
    <w:rsid w:val="1457DC20"/>
    <w:rsid w:val="145AC114"/>
    <w:rsid w:val="145B23E1"/>
    <w:rsid w:val="145BF37B"/>
    <w:rsid w:val="14659B49"/>
    <w:rsid w:val="146B7384"/>
    <w:rsid w:val="1474BD73"/>
    <w:rsid w:val="147684E3"/>
    <w:rsid w:val="14855A3B"/>
    <w:rsid w:val="14889BAA"/>
    <w:rsid w:val="14891BDC"/>
    <w:rsid w:val="1489DE6E"/>
    <w:rsid w:val="148F331F"/>
    <w:rsid w:val="14911360"/>
    <w:rsid w:val="1498F8A4"/>
    <w:rsid w:val="14A0E2B8"/>
    <w:rsid w:val="14A192A9"/>
    <w:rsid w:val="14A208F3"/>
    <w:rsid w:val="14A74A9B"/>
    <w:rsid w:val="14AE1128"/>
    <w:rsid w:val="14B6C66C"/>
    <w:rsid w:val="14BA4D99"/>
    <w:rsid w:val="14C25AD0"/>
    <w:rsid w:val="14D32358"/>
    <w:rsid w:val="14D4E9A7"/>
    <w:rsid w:val="14D66B03"/>
    <w:rsid w:val="14D74D10"/>
    <w:rsid w:val="14D84434"/>
    <w:rsid w:val="14DFFA12"/>
    <w:rsid w:val="14E3456F"/>
    <w:rsid w:val="14E5186C"/>
    <w:rsid w:val="14E816DD"/>
    <w:rsid w:val="14EA8533"/>
    <w:rsid w:val="14EFF439"/>
    <w:rsid w:val="14F4D4FB"/>
    <w:rsid w:val="14F582DB"/>
    <w:rsid w:val="14F82F0F"/>
    <w:rsid w:val="14FA32C3"/>
    <w:rsid w:val="14FA517A"/>
    <w:rsid w:val="14FF4C64"/>
    <w:rsid w:val="150007E7"/>
    <w:rsid w:val="15039FDB"/>
    <w:rsid w:val="15059245"/>
    <w:rsid w:val="1505A3C1"/>
    <w:rsid w:val="15098B84"/>
    <w:rsid w:val="150A5DF0"/>
    <w:rsid w:val="150B2E01"/>
    <w:rsid w:val="150B4DE8"/>
    <w:rsid w:val="150DE96E"/>
    <w:rsid w:val="150E62DB"/>
    <w:rsid w:val="1510EAC0"/>
    <w:rsid w:val="15117110"/>
    <w:rsid w:val="15153CBC"/>
    <w:rsid w:val="151A3FA4"/>
    <w:rsid w:val="151A780E"/>
    <w:rsid w:val="151B87CE"/>
    <w:rsid w:val="151DCCD4"/>
    <w:rsid w:val="151F8433"/>
    <w:rsid w:val="1522372E"/>
    <w:rsid w:val="1522AD1D"/>
    <w:rsid w:val="152C8EAE"/>
    <w:rsid w:val="152F44FC"/>
    <w:rsid w:val="1532CF10"/>
    <w:rsid w:val="1532ED94"/>
    <w:rsid w:val="1534E916"/>
    <w:rsid w:val="1536472B"/>
    <w:rsid w:val="153ED488"/>
    <w:rsid w:val="154A9593"/>
    <w:rsid w:val="1553F1AF"/>
    <w:rsid w:val="155986DF"/>
    <w:rsid w:val="155EBC9E"/>
    <w:rsid w:val="156CB565"/>
    <w:rsid w:val="156DD2CA"/>
    <w:rsid w:val="15758248"/>
    <w:rsid w:val="15763951"/>
    <w:rsid w:val="157AA2DE"/>
    <w:rsid w:val="157E0ED0"/>
    <w:rsid w:val="157EE79F"/>
    <w:rsid w:val="15802C98"/>
    <w:rsid w:val="1581700A"/>
    <w:rsid w:val="1581BDAF"/>
    <w:rsid w:val="15842047"/>
    <w:rsid w:val="158540CD"/>
    <w:rsid w:val="15872EF5"/>
    <w:rsid w:val="158E9D6A"/>
    <w:rsid w:val="15900295"/>
    <w:rsid w:val="1590DD4F"/>
    <w:rsid w:val="1591A130"/>
    <w:rsid w:val="1593A7D9"/>
    <w:rsid w:val="1595D64D"/>
    <w:rsid w:val="159DC07F"/>
    <w:rsid w:val="15A686E4"/>
    <w:rsid w:val="15A8D45E"/>
    <w:rsid w:val="15B59814"/>
    <w:rsid w:val="15B5B420"/>
    <w:rsid w:val="15BB7CC7"/>
    <w:rsid w:val="15BB9755"/>
    <w:rsid w:val="15BC5E49"/>
    <w:rsid w:val="15BC9C4A"/>
    <w:rsid w:val="15BCD354"/>
    <w:rsid w:val="15C1BCB4"/>
    <w:rsid w:val="15C2C2AE"/>
    <w:rsid w:val="15C578B6"/>
    <w:rsid w:val="15C7DEBA"/>
    <w:rsid w:val="15C80FD5"/>
    <w:rsid w:val="15CA5061"/>
    <w:rsid w:val="15CC106D"/>
    <w:rsid w:val="15CC426A"/>
    <w:rsid w:val="15CCF067"/>
    <w:rsid w:val="15D44D29"/>
    <w:rsid w:val="15DC3ABA"/>
    <w:rsid w:val="15E78D3B"/>
    <w:rsid w:val="15EF2EF1"/>
    <w:rsid w:val="15F09A2E"/>
    <w:rsid w:val="15F34594"/>
    <w:rsid w:val="15F4E87F"/>
    <w:rsid w:val="15FD37F0"/>
    <w:rsid w:val="16042772"/>
    <w:rsid w:val="1605705D"/>
    <w:rsid w:val="160851C0"/>
    <w:rsid w:val="1611AB3C"/>
    <w:rsid w:val="161215D8"/>
    <w:rsid w:val="1615E24E"/>
    <w:rsid w:val="1615F7B8"/>
    <w:rsid w:val="1618FA9A"/>
    <w:rsid w:val="161B4ADC"/>
    <w:rsid w:val="161D5250"/>
    <w:rsid w:val="16206808"/>
    <w:rsid w:val="16206D54"/>
    <w:rsid w:val="1622169E"/>
    <w:rsid w:val="16233EBB"/>
    <w:rsid w:val="16254F57"/>
    <w:rsid w:val="16270977"/>
    <w:rsid w:val="162817FD"/>
    <w:rsid w:val="162AD0AD"/>
    <w:rsid w:val="162B1846"/>
    <w:rsid w:val="162E4C29"/>
    <w:rsid w:val="1634DC4F"/>
    <w:rsid w:val="1634F57A"/>
    <w:rsid w:val="16369F8D"/>
    <w:rsid w:val="16399AEB"/>
    <w:rsid w:val="1639D598"/>
    <w:rsid w:val="163AAB8C"/>
    <w:rsid w:val="1644467C"/>
    <w:rsid w:val="1648D649"/>
    <w:rsid w:val="164939B3"/>
    <w:rsid w:val="1649FBC3"/>
    <w:rsid w:val="165F29AE"/>
    <w:rsid w:val="166369B9"/>
    <w:rsid w:val="166913EE"/>
    <w:rsid w:val="166B3E88"/>
    <w:rsid w:val="167086B5"/>
    <w:rsid w:val="16708735"/>
    <w:rsid w:val="1670B52A"/>
    <w:rsid w:val="16730A19"/>
    <w:rsid w:val="1678A93F"/>
    <w:rsid w:val="167CF2DF"/>
    <w:rsid w:val="167DC102"/>
    <w:rsid w:val="16913AD2"/>
    <w:rsid w:val="16937FAA"/>
    <w:rsid w:val="16943792"/>
    <w:rsid w:val="1698B828"/>
    <w:rsid w:val="169A360A"/>
    <w:rsid w:val="16A1A22C"/>
    <w:rsid w:val="16A41FEE"/>
    <w:rsid w:val="16ACC2B8"/>
    <w:rsid w:val="16ADAC3C"/>
    <w:rsid w:val="16B6174D"/>
    <w:rsid w:val="16B904DA"/>
    <w:rsid w:val="16C00E30"/>
    <w:rsid w:val="16C39606"/>
    <w:rsid w:val="16D5B0B1"/>
    <w:rsid w:val="16D80D24"/>
    <w:rsid w:val="16DCF47E"/>
    <w:rsid w:val="16E503FC"/>
    <w:rsid w:val="16E85F25"/>
    <w:rsid w:val="16E90497"/>
    <w:rsid w:val="16EEE20E"/>
    <w:rsid w:val="16F05191"/>
    <w:rsid w:val="16F40BAD"/>
    <w:rsid w:val="16F601B9"/>
    <w:rsid w:val="16FBA164"/>
    <w:rsid w:val="16FC42F7"/>
    <w:rsid w:val="16FC8158"/>
    <w:rsid w:val="170CBA89"/>
    <w:rsid w:val="171AC135"/>
    <w:rsid w:val="1721B8A2"/>
    <w:rsid w:val="1724ACDA"/>
    <w:rsid w:val="17286E15"/>
    <w:rsid w:val="1728E759"/>
    <w:rsid w:val="172D5062"/>
    <w:rsid w:val="1730E85F"/>
    <w:rsid w:val="1732A467"/>
    <w:rsid w:val="17365B53"/>
    <w:rsid w:val="1737A363"/>
    <w:rsid w:val="173CD2B4"/>
    <w:rsid w:val="17464BDA"/>
    <w:rsid w:val="1746BA59"/>
    <w:rsid w:val="1746FBAD"/>
    <w:rsid w:val="17482CEA"/>
    <w:rsid w:val="174F3791"/>
    <w:rsid w:val="1751D01A"/>
    <w:rsid w:val="175488B8"/>
    <w:rsid w:val="1755CDCB"/>
    <w:rsid w:val="1758E07A"/>
    <w:rsid w:val="175A13A5"/>
    <w:rsid w:val="175BEC70"/>
    <w:rsid w:val="175C41FE"/>
    <w:rsid w:val="175C4538"/>
    <w:rsid w:val="17612618"/>
    <w:rsid w:val="1762B90A"/>
    <w:rsid w:val="176326B1"/>
    <w:rsid w:val="17635F45"/>
    <w:rsid w:val="1767EB1B"/>
    <w:rsid w:val="1769B336"/>
    <w:rsid w:val="176CCE9C"/>
    <w:rsid w:val="176E9A06"/>
    <w:rsid w:val="1772BD0D"/>
    <w:rsid w:val="1773EA5B"/>
    <w:rsid w:val="177A0763"/>
    <w:rsid w:val="1782B386"/>
    <w:rsid w:val="178BF02E"/>
    <w:rsid w:val="178EB45F"/>
    <w:rsid w:val="1790A575"/>
    <w:rsid w:val="1793D7B7"/>
    <w:rsid w:val="1793DB03"/>
    <w:rsid w:val="1796F466"/>
    <w:rsid w:val="179958D1"/>
    <w:rsid w:val="179ED18B"/>
    <w:rsid w:val="17A1C6B8"/>
    <w:rsid w:val="17A34D52"/>
    <w:rsid w:val="17A44030"/>
    <w:rsid w:val="17AA53FF"/>
    <w:rsid w:val="17AB5948"/>
    <w:rsid w:val="17B35D17"/>
    <w:rsid w:val="17B9E4CB"/>
    <w:rsid w:val="17BE69D0"/>
    <w:rsid w:val="17C14B9F"/>
    <w:rsid w:val="17C31E6B"/>
    <w:rsid w:val="17C4D0DF"/>
    <w:rsid w:val="17C6A778"/>
    <w:rsid w:val="17C9CE92"/>
    <w:rsid w:val="17CAEDFC"/>
    <w:rsid w:val="17CFF17A"/>
    <w:rsid w:val="17DB0F48"/>
    <w:rsid w:val="17DE212D"/>
    <w:rsid w:val="17E86EE9"/>
    <w:rsid w:val="17F25EDC"/>
    <w:rsid w:val="17F3ED14"/>
    <w:rsid w:val="17F4F06F"/>
    <w:rsid w:val="17FB9604"/>
    <w:rsid w:val="17FFF96E"/>
    <w:rsid w:val="18058349"/>
    <w:rsid w:val="1807DD2C"/>
    <w:rsid w:val="1808250A"/>
    <w:rsid w:val="181462D5"/>
    <w:rsid w:val="1815ECEA"/>
    <w:rsid w:val="181A0062"/>
    <w:rsid w:val="181B3B7F"/>
    <w:rsid w:val="181BDDBB"/>
    <w:rsid w:val="181DFB26"/>
    <w:rsid w:val="181F1D43"/>
    <w:rsid w:val="18223B99"/>
    <w:rsid w:val="182BA607"/>
    <w:rsid w:val="182DEF9E"/>
    <w:rsid w:val="182E1C2F"/>
    <w:rsid w:val="182E92D7"/>
    <w:rsid w:val="18348F7B"/>
    <w:rsid w:val="18393E72"/>
    <w:rsid w:val="1840B7D2"/>
    <w:rsid w:val="18417022"/>
    <w:rsid w:val="1843864D"/>
    <w:rsid w:val="18449B31"/>
    <w:rsid w:val="184B1A11"/>
    <w:rsid w:val="184D8894"/>
    <w:rsid w:val="184F1920"/>
    <w:rsid w:val="1850249D"/>
    <w:rsid w:val="185321D4"/>
    <w:rsid w:val="185C04EB"/>
    <w:rsid w:val="185D0965"/>
    <w:rsid w:val="18610C0B"/>
    <w:rsid w:val="1869A19F"/>
    <w:rsid w:val="1869A745"/>
    <w:rsid w:val="1877DF48"/>
    <w:rsid w:val="187E89E1"/>
    <w:rsid w:val="18804D92"/>
    <w:rsid w:val="1887895A"/>
    <w:rsid w:val="188A565E"/>
    <w:rsid w:val="188AB311"/>
    <w:rsid w:val="188BF503"/>
    <w:rsid w:val="188C2668"/>
    <w:rsid w:val="188CF2DA"/>
    <w:rsid w:val="188E6C9F"/>
    <w:rsid w:val="1893E6F4"/>
    <w:rsid w:val="1895AAFD"/>
    <w:rsid w:val="18965D60"/>
    <w:rsid w:val="189BD429"/>
    <w:rsid w:val="189DFA83"/>
    <w:rsid w:val="189E356B"/>
    <w:rsid w:val="18A1AE20"/>
    <w:rsid w:val="18A41F36"/>
    <w:rsid w:val="18A6CDD5"/>
    <w:rsid w:val="18A8E995"/>
    <w:rsid w:val="18B15BFF"/>
    <w:rsid w:val="18B24585"/>
    <w:rsid w:val="18B5E496"/>
    <w:rsid w:val="18B9DC0F"/>
    <w:rsid w:val="18C01B87"/>
    <w:rsid w:val="18C5AFED"/>
    <w:rsid w:val="18C6F6AE"/>
    <w:rsid w:val="18CB4DD4"/>
    <w:rsid w:val="18CCC896"/>
    <w:rsid w:val="18CD0FD9"/>
    <w:rsid w:val="18CD42E4"/>
    <w:rsid w:val="18CF034E"/>
    <w:rsid w:val="18D172D7"/>
    <w:rsid w:val="18D1B9CC"/>
    <w:rsid w:val="18D63AEB"/>
    <w:rsid w:val="18D82142"/>
    <w:rsid w:val="18D8A191"/>
    <w:rsid w:val="18DB0EAA"/>
    <w:rsid w:val="18E52CBE"/>
    <w:rsid w:val="18E7C481"/>
    <w:rsid w:val="18E8A9DF"/>
    <w:rsid w:val="18ED38D6"/>
    <w:rsid w:val="18F33CD3"/>
    <w:rsid w:val="18F48E45"/>
    <w:rsid w:val="18F50891"/>
    <w:rsid w:val="18F5B806"/>
    <w:rsid w:val="18F94228"/>
    <w:rsid w:val="18FDB18D"/>
    <w:rsid w:val="19048BB7"/>
    <w:rsid w:val="1904C760"/>
    <w:rsid w:val="19051C28"/>
    <w:rsid w:val="19064365"/>
    <w:rsid w:val="19072FC0"/>
    <w:rsid w:val="19099661"/>
    <w:rsid w:val="190B8B34"/>
    <w:rsid w:val="191274AA"/>
    <w:rsid w:val="1912839F"/>
    <w:rsid w:val="19143D70"/>
    <w:rsid w:val="19170241"/>
    <w:rsid w:val="1918FFCD"/>
    <w:rsid w:val="191932F2"/>
    <w:rsid w:val="1920C438"/>
    <w:rsid w:val="1925022C"/>
    <w:rsid w:val="1929F84D"/>
    <w:rsid w:val="192C6061"/>
    <w:rsid w:val="192DCFF6"/>
    <w:rsid w:val="19338BA5"/>
    <w:rsid w:val="19399AD6"/>
    <w:rsid w:val="1939A295"/>
    <w:rsid w:val="194152A2"/>
    <w:rsid w:val="1944E86E"/>
    <w:rsid w:val="194CD53F"/>
    <w:rsid w:val="194CEA9F"/>
    <w:rsid w:val="194F1ACF"/>
    <w:rsid w:val="1953C1D3"/>
    <w:rsid w:val="195753D1"/>
    <w:rsid w:val="195BD4BF"/>
    <w:rsid w:val="1960B73C"/>
    <w:rsid w:val="19611488"/>
    <w:rsid w:val="1961ACA7"/>
    <w:rsid w:val="196A3AE1"/>
    <w:rsid w:val="196ADF85"/>
    <w:rsid w:val="196FA487"/>
    <w:rsid w:val="1977D55E"/>
    <w:rsid w:val="1977F669"/>
    <w:rsid w:val="197ECE62"/>
    <w:rsid w:val="197FF906"/>
    <w:rsid w:val="1982B7CC"/>
    <w:rsid w:val="1987BC15"/>
    <w:rsid w:val="198984A5"/>
    <w:rsid w:val="198D3CE0"/>
    <w:rsid w:val="19943285"/>
    <w:rsid w:val="1995A13D"/>
    <w:rsid w:val="19973751"/>
    <w:rsid w:val="1997558A"/>
    <w:rsid w:val="199EF498"/>
    <w:rsid w:val="19A213D8"/>
    <w:rsid w:val="19A3E914"/>
    <w:rsid w:val="19A5033D"/>
    <w:rsid w:val="19A8D56F"/>
    <w:rsid w:val="19AA072D"/>
    <w:rsid w:val="19ABEBB6"/>
    <w:rsid w:val="19AD48E6"/>
    <w:rsid w:val="19AF3065"/>
    <w:rsid w:val="19AF7A11"/>
    <w:rsid w:val="19B20717"/>
    <w:rsid w:val="19B39201"/>
    <w:rsid w:val="19B4851D"/>
    <w:rsid w:val="19BF520A"/>
    <w:rsid w:val="19C3497D"/>
    <w:rsid w:val="19C472FF"/>
    <w:rsid w:val="19D08B37"/>
    <w:rsid w:val="19D24197"/>
    <w:rsid w:val="19D8B466"/>
    <w:rsid w:val="19E066A3"/>
    <w:rsid w:val="19E24797"/>
    <w:rsid w:val="19EC9F78"/>
    <w:rsid w:val="19ED4424"/>
    <w:rsid w:val="19EDB36D"/>
    <w:rsid w:val="19EE8793"/>
    <w:rsid w:val="19F942E6"/>
    <w:rsid w:val="19F98227"/>
    <w:rsid w:val="19FABD84"/>
    <w:rsid w:val="19FEC685"/>
    <w:rsid w:val="1A11A648"/>
    <w:rsid w:val="1A12C7BD"/>
    <w:rsid w:val="1A156BBC"/>
    <w:rsid w:val="1A15BEB1"/>
    <w:rsid w:val="1A1F2DEA"/>
    <w:rsid w:val="1A23F69A"/>
    <w:rsid w:val="1A241ED1"/>
    <w:rsid w:val="1A26C958"/>
    <w:rsid w:val="1A3019A9"/>
    <w:rsid w:val="1A30A10C"/>
    <w:rsid w:val="1A311F31"/>
    <w:rsid w:val="1A327D2D"/>
    <w:rsid w:val="1A32EC63"/>
    <w:rsid w:val="1A343B9B"/>
    <w:rsid w:val="1A39ECF6"/>
    <w:rsid w:val="1A3C2DF7"/>
    <w:rsid w:val="1A3CEF4E"/>
    <w:rsid w:val="1A43751B"/>
    <w:rsid w:val="1A4602CF"/>
    <w:rsid w:val="1A478390"/>
    <w:rsid w:val="1A4898FB"/>
    <w:rsid w:val="1A4BEA50"/>
    <w:rsid w:val="1A4F978D"/>
    <w:rsid w:val="1A5229C9"/>
    <w:rsid w:val="1A52CDFD"/>
    <w:rsid w:val="1A54A2D5"/>
    <w:rsid w:val="1A54E418"/>
    <w:rsid w:val="1A555654"/>
    <w:rsid w:val="1A5894F9"/>
    <w:rsid w:val="1A5AAC66"/>
    <w:rsid w:val="1A5D836C"/>
    <w:rsid w:val="1A6162A2"/>
    <w:rsid w:val="1A65954C"/>
    <w:rsid w:val="1A66292D"/>
    <w:rsid w:val="1A68C11D"/>
    <w:rsid w:val="1A7C105C"/>
    <w:rsid w:val="1A7CC191"/>
    <w:rsid w:val="1A7FE194"/>
    <w:rsid w:val="1A886EC7"/>
    <w:rsid w:val="1A89E684"/>
    <w:rsid w:val="1A8E9A32"/>
    <w:rsid w:val="1A913B97"/>
    <w:rsid w:val="1A99E57B"/>
    <w:rsid w:val="1AA22953"/>
    <w:rsid w:val="1AA41FC0"/>
    <w:rsid w:val="1AA4A602"/>
    <w:rsid w:val="1AA6C261"/>
    <w:rsid w:val="1AAB5549"/>
    <w:rsid w:val="1AB61FB6"/>
    <w:rsid w:val="1AC03762"/>
    <w:rsid w:val="1AC859CB"/>
    <w:rsid w:val="1AD0EE66"/>
    <w:rsid w:val="1AD549B1"/>
    <w:rsid w:val="1AD56046"/>
    <w:rsid w:val="1ADB389C"/>
    <w:rsid w:val="1AE6D9EB"/>
    <w:rsid w:val="1AEBA9C1"/>
    <w:rsid w:val="1AEDA319"/>
    <w:rsid w:val="1AFA7ECF"/>
    <w:rsid w:val="1AFC53D6"/>
    <w:rsid w:val="1B00F0E6"/>
    <w:rsid w:val="1B038917"/>
    <w:rsid w:val="1B04E807"/>
    <w:rsid w:val="1B09B714"/>
    <w:rsid w:val="1B0EF0E7"/>
    <w:rsid w:val="1B1603B5"/>
    <w:rsid w:val="1B19A076"/>
    <w:rsid w:val="1B1A6C79"/>
    <w:rsid w:val="1B1F5D9B"/>
    <w:rsid w:val="1B1FFD84"/>
    <w:rsid w:val="1B2924A8"/>
    <w:rsid w:val="1B2D5C32"/>
    <w:rsid w:val="1B32A163"/>
    <w:rsid w:val="1B32E9D9"/>
    <w:rsid w:val="1B39810F"/>
    <w:rsid w:val="1B417D6B"/>
    <w:rsid w:val="1B497BA9"/>
    <w:rsid w:val="1B4D9A0D"/>
    <w:rsid w:val="1B56332C"/>
    <w:rsid w:val="1B5D0BA5"/>
    <w:rsid w:val="1B5D3DC1"/>
    <w:rsid w:val="1B614D63"/>
    <w:rsid w:val="1B62CEB6"/>
    <w:rsid w:val="1B708413"/>
    <w:rsid w:val="1B74769E"/>
    <w:rsid w:val="1B756165"/>
    <w:rsid w:val="1B7A059E"/>
    <w:rsid w:val="1B7A6783"/>
    <w:rsid w:val="1B8065D4"/>
    <w:rsid w:val="1B8253DA"/>
    <w:rsid w:val="1B8978E9"/>
    <w:rsid w:val="1B8DF456"/>
    <w:rsid w:val="1B94AE17"/>
    <w:rsid w:val="1B99361F"/>
    <w:rsid w:val="1B9E0DBC"/>
    <w:rsid w:val="1BA1C40F"/>
    <w:rsid w:val="1BA67EBA"/>
    <w:rsid w:val="1BA8387E"/>
    <w:rsid w:val="1BA85FC7"/>
    <w:rsid w:val="1BAFDF86"/>
    <w:rsid w:val="1BB0CE60"/>
    <w:rsid w:val="1BB8F2D9"/>
    <w:rsid w:val="1BBAD7BD"/>
    <w:rsid w:val="1BBE7629"/>
    <w:rsid w:val="1BBEDA01"/>
    <w:rsid w:val="1BC29726"/>
    <w:rsid w:val="1BC4622E"/>
    <w:rsid w:val="1BC97800"/>
    <w:rsid w:val="1BC99B03"/>
    <w:rsid w:val="1BCC3346"/>
    <w:rsid w:val="1BCEA188"/>
    <w:rsid w:val="1BD7A5CA"/>
    <w:rsid w:val="1BD900A0"/>
    <w:rsid w:val="1BE2D841"/>
    <w:rsid w:val="1BE2DC99"/>
    <w:rsid w:val="1BE46CA4"/>
    <w:rsid w:val="1BE576D5"/>
    <w:rsid w:val="1BE86F90"/>
    <w:rsid w:val="1BEA77CF"/>
    <w:rsid w:val="1BEBBFF8"/>
    <w:rsid w:val="1BED7F8A"/>
    <w:rsid w:val="1BEDF0B0"/>
    <w:rsid w:val="1BEEC43F"/>
    <w:rsid w:val="1BF166BC"/>
    <w:rsid w:val="1BF5B3E8"/>
    <w:rsid w:val="1BF61BE8"/>
    <w:rsid w:val="1BF63049"/>
    <w:rsid w:val="1BF66954"/>
    <w:rsid w:val="1BF6E602"/>
    <w:rsid w:val="1BFCF6FC"/>
    <w:rsid w:val="1C03973F"/>
    <w:rsid w:val="1C057084"/>
    <w:rsid w:val="1C07066D"/>
    <w:rsid w:val="1C08F1CA"/>
    <w:rsid w:val="1C0AE82D"/>
    <w:rsid w:val="1C11B3BC"/>
    <w:rsid w:val="1C162FB8"/>
    <w:rsid w:val="1C19A033"/>
    <w:rsid w:val="1C1D51B1"/>
    <w:rsid w:val="1C1E2B78"/>
    <w:rsid w:val="1C1FF9BE"/>
    <w:rsid w:val="1C20BDB2"/>
    <w:rsid w:val="1C248F0C"/>
    <w:rsid w:val="1C2BC1BD"/>
    <w:rsid w:val="1C30ABF3"/>
    <w:rsid w:val="1C342CD8"/>
    <w:rsid w:val="1C36F1BC"/>
    <w:rsid w:val="1C3BC83F"/>
    <w:rsid w:val="1C3DF653"/>
    <w:rsid w:val="1C3E69C1"/>
    <w:rsid w:val="1C3E88F4"/>
    <w:rsid w:val="1C459058"/>
    <w:rsid w:val="1C4B8D37"/>
    <w:rsid w:val="1C4D1B0C"/>
    <w:rsid w:val="1C4DA7FB"/>
    <w:rsid w:val="1C4F4472"/>
    <w:rsid w:val="1C52A6C9"/>
    <w:rsid w:val="1C547038"/>
    <w:rsid w:val="1C55498F"/>
    <w:rsid w:val="1C567FA7"/>
    <w:rsid w:val="1C582549"/>
    <w:rsid w:val="1C586B8F"/>
    <w:rsid w:val="1C587EC4"/>
    <w:rsid w:val="1C5A24C2"/>
    <w:rsid w:val="1C5CBB21"/>
    <w:rsid w:val="1C663EBD"/>
    <w:rsid w:val="1C6AAAC8"/>
    <w:rsid w:val="1C6D590D"/>
    <w:rsid w:val="1C6D8B3F"/>
    <w:rsid w:val="1C6ED975"/>
    <w:rsid w:val="1C712437"/>
    <w:rsid w:val="1C788851"/>
    <w:rsid w:val="1C80102B"/>
    <w:rsid w:val="1C82DF6D"/>
    <w:rsid w:val="1C83D0C4"/>
    <w:rsid w:val="1C88E769"/>
    <w:rsid w:val="1C916B8C"/>
    <w:rsid w:val="1C93D58F"/>
    <w:rsid w:val="1C9652FD"/>
    <w:rsid w:val="1C9DBAFA"/>
    <w:rsid w:val="1C9F92CC"/>
    <w:rsid w:val="1CA2266F"/>
    <w:rsid w:val="1CA6A1A1"/>
    <w:rsid w:val="1CA7B73D"/>
    <w:rsid w:val="1CA7C9F8"/>
    <w:rsid w:val="1CA854B9"/>
    <w:rsid w:val="1CAA7E3A"/>
    <w:rsid w:val="1CAF5467"/>
    <w:rsid w:val="1CB607C6"/>
    <w:rsid w:val="1CB67512"/>
    <w:rsid w:val="1CB8FE46"/>
    <w:rsid w:val="1CBA7E1E"/>
    <w:rsid w:val="1CBE8240"/>
    <w:rsid w:val="1CBF0378"/>
    <w:rsid w:val="1CC11A5F"/>
    <w:rsid w:val="1CD0448A"/>
    <w:rsid w:val="1CD5889F"/>
    <w:rsid w:val="1CD5DA02"/>
    <w:rsid w:val="1CD70375"/>
    <w:rsid w:val="1CD97CF3"/>
    <w:rsid w:val="1CEAC76C"/>
    <w:rsid w:val="1CEDCEFB"/>
    <w:rsid w:val="1CF06FE0"/>
    <w:rsid w:val="1CF9F1DC"/>
    <w:rsid w:val="1CFB0159"/>
    <w:rsid w:val="1CFEDE80"/>
    <w:rsid w:val="1D00D212"/>
    <w:rsid w:val="1D08B4A2"/>
    <w:rsid w:val="1D08C957"/>
    <w:rsid w:val="1D09C63E"/>
    <w:rsid w:val="1D0B9837"/>
    <w:rsid w:val="1D0FD24F"/>
    <w:rsid w:val="1D124BA0"/>
    <w:rsid w:val="1D154510"/>
    <w:rsid w:val="1D167C95"/>
    <w:rsid w:val="1D16C788"/>
    <w:rsid w:val="1D1C23FD"/>
    <w:rsid w:val="1D20D32E"/>
    <w:rsid w:val="1D225DAE"/>
    <w:rsid w:val="1D26AE18"/>
    <w:rsid w:val="1D296C83"/>
    <w:rsid w:val="1D2CBAEF"/>
    <w:rsid w:val="1D2DFEE2"/>
    <w:rsid w:val="1D33F1F9"/>
    <w:rsid w:val="1D353381"/>
    <w:rsid w:val="1D44C4A1"/>
    <w:rsid w:val="1D47D661"/>
    <w:rsid w:val="1D49E378"/>
    <w:rsid w:val="1D4E2793"/>
    <w:rsid w:val="1D4EA29D"/>
    <w:rsid w:val="1D548647"/>
    <w:rsid w:val="1D5BAA90"/>
    <w:rsid w:val="1D5BC7A0"/>
    <w:rsid w:val="1D5DDDA8"/>
    <w:rsid w:val="1D60E940"/>
    <w:rsid w:val="1D710EA9"/>
    <w:rsid w:val="1D725DD3"/>
    <w:rsid w:val="1D730C70"/>
    <w:rsid w:val="1D7564C4"/>
    <w:rsid w:val="1D756A5D"/>
    <w:rsid w:val="1D79F61F"/>
    <w:rsid w:val="1D7CD54D"/>
    <w:rsid w:val="1D7D22A1"/>
    <w:rsid w:val="1D8478C1"/>
    <w:rsid w:val="1D89EC8E"/>
    <w:rsid w:val="1D901D22"/>
    <w:rsid w:val="1D9570F5"/>
    <w:rsid w:val="1D9818A7"/>
    <w:rsid w:val="1D999C92"/>
    <w:rsid w:val="1D9C35CB"/>
    <w:rsid w:val="1D9ED6A3"/>
    <w:rsid w:val="1DA5415D"/>
    <w:rsid w:val="1DA9E48C"/>
    <w:rsid w:val="1DADD752"/>
    <w:rsid w:val="1DB13610"/>
    <w:rsid w:val="1DB75A4A"/>
    <w:rsid w:val="1DB878C1"/>
    <w:rsid w:val="1DBBA766"/>
    <w:rsid w:val="1DC23A39"/>
    <w:rsid w:val="1DC2D464"/>
    <w:rsid w:val="1DC4D45D"/>
    <w:rsid w:val="1DC5461F"/>
    <w:rsid w:val="1DC96CF7"/>
    <w:rsid w:val="1DCC9FD5"/>
    <w:rsid w:val="1DCF80E7"/>
    <w:rsid w:val="1DD10D7E"/>
    <w:rsid w:val="1DD16638"/>
    <w:rsid w:val="1DD1D685"/>
    <w:rsid w:val="1DD34CC8"/>
    <w:rsid w:val="1DD37803"/>
    <w:rsid w:val="1DD46006"/>
    <w:rsid w:val="1DDBCA51"/>
    <w:rsid w:val="1DDDE10D"/>
    <w:rsid w:val="1DDF18A5"/>
    <w:rsid w:val="1DE20956"/>
    <w:rsid w:val="1DE618F2"/>
    <w:rsid w:val="1DE6D7E8"/>
    <w:rsid w:val="1DEBE71E"/>
    <w:rsid w:val="1DFA6499"/>
    <w:rsid w:val="1E08E6BE"/>
    <w:rsid w:val="1E0BA369"/>
    <w:rsid w:val="1E0BBD31"/>
    <w:rsid w:val="1E0D0391"/>
    <w:rsid w:val="1E0F9561"/>
    <w:rsid w:val="1E14707C"/>
    <w:rsid w:val="1E14E4AF"/>
    <w:rsid w:val="1E150CF3"/>
    <w:rsid w:val="1E17D6FE"/>
    <w:rsid w:val="1E1B9B33"/>
    <w:rsid w:val="1E206774"/>
    <w:rsid w:val="1E222272"/>
    <w:rsid w:val="1E25710A"/>
    <w:rsid w:val="1E30BDD5"/>
    <w:rsid w:val="1E30C08A"/>
    <w:rsid w:val="1E327B46"/>
    <w:rsid w:val="1E35DF73"/>
    <w:rsid w:val="1E36E0B8"/>
    <w:rsid w:val="1E3B5323"/>
    <w:rsid w:val="1E3CB15E"/>
    <w:rsid w:val="1E3DD472"/>
    <w:rsid w:val="1E43FF43"/>
    <w:rsid w:val="1E4472DB"/>
    <w:rsid w:val="1E44A148"/>
    <w:rsid w:val="1E4B5A3A"/>
    <w:rsid w:val="1E509997"/>
    <w:rsid w:val="1E527B60"/>
    <w:rsid w:val="1E53E904"/>
    <w:rsid w:val="1E5C954A"/>
    <w:rsid w:val="1E5FE159"/>
    <w:rsid w:val="1E6062D1"/>
    <w:rsid w:val="1E60C56A"/>
    <w:rsid w:val="1E61031C"/>
    <w:rsid w:val="1E626465"/>
    <w:rsid w:val="1E655696"/>
    <w:rsid w:val="1E65F4D8"/>
    <w:rsid w:val="1E67CA20"/>
    <w:rsid w:val="1E6F7F32"/>
    <w:rsid w:val="1E70A28F"/>
    <w:rsid w:val="1E71CE8C"/>
    <w:rsid w:val="1E74254A"/>
    <w:rsid w:val="1E7515BD"/>
    <w:rsid w:val="1E76E6F3"/>
    <w:rsid w:val="1E777FBF"/>
    <w:rsid w:val="1E7B1329"/>
    <w:rsid w:val="1E7B2350"/>
    <w:rsid w:val="1E7E2FC2"/>
    <w:rsid w:val="1E94A72E"/>
    <w:rsid w:val="1E956A45"/>
    <w:rsid w:val="1E9821B8"/>
    <w:rsid w:val="1E989756"/>
    <w:rsid w:val="1E9979D6"/>
    <w:rsid w:val="1E9EB3D7"/>
    <w:rsid w:val="1EA163B6"/>
    <w:rsid w:val="1EA1A032"/>
    <w:rsid w:val="1EAAF931"/>
    <w:rsid w:val="1EAEA707"/>
    <w:rsid w:val="1EAEF0B7"/>
    <w:rsid w:val="1EAF452D"/>
    <w:rsid w:val="1EBAA265"/>
    <w:rsid w:val="1EC5193D"/>
    <w:rsid w:val="1EC86EA7"/>
    <w:rsid w:val="1ECA9CD7"/>
    <w:rsid w:val="1ED030BA"/>
    <w:rsid w:val="1ED63A52"/>
    <w:rsid w:val="1ED6BCC0"/>
    <w:rsid w:val="1ED79605"/>
    <w:rsid w:val="1EDBD669"/>
    <w:rsid w:val="1EE46C98"/>
    <w:rsid w:val="1EE8D61E"/>
    <w:rsid w:val="1EEA8103"/>
    <w:rsid w:val="1EF2AC1C"/>
    <w:rsid w:val="1EF63028"/>
    <w:rsid w:val="1EF6425F"/>
    <w:rsid w:val="1EF82614"/>
    <w:rsid w:val="1EF8C411"/>
    <w:rsid w:val="1EFBACB0"/>
    <w:rsid w:val="1EFC7814"/>
    <w:rsid w:val="1EFCF477"/>
    <w:rsid w:val="1EFD6474"/>
    <w:rsid w:val="1F01050E"/>
    <w:rsid w:val="1F027796"/>
    <w:rsid w:val="1F02E509"/>
    <w:rsid w:val="1F09D114"/>
    <w:rsid w:val="1F0BD968"/>
    <w:rsid w:val="1F0BDD64"/>
    <w:rsid w:val="1F0D7113"/>
    <w:rsid w:val="1F129112"/>
    <w:rsid w:val="1F164788"/>
    <w:rsid w:val="1F1C0D66"/>
    <w:rsid w:val="1F2057DB"/>
    <w:rsid w:val="1F22EC04"/>
    <w:rsid w:val="1F314216"/>
    <w:rsid w:val="1F3C941C"/>
    <w:rsid w:val="1F3E9ED8"/>
    <w:rsid w:val="1F3EADAF"/>
    <w:rsid w:val="1F3EF964"/>
    <w:rsid w:val="1F46F632"/>
    <w:rsid w:val="1F49E024"/>
    <w:rsid w:val="1F4D0A7D"/>
    <w:rsid w:val="1F517764"/>
    <w:rsid w:val="1F53D1CF"/>
    <w:rsid w:val="1F54885D"/>
    <w:rsid w:val="1F559D31"/>
    <w:rsid w:val="1F561781"/>
    <w:rsid w:val="1F5BD202"/>
    <w:rsid w:val="1F5EFE6C"/>
    <w:rsid w:val="1F61E6F5"/>
    <w:rsid w:val="1F651394"/>
    <w:rsid w:val="1F6746AE"/>
    <w:rsid w:val="1F68C452"/>
    <w:rsid w:val="1F6ACBD6"/>
    <w:rsid w:val="1F6BD9D7"/>
    <w:rsid w:val="1F6CB399"/>
    <w:rsid w:val="1F74F370"/>
    <w:rsid w:val="1F7B78FF"/>
    <w:rsid w:val="1F7F3F54"/>
    <w:rsid w:val="1F801F51"/>
    <w:rsid w:val="1F8C008C"/>
    <w:rsid w:val="1F8DEA1D"/>
    <w:rsid w:val="1F8E3207"/>
    <w:rsid w:val="1F8EA346"/>
    <w:rsid w:val="1F92D10D"/>
    <w:rsid w:val="1F943E0C"/>
    <w:rsid w:val="1F9536DA"/>
    <w:rsid w:val="1FA5A047"/>
    <w:rsid w:val="1FABD6F4"/>
    <w:rsid w:val="1FB3035F"/>
    <w:rsid w:val="1FB9BD25"/>
    <w:rsid w:val="1FBA9B8C"/>
    <w:rsid w:val="1FBB1634"/>
    <w:rsid w:val="1FBBA161"/>
    <w:rsid w:val="1FC196AB"/>
    <w:rsid w:val="1FC1F951"/>
    <w:rsid w:val="1FC583CB"/>
    <w:rsid w:val="1FCAA640"/>
    <w:rsid w:val="1FCB6E2E"/>
    <w:rsid w:val="1FCBA4BC"/>
    <w:rsid w:val="1FCD899F"/>
    <w:rsid w:val="1FCE7DB2"/>
    <w:rsid w:val="1FD8CBF4"/>
    <w:rsid w:val="1FDB0F1A"/>
    <w:rsid w:val="1FDD695F"/>
    <w:rsid w:val="1FDF424E"/>
    <w:rsid w:val="1FE7E954"/>
    <w:rsid w:val="1FFD1B60"/>
    <w:rsid w:val="200310B5"/>
    <w:rsid w:val="200384BA"/>
    <w:rsid w:val="20075675"/>
    <w:rsid w:val="2007A152"/>
    <w:rsid w:val="200B7DB4"/>
    <w:rsid w:val="200EF84A"/>
    <w:rsid w:val="20141F9D"/>
    <w:rsid w:val="20150A0A"/>
    <w:rsid w:val="201D8189"/>
    <w:rsid w:val="201DCE01"/>
    <w:rsid w:val="201F1D1E"/>
    <w:rsid w:val="202175FE"/>
    <w:rsid w:val="2025A2D1"/>
    <w:rsid w:val="202FE0A0"/>
    <w:rsid w:val="2031530E"/>
    <w:rsid w:val="2033B465"/>
    <w:rsid w:val="20369701"/>
    <w:rsid w:val="203727DB"/>
    <w:rsid w:val="203E0F58"/>
    <w:rsid w:val="203FE311"/>
    <w:rsid w:val="204284F1"/>
    <w:rsid w:val="20485B41"/>
    <w:rsid w:val="204923DF"/>
    <w:rsid w:val="204BE60F"/>
    <w:rsid w:val="204DA0BE"/>
    <w:rsid w:val="204DA9A1"/>
    <w:rsid w:val="204F9697"/>
    <w:rsid w:val="204FC2B0"/>
    <w:rsid w:val="205190A4"/>
    <w:rsid w:val="205508FB"/>
    <w:rsid w:val="205BCC1B"/>
    <w:rsid w:val="205C4BA6"/>
    <w:rsid w:val="205D5850"/>
    <w:rsid w:val="205DC809"/>
    <w:rsid w:val="205E3314"/>
    <w:rsid w:val="2061D759"/>
    <w:rsid w:val="206F24FE"/>
    <w:rsid w:val="207223EC"/>
    <w:rsid w:val="2072895F"/>
    <w:rsid w:val="2076EDE2"/>
    <w:rsid w:val="20777E47"/>
    <w:rsid w:val="207B4707"/>
    <w:rsid w:val="207F791F"/>
    <w:rsid w:val="20831363"/>
    <w:rsid w:val="208985FE"/>
    <w:rsid w:val="208A2FB3"/>
    <w:rsid w:val="208E2FB5"/>
    <w:rsid w:val="208E8822"/>
    <w:rsid w:val="208F7A58"/>
    <w:rsid w:val="2091EBD4"/>
    <w:rsid w:val="20961F45"/>
    <w:rsid w:val="20994B89"/>
    <w:rsid w:val="209ACB40"/>
    <w:rsid w:val="209D4CFF"/>
    <w:rsid w:val="209DE616"/>
    <w:rsid w:val="209EB56A"/>
    <w:rsid w:val="20A325FD"/>
    <w:rsid w:val="20A453D9"/>
    <w:rsid w:val="20A68043"/>
    <w:rsid w:val="20A69E02"/>
    <w:rsid w:val="20AB25FE"/>
    <w:rsid w:val="20ADD5D8"/>
    <w:rsid w:val="20B553E0"/>
    <w:rsid w:val="20B7C892"/>
    <w:rsid w:val="20BB603D"/>
    <w:rsid w:val="20C3AF6D"/>
    <w:rsid w:val="20C4C4AA"/>
    <w:rsid w:val="20C69E2E"/>
    <w:rsid w:val="20C94FBD"/>
    <w:rsid w:val="20CB71C8"/>
    <w:rsid w:val="20CDDB9A"/>
    <w:rsid w:val="20D45583"/>
    <w:rsid w:val="20D633B0"/>
    <w:rsid w:val="20D70F40"/>
    <w:rsid w:val="20DBCFD5"/>
    <w:rsid w:val="20E105F8"/>
    <w:rsid w:val="20E4EE31"/>
    <w:rsid w:val="20EEF21A"/>
    <w:rsid w:val="20F4D0F5"/>
    <w:rsid w:val="20FBA6BC"/>
    <w:rsid w:val="20FBB8A7"/>
    <w:rsid w:val="20FBEAA0"/>
    <w:rsid w:val="20FC73BA"/>
    <w:rsid w:val="20FC9BF0"/>
    <w:rsid w:val="20FF5204"/>
    <w:rsid w:val="2103A663"/>
    <w:rsid w:val="210C4A8D"/>
    <w:rsid w:val="2114E260"/>
    <w:rsid w:val="211B8652"/>
    <w:rsid w:val="211C6E48"/>
    <w:rsid w:val="211D070B"/>
    <w:rsid w:val="21207870"/>
    <w:rsid w:val="212364CB"/>
    <w:rsid w:val="212721BC"/>
    <w:rsid w:val="212B7743"/>
    <w:rsid w:val="2134782B"/>
    <w:rsid w:val="213F3849"/>
    <w:rsid w:val="214CC36B"/>
    <w:rsid w:val="214FE0E2"/>
    <w:rsid w:val="21587A88"/>
    <w:rsid w:val="215B053D"/>
    <w:rsid w:val="215E6CBD"/>
    <w:rsid w:val="2165DC71"/>
    <w:rsid w:val="21678081"/>
    <w:rsid w:val="2167ED7B"/>
    <w:rsid w:val="2168807D"/>
    <w:rsid w:val="216AF5F1"/>
    <w:rsid w:val="216BD0C5"/>
    <w:rsid w:val="216E0176"/>
    <w:rsid w:val="216FC0CB"/>
    <w:rsid w:val="2171BAC4"/>
    <w:rsid w:val="217285C6"/>
    <w:rsid w:val="21747FBE"/>
    <w:rsid w:val="217846CE"/>
    <w:rsid w:val="217A0623"/>
    <w:rsid w:val="217A5203"/>
    <w:rsid w:val="217DD67B"/>
    <w:rsid w:val="218014B7"/>
    <w:rsid w:val="21812058"/>
    <w:rsid w:val="2181CA0D"/>
    <w:rsid w:val="2187243C"/>
    <w:rsid w:val="2188DD31"/>
    <w:rsid w:val="218AE796"/>
    <w:rsid w:val="218B8A4C"/>
    <w:rsid w:val="2191348F"/>
    <w:rsid w:val="21981781"/>
    <w:rsid w:val="219D848F"/>
    <w:rsid w:val="21A37204"/>
    <w:rsid w:val="21A49753"/>
    <w:rsid w:val="21A52258"/>
    <w:rsid w:val="21A6A0B5"/>
    <w:rsid w:val="21A7CEC7"/>
    <w:rsid w:val="21AAC887"/>
    <w:rsid w:val="21AD4FF8"/>
    <w:rsid w:val="21ADDD75"/>
    <w:rsid w:val="21B2A077"/>
    <w:rsid w:val="21B58ED4"/>
    <w:rsid w:val="21B8559C"/>
    <w:rsid w:val="21B91405"/>
    <w:rsid w:val="21BAD6CB"/>
    <w:rsid w:val="21BD54FB"/>
    <w:rsid w:val="21C396E7"/>
    <w:rsid w:val="21C4F2AE"/>
    <w:rsid w:val="21C71392"/>
    <w:rsid w:val="21C74C05"/>
    <w:rsid w:val="21C9B4C1"/>
    <w:rsid w:val="21CDECFA"/>
    <w:rsid w:val="21D17D47"/>
    <w:rsid w:val="21DA6046"/>
    <w:rsid w:val="21DCC77C"/>
    <w:rsid w:val="21DFE15D"/>
    <w:rsid w:val="21E4814E"/>
    <w:rsid w:val="21E59199"/>
    <w:rsid w:val="21E6D8C7"/>
    <w:rsid w:val="21EB5FCA"/>
    <w:rsid w:val="21EB7CAB"/>
    <w:rsid w:val="21EC0B50"/>
    <w:rsid w:val="21F01B56"/>
    <w:rsid w:val="21F24DB3"/>
    <w:rsid w:val="21F651F0"/>
    <w:rsid w:val="22071E7D"/>
    <w:rsid w:val="220F6974"/>
    <w:rsid w:val="22114D32"/>
    <w:rsid w:val="221663FC"/>
    <w:rsid w:val="221ACD6C"/>
    <w:rsid w:val="221FE264"/>
    <w:rsid w:val="222B050E"/>
    <w:rsid w:val="222D0221"/>
    <w:rsid w:val="222D1E5A"/>
    <w:rsid w:val="222F38C3"/>
    <w:rsid w:val="2239831B"/>
    <w:rsid w:val="2239EF52"/>
    <w:rsid w:val="223EBF22"/>
    <w:rsid w:val="22402769"/>
    <w:rsid w:val="22437A8E"/>
    <w:rsid w:val="2243B22F"/>
    <w:rsid w:val="22465E2F"/>
    <w:rsid w:val="224E5623"/>
    <w:rsid w:val="224EC782"/>
    <w:rsid w:val="2253C16A"/>
    <w:rsid w:val="22543E2F"/>
    <w:rsid w:val="22564A54"/>
    <w:rsid w:val="22580B47"/>
    <w:rsid w:val="225D2D9A"/>
    <w:rsid w:val="225FAC94"/>
    <w:rsid w:val="22624E4F"/>
    <w:rsid w:val="2269A7DE"/>
    <w:rsid w:val="226CD9E0"/>
    <w:rsid w:val="2271AFAC"/>
    <w:rsid w:val="2273972B"/>
    <w:rsid w:val="22753615"/>
    <w:rsid w:val="2278CE5D"/>
    <w:rsid w:val="2279049A"/>
    <w:rsid w:val="228442E7"/>
    <w:rsid w:val="2284D859"/>
    <w:rsid w:val="228756C3"/>
    <w:rsid w:val="229C0644"/>
    <w:rsid w:val="22A16924"/>
    <w:rsid w:val="22A73AFA"/>
    <w:rsid w:val="22A8401C"/>
    <w:rsid w:val="22B8C69A"/>
    <w:rsid w:val="22BB6280"/>
    <w:rsid w:val="22BBAA3F"/>
    <w:rsid w:val="22BE54B4"/>
    <w:rsid w:val="22C5C8E3"/>
    <w:rsid w:val="22C5CA72"/>
    <w:rsid w:val="22C97E30"/>
    <w:rsid w:val="22CB0B19"/>
    <w:rsid w:val="22D0F2F1"/>
    <w:rsid w:val="22D2594B"/>
    <w:rsid w:val="22D30B8F"/>
    <w:rsid w:val="22D9AEC5"/>
    <w:rsid w:val="22DAF084"/>
    <w:rsid w:val="22DB934F"/>
    <w:rsid w:val="22DD34EB"/>
    <w:rsid w:val="22E3B14D"/>
    <w:rsid w:val="22E3F932"/>
    <w:rsid w:val="22E6FC31"/>
    <w:rsid w:val="22E7D960"/>
    <w:rsid w:val="22ECF7D8"/>
    <w:rsid w:val="22EFD684"/>
    <w:rsid w:val="22F514AC"/>
    <w:rsid w:val="22F9D2C2"/>
    <w:rsid w:val="22FA400A"/>
    <w:rsid w:val="22FB2163"/>
    <w:rsid w:val="230A2B50"/>
    <w:rsid w:val="2314FD40"/>
    <w:rsid w:val="23151FF1"/>
    <w:rsid w:val="2318B4FE"/>
    <w:rsid w:val="2319A4AD"/>
    <w:rsid w:val="231D5084"/>
    <w:rsid w:val="231EACF4"/>
    <w:rsid w:val="2325A996"/>
    <w:rsid w:val="232A38FE"/>
    <w:rsid w:val="232AC859"/>
    <w:rsid w:val="2331FBD7"/>
    <w:rsid w:val="2336BD57"/>
    <w:rsid w:val="233CC031"/>
    <w:rsid w:val="233DFD3A"/>
    <w:rsid w:val="233F0CC5"/>
    <w:rsid w:val="2349B02E"/>
    <w:rsid w:val="234A5C2C"/>
    <w:rsid w:val="234CC60A"/>
    <w:rsid w:val="234D8CEC"/>
    <w:rsid w:val="23504938"/>
    <w:rsid w:val="23508804"/>
    <w:rsid w:val="235545EC"/>
    <w:rsid w:val="235C1C17"/>
    <w:rsid w:val="236720F3"/>
    <w:rsid w:val="2367D648"/>
    <w:rsid w:val="236B0E71"/>
    <w:rsid w:val="2370D87D"/>
    <w:rsid w:val="23779208"/>
    <w:rsid w:val="2377A172"/>
    <w:rsid w:val="2377E854"/>
    <w:rsid w:val="2378C45F"/>
    <w:rsid w:val="237D1CEF"/>
    <w:rsid w:val="237D8A5B"/>
    <w:rsid w:val="237E3DDD"/>
    <w:rsid w:val="23861578"/>
    <w:rsid w:val="238979C5"/>
    <w:rsid w:val="238D2D83"/>
    <w:rsid w:val="238D6F53"/>
    <w:rsid w:val="238D7416"/>
    <w:rsid w:val="23944B77"/>
    <w:rsid w:val="2394D450"/>
    <w:rsid w:val="239DA4CD"/>
    <w:rsid w:val="23A1F150"/>
    <w:rsid w:val="23A247E8"/>
    <w:rsid w:val="23A50775"/>
    <w:rsid w:val="23ABA763"/>
    <w:rsid w:val="23AEA96D"/>
    <w:rsid w:val="23B2967D"/>
    <w:rsid w:val="23B35B81"/>
    <w:rsid w:val="23B5DBCD"/>
    <w:rsid w:val="23B5DEE9"/>
    <w:rsid w:val="23C24550"/>
    <w:rsid w:val="23C34FB1"/>
    <w:rsid w:val="23C5623D"/>
    <w:rsid w:val="23C5DC26"/>
    <w:rsid w:val="23CF9442"/>
    <w:rsid w:val="23D1C827"/>
    <w:rsid w:val="23D1E99D"/>
    <w:rsid w:val="23D74863"/>
    <w:rsid w:val="23DD1F60"/>
    <w:rsid w:val="23DDDEDC"/>
    <w:rsid w:val="23DED142"/>
    <w:rsid w:val="23DFFECD"/>
    <w:rsid w:val="23E10557"/>
    <w:rsid w:val="23E4CE25"/>
    <w:rsid w:val="23E5E14D"/>
    <w:rsid w:val="23E6A1AD"/>
    <w:rsid w:val="23E9F4AA"/>
    <w:rsid w:val="23ECF092"/>
    <w:rsid w:val="23EDB22F"/>
    <w:rsid w:val="23F3AE50"/>
    <w:rsid w:val="23F6CD37"/>
    <w:rsid w:val="23F7FFDF"/>
    <w:rsid w:val="23FA1276"/>
    <w:rsid w:val="23FC78F9"/>
    <w:rsid w:val="23FCC75E"/>
    <w:rsid w:val="23FFE496"/>
    <w:rsid w:val="24123E63"/>
    <w:rsid w:val="241599A1"/>
    <w:rsid w:val="2415A660"/>
    <w:rsid w:val="241716A0"/>
    <w:rsid w:val="241B99D8"/>
    <w:rsid w:val="241D0C53"/>
    <w:rsid w:val="2420EA69"/>
    <w:rsid w:val="24224762"/>
    <w:rsid w:val="2425DC36"/>
    <w:rsid w:val="2428E4A0"/>
    <w:rsid w:val="242BEFB7"/>
    <w:rsid w:val="243A3C79"/>
    <w:rsid w:val="243EEEB4"/>
    <w:rsid w:val="244D1D0E"/>
    <w:rsid w:val="244EB6F6"/>
    <w:rsid w:val="24566D64"/>
    <w:rsid w:val="245A886A"/>
    <w:rsid w:val="245F8CCF"/>
    <w:rsid w:val="246321B2"/>
    <w:rsid w:val="24670E04"/>
    <w:rsid w:val="24671706"/>
    <w:rsid w:val="246B4D66"/>
    <w:rsid w:val="246BCB25"/>
    <w:rsid w:val="246C3D60"/>
    <w:rsid w:val="246C5271"/>
    <w:rsid w:val="246C9C7F"/>
    <w:rsid w:val="246D246B"/>
    <w:rsid w:val="246E7A1B"/>
    <w:rsid w:val="24706310"/>
    <w:rsid w:val="24709D93"/>
    <w:rsid w:val="2471F9B3"/>
    <w:rsid w:val="24783F0C"/>
    <w:rsid w:val="247E9F8A"/>
    <w:rsid w:val="248231D7"/>
    <w:rsid w:val="2483A3EC"/>
    <w:rsid w:val="2485AB8D"/>
    <w:rsid w:val="248695E5"/>
    <w:rsid w:val="2487C43C"/>
    <w:rsid w:val="2488C58F"/>
    <w:rsid w:val="2489E744"/>
    <w:rsid w:val="248A9CE0"/>
    <w:rsid w:val="248BEDFF"/>
    <w:rsid w:val="248C1A9B"/>
    <w:rsid w:val="248CEC23"/>
    <w:rsid w:val="248E22B3"/>
    <w:rsid w:val="2490280F"/>
    <w:rsid w:val="24918389"/>
    <w:rsid w:val="2493A1E0"/>
    <w:rsid w:val="24959E94"/>
    <w:rsid w:val="2496E1AA"/>
    <w:rsid w:val="249C94B2"/>
    <w:rsid w:val="249D1A32"/>
    <w:rsid w:val="249D87CB"/>
    <w:rsid w:val="24A1444E"/>
    <w:rsid w:val="24A4C9E8"/>
    <w:rsid w:val="24A5FBB1"/>
    <w:rsid w:val="24AAFA5D"/>
    <w:rsid w:val="24AD5F0E"/>
    <w:rsid w:val="24AF9CCB"/>
    <w:rsid w:val="24B80E20"/>
    <w:rsid w:val="24B850F8"/>
    <w:rsid w:val="24C72319"/>
    <w:rsid w:val="24CCD2FA"/>
    <w:rsid w:val="24CD95B9"/>
    <w:rsid w:val="24CF8FCF"/>
    <w:rsid w:val="24D509F4"/>
    <w:rsid w:val="24D830B8"/>
    <w:rsid w:val="24D9CA05"/>
    <w:rsid w:val="24DAEA55"/>
    <w:rsid w:val="24DFB82F"/>
    <w:rsid w:val="24F95727"/>
    <w:rsid w:val="24FBFC1F"/>
    <w:rsid w:val="2502748F"/>
    <w:rsid w:val="250B2ADA"/>
    <w:rsid w:val="250D5D39"/>
    <w:rsid w:val="250F4AF9"/>
    <w:rsid w:val="2512E093"/>
    <w:rsid w:val="251BC42B"/>
    <w:rsid w:val="251C75F2"/>
    <w:rsid w:val="251DE2EC"/>
    <w:rsid w:val="25208BB8"/>
    <w:rsid w:val="2534837B"/>
    <w:rsid w:val="2534C55C"/>
    <w:rsid w:val="25350413"/>
    <w:rsid w:val="25350745"/>
    <w:rsid w:val="253CD082"/>
    <w:rsid w:val="2544E216"/>
    <w:rsid w:val="254917C1"/>
    <w:rsid w:val="2550133E"/>
    <w:rsid w:val="25581042"/>
    <w:rsid w:val="2559C525"/>
    <w:rsid w:val="255DC45E"/>
    <w:rsid w:val="2561A560"/>
    <w:rsid w:val="2561A7B0"/>
    <w:rsid w:val="25654178"/>
    <w:rsid w:val="25666493"/>
    <w:rsid w:val="256808F4"/>
    <w:rsid w:val="25685886"/>
    <w:rsid w:val="256EED27"/>
    <w:rsid w:val="25755075"/>
    <w:rsid w:val="2576E2C6"/>
    <w:rsid w:val="257DF1E8"/>
    <w:rsid w:val="257EFA1D"/>
    <w:rsid w:val="257FDCC7"/>
    <w:rsid w:val="2581CFDB"/>
    <w:rsid w:val="258786A4"/>
    <w:rsid w:val="2588F935"/>
    <w:rsid w:val="25899865"/>
    <w:rsid w:val="2589C17C"/>
    <w:rsid w:val="259808FB"/>
    <w:rsid w:val="259C0ACA"/>
    <w:rsid w:val="259F838A"/>
    <w:rsid w:val="25ABA04A"/>
    <w:rsid w:val="25AD10B7"/>
    <w:rsid w:val="25AE0F47"/>
    <w:rsid w:val="25B1F7B3"/>
    <w:rsid w:val="25B2E016"/>
    <w:rsid w:val="25B2E612"/>
    <w:rsid w:val="25B60370"/>
    <w:rsid w:val="25B8F839"/>
    <w:rsid w:val="25BA8689"/>
    <w:rsid w:val="25BC1E94"/>
    <w:rsid w:val="25BE9457"/>
    <w:rsid w:val="25C44582"/>
    <w:rsid w:val="25C4BF72"/>
    <w:rsid w:val="25CFC512"/>
    <w:rsid w:val="25D2BC06"/>
    <w:rsid w:val="25D7D263"/>
    <w:rsid w:val="25D7FE87"/>
    <w:rsid w:val="25D8E9D3"/>
    <w:rsid w:val="25DBF45E"/>
    <w:rsid w:val="25DE04F8"/>
    <w:rsid w:val="25DE0779"/>
    <w:rsid w:val="25E00655"/>
    <w:rsid w:val="25E19C74"/>
    <w:rsid w:val="25E50A54"/>
    <w:rsid w:val="25ED0CDA"/>
    <w:rsid w:val="25EF792C"/>
    <w:rsid w:val="25F18C97"/>
    <w:rsid w:val="25F2B688"/>
    <w:rsid w:val="25F390F1"/>
    <w:rsid w:val="25F5534D"/>
    <w:rsid w:val="25F7BB8F"/>
    <w:rsid w:val="25FA3602"/>
    <w:rsid w:val="25FB7843"/>
    <w:rsid w:val="26017D43"/>
    <w:rsid w:val="260D6A96"/>
    <w:rsid w:val="26116FBD"/>
    <w:rsid w:val="261253DD"/>
    <w:rsid w:val="261A6E99"/>
    <w:rsid w:val="261B5CB8"/>
    <w:rsid w:val="2625235D"/>
    <w:rsid w:val="262989B6"/>
    <w:rsid w:val="262C1B82"/>
    <w:rsid w:val="262ECB2C"/>
    <w:rsid w:val="2632FBBD"/>
    <w:rsid w:val="26361441"/>
    <w:rsid w:val="263F9647"/>
    <w:rsid w:val="2645E2F2"/>
    <w:rsid w:val="264A8934"/>
    <w:rsid w:val="264D942F"/>
    <w:rsid w:val="264F4146"/>
    <w:rsid w:val="26503972"/>
    <w:rsid w:val="2655F696"/>
    <w:rsid w:val="2659629A"/>
    <w:rsid w:val="265BFAF2"/>
    <w:rsid w:val="266075C0"/>
    <w:rsid w:val="26642318"/>
    <w:rsid w:val="266BFC75"/>
    <w:rsid w:val="266E87C8"/>
    <w:rsid w:val="266EC8CB"/>
    <w:rsid w:val="2673BEC0"/>
    <w:rsid w:val="2675CFB8"/>
    <w:rsid w:val="26790E29"/>
    <w:rsid w:val="267A686E"/>
    <w:rsid w:val="2680421A"/>
    <w:rsid w:val="2680C11C"/>
    <w:rsid w:val="268A43AA"/>
    <w:rsid w:val="268A5E39"/>
    <w:rsid w:val="2695CDE8"/>
    <w:rsid w:val="26973167"/>
    <w:rsid w:val="2699703F"/>
    <w:rsid w:val="2699B388"/>
    <w:rsid w:val="269F019F"/>
    <w:rsid w:val="269F21D5"/>
    <w:rsid w:val="26A3B8B6"/>
    <w:rsid w:val="26A90E87"/>
    <w:rsid w:val="26AB6A7F"/>
    <w:rsid w:val="26AD79A9"/>
    <w:rsid w:val="26AED7C2"/>
    <w:rsid w:val="26B4E4AF"/>
    <w:rsid w:val="26B67E21"/>
    <w:rsid w:val="26B79C12"/>
    <w:rsid w:val="26B8D48B"/>
    <w:rsid w:val="26BCD706"/>
    <w:rsid w:val="26BEFE4A"/>
    <w:rsid w:val="26BF00DF"/>
    <w:rsid w:val="26C1DEE0"/>
    <w:rsid w:val="26C227A1"/>
    <w:rsid w:val="26C4920D"/>
    <w:rsid w:val="26C5D25A"/>
    <w:rsid w:val="26C70A78"/>
    <w:rsid w:val="26C8AF52"/>
    <w:rsid w:val="26CCC334"/>
    <w:rsid w:val="26CF9C3F"/>
    <w:rsid w:val="26DC7BFA"/>
    <w:rsid w:val="26DDF9D5"/>
    <w:rsid w:val="26DE7CA1"/>
    <w:rsid w:val="26EE7F85"/>
    <w:rsid w:val="26F421D3"/>
    <w:rsid w:val="26F7D95A"/>
    <w:rsid w:val="26F917FF"/>
    <w:rsid w:val="26FA350C"/>
    <w:rsid w:val="26FBA8AC"/>
    <w:rsid w:val="26FCD054"/>
    <w:rsid w:val="26FFCDA0"/>
    <w:rsid w:val="270461F4"/>
    <w:rsid w:val="270A5D47"/>
    <w:rsid w:val="271119B3"/>
    <w:rsid w:val="27145A26"/>
    <w:rsid w:val="2714FF8F"/>
    <w:rsid w:val="27221DA2"/>
    <w:rsid w:val="2729124D"/>
    <w:rsid w:val="272991B4"/>
    <w:rsid w:val="2729CDEE"/>
    <w:rsid w:val="272BAF68"/>
    <w:rsid w:val="272D78B1"/>
    <w:rsid w:val="2730E79D"/>
    <w:rsid w:val="27339185"/>
    <w:rsid w:val="27339C8F"/>
    <w:rsid w:val="2734B17F"/>
    <w:rsid w:val="2737D9A1"/>
    <w:rsid w:val="27385E2F"/>
    <w:rsid w:val="273E2FB1"/>
    <w:rsid w:val="274314C9"/>
    <w:rsid w:val="2744E8A3"/>
    <w:rsid w:val="274528E1"/>
    <w:rsid w:val="2746DDEF"/>
    <w:rsid w:val="2748EF60"/>
    <w:rsid w:val="274B8FEE"/>
    <w:rsid w:val="27511BD5"/>
    <w:rsid w:val="2753605F"/>
    <w:rsid w:val="2755ABAD"/>
    <w:rsid w:val="275A813E"/>
    <w:rsid w:val="275B0195"/>
    <w:rsid w:val="275C789A"/>
    <w:rsid w:val="2766D4A0"/>
    <w:rsid w:val="2768BE96"/>
    <w:rsid w:val="276AE575"/>
    <w:rsid w:val="27712E4E"/>
    <w:rsid w:val="2772CC6E"/>
    <w:rsid w:val="2772EED1"/>
    <w:rsid w:val="27746FB9"/>
    <w:rsid w:val="27749CE8"/>
    <w:rsid w:val="2774B297"/>
    <w:rsid w:val="2775D1F6"/>
    <w:rsid w:val="277EAFD3"/>
    <w:rsid w:val="278AB50F"/>
    <w:rsid w:val="278B5AD5"/>
    <w:rsid w:val="278C74A8"/>
    <w:rsid w:val="278E12E1"/>
    <w:rsid w:val="279121D6"/>
    <w:rsid w:val="2791F6B0"/>
    <w:rsid w:val="2794DEFD"/>
    <w:rsid w:val="279533AE"/>
    <w:rsid w:val="27997890"/>
    <w:rsid w:val="27A30118"/>
    <w:rsid w:val="27AC1CC5"/>
    <w:rsid w:val="27B78174"/>
    <w:rsid w:val="27B8E4EE"/>
    <w:rsid w:val="27BE0787"/>
    <w:rsid w:val="27BF7840"/>
    <w:rsid w:val="27C356E0"/>
    <w:rsid w:val="27C4ACAE"/>
    <w:rsid w:val="27C6E706"/>
    <w:rsid w:val="27C885CF"/>
    <w:rsid w:val="27D017C4"/>
    <w:rsid w:val="27D1A368"/>
    <w:rsid w:val="27D42CB0"/>
    <w:rsid w:val="27D76806"/>
    <w:rsid w:val="27E0F101"/>
    <w:rsid w:val="27E1FE74"/>
    <w:rsid w:val="27E504C3"/>
    <w:rsid w:val="27E56AA7"/>
    <w:rsid w:val="27EBA0D8"/>
    <w:rsid w:val="27EEA3DF"/>
    <w:rsid w:val="27F88E49"/>
    <w:rsid w:val="280809C9"/>
    <w:rsid w:val="280A0F1C"/>
    <w:rsid w:val="280B481E"/>
    <w:rsid w:val="2811CA16"/>
    <w:rsid w:val="281E60A0"/>
    <w:rsid w:val="281F179A"/>
    <w:rsid w:val="282C4E1C"/>
    <w:rsid w:val="283D3360"/>
    <w:rsid w:val="28416C55"/>
    <w:rsid w:val="2847E420"/>
    <w:rsid w:val="284BCEDE"/>
    <w:rsid w:val="284C1F61"/>
    <w:rsid w:val="285089AF"/>
    <w:rsid w:val="2853579A"/>
    <w:rsid w:val="2855FE25"/>
    <w:rsid w:val="2859EABC"/>
    <w:rsid w:val="285AB0B9"/>
    <w:rsid w:val="285E8F07"/>
    <w:rsid w:val="285F9206"/>
    <w:rsid w:val="2865B9E4"/>
    <w:rsid w:val="28678988"/>
    <w:rsid w:val="286E674C"/>
    <w:rsid w:val="287433D8"/>
    <w:rsid w:val="2876BE49"/>
    <w:rsid w:val="287EED87"/>
    <w:rsid w:val="287F5CA6"/>
    <w:rsid w:val="2880B672"/>
    <w:rsid w:val="28834088"/>
    <w:rsid w:val="2883C5B6"/>
    <w:rsid w:val="28840927"/>
    <w:rsid w:val="288D65E5"/>
    <w:rsid w:val="288D6E88"/>
    <w:rsid w:val="288F89A0"/>
    <w:rsid w:val="2891BD2E"/>
    <w:rsid w:val="289E92F5"/>
    <w:rsid w:val="289F11BF"/>
    <w:rsid w:val="28A0DBB1"/>
    <w:rsid w:val="28A730FC"/>
    <w:rsid w:val="28AF8CB9"/>
    <w:rsid w:val="28AFA501"/>
    <w:rsid w:val="28C3C90D"/>
    <w:rsid w:val="28C7CB77"/>
    <w:rsid w:val="28CF3D1A"/>
    <w:rsid w:val="28D4B346"/>
    <w:rsid w:val="28D54740"/>
    <w:rsid w:val="28D862D3"/>
    <w:rsid w:val="28DD86D1"/>
    <w:rsid w:val="28DE2DE3"/>
    <w:rsid w:val="28E2B418"/>
    <w:rsid w:val="28E632DB"/>
    <w:rsid w:val="28E721A2"/>
    <w:rsid w:val="28E91033"/>
    <w:rsid w:val="28EB9C12"/>
    <w:rsid w:val="28EC57CC"/>
    <w:rsid w:val="28ED2753"/>
    <w:rsid w:val="28ED7B3C"/>
    <w:rsid w:val="28EDA45D"/>
    <w:rsid w:val="28EF623F"/>
    <w:rsid w:val="28F0FC94"/>
    <w:rsid w:val="28FB7405"/>
    <w:rsid w:val="28FDAE01"/>
    <w:rsid w:val="2903D5B3"/>
    <w:rsid w:val="2905617D"/>
    <w:rsid w:val="290744BF"/>
    <w:rsid w:val="2909F61D"/>
    <w:rsid w:val="290B3556"/>
    <w:rsid w:val="2913D901"/>
    <w:rsid w:val="2914FDD6"/>
    <w:rsid w:val="291BF638"/>
    <w:rsid w:val="291CF171"/>
    <w:rsid w:val="291D5B50"/>
    <w:rsid w:val="2920049C"/>
    <w:rsid w:val="292453A2"/>
    <w:rsid w:val="2924B981"/>
    <w:rsid w:val="292862FF"/>
    <w:rsid w:val="2928997E"/>
    <w:rsid w:val="292BC187"/>
    <w:rsid w:val="293000A0"/>
    <w:rsid w:val="29374753"/>
    <w:rsid w:val="293AE538"/>
    <w:rsid w:val="293BE3A7"/>
    <w:rsid w:val="293D3D79"/>
    <w:rsid w:val="29407B9A"/>
    <w:rsid w:val="2940C685"/>
    <w:rsid w:val="294234DD"/>
    <w:rsid w:val="29423AE0"/>
    <w:rsid w:val="294311B2"/>
    <w:rsid w:val="29461EDE"/>
    <w:rsid w:val="294A8731"/>
    <w:rsid w:val="294AB3A2"/>
    <w:rsid w:val="29515C17"/>
    <w:rsid w:val="295565A4"/>
    <w:rsid w:val="29574330"/>
    <w:rsid w:val="2960B5BC"/>
    <w:rsid w:val="2960D6EF"/>
    <w:rsid w:val="29679883"/>
    <w:rsid w:val="296A6059"/>
    <w:rsid w:val="2973E1A7"/>
    <w:rsid w:val="2977DC1C"/>
    <w:rsid w:val="297938F6"/>
    <w:rsid w:val="297B8AF0"/>
    <w:rsid w:val="297F82E1"/>
    <w:rsid w:val="2990649D"/>
    <w:rsid w:val="2994191B"/>
    <w:rsid w:val="2996166E"/>
    <w:rsid w:val="299BA398"/>
    <w:rsid w:val="299BEDB9"/>
    <w:rsid w:val="299DEAF7"/>
    <w:rsid w:val="29A5D473"/>
    <w:rsid w:val="29A991CA"/>
    <w:rsid w:val="29AD355A"/>
    <w:rsid w:val="29B3B593"/>
    <w:rsid w:val="29B5EFBA"/>
    <w:rsid w:val="29BCE28B"/>
    <w:rsid w:val="29C3DE1A"/>
    <w:rsid w:val="29D10A6C"/>
    <w:rsid w:val="29D1FCC0"/>
    <w:rsid w:val="29D26444"/>
    <w:rsid w:val="29DE7657"/>
    <w:rsid w:val="29E04010"/>
    <w:rsid w:val="29E338FA"/>
    <w:rsid w:val="29E6B6BA"/>
    <w:rsid w:val="29E87C3F"/>
    <w:rsid w:val="29EC0F12"/>
    <w:rsid w:val="29EE3A21"/>
    <w:rsid w:val="29EE6690"/>
    <w:rsid w:val="29EEB539"/>
    <w:rsid w:val="29F9B99B"/>
    <w:rsid w:val="29F9BB5F"/>
    <w:rsid w:val="2A002755"/>
    <w:rsid w:val="2A09A10B"/>
    <w:rsid w:val="2A0B8804"/>
    <w:rsid w:val="2A0EB9E4"/>
    <w:rsid w:val="2A0F7663"/>
    <w:rsid w:val="2A10CD65"/>
    <w:rsid w:val="2A130550"/>
    <w:rsid w:val="2A1B0408"/>
    <w:rsid w:val="2A1BFBCB"/>
    <w:rsid w:val="2A1DBA94"/>
    <w:rsid w:val="2A259852"/>
    <w:rsid w:val="2A2DE47F"/>
    <w:rsid w:val="2A2F6C4B"/>
    <w:rsid w:val="2A300635"/>
    <w:rsid w:val="2A36938F"/>
    <w:rsid w:val="2A36FBFB"/>
    <w:rsid w:val="2A38DADA"/>
    <w:rsid w:val="2A38ECF6"/>
    <w:rsid w:val="2A436E4F"/>
    <w:rsid w:val="2A46930A"/>
    <w:rsid w:val="2A47EF9B"/>
    <w:rsid w:val="2A4C1DC3"/>
    <w:rsid w:val="2A4EEBFA"/>
    <w:rsid w:val="2A5523DF"/>
    <w:rsid w:val="2A55CBD0"/>
    <w:rsid w:val="2A573FD2"/>
    <w:rsid w:val="2A5FC188"/>
    <w:rsid w:val="2A629CF1"/>
    <w:rsid w:val="2A68C374"/>
    <w:rsid w:val="2A70DD84"/>
    <w:rsid w:val="2A73A412"/>
    <w:rsid w:val="2A76DC85"/>
    <w:rsid w:val="2A7AA1CB"/>
    <w:rsid w:val="2A7AD2DF"/>
    <w:rsid w:val="2A7BB49D"/>
    <w:rsid w:val="2A844638"/>
    <w:rsid w:val="2A8B13B1"/>
    <w:rsid w:val="2A8B6826"/>
    <w:rsid w:val="2A8CCC6F"/>
    <w:rsid w:val="2A8D188D"/>
    <w:rsid w:val="2A8EF1BF"/>
    <w:rsid w:val="2A96A418"/>
    <w:rsid w:val="2A9839CF"/>
    <w:rsid w:val="2A9935FE"/>
    <w:rsid w:val="2A9CAFEC"/>
    <w:rsid w:val="2A9DA851"/>
    <w:rsid w:val="2A9FE72D"/>
    <w:rsid w:val="2AA2880C"/>
    <w:rsid w:val="2AA33635"/>
    <w:rsid w:val="2AABC56F"/>
    <w:rsid w:val="2AB35008"/>
    <w:rsid w:val="2AB6FB9B"/>
    <w:rsid w:val="2AB8C6B8"/>
    <w:rsid w:val="2ABA9451"/>
    <w:rsid w:val="2ABCE70D"/>
    <w:rsid w:val="2ABD272B"/>
    <w:rsid w:val="2ABF9504"/>
    <w:rsid w:val="2AC08EAA"/>
    <w:rsid w:val="2AC28E8A"/>
    <w:rsid w:val="2AC2B06F"/>
    <w:rsid w:val="2AC3D44F"/>
    <w:rsid w:val="2AC7C3B1"/>
    <w:rsid w:val="2ACE743B"/>
    <w:rsid w:val="2AD4B7F2"/>
    <w:rsid w:val="2AD4DBBB"/>
    <w:rsid w:val="2AD57B12"/>
    <w:rsid w:val="2AD6193D"/>
    <w:rsid w:val="2AD7676B"/>
    <w:rsid w:val="2ADECF6E"/>
    <w:rsid w:val="2AE31A0F"/>
    <w:rsid w:val="2AE6D6EE"/>
    <w:rsid w:val="2AEEC888"/>
    <w:rsid w:val="2AF393C8"/>
    <w:rsid w:val="2AFD1A72"/>
    <w:rsid w:val="2AFDAFD5"/>
    <w:rsid w:val="2B00458D"/>
    <w:rsid w:val="2B039AA1"/>
    <w:rsid w:val="2B03C99D"/>
    <w:rsid w:val="2B0E0FD8"/>
    <w:rsid w:val="2B15D562"/>
    <w:rsid w:val="2B1A673E"/>
    <w:rsid w:val="2B1C6231"/>
    <w:rsid w:val="2B1D06C1"/>
    <w:rsid w:val="2B1D5FD1"/>
    <w:rsid w:val="2B1E6F2D"/>
    <w:rsid w:val="2B2404D2"/>
    <w:rsid w:val="2B2693E0"/>
    <w:rsid w:val="2B26B8AC"/>
    <w:rsid w:val="2B2BA307"/>
    <w:rsid w:val="2B2ED938"/>
    <w:rsid w:val="2B379592"/>
    <w:rsid w:val="2B38D6E2"/>
    <w:rsid w:val="2B3C2756"/>
    <w:rsid w:val="2B3D3DFE"/>
    <w:rsid w:val="2B3E3015"/>
    <w:rsid w:val="2B3F6B50"/>
    <w:rsid w:val="2B3FC5F7"/>
    <w:rsid w:val="2B4049B8"/>
    <w:rsid w:val="2B40EC56"/>
    <w:rsid w:val="2B458CCB"/>
    <w:rsid w:val="2B478D39"/>
    <w:rsid w:val="2B499CC8"/>
    <w:rsid w:val="2B50018F"/>
    <w:rsid w:val="2B5141C8"/>
    <w:rsid w:val="2B51F3BF"/>
    <w:rsid w:val="2B52377B"/>
    <w:rsid w:val="2B53D38A"/>
    <w:rsid w:val="2B540D49"/>
    <w:rsid w:val="2B5551C8"/>
    <w:rsid w:val="2B621557"/>
    <w:rsid w:val="2B62B63B"/>
    <w:rsid w:val="2B692088"/>
    <w:rsid w:val="2B6976A7"/>
    <w:rsid w:val="2B6B23CA"/>
    <w:rsid w:val="2B7028CA"/>
    <w:rsid w:val="2B73B96A"/>
    <w:rsid w:val="2B740F77"/>
    <w:rsid w:val="2B7A23A2"/>
    <w:rsid w:val="2B7CE7DA"/>
    <w:rsid w:val="2B7DC53E"/>
    <w:rsid w:val="2B7F75D4"/>
    <w:rsid w:val="2B831E10"/>
    <w:rsid w:val="2B89432B"/>
    <w:rsid w:val="2B91A96A"/>
    <w:rsid w:val="2B929049"/>
    <w:rsid w:val="2B97B31F"/>
    <w:rsid w:val="2B9DD98B"/>
    <w:rsid w:val="2B9F8D23"/>
    <w:rsid w:val="2B9FC60F"/>
    <w:rsid w:val="2BA138CC"/>
    <w:rsid w:val="2BA36B62"/>
    <w:rsid w:val="2BA785D6"/>
    <w:rsid w:val="2BA888B3"/>
    <w:rsid w:val="2BA9D5FD"/>
    <w:rsid w:val="2BAAC02A"/>
    <w:rsid w:val="2BAB14FF"/>
    <w:rsid w:val="2BAB1F2A"/>
    <w:rsid w:val="2BB27C0E"/>
    <w:rsid w:val="2BB2C859"/>
    <w:rsid w:val="2BB521D0"/>
    <w:rsid w:val="2BB57796"/>
    <w:rsid w:val="2BB5CC6D"/>
    <w:rsid w:val="2BB77047"/>
    <w:rsid w:val="2BBD7AD0"/>
    <w:rsid w:val="2BC56C4D"/>
    <w:rsid w:val="2BC67373"/>
    <w:rsid w:val="2BC6C2FA"/>
    <w:rsid w:val="2BC79DDA"/>
    <w:rsid w:val="2BC7D115"/>
    <w:rsid w:val="2BC92A8B"/>
    <w:rsid w:val="2BC94B13"/>
    <w:rsid w:val="2BCA0510"/>
    <w:rsid w:val="2BCBC023"/>
    <w:rsid w:val="2BD4A435"/>
    <w:rsid w:val="2BD80782"/>
    <w:rsid w:val="2BD8709E"/>
    <w:rsid w:val="2BD93C9B"/>
    <w:rsid w:val="2BDBC166"/>
    <w:rsid w:val="2BDC997F"/>
    <w:rsid w:val="2BDCD2F5"/>
    <w:rsid w:val="2BE242E4"/>
    <w:rsid w:val="2BE36449"/>
    <w:rsid w:val="2BE5F82E"/>
    <w:rsid w:val="2BE8AA64"/>
    <w:rsid w:val="2BF4731F"/>
    <w:rsid w:val="2BF51FE0"/>
    <w:rsid w:val="2BFAEBD6"/>
    <w:rsid w:val="2BFD2DA0"/>
    <w:rsid w:val="2BFD9EB8"/>
    <w:rsid w:val="2BFDD535"/>
    <w:rsid w:val="2BFE052E"/>
    <w:rsid w:val="2C007392"/>
    <w:rsid w:val="2C0315AA"/>
    <w:rsid w:val="2C064C42"/>
    <w:rsid w:val="2C06DE82"/>
    <w:rsid w:val="2C0E6CDA"/>
    <w:rsid w:val="2C10279B"/>
    <w:rsid w:val="2C1283B0"/>
    <w:rsid w:val="2C13820A"/>
    <w:rsid w:val="2C14AB56"/>
    <w:rsid w:val="2C14AD4A"/>
    <w:rsid w:val="2C164896"/>
    <w:rsid w:val="2C17C9A5"/>
    <w:rsid w:val="2C189761"/>
    <w:rsid w:val="2C1E4C54"/>
    <w:rsid w:val="2C23535D"/>
    <w:rsid w:val="2C280C1C"/>
    <w:rsid w:val="2C2A992B"/>
    <w:rsid w:val="2C2BB0B7"/>
    <w:rsid w:val="2C3167B4"/>
    <w:rsid w:val="2C338705"/>
    <w:rsid w:val="2C39EAE9"/>
    <w:rsid w:val="2C3ED6D6"/>
    <w:rsid w:val="2C4269F2"/>
    <w:rsid w:val="2C4A7136"/>
    <w:rsid w:val="2C4DC595"/>
    <w:rsid w:val="2C53C31A"/>
    <w:rsid w:val="2C592749"/>
    <w:rsid w:val="2C5A429C"/>
    <w:rsid w:val="2C605296"/>
    <w:rsid w:val="2C650429"/>
    <w:rsid w:val="2C6536FA"/>
    <w:rsid w:val="2C6ECB62"/>
    <w:rsid w:val="2C7A3F88"/>
    <w:rsid w:val="2C7B0A9F"/>
    <w:rsid w:val="2C80778F"/>
    <w:rsid w:val="2C8240E5"/>
    <w:rsid w:val="2C88FB33"/>
    <w:rsid w:val="2C8D7B33"/>
    <w:rsid w:val="2C8EDA7D"/>
    <w:rsid w:val="2C905A87"/>
    <w:rsid w:val="2C99EDC6"/>
    <w:rsid w:val="2C9BF6F2"/>
    <w:rsid w:val="2C9E7308"/>
    <w:rsid w:val="2CA0CCF4"/>
    <w:rsid w:val="2CA8957F"/>
    <w:rsid w:val="2CAB57AF"/>
    <w:rsid w:val="2CADCA64"/>
    <w:rsid w:val="2CADCC50"/>
    <w:rsid w:val="2CB2DAB0"/>
    <w:rsid w:val="2CB5AC8C"/>
    <w:rsid w:val="2CB8DF85"/>
    <w:rsid w:val="2CBDD60E"/>
    <w:rsid w:val="2CC5B79A"/>
    <w:rsid w:val="2CC7E8C2"/>
    <w:rsid w:val="2CCB63BD"/>
    <w:rsid w:val="2CCB6946"/>
    <w:rsid w:val="2CCD0652"/>
    <w:rsid w:val="2CD0A739"/>
    <w:rsid w:val="2CD1975A"/>
    <w:rsid w:val="2CD27192"/>
    <w:rsid w:val="2CD61520"/>
    <w:rsid w:val="2CE43242"/>
    <w:rsid w:val="2CE586A5"/>
    <w:rsid w:val="2CE5A051"/>
    <w:rsid w:val="2CE891CB"/>
    <w:rsid w:val="2CEEB7AC"/>
    <w:rsid w:val="2CF042B4"/>
    <w:rsid w:val="2CF0F20E"/>
    <w:rsid w:val="2CF1CA3D"/>
    <w:rsid w:val="2CF78EFD"/>
    <w:rsid w:val="2CFAD84C"/>
    <w:rsid w:val="2CFE7CE7"/>
    <w:rsid w:val="2D01C97B"/>
    <w:rsid w:val="2D0430FD"/>
    <w:rsid w:val="2D047FE8"/>
    <w:rsid w:val="2D04B9CE"/>
    <w:rsid w:val="2D058D63"/>
    <w:rsid w:val="2D09712C"/>
    <w:rsid w:val="2D0BAE70"/>
    <w:rsid w:val="2D0BB640"/>
    <w:rsid w:val="2D10B6B6"/>
    <w:rsid w:val="2D17170E"/>
    <w:rsid w:val="2D1D7155"/>
    <w:rsid w:val="2D22CF22"/>
    <w:rsid w:val="2D29C340"/>
    <w:rsid w:val="2D2AC605"/>
    <w:rsid w:val="2D2D9356"/>
    <w:rsid w:val="2D30529E"/>
    <w:rsid w:val="2D30AE81"/>
    <w:rsid w:val="2D3A1456"/>
    <w:rsid w:val="2D3BDFD6"/>
    <w:rsid w:val="2D3D0097"/>
    <w:rsid w:val="2D3D5BDC"/>
    <w:rsid w:val="2D3EC87B"/>
    <w:rsid w:val="2D405958"/>
    <w:rsid w:val="2D468BE6"/>
    <w:rsid w:val="2D48F51B"/>
    <w:rsid w:val="2D4BC24D"/>
    <w:rsid w:val="2D4D6740"/>
    <w:rsid w:val="2D5D18E8"/>
    <w:rsid w:val="2D665749"/>
    <w:rsid w:val="2D6CBC21"/>
    <w:rsid w:val="2D74994A"/>
    <w:rsid w:val="2D7F31B6"/>
    <w:rsid w:val="2D7FA2E4"/>
    <w:rsid w:val="2D80771D"/>
    <w:rsid w:val="2D82D243"/>
    <w:rsid w:val="2D8AB433"/>
    <w:rsid w:val="2D8B71A7"/>
    <w:rsid w:val="2D97670E"/>
    <w:rsid w:val="2D9A2947"/>
    <w:rsid w:val="2D9CBD17"/>
    <w:rsid w:val="2DA045BC"/>
    <w:rsid w:val="2DA29565"/>
    <w:rsid w:val="2DA450E0"/>
    <w:rsid w:val="2DA49565"/>
    <w:rsid w:val="2DA549A7"/>
    <w:rsid w:val="2DB5B369"/>
    <w:rsid w:val="2DB632CC"/>
    <w:rsid w:val="2DBD355B"/>
    <w:rsid w:val="2DCAA5C2"/>
    <w:rsid w:val="2DD48B15"/>
    <w:rsid w:val="2DD4A472"/>
    <w:rsid w:val="2DDB7331"/>
    <w:rsid w:val="2DE51D66"/>
    <w:rsid w:val="2DEC1348"/>
    <w:rsid w:val="2DF743ED"/>
    <w:rsid w:val="2DF954CC"/>
    <w:rsid w:val="2DFBD3F9"/>
    <w:rsid w:val="2DFDA8DA"/>
    <w:rsid w:val="2E01E8D3"/>
    <w:rsid w:val="2E06C1DB"/>
    <w:rsid w:val="2E0E40FA"/>
    <w:rsid w:val="2E0F2597"/>
    <w:rsid w:val="2E196656"/>
    <w:rsid w:val="2E1A1F7F"/>
    <w:rsid w:val="2E1B62D6"/>
    <w:rsid w:val="2E1C1228"/>
    <w:rsid w:val="2E1C22C0"/>
    <w:rsid w:val="2E1FC914"/>
    <w:rsid w:val="2E20DD5D"/>
    <w:rsid w:val="2E27AEC3"/>
    <w:rsid w:val="2E2AD0D9"/>
    <w:rsid w:val="2E2AEF61"/>
    <w:rsid w:val="2E3805F3"/>
    <w:rsid w:val="2E39BBCB"/>
    <w:rsid w:val="2E3E331C"/>
    <w:rsid w:val="2E40700F"/>
    <w:rsid w:val="2E4275F3"/>
    <w:rsid w:val="2E440E43"/>
    <w:rsid w:val="2E4597EC"/>
    <w:rsid w:val="2E48B9DF"/>
    <w:rsid w:val="2E4B4184"/>
    <w:rsid w:val="2E54A8F1"/>
    <w:rsid w:val="2E55B3D6"/>
    <w:rsid w:val="2E566B60"/>
    <w:rsid w:val="2E58258D"/>
    <w:rsid w:val="2E5D6429"/>
    <w:rsid w:val="2E625AC3"/>
    <w:rsid w:val="2E687F64"/>
    <w:rsid w:val="2E695AED"/>
    <w:rsid w:val="2E6C32C4"/>
    <w:rsid w:val="2E6FB5F4"/>
    <w:rsid w:val="2E708E6E"/>
    <w:rsid w:val="2E711368"/>
    <w:rsid w:val="2E74E6A6"/>
    <w:rsid w:val="2E7DB576"/>
    <w:rsid w:val="2E80BDE3"/>
    <w:rsid w:val="2E85C5D5"/>
    <w:rsid w:val="2E8E462A"/>
    <w:rsid w:val="2E8F0D4E"/>
    <w:rsid w:val="2E8F0FF0"/>
    <w:rsid w:val="2E921C9A"/>
    <w:rsid w:val="2E933D0E"/>
    <w:rsid w:val="2E968DD6"/>
    <w:rsid w:val="2E9ABAC2"/>
    <w:rsid w:val="2E9B73FA"/>
    <w:rsid w:val="2E9BE92C"/>
    <w:rsid w:val="2E9CBFFB"/>
    <w:rsid w:val="2EA454BF"/>
    <w:rsid w:val="2EA5DBCC"/>
    <w:rsid w:val="2EAB23EB"/>
    <w:rsid w:val="2EAE07B1"/>
    <w:rsid w:val="2EAF74FC"/>
    <w:rsid w:val="2EB37920"/>
    <w:rsid w:val="2EC04B61"/>
    <w:rsid w:val="2EC14DBA"/>
    <w:rsid w:val="2EC30D4B"/>
    <w:rsid w:val="2EC6729B"/>
    <w:rsid w:val="2EC7337C"/>
    <w:rsid w:val="2ECB1CAA"/>
    <w:rsid w:val="2ECDA402"/>
    <w:rsid w:val="2ECED77D"/>
    <w:rsid w:val="2ED048D3"/>
    <w:rsid w:val="2ED0BDF3"/>
    <w:rsid w:val="2ED0CABE"/>
    <w:rsid w:val="2EDCF1B1"/>
    <w:rsid w:val="2EDD2BFC"/>
    <w:rsid w:val="2EE1B345"/>
    <w:rsid w:val="2EE3783D"/>
    <w:rsid w:val="2EEFDAD0"/>
    <w:rsid w:val="2EF1F020"/>
    <w:rsid w:val="2EF3EF93"/>
    <w:rsid w:val="2EFBC1F6"/>
    <w:rsid w:val="2EFC7D07"/>
    <w:rsid w:val="2EFEB5EE"/>
    <w:rsid w:val="2F01BAE4"/>
    <w:rsid w:val="2F03BF05"/>
    <w:rsid w:val="2F0A3A6D"/>
    <w:rsid w:val="2F124CF7"/>
    <w:rsid w:val="2F14E2B0"/>
    <w:rsid w:val="2F15E972"/>
    <w:rsid w:val="2F1768B3"/>
    <w:rsid w:val="2F1D78B3"/>
    <w:rsid w:val="2F201402"/>
    <w:rsid w:val="2F24D80A"/>
    <w:rsid w:val="2F28F238"/>
    <w:rsid w:val="2F32FF80"/>
    <w:rsid w:val="2F3661B9"/>
    <w:rsid w:val="2F3F31AD"/>
    <w:rsid w:val="2F3FFC0C"/>
    <w:rsid w:val="2F460313"/>
    <w:rsid w:val="2F49B07B"/>
    <w:rsid w:val="2F5046BF"/>
    <w:rsid w:val="2F529E1D"/>
    <w:rsid w:val="2F537269"/>
    <w:rsid w:val="2F5C3473"/>
    <w:rsid w:val="2F625C69"/>
    <w:rsid w:val="2F65B494"/>
    <w:rsid w:val="2F68E761"/>
    <w:rsid w:val="2F69594D"/>
    <w:rsid w:val="2F71326C"/>
    <w:rsid w:val="2F759AE4"/>
    <w:rsid w:val="2F76DB55"/>
    <w:rsid w:val="2F7AB70E"/>
    <w:rsid w:val="2F8F9763"/>
    <w:rsid w:val="2F8FEE52"/>
    <w:rsid w:val="2F913797"/>
    <w:rsid w:val="2F92A37F"/>
    <w:rsid w:val="2F95E042"/>
    <w:rsid w:val="2F98D384"/>
    <w:rsid w:val="2F9F2A80"/>
    <w:rsid w:val="2FA12598"/>
    <w:rsid w:val="2FA1CB71"/>
    <w:rsid w:val="2FA62C5C"/>
    <w:rsid w:val="2FAA33DA"/>
    <w:rsid w:val="2FAE7A74"/>
    <w:rsid w:val="2FAF4F85"/>
    <w:rsid w:val="2FAFDABA"/>
    <w:rsid w:val="2FAFF8BB"/>
    <w:rsid w:val="2FB3F8DE"/>
    <w:rsid w:val="2FB5A6FD"/>
    <w:rsid w:val="2FB6758D"/>
    <w:rsid w:val="2FB71EE9"/>
    <w:rsid w:val="2FB83B16"/>
    <w:rsid w:val="2FBB498F"/>
    <w:rsid w:val="2FBB7E90"/>
    <w:rsid w:val="2FC02256"/>
    <w:rsid w:val="2FC041D5"/>
    <w:rsid w:val="2FC194DC"/>
    <w:rsid w:val="2FC82435"/>
    <w:rsid w:val="2FD093C8"/>
    <w:rsid w:val="2FD3C071"/>
    <w:rsid w:val="2FD4604D"/>
    <w:rsid w:val="2FD73AFF"/>
    <w:rsid w:val="2FDB0AD5"/>
    <w:rsid w:val="2FDB86B0"/>
    <w:rsid w:val="2FDF1B5F"/>
    <w:rsid w:val="2FED7CB1"/>
    <w:rsid w:val="2FF268E1"/>
    <w:rsid w:val="2FF8ACD0"/>
    <w:rsid w:val="2FFD7EEE"/>
    <w:rsid w:val="300285AE"/>
    <w:rsid w:val="3007EA08"/>
    <w:rsid w:val="301BC170"/>
    <w:rsid w:val="301FF7F3"/>
    <w:rsid w:val="302297F3"/>
    <w:rsid w:val="3027BFC8"/>
    <w:rsid w:val="30291AAF"/>
    <w:rsid w:val="302C307F"/>
    <w:rsid w:val="3034BF95"/>
    <w:rsid w:val="3037106A"/>
    <w:rsid w:val="303816C3"/>
    <w:rsid w:val="3038EECE"/>
    <w:rsid w:val="303A3303"/>
    <w:rsid w:val="303BB137"/>
    <w:rsid w:val="303F68BD"/>
    <w:rsid w:val="304315E9"/>
    <w:rsid w:val="3043E90B"/>
    <w:rsid w:val="30447E4C"/>
    <w:rsid w:val="3044BB82"/>
    <w:rsid w:val="304756D3"/>
    <w:rsid w:val="304D3563"/>
    <w:rsid w:val="304D38BA"/>
    <w:rsid w:val="30588A4E"/>
    <w:rsid w:val="3059D965"/>
    <w:rsid w:val="305D3F21"/>
    <w:rsid w:val="306D8AA2"/>
    <w:rsid w:val="307018A9"/>
    <w:rsid w:val="3072D932"/>
    <w:rsid w:val="30759A63"/>
    <w:rsid w:val="307995CC"/>
    <w:rsid w:val="30819C80"/>
    <w:rsid w:val="3082922F"/>
    <w:rsid w:val="308392A8"/>
    <w:rsid w:val="30888873"/>
    <w:rsid w:val="308BF2A5"/>
    <w:rsid w:val="30901D39"/>
    <w:rsid w:val="309C4217"/>
    <w:rsid w:val="309D0706"/>
    <w:rsid w:val="30A60084"/>
    <w:rsid w:val="30A6F5F8"/>
    <w:rsid w:val="30AC6174"/>
    <w:rsid w:val="30B4A17D"/>
    <w:rsid w:val="30B7A696"/>
    <w:rsid w:val="30B83C74"/>
    <w:rsid w:val="30BB27C8"/>
    <w:rsid w:val="30BBC991"/>
    <w:rsid w:val="30BDADED"/>
    <w:rsid w:val="30BE174A"/>
    <w:rsid w:val="30C446CD"/>
    <w:rsid w:val="30C4D711"/>
    <w:rsid w:val="30C70B1A"/>
    <w:rsid w:val="30CCAF10"/>
    <w:rsid w:val="30D076AB"/>
    <w:rsid w:val="30D5BEFF"/>
    <w:rsid w:val="30D9A4E5"/>
    <w:rsid w:val="30DC0BC1"/>
    <w:rsid w:val="30DF76ED"/>
    <w:rsid w:val="30E1810D"/>
    <w:rsid w:val="30E3D180"/>
    <w:rsid w:val="30E4467A"/>
    <w:rsid w:val="30ED6F66"/>
    <w:rsid w:val="30F5FF6D"/>
    <w:rsid w:val="30FA5874"/>
    <w:rsid w:val="3102A426"/>
    <w:rsid w:val="31030B56"/>
    <w:rsid w:val="3104E276"/>
    <w:rsid w:val="310515EE"/>
    <w:rsid w:val="310516DA"/>
    <w:rsid w:val="310A597D"/>
    <w:rsid w:val="310F0332"/>
    <w:rsid w:val="3111C990"/>
    <w:rsid w:val="31138815"/>
    <w:rsid w:val="31169F08"/>
    <w:rsid w:val="31186C33"/>
    <w:rsid w:val="311E84AA"/>
    <w:rsid w:val="311EF25D"/>
    <w:rsid w:val="3122EE7F"/>
    <w:rsid w:val="312442D8"/>
    <w:rsid w:val="31244513"/>
    <w:rsid w:val="312760BD"/>
    <w:rsid w:val="31284E11"/>
    <w:rsid w:val="312D8B56"/>
    <w:rsid w:val="312EBDE0"/>
    <w:rsid w:val="313123D4"/>
    <w:rsid w:val="3131EAEF"/>
    <w:rsid w:val="313326C5"/>
    <w:rsid w:val="31353366"/>
    <w:rsid w:val="3140E313"/>
    <w:rsid w:val="3142AE2F"/>
    <w:rsid w:val="3143D789"/>
    <w:rsid w:val="31446AF5"/>
    <w:rsid w:val="3145A9BC"/>
    <w:rsid w:val="31479A46"/>
    <w:rsid w:val="3147B14E"/>
    <w:rsid w:val="314C5402"/>
    <w:rsid w:val="315315D0"/>
    <w:rsid w:val="3153DACE"/>
    <w:rsid w:val="31557896"/>
    <w:rsid w:val="31579D13"/>
    <w:rsid w:val="3157EC35"/>
    <w:rsid w:val="31593442"/>
    <w:rsid w:val="315D285A"/>
    <w:rsid w:val="315EF25B"/>
    <w:rsid w:val="31609DC1"/>
    <w:rsid w:val="31667EFA"/>
    <w:rsid w:val="3168FDF0"/>
    <w:rsid w:val="31769036"/>
    <w:rsid w:val="31790E69"/>
    <w:rsid w:val="317947E3"/>
    <w:rsid w:val="317BF835"/>
    <w:rsid w:val="317D22A4"/>
    <w:rsid w:val="317EF28B"/>
    <w:rsid w:val="3186F96C"/>
    <w:rsid w:val="3189590B"/>
    <w:rsid w:val="3189DE38"/>
    <w:rsid w:val="3189E57C"/>
    <w:rsid w:val="318BA2BF"/>
    <w:rsid w:val="318BEFC2"/>
    <w:rsid w:val="318C1D24"/>
    <w:rsid w:val="318DE753"/>
    <w:rsid w:val="319178AA"/>
    <w:rsid w:val="31919841"/>
    <w:rsid w:val="3199DBB2"/>
    <w:rsid w:val="319BF2E9"/>
    <w:rsid w:val="31A3B25B"/>
    <w:rsid w:val="31A4F2D1"/>
    <w:rsid w:val="31A59C52"/>
    <w:rsid w:val="31AA14A9"/>
    <w:rsid w:val="31AB10E5"/>
    <w:rsid w:val="31AFE714"/>
    <w:rsid w:val="31B441DA"/>
    <w:rsid w:val="31B45A32"/>
    <w:rsid w:val="31B698F1"/>
    <w:rsid w:val="31BAED38"/>
    <w:rsid w:val="31BE1A25"/>
    <w:rsid w:val="31C05A92"/>
    <w:rsid w:val="31C2EA69"/>
    <w:rsid w:val="31C6F213"/>
    <w:rsid w:val="31C821BB"/>
    <w:rsid w:val="31C856EE"/>
    <w:rsid w:val="31CD43FE"/>
    <w:rsid w:val="31CE7532"/>
    <w:rsid w:val="31D2BC6A"/>
    <w:rsid w:val="31DC3670"/>
    <w:rsid w:val="31DF1DC8"/>
    <w:rsid w:val="31E71245"/>
    <w:rsid w:val="31E72E65"/>
    <w:rsid w:val="31E74F95"/>
    <w:rsid w:val="31EC7863"/>
    <w:rsid w:val="31F0832E"/>
    <w:rsid w:val="31F0D3AA"/>
    <w:rsid w:val="31F42272"/>
    <w:rsid w:val="31F554CF"/>
    <w:rsid w:val="31FBD1AD"/>
    <w:rsid w:val="32015940"/>
    <w:rsid w:val="32026732"/>
    <w:rsid w:val="32043EBC"/>
    <w:rsid w:val="320570E9"/>
    <w:rsid w:val="32117722"/>
    <w:rsid w:val="32118734"/>
    <w:rsid w:val="32124694"/>
    <w:rsid w:val="321790A5"/>
    <w:rsid w:val="32192871"/>
    <w:rsid w:val="321B6C21"/>
    <w:rsid w:val="321D0471"/>
    <w:rsid w:val="32231C7E"/>
    <w:rsid w:val="3226FC22"/>
    <w:rsid w:val="322E483F"/>
    <w:rsid w:val="32324A58"/>
    <w:rsid w:val="3234194D"/>
    <w:rsid w:val="3237B7BD"/>
    <w:rsid w:val="3237C34A"/>
    <w:rsid w:val="323915D3"/>
    <w:rsid w:val="323D3B37"/>
    <w:rsid w:val="323F722D"/>
    <w:rsid w:val="324148B3"/>
    <w:rsid w:val="3242F8BE"/>
    <w:rsid w:val="3244352A"/>
    <w:rsid w:val="324775F8"/>
    <w:rsid w:val="324F3802"/>
    <w:rsid w:val="3255759F"/>
    <w:rsid w:val="325A0A1C"/>
    <w:rsid w:val="325A2811"/>
    <w:rsid w:val="325FDCF0"/>
    <w:rsid w:val="32663ACF"/>
    <w:rsid w:val="326BA9DD"/>
    <w:rsid w:val="32706E5E"/>
    <w:rsid w:val="3274BAA2"/>
    <w:rsid w:val="327960EC"/>
    <w:rsid w:val="327D164C"/>
    <w:rsid w:val="327F2132"/>
    <w:rsid w:val="3280D060"/>
    <w:rsid w:val="32813D2F"/>
    <w:rsid w:val="328286E9"/>
    <w:rsid w:val="3283ECE3"/>
    <w:rsid w:val="328EADE4"/>
    <w:rsid w:val="3290F7F8"/>
    <w:rsid w:val="32947194"/>
    <w:rsid w:val="3295586D"/>
    <w:rsid w:val="32960637"/>
    <w:rsid w:val="32968A29"/>
    <w:rsid w:val="32970C57"/>
    <w:rsid w:val="3297BDE5"/>
    <w:rsid w:val="32999374"/>
    <w:rsid w:val="329D4C2D"/>
    <w:rsid w:val="329F58F0"/>
    <w:rsid w:val="32A1D7C9"/>
    <w:rsid w:val="32A45AF9"/>
    <w:rsid w:val="32A5AC6B"/>
    <w:rsid w:val="32A5B97E"/>
    <w:rsid w:val="32A7C5B0"/>
    <w:rsid w:val="32A9BB5B"/>
    <w:rsid w:val="32A9D5DF"/>
    <w:rsid w:val="32B1DF8F"/>
    <w:rsid w:val="32B2DD70"/>
    <w:rsid w:val="32B66F97"/>
    <w:rsid w:val="32BBF24D"/>
    <w:rsid w:val="32BCA2CE"/>
    <w:rsid w:val="32BFC81F"/>
    <w:rsid w:val="32C0DDAC"/>
    <w:rsid w:val="32C76DDB"/>
    <w:rsid w:val="32C9EAF5"/>
    <w:rsid w:val="32D175E6"/>
    <w:rsid w:val="32D351B1"/>
    <w:rsid w:val="32D4C390"/>
    <w:rsid w:val="32D53B51"/>
    <w:rsid w:val="32D8A9E1"/>
    <w:rsid w:val="32DF41B6"/>
    <w:rsid w:val="32E0CAF3"/>
    <w:rsid w:val="32E2340C"/>
    <w:rsid w:val="33030BF5"/>
    <w:rsid w:val="3303BB76"/>
    <w:rsid w:val="3304863A"/>
    <w:rsid w:val="3308C6AD"/>
    <w:rsid w:val="3309850A"/>
    <w:rsid w:val="330C010F"/>
    <w:rsid w:val="330C36A6"/>
    <w:rsid w:val="330EB506"/>
    <w:rsid w:val="33131DD1"/>
    <w:rsid w:val="33136955"/>
    <w:rsid w:val="3315B679"/>
    <w:rsid w:val="331FB7BC"/>
    <w:rsid w:val="33230BEF"/>
    <w:rsid w:val="3327ECFB"/>
    <w:rsid w:val="3328F3FF"/>
    <w:rsid w:val="332915E1"/>
    <w:rsid w:val="332BE0F8"/>
    <w:rsid w:val="332D63C7"/>
    <w:rsid w:val="3336D4F6"/>
    <w:rsid w:val="333C76F0"/>
    <w:rsid w:val="3340FA48"/>
    <w:rsid w:val="3345DE0D"/>
    <w:rsid w:val="33487D30"/>
    <w:rsid w:val="334C732E"/>
    <w:rsid w:val="334EF618"/>
    <w:rsid w:val="335409D5"/>
    <w:rsid w:val="3362C6C8"/>
    <w:rsid w:val="33654BDE"/>
    <w:rsid w:val="3365EFFF"/>
    <w:rsid w:val="33665A58"/>
    <w:rsid w:val="3367E704"/>
    <w:rsid w:val="337499DF"/>
    <w:rsid w:val="3375A8AB"/>
    <w:rsid w:val="33799C41"/>
    <w:rsid w:val="337AC6A9"/>
    <w:rsid w:val="33838834"/>
    <w:rsid w:val="33884F6E"/>
    <w:rsid w:val="338AECF7"/>
    <w:rsid w:val="338F3F05"/>
    <w:rsid w:val="33922E47"/>
    <w:rsid w:val="339C3DA6"/>
    <w:rsid w:val="339C4FC5"/>
    <w:rsid w:val="339DE9D6"/>
    <w:rsid w:val="339F728F"/>
    <w:rsid w:val="33A52411"/>
    <w:rsid w:val="33A5C171"/>
    <w:rsid w:val="33A5DA97"/>
    <w:rsid w:val="33A732DC"/>
    <w:rsid w:val="33AC56F1"/>
    <w:rsid w:val="33AD6CBC"/>
    <w:rsid w:val="33B31460"/>
    <w:rsid w:val="33B32425"/>
    <w:rsid w:val="33BAEC30"/>
    <w:rsid w:val="33BDB2E9"/>
    <w:rsid w:val="33BDB67B"/>
    <w:rsid w:val="33BEAC09"/>
    <w:rsid w:val="33C4510D"/>
    <w:rsid w:val="33CB125C"/>
    <w:rsid w:val="33D07709"/>
    <w:rsid w:val="33D09197"/>
    <w:rsid w:val="33D41150"/>
    <w:rsid w:val="33D483EE"/>
    <w:rsid w:val="33D9201D"/>
    <w:rsid w:val="33D989FC"/>
    <w:rsid w:val="33D9BE65"/>
    <w:rsid w:val="33DA1E63"/>
    <w:rsid w:val="33DA9D5C"/>
    <w:rsid w:val="33E7F930"/>
    <w:rsid w:val="33E9F554"/>
    <w:rsid w:val="33FAD844"/>
    <w:rsid w:val="33FC62EC"/>
    <w:rsid w:val="3400219B"/>
    <w:rsid w:val="3401A6D7"/>
    <w:rsid w:val="3402117F"/>
    <w:rsid w:val="3402CBA6"/>
    <w:rsid w:val="34041DCA"/>
    <w:rsid w:val="3409570D"/>
    <w:rsid w:val="340EAC46"/>
    <w:rsid w:val="34103E60"/>
    <w:rsid w:val="3410B45B"/>
    <w:rsid w:val="34123C75"/>
    <w:rsid w:val="34127A16"/>
    <w:rsid w:val="3412AC75"/>
    <w:rsid w:val="3413617B"/>
    <w:rsid w:val="34168306"/>
    <w:rsid w:val="341962F2"/>
    <w:rsid w:val="341FF731"/>
    <w:rsid w:val="3420A7BE"/>
    <w:rsid w:val="3424480E"/>
    <w:rsid w:val="34293843"/>
    <w:rsid w:val="3429E802"/>
    <w:rsid w:val="342A4B3F"/>
    <w:rsid w:val="342BC12F"/>
    <w:rsid w:val="342C479A"/>
    <w:rsid w:val="342CA69F"/>
    <w:rsid w:val="34315DFD"/>
    <w:rsid w:val="34382636"/>
    <w:rsid w:val="3439B171"/>
    <w:rsid w:val="343BC48C"/>
    <w:rsid w:val="343BF0EF"/>
    <w:rsid w:val="343D9BDA"/>
    <w:rsid w:val="343FFA93"/>
    <w:rsid w:val="34423F8A"/>
    <w:rsid w:val="3445C5D3"/>
    <w:rsid w:val="34484E23"/>
    <w:rsid w:val="3448F16B"/>
    <w:rsid w:val="344A86C6"/>
    <w:rsid w:val="3457A982"/>
    <w:rsid w:val="3468AE7B"/>
    <w:rsid w:val="34740FBF"/>
    <w:rsid w:val="347439C1"/>
    <w:rsid w:val="3479AA99"/>
    <w:rsid w:val="347C9508"/>
    <w:rsid w:val="348703AC"/>
    <w:rsid w:val="34873ECD"/>
    <w:rsid w:val="34878178"/>
    <w:rsid w:val="348D1674"/>
    <w:rsid w:val="34914117"/>
    <w:rsid w:val="349318E3"/>
    <w:rsid w:val="34964645"/>
    <w:rsid w:val="3496B61D"/>
    <w:rsid w:val="34983E83"/>
    <w:rsid w:val="3499733F"/>
    <w:rsid w:val="34A47040"/>
    <w:rsid w:val="34A7CEF5"/>
    <w:rsid w:val="34ADB8B8"/>
    <w:rsid w:val="34AEA7AD"/>
    <w:rsid w:val="34B05156"/>
    <w:rsid w:val="34B097D5"/>
    <w:rsid w:val="34B12F80"/>
    <w:rsid w:val="34B348BF"/>
    <w:rsid w:val="34B38382"/>
    <w:rsid w:val="34B4FE2F"/>
    <w:rsid w:val="34B53E52"/>
    <w:rsid w:val="34B688D1"/>
    <w:rsid w:val="34BE6E90"/>
    <w:rsid w:val="34BF138F"/>
    <w:rsid w:val="34C1EA9B"/>
    <w:rsid w:val="34CA2B7A"/>
    <w:rsid w:val="34CA33F0"/>
    <w:rsid w:val="34CA6548"/>
    <w:rsid w:val="34CCF95B"/>
    <w:rsid w:val="34D373DF"/>
    <w:rsid w:val="34E0680A"/>
    <w:rsid w:val="34E4A57E"/>
    <w:rsid w:val="34E81733"/>
    <w:rsid w:val="34EEDB76"/>
    <w:rsid w:val="34FA9304"/>
    <w:rsid w:val="34FCF5A8"/>
    <w:rsid w:val="34FE56B2"/>
    <w:rsid w:val="34FFFDBB"/>
    <w:rsid w:val="350520DA"/>
    <w:rsid w:val="350BDE8E"/>
    <w:rsid w:val="350C6778"/>
    <w:rsid w:val="3512EF30"/>
    <w:rsid w:val="351CC115"/>
    <w:rsid w:val="351FD9EF"/>
    <w:rsid w:val="3523A48C"/>
    <w:rsid w:val="352E9390"/>
    <w:rsid w:val="3532C54E"/>
    <w:rsid w:val="35393A55"/>
    <w:rsid w:val="353E3E1F"/>
    <w:rsid w:val="353E8426"/>
    <w:rsid w:val="35403D7F"/>
    <w:rsid w:val="3544D354"/>
    <w:rsid w:val="3549A976"/>
    <w:rsid w:val="3549C432"/>
    <w:rsid w:val="354C7290"/>
    <w:rsid w:val="354D255C"/>
    <w:rsid w:val="354EB621"/>
    <w:rsid w:val="355329A1"/>
    <w:rsid w:val="35558F5D"/>
    <w:rsid w:val="35583B33"/>
    <w:rsid w:val="355D2EB1"/>
    <w:rsid w:val="35630D1D"/>
    <w:rsid w:val="35644C93"/>
    <w:rsid w:val="35644F24"/>
    <w:rsid w:val="35655798"/>
    <w:rsid w:val="3568C53B"/>
    <w:rsid w:val="3569B19E"/>
    <w:rsid w:val="356FDF77"/>
    <w:rsid w:val="3571D361"/>
    <w:rsid w:val="357AB153"/>
    <w:rsid w:val="357CE43D"/>
    <w:rsid w:val="35894BD1"/>
    <w:rsid w:val="358ED2F5"/>
    <w:rsid w:val="35956733"/>
    <w:rsid w:val="359D20C9"/>
    <w:rsid w:val="35A6FB6D"/>
    <w:rsid w:val="35A7C421"/>
    <w:rsid w:val="35A8EC53"/>
    <w:rsid w:val="35AB672D"/>
    <w:rsid w:val="35B0F49F"/>
    <w:rsid w:val="35B40BF0"/>
    <w:rsid w:val="35B686E6"/>
    <w:rsid w:val="35BC4448"/>
    <w:rsid w:val="35BCEA17"/>
    <w:rsid w:val="35BE3D04"/>
    <w:rsid w:val="35BF15A0"/>
    <w:rsid w:val="35BF294A"/>
    <w:rsid w:val="35C20F30"/>
    <w:rsid w:val="35C42CD5"/>
    <w:rsid w:val="35C58542"/>
    <w:rsid w:val="35C7CB20"/>
    <w:rsid w:val="35D23974"/>
    <w:rsid w:val="35D42014"/>
    <w:rsid w:val="35D6B9B7"/>
    <w:rsid w:val="35D9398D"/>
    <w:rsid w:val="35DC9750"/>
    <w:rsid w:val="35DD3AC2"/>
    <w:rsid w:val="35E33569"/>
    <w:rsid w:val="35E36E7E"/>
    <w:rsid w:val="35E546F9"/>
    <w:rsid w:val="35E6ECF5"/>
    <w:rsid w:val="35EA9B1D"/>
    <w:rsid w:val="35F2F0E3"/>
    <w:rsid w:val="35FAB603"/>
    <w:rsid w:val="35FBF76E"/>
    <w:rsid w:val="36000FCA"/>
    <w:rsid w:val="3601318F"/>
    <w:rsid w:val="3604295C"/>
    <w:rsid w:val="360583B0"/>
    <w:rsid w:val="36059DC2"/>
    <w:rsid w:val="36096968"/>
    <w:rsid w:val="36097717"/>
    <w:rsid w:val="360C8831"/>
    <w:rsid w:val="360DCC55"/>
    <w:rsid w:val="360FB2FC"/>
    <w:rsid w:val="3618BEB1"/>
    <w:rsid w:val="361999EA"/>
    <w:rsid w:val="361B060A"/>
    <w:rsid w:val="36229FD9"/>
    <w:rsid w:val="36280432"/>
    <w:rsid w:val="3628CF31"/>
    <w:rsid w:val="3632C68E"/>
    <w:rsid w:val="363B3F32"/>
    <w:rsid w:val="363D249D"/>
    <w:rsid w:val="36463F8F"/>
    <w:rsid w:val="3649BB17"/>
    <w:rsid w:val="364E8BD5"/>
    <w:rsid w:val="3652B060"/>
    <w:rsid w:val="3654A6B3"/>
    <w:rsid w:val="3656DBAA"/>
    <w:rsid w:val="3656E614"/>
    <w:rsid w:val="365801D4"/>
    <w:rsid w:val="365C205B"/>
    <w:rsid w:val="365C90BD"/>
    <w:rsid w:val="365E1C26"/>
    <w:rsid w:val="365E6493"/>
    <w:rsid w:val="36685B46"/>
    <w:rsid w:val="3668FFDB"/>
    <w:rsid w:val="366A0F8A"/>
    <w:rsid w:val="366EADA9"/>
    <w:rsid w:val="367087A8"/>
    <w:rsid w:val="36745B44"/>
    <w:rsid w:val="3676B6B5"/>
    <w:rsid w:val="367B08C3"/>
    <w:rsid w:val="367BBAFA"/>
    <w:rsid w:val="36834921"/>
    <w:rsid w:val="3687CC81"/>
    <w:rsid w:val="368E2BA6"/>
    <w:rsid w:val="368E531B"/>
    <w:rsid w:val="3691E688"/>
    <w:rsid w:val="36924BB0"/>
    <w:rsid w:val="3694EF79"/>
    <w:rsid w:val="369B2D45"/>
    <w:rsid w:val="369E6F84"/>
    <w:rsid w:val="36A1BB28"/>
    <w:rsid w:val="36B8CAD8"/>
    <w:rsid w:val="36BA2A13"/>
    <w:rsid w:val="36BA347A"/>
    <w:rsid w:val="36BB0F2E"/>
    <w:rsid w:val="36BCE919"/>
    <w:rsid w:val="36C353FB"/>
    <w:rsid w:val="36C6A37B"/>
    <w:rsid w:val="36CF1560"/>
    <w:rsid w:val="36D5183D"/>
    <w:rsid w:val="36D790C7"/>
    <w:rsid w:val="36DE5AC1"/>
    <w:rsid w:val="36E96E77"/>
    <w:rsid w:val="36EB86C5"/>
    <w:rsid w:val="36F1EF19"/>
    <w:rsid w:val="36F233D6"/>
    <w:rsid w:val="36F3DB8B"/>
    <w:rsid w:val="36FE4D62"/>
    <w:rsid w:val="3702FC63"/>
    <w:rsid w:val="3703B185"/>
    <w:rsid w:val="370A44A6"/>
    <w:rsid w:val="370CC522"/>
    <w:rsid w:val="370F6717"/>
    <w:rsid w:val="37130525"/>
    <w:rsid w:val="37136213"/>
    <w:rsid w:val="371B7B90"/>
    <w:rsid w:val="371FB5E6"/>
    <w:rsid w:val="37216C44"/>
    <w:rsid w:val="372375BD"/>
    <w:rsid w:val="37270920"/>
    <w:rsid w:val="37272D34"/>
    <w:rsid w:val="37282D6B"/>
    <w:rsid w:val="372BF5D1"/>
    <w:rsid w:val="372C7B91"/>
    <w:rsid w:val="372DFF6D"/>
    <w:rsid w:val="372EB9DE"/>
    <w:rsid w:val="373230D0"/>
    <w:rsid w:val="37335093"/>
    <w:rsid w:val="37369D08"/>
    <w:rsid w:val="3736F60B"/>
    <w:rsid w:val="37383A41"/>
    <w:rsid w:val="373D3B13"/>
    <w:rsid w:val="3742B5DF"/>
    <w:rsid w:val="3748E28E"/>
    <w:rsid w:val="3749015F"/>
    <w:rsid w:val="374DD24A"/>
    <w:rsid w:val="37505D22"/>
    <w:rsid w:val="3753C387"/>
    <w:rsid w:val="375EE947"/>
    <w:rsid w:val="3763C7FD"/>
    <w:rsid w:val="376833D6"/>
    <w:rsid w:val="376877A7"/>
    <w:rsid w:val="376B3D1D"/>
    <w:rsid w:val="3772524C"/>
    <w:rsid w:val="37749124"/>
    <w:rsid w:val="3775369E"/>
    <w:rsid w:val="377FCAB5"/>
    <w:rsid w:val="3781B534"/>
    <w:rsid w:val="3784CD3F"/>
    <w:rsid w:val="3788653C"/>
    <w:rsid w:val="378FF16A"/>
    <w:rsid w:val="37991901"/>
    <w:rsid w:val="379B1AB7"/>
    <w:rsid w:val="379BD5A5"/>
    <w:rsid w:val="379CFA73"/>
    <w:rsid w:val="379D8E0A"/>
    <w:rsid w:val="379DF21D"/>
    <w:rsid w:val="37A1DBFC"/>
    <w:rsid w:val="37A2B431"/>
    <w:rsid w:val="37A6EE8B"/>
    <w:rsid w:val="37A8051F"/>
    <w:rsid w:val="37AB5718"/>
    <w:rsid w:val="37B2F25E"/>
    <w:rsid w:val="37B5D03D"/>
    <w:rsid w:val="37B73FB4"/>
    <w:rsid w:val="37C16C25"/>
    <w:rsid w:val="37CB8AC1"/>
    <w:rsid w:val="37CFA44D"/>
    <w:rsid w:val="37D178D3"/>
    <w:rsid w:val="37D51535"/>
    <w:rsid w:val="37D6AB54"/>
    <w:rsid w:val="37E6F8DA"/>
    <w:rsid w:val="37EA4AAE"/>
    <w:rsid w:val="37ED456D"/>
    <w:rsid w:val="37EE8B68"/>
    <w:rsid w:val="37EF8AA7"/>
    <w:rsid w:val="37F1FC8F"/>
    <w:rsid w:val="37F27ADC"/>
    <w:rsid w:val="37F2F75F"/>
    <w:rsid w:val="37F5010C"/>
    <w:rsid w:val="37F5B609"/>
    <w:rsid w:val="37F6474C"/>
    <w:rsid w:val="37F81531"/>
    <w:rsid w:val="37FF54EC"/>
    <w:rsid w:val="380247A7"/>
    <w:rsid w:val="38043886"/>
    <w:rsid w:val="38056867"/>
    <w:rsid w:val="380875BE"/>
    <w:rsid w:val="3809FB68"/>
    <w:rsid w:val="380BD279"/>
    <w:rsid w:val="38181ECF"/>
    <w:rsid w:val="38182306"/>
    <w:rsid w:val="381DFDD0"/>
    <w:rsid w:val="382316B9"/>
    <w:rsid w:val="3829D642"/>
    <w:rsid w:val="3829F2D2"/>
    <w:rsid w:val="382F5996"/>
    <w:rsid w:val="383202F0"/>
    <w:rsid w:val="38356A95"/>
    <w:rsid w:val="383BDCD0"/>
    <w:rsid w:val="383C4D85"/>
    <w:rsid w:val="3844A36D"/>
    <w:rsid w:val="385256D8"/>
    <w:rsid w:val="38561E11"/>
    <w:rsid w:val="385F2BE9"/>
    <w:rsid w:val="385F935B"/>
    <w:rsid w:val="38694125"/>
    <w:rsid w:val="386B229E"/>
    <w:rsid w:val="387579EC"/>
    <w:rsid w:val="3876C1AC"/>
    <w:rsid w:val="38789329"/>
    <w:rsid w:val="3878A9AA"/>
    <w:rsid w:val="3878D3B4"/>
    <w:rsid w:val="387D0B3C"/>
    <w:rsid w:val="387FF157"/>
    <w:rsid w:val="3882509E"/>
    <w:rsid w:val="3882A8ED"/>
    <w:rsid w:val="3888C95E"/>
    <w:rsid w:val="3889C861"/>
    <w:rsid w:val="388C701A"/>
    <w:rsid w:val="388F9B78"/>
    <w:rsid w:val="389049ED"/>
    <w:rsid w:val="3890BDB5"/>
    <w:rsid w:val="3892C7A8"/>
    <w:rsid w:val="38990F73"/>
    <w:rsid w:val="389BD02E"/>
    <w:rsid w:val="38A1EC9A"/>
    <w:rsid w:val="38A2A44A"/>
    <w:rsid w:val="38A30E35"/>
    <w:rsid w:val="38A7BC10"/>
    <w:rsid w:val="38AAD3BD"/>
    <w:rsid w:val="38B73722"/>
    <w:rsid w:val="38B94377"/>
    <w:rsid w:val="38BB4553"/>
    <w:rsid w:val="38BE1E8E"/>
    <w:rsid w:val="38BF411A"/>
    <w:rsid w:val="38C85622"/>
    <w:rsid w:val="38C8BB3F"/>
    <w:rsid w:val="38C95327"/>
    <w:rsid w:val="38CBA3F5"/>
    <w:rsid w:val="38CF8765"/>
    <w:rsid w:val="38D4FAD7"/>
    <w:rsid w:val="38D704C2"/>
    <w:rsid w:val="38D89CC6"/>
    <w:rsid w:val="38DA9935"/>
    <w:rsid w:val="38DEF9C2"/>
    <w:rsid w:val="38E39A79"/>
    <w:rsid w:val="38E516E1"/>
    <w:rsid w:val="38F0D746"/>
    <w:rsid w:val="38F176FC"/>
    <w:rsid w:val="38F7491E"/>
    <w:rsid w:val="38F90FD7"/>
    <w:rsid w:val="38FE0A0B"/>
    <w:rsid w:val="3904B945"/>
    <w:rsid w:val="391528AA"/>
    <w:rsid w:val="39155D1D"/>
    <w:rsid w:val="391820AD"/>
    <w:rsid w:val="391982C5"/>
    <w:rsid w:val="3921336F"/>
    <w:rsid w:val="39213CF4"/>
    <w:rsid w:val="3924B2D3"/>
    <w:rsid w:val="39258A66"/>
    <w:rsid w:val="3929309C"/>
    <w:rsid w:val="392FE13B"/>
    <w:rsid w:val="3937DA25"/>
    <w:rsid w:val="39381791"/>
    <w:rsid w:val="393895D0"/>
    <w:rsid w:val="3942C2F3"/>
    <w:rsid w:val="3945F313"/>
    <w:rsid w:val="394D1315"/>
    <w:rsid w:val="394F6CA4"/>
    <w:rsid w:val="395C0B8B"/>
    <w:rsid w:val="3962F780"/>
    <w:rsid w:val="396319D8"/>
    <w:rsid w:val="39638A44"/>
    <w:rsid w:val="39651EA8"/>
    <w:rsid w:val="39653391"/>
    <w:rsid w:val="3965E488"/>
    <w:rsid w:val="3968F6D6"/>
    <w:rsid w:val="396BD9F7"/>
    <w:rsid w:val="3972CD47"/>
    <w:rsid w:val="39739D2C"/>
    <w:rsid w:val="3973DDBA"/>
    <w:rsid w:val="3974D5E2"/>
    <w:rsid w:val="3979102C"/>
    <w:rsid w:val="397B2D76"/>
    <w:rsid w:val="398688ED"/>
    <w:rsid w:val="398ABCE0"/>
    <w:rsid w:val="398C4519"/>
    <w:rsid w:val="398FA3C9"/>
    <w:rsid w:val="3999122C"/>
    <w:rsid w:val="3999D40D"/>
    <w:rsid w:val="3999EF9F"/>
    <w:rsid w:val="399AE570"/>
    <w:rsid w:val="399D9A74"/>
    <w:rsid w:val="399FCBF8"/>
    <w:rsid w:val="39A6DFC1"/>
    <w:rsid w:val="39A75B0C"/>
    <w:rsid w:val="39AA3F2A"/>
    <w:rsid w:val="39AD8F94"/>
    <w:rsid w:val="39B1EFCF"/>
    <w:rsid w:val="39B666ED"/>
    <w:rsid w:val="39B67434"/>
    <w:rsid w:val="39B9A6FD"/>
    <w:rsid w:val="39C0681D"/>
    <w:rsid w:val="39C806CB"/>
    <w:rsid w:val="39C95DE9"/>
    <w:rsid w:val="39CAE514"/>
    <w:rsid w:val="39D357B3"/>
    <w:rsid w:val="39D3BAC0"/>
    <w:rsid w:val="39D77A01"/>
    <w:rsid w:val="39DA94A9"/>
    <w:rsid w:val="39DF4EA5"/>
    <w:rsid w:val="39E18C88"/>
    <w:rsid w:val="39E3101E"/>
    <w:rsid w:val="39E846F9"/>
    <w:rsid w:val="39F00ACA"/>
    <w:rsid w:val="39F3BEC2"/>
    <w:rsid w:val="39F3FC2E"/>
    <w:rsid w:val="39F66C51"/>
    <w:rsid w:val="3A00B0FB"/>
    <w:rsid w:val="3A01086B"/>
    <w:rsid w:val="3A02D6F6"/>
    <w:rsid w:val="3A0D1CCC"/>
    <w:rsid w:val="3A106A45"/>
    <w:rsid w:val="3A1B83F6"/>
    <w:rsid w:val="3A1E0DE6"/>
    <w:rsid w:val="3A1EA019"/>
    <w:rsid w:val="3A212998"/>
    <w:rsid w:val="3A231725"/>
    <w:rsid w:val="3A24E7CE"/>
    <w:rsid w:val="3A27A662"/>
    <w:rsid w:val="3A2B7E3B"/>
    <w:rsid w:val="3A2CAB59"/>
    <w:rsid w:val="3A32A8A8"/>
    <w:rsid w:val="3A368B9E"/>
    <w:rsid w:val="3A3D9FF2"/>
    <w:rsid w:val="3A4724C2"/>
    <w:rsid w:val="3A49CB4F"/>
    <w:rsid w:val="3A4AEB15"/>
    <w:rsid w:val="3A4FA8FD"/>
    <w:rsid w:val="3A53E1D4"/>
    <w:rsid w:val="3A552ACC"/>
    <w:rsid w:val="3A58CE08"/>
    <w:rsid w:val="3A5B7EAD"/>
    <w:rsid w:val="3A5E40AE"/>
    <w:rsid w:val="3A616D1E"/>
    <w:rsid w:val="3A61EC67"/>
    <w:rsid w:val="3A6351FF"/>
    <w:rsid w:val="3A6594B5"/>
    <w:rsid w:val="3A6761C1"/>
    <w:rsid w:val="3A68C048"/>
    <w:rsid w:val="3A6FB6E8"/>
    <w:rsid w:val="3A70641A"/>
    <w:rsid w:val="3A784AAB"/>
    <w:rsid w:val="3A78766D"/>
    <w:rsid w:val="3A7C029B"/>
    <w:rsid w:val="3A82C21C"/>
    <w:rsid w:val="3A890A54"/>
    <w:rsid w:val="3A8B5A3B"/>
    <w:rsid w:val="3A8C3728"/>
    <w:rsid w:val="3A91C26E"/>
    <w:rsid w:val="3A92CB6D"/>
    <w:rsid w:val="3A945FE3"/>
    <w:rsid w:val="3A96AE66"/>
    <w:rsid w:val="3A9A78CD"/>
    <w:rsid w:val="3A9F8BD1"/>
    <w:rsid w:val="3AA25BD2"/>
    <w:rsid w:val="3AA30029"/>
    <w:rsid w:val="3AA5BD52"/>
    <w:rsid w:val="3AA7CE46"/>
    <w:rsid w:val="3AA8ECAC"/>
    <w:rsid w:val="3AAAFF19"/>
    <w:rsid w:val="3AAB8C69"/>
    <w:rsid w:val="3AAF41D7"/>
    <w:rsid w:val="3AAF9DF0"/>
    <w:rsid w:val="3AB0BE50"/>
    <w:rsid w:val="3ABC2909"/>
    <w:rsid w:val="3ABD0823"/>
    <w:rsid w:val="3ABF0C94"/>
    <w:rsid w:val="3ABF5287"/>
    <w:rsid w:val="3AC410AF"/>
    <w:rsid w:val="3AC6C83F"/>
    <w:rsid w:val="3AC8DF4F"/>
    <w:rsid w:val="3ACC0C50"/>
    <w:rsid w:val="3ACD18E0"/>
    <w:rsid w:val="3ACEA707"/>
    <w:rsid w:val="3ACF6C8A"/>
    <w:rsid w:val="3AD90BD7"/>
    <w:rsid w:val="3AE4BACE"/>
    <w:rsid w:val="3AE58CE5"/>
    <w:rsid w:val="3AE82E60"/>
    <w:rsid w:val="3AE9D2DA"/>
    <w:rsid w:val="3AEB01FA"/>
    <w:rsid w:val="3AEB71EA"/>
    <w:rsid w:val="3AEBE2FF"/>
    <w:rsid w:val="3AF0E2A6"/>
    <w:rsid w:val="3AF2786C"/>
    <w:rsid w:val="3AF70F60"/>
    <w:rsid w:val="3AF780E9"/>
    <w:rsid w:val="3AF9C095"/>
    <w:rsid w:val="3B052668"/>
    <w:rsid w:val="3B0C7E58"/>
    <w:rsid w:val="3B13A4EA"/>
    <w:rsid w:val="3B18E610"/>
    <w:rsid w:val="3B1DEA64"/>
    <w:rsid w:val="3B205A69"/>
    <w:rsid w:val="3B21DE58"/>
    <w:rsid w:val="3B224B92"/>
    <w:rsid w:val="3B22BBC0"/>
    <w:rsid w:val="3B252F1E"/>
    <w:rsid w:val="3B296133"/>
    <w:rsid w:val="3B312029"/>
    <w:rsid w:val="3B3A76A9"/>
    <w:rsid w:val="3B3B5386"/>
    <w:rsid w:val="3B3EFFF1"/>
    <w:rsid w:val="3B40B742"/>
    <w:rsid w:val="3B41EDA6"/>
    <w:rsid w:val="3B460F8B"/>
    <w:rsid w:val="3B4A171B"/>
    <w:rsid w:val="3B4EB090"/>
    <w:rsid w:val="3B506832"/>
    <w:rsid w:val="3B50FEB2"/>
    <w:rsid w:val="3B55D426"/>
    <w:rsid w:val="3B5B552B"/>
    <w:rsid w:val="3B5E1865"/>
    <w:rsid w:val="3B5F12C2"/>
    <w:rsid w:val="3B5F3FDF"/>
    <w:rsid w:val="3B604567"/>
    <w:rsid w:val="3B64154A"/>
    <w:rsid w:val="3B641B05"/>
    <w:rsid w:val="3B6997F5"/>
    <w:rsid w:val="3B6D0B57"/>
    <w:rsid w:val="3B6D7C17"/>
    <w:rsid w:val="3B6E6DFC"/>
    <w:rsid w:val="3B74227D"/>
    <w:rsid w:val="3B812A47"/>
    <w:rsid w:val="3B89B763"/>
    <w:rsid w:val="3B9067EF"/>
    <w:rsid w:val="3B9940BF"/>
    <w:rsid w:val="3B9A45D7"/>
    <w:rsid w:val="3B9A9DA5"/>
    <w:rsid w:val="3B9C5AA3"/>
    <w:rsid w:val="3BA0007D"/>
    <w:rsid w:val="3BA076F6"/>
    <w:rsid w:val="3BA121C1"/>
    <w:rsid w:val="3BA13803"/>
    <w:rsid w:val="3BA488CD"/>
    <w:rsid w:val="3BA9D582"/>
    <w:rsid w:val="3BAC2260"/>
    <w:rsid w:val="3BB2462B"/>
    <w:rsid w:val="3BB3C2B8"/>
    <w:rsid w:val="3BB434E8"/>
    <w:rsid w:val="3BB9F0B1"/>
    <w:rsid w:val="3BBAAD53"/>
    <w:rsid w:val="3BC23EDC"/>
    <w:rsid w:val="3BC27684"/>
    <w:rsid w:val="3BC29FF9"/>
    <w:rsid w:val="3BC50FDF"/>
    <w:rsid w:val="3BCBB211"/>
    <w:rsid w:val="3BCD056C"/>
    <w:rsid w:val="3BD25D81"/>
    <w:rsid w:val="3BD34D11"/>
    <w:rsid w:val="3BD4807E"/>
    <w:rsid w:val="3BD506E6"/>
    <w:rsid w:val="3BD84339"/>
    <w:rsid w:val="3BD88A18"/>
    <w:rsid w:val="3BDA31A9"/>
    <w:rsid w:val="3BDE0F93"/>
    <w:rsid w:val="3BE23A1A"/>
    <w:rsid w:val="3BE2D1A9"/>
    <w:rsid w:val="3BE66620"/>
    <w:rsid w:val="3BE6E037"/>
    <w:rsid w:val="3BE856A3"/>
    <w:rsid w:val="3BED707A"/>
    <w:rsid w:val="3BF35A06"/>
    <w:rsid w:val="3BF92259"/>
    <w:rsid w:val="3BFF4F47"/>
    <w:rsid w:val="3C070594"/>
    <w:rsid w:val="3C07074D"/>
    <w:rsid w:val="3C07AD7A"/>
    <w:rsid w:val="3C097609"/>
    <w:rsid w:val="3C0EE1A4"/>
    <w:rsid w:val="3C14E197"/>
    <w:rsid w:val="3C199510"/>
    <w:rsid w:val="3C19C6E4"/>
    <w:rsid w:val="3C19D034"/>
    <w:rsid w:val="3C1C7CCE"/>
    <w:rsid w:val="3C1F1E68"/>
    <w:rsid w:val="3C23DC59"/>
    <w:rsid w:val="3C2B0B7F"/>
    <w:rsid w:val="3C2CE700"/>
    <w:rsid w:val="3C2FE0E9"/>
    <w:rsid w:val="3C30F71B"/>
    <w:rsid w:val="3C32F528"/>
    <w:rsid w:val="3C339333"/>
    <w:rsid w:val="3C3CBF88"/>
    <w:rsid w:val="3C3E2208"/>
    <w:rsid w:val="3C470E07"/>
    <w:rsid w:val="3C4F69C5"/>
    <w:rsid w:val="3C5652AE"/>
    <w:rsid w:val="3C5A39AF"/>
    <w:rsid w:val="3C5CC6F7"/>
    <w:rsid w:val="3C602BD4"/>
    <w:rsid w:val="3C611606"/>
    <w:rsid w:val="3C620E11"/>
    <w:rsid w:val="3C62AAB9"/>
    <w:rsid w:val="3C69ED0F"/>
    <w:rsid w:val="3C745252"/>
    <w:rsid w:val="3C767CB1"/>
    <w:rsid w:val="3C76CA69"/>
    <w:rsid w:val="3C791EAC"/>
    <w:rsid w:val="3C7EA72C"/>
    <w:rsid w:val="3C7EE111"/>
    <w:rsid w:val="3C81133D"/>
    <w:rsid w:val="3C825E3D"/>
    <w:rsid w:val="3C85247E"/>
    <w:rsid w:val="3C8591B1"/>
    <w:rsid w:val="3C85A67C"/>
    <w:rsid w:val="3C8AC23D"/>
    <w:rsid w:val="3C8B1B93"/>
    <w:rsid w:val="3C8C1B65"/>
    <w:rsid w:val="3C994CF8"/>
    <w:rsid w:val="3C9B5A4E"/>
    <w:rsid w:val="3C9C760B"/>
    <w:rsid w:val="3C9DC098"/>
    <w:rsid w:val="3CA045F9"/>
    <w:rsid w:val="3CA1156E"/>
    <w:rsid w:val="3CA81D7F"/>
    <w:rsid w:val="3CB438FF"/>
    <w:rsid w:val="3CB46D5D"/>
    <w:rsid w:val="3CB58BAB"/>
    <w:rsid w:val="3CB5B493"/>
    <w:rsid w:val="3CB8BC21"/>
    <w:rsid w:val="3CBBB986"/>
    <w:rsid w:val="3CC1A747"/>
    <w:rsid w:val="3CC25C2A"/>
    <w:rsid w:val="3CC6C9F8"/>
    <w:rsid w:val="3CC8F20E"/>
    <w:rsid w:val="3CCFF8F3"/>
    <w:rsid w:val="3CD30D4A"/>
    <w:rsid w:val="3CD4F998"/>
    <w:rsid w:val="3CD9A1B1"/>
    <w:rsid w:val="3CDDFE3E"/>
    <w:rsid w:val="3CE18695"/>
    <w:rsid w:val="3CE2BF78"/>
    <w:rsid w:val="3CE328BA"/>
    <w:rsid w:val="3CE4BF82"/>
    <w:rsid w:val="3CE7F165"/>
    <w:rsid w:val="3CEDA309"/>
    <w:rsid w:val="3CF06E7D"/>
    <w:rsid w:val="3CF16D36"/>
    <w:rsid w:val="3CF2230E"/>
    <w:rsid w:val="3CF5A4B4"/>
    <w:rsid w:val="3CFB6215"/>
    <w:rsid w:val="3D03DFB3"/>
    <w:rsid w:val="3D0EBE6C"/>
    <w:rsid w:val="3D0F18A5"/>
    <w:rsid w:val="3D111266"/>
    <w:rsid w:val="3D116F2B"/>
    <w:rsid w:val="3D11E868"/>
    <w:rsid w:val="3D120A59"/>
    <w:rsid w:val="3D138141"/>
    <w:rsid w:val="3D173128"/>
    <w:rsid w:val="3D1A27D0"/>
    <w:rsid w:val="3D20F0AB"/>
    <w:rsid w:val="3D24AB89"/>
    <w:rsid w:val="3D271414"/>
    <w:rsid w:val="3D2FECE7"/>
    <w:rsid w:val="3D32095D"/>
    <w:rsid w:val="3D37E346"/>
    <w:rsid w:val="3D39BA0A"/>
    <w:rsid w:val="3D3A1B4B"/>
    <w:rsid w:val="3D3A80CD"/>
    <w:rsid w:val="3D3B1BA1"/>
    <w:rsid w:val="3D3D4A6D"/>
    <w:rsid w:val="3D49A8E6"/>
    <w:rsid w:val="3D537D16"/>
    <w:rsid w:val="3D53F569"/>
    <w:rsid w:val="3D5A38A1"/>
    <w:rsid w:val="3D5FA106"/>
    <w:rsid w:val="3D6059E0"/>
    <w:rsid w:val="3D6F0C38"/>
    <w:rsid w:val="3D70EBB3"/>
    <w:rsid w:val="3D71DDF3"/>
    <w:rsid w:val="3D733C33"/>
    <w:rsid w:val="3D7C1706"/>
    <w:rsid w:val="3D7FE437"/>
    <w:rsid w:val="3D802465"/>
    <w:rsid w:val="3D806BCE"/>
    <w:rsid w:val="3D81F22C"/>
    <w:rsid w:val="3D85EF3F"/>
    <w:rsid w:val="3D8B8EC7"/>
    <w:rsid w:val="3D8EFE45"/>
    <w:rsid w:val="3D976C81"/>
    <w:rsid w:val="3D983B4A"/>
    <w:rsid w:val="3D9CF05D"/>
    <w:rsid w:val="3D9D279F"/>
    <w:rsid w:val="3DA6E286"/>
    <w:rsid w:val="3DAF8AB3"/>
    <w:rsid w:val="3DBB3900"/>
    <w:rsid w:val="3DBC8DB5"/>
    <w:rsid w:val="3DBCF85D"/>
    <w:rsid w:val="3DBFCD40"/>
    <w:rsid w:val="3DC115EC"/>
    <w:rsid w:val="3DC48BFF"/>
    <w:rsid w:val="3DC89EC6"/>
    <w:rsid w:val="3DCDED7C"/>
    <w:rsid w:val="3DD898BD"/>
    <w:rsid w:val="3DD8F108"/>
    <w:rsid w:val="3DDE53E9"/>
    <w:rsid w:val="3DE32E0D"/>
    <w:rsid w:val="3DE3448F"/>
    <w:rsid w:val="3DE94A57"/>
    <w:rsid w:val="3DEE4D83"/>
    <w:rsid w:val="3DFD7CAB"/>
    <w:rsid w:val="3E03CDC1"/>
    <w:rsid w:val="3E05AE47"/>
    <w:rsid w:val="3E064842"/>
    <w:rsid w:val="3E0829B3"/>
    <w:rsid w:val="3E090369"/>
    <w:rsid w:val="3E0964AC"/>
    <w:rsid w:val="3E09C475"/>
    <w:rsid w:val="3E103005"/>
    <w:rsid w:val="3E1267FD"/>
    <w:rsid w:val="3E1734F4"/>
    <w:rsid w:val="3E188747"/>
    <w:rsid w:val="3E23A15C"/>
    <w:rsid w:val="3E2A34E1"/>
    <w:rsid w:val="3E2B55B6"/>
    <w:rsid w:val="3E2EC6AC"/>
    <w:rsid w:val="3E2F8996"/>
    <w:rsid w:val="3E309E09"/>
    <w:rsid w:val="3E34F69A"/>
    <w:rsid w:val="3E3BC454"/>
    <w:rsid w:val="3E3F8219"/>
    <w:rsid w:val="3E42402F"/>
    <w:rsid w:val="3E43639D"/>
    <w:rsid w:val="3E47770F"/>
    <w:rsid w:val="3E4B5D0D"/>
    <w:rsid w:val="3E4EC341"/>
    <w:rsid w:val="3E4F7DEE"/>
    <w:rsid w:val="3E52AB21"/>
    <w:rsid w:val="3E555248"/>
    <w:rsid w:val="3E565BC3"/>
    <w:rsid w:val="3E56AA3B"/>
    <w:rsid w:val="3E5846CD"/>
    <w:rsid w:val="3E5A184E"/>
    <w:rsid w:val="3E63EA45"/>
    <w:rsid w:val="3E64B552"/>
    <w:rsid w:val="3E69DA9F"/>
    <w:rsid w:val="3E6A3EE3"/>
    <w:rsid w:val="3E6DF6A5"/>
    <w:rsid w:val="3E6EB618"/>
    <w:rsid w:val="3E6FACEF"/>
    <w:rsid w:val="3E6FEEB9"/>
    <w:rsid w:val="3E72A285"/>
    <w:rsid w:val="3E7555A6"/>
    <w:rsid w:val="3E78936B"/>
    <w:rsid w:val="3E7E1D4A"/>
    <w:rsid w:val="3E7F6DCD"/>
    <w:rsid w:val="3E7FDE59"/>
    <w:rsid w:val="3E808297"/>
    <w:rsid w:val="3E80F2E5"/>
    <w:rsid w:val="3E84E218"/>
    <w:rsid w:val="3E8BFBB1"/>
    <w:rsid w:val="3E9406C7"/>
    <w:rsid w:val="3E9C72BC"/>
    <w:rsid w:val="3E9CA1F3"/>
    <w:rsid w:val="3EA2B191"/>
    <w:rsid w:val="3EA5BDC4"/>
    <w:rsid w:val="3EAD384D"/>
    <w:rsid w:val="3EB14E03"/>
    <w:rsid w:val="3EB20E72"/>
    <w:rsid w:val="3EB2E716"/>
    <w:rsid w:val="3EC223A8"/>
    <w:rsid w:val="3EC61972"/>
    <w:rsid w:val="3EC7428D"/>
    <w:rsid w:val="3EC90300"/>
    <w:rsid w:val="3ECA0378"/>
    <w:rsid w:val="3ED2500A"/>
    <w:rsid w:val="3ED30AA4"/>
    <w:rsid w:val="3EDB9AC3"/>
    <w:rsid w:val="3EDDE0E6"/>
    <w:rsid w:val="3EE0B27C"/>
    <w:rsid w:val="3EE296A9"/>
    <w:rsid w:val="3EEE31BA"/>
    <w:rsid w:val="3EFA2987"/>
    <w:rsid w:val="3EFB66EB"/>
    <w:rsid w:val="3EFD1296"/>
    <w:rsid w:val="3EFD9050"/>
    <w:rsid w:val="3F099A59"/>
    <w:rsid w:val="3F0C0963"/>
    <w:rsid w:val="3F12D81F"/>
    <w:rsid w:val="3F12E120"/>
    <w:rsid w:val="3F225DD8"/>
    <w:rsid w:val="3F2896A4"/>
    <w:rsid w:val="3F2B2C65"/>
    <w:rsid w:val="3F364694"/>
    <w:rsid w:val="3F366AC8"/>
    <w:rsid w:val="3F3A526C"/>
    <w:rsid w:val="3F407A2E"/>
    <w:rsid w:val="3F4235F3"/>
    <w:rsid w:val="3F48A224"/>
    <w:rsid w:val="3F49718A"/>
    <w:rsid w:val="3F51E1E8"/>
    <w:rsid w:val="3F54F8A5"/>
    <w:rsid w:val="3F580048"/>
    <w:rsid w:val="3F5C82A9"/>
    <w:rsid w:val="3F5F5161"/>
    <w:rsid w:val="3F6270CA"/>
    <w:rsid w:val="3F6411C4"/>
    <w:rsid w:val="3F75F271"/>
    <w:rsid w:val="3F7804CA"/>
    <w:rsid w:val="3F78694A"/>
    <w:rsid w:val="3F7B52B0"/>
    <w:rsid w:val="3F7F20CE"/>
    <w:rsid w:val="3F7F46AF"/>
    <w:rsid w:val="3F80828B"/>
    <w:rsid w:val="3F81031C"/>
    <w:rsid w:val="3F8357C4"/>
    <w:rsid w:val="3F933632"/>
    <w:rsid w:val="3F95A151"/>
    <w:rsid w:val="3F99AB65"/>
    <w:rsid w:val="3F9BAAA4"/>
    <w:rsid w:val="3FA04701"/>
    <w:rsid w:val="3FA5505E"/>
    <w:rsid w:val="3FA6FF89"/>
    <w:rsid w:val="3FAAA7DA"/>
    <w:rsid w:val="3FB6C369"/>
    <w:rsid w:val="3FB6D782"/>
    <w:rsid w:val="3FB76DAD"/>
    <w:rsid w:val="3FB7C437"/>
    <w:rsid w:val="3FBAC39F"/>
    <w:rsid w:val="3FBBC73F"/>
    <w:rsid w:val="3FBDE7BE"/>
    <w:rsid w:val="3FBF2254"/>
    <w:rsid w:val="3FCFE4F8"/>
    <w:rsid w:val="3FD24F33"/>
    <w:rsid w:val="3FD3507A"/>
    <w:rsid w:val="3FD8186F"/>
    <w:rsid w:val="3FDC57D1"/>
    <w:rsid w:val="3FDD627B"/>
    <w:rsid w:val="3FDEBF1B"/>
    <w:rsid w:val="3FE3D91A"/>
    <w:rsid w:val="3FEAD1B6"/>
    <w:rsid w:val="3FF41C0F"/>
    <w:rsid w:val="3FF5064A"/>
    <w:rsid w:val="3FF689CC"/>
    <w:rsid w:val="3FF9F0D6"/>
    <w:rsid w:val="3FFADFA1"/>
    <w:rsid w:val="3FFBCB14"/>
    <w:rsid w:val="3FFDB78B"/>
    <w:rsid w:val="3FFFDC5F"/>
    <w:rsid w:val="4001CC70"/>
    <w:rsid w:val="40054ABA"/>
    <w:rsid w:val="400680E8"/>
    <w:rsid w:val="400AD45E"/>
    <w:rsid w:val="400AF3C1"/>
    <w:rsid w:val="400C72AC"/>
    <w:rsid w:val="40134A41"/>
    <w:rsid w:val="40139DB9"/>
    <w:rsid w:val="40161665"/>
    <w:rsid w:val="4019A590"/>
    <w:rsid w:val="401AA1F2"/>
    <w:rsid w:val="401BB519"/>
    <w:rsid w:val="401BF865"/>
    <w:rsid w:val="401CBFB2"/>
    <w:rsid w:val="40207DBE"/>
    <w:rsid w:val="40234604"/>
    <w:rsid w:val="402477ED"/>
    <w:rsid w:val="402A9C2A"/>
    <w:rsid w:val="402CDD21"/>
    <w:rsid w:val="402FAAAA"/>
    <w:rsid w:val="40310CC2"/>
    <w:rsid w:val="4033840D"/>
    <w:rsid w:val="4036236E"/>
    <w:rsid w:val="403A77E0"/>
    <w:rsid w:val="403CBF6C"/>
    <w:rsid w:val="403EB2D7"/>
    <w:rsid w:val="4042843E"/>
    <w:rsid w:val="4043EA9D"/>
    <w:rsid w:val="404BE61B"/>
    <w:rsid w:val="404D52C4"/>
    <w:rsid w:val="404EFEC0"/>
    <w:rsid w:val="4052FA94"/>
    <w:rsid w:val="4054432D"/>
    <w:rsid w:val="40548F19"/>
    <w:rsid w:val="40553A5C"/>
    <w:rsid w:val="405E6750"/>
    <w:rsid w:val="405EF31C"/>
    <w:rsid w:val="40616976"/>
    <w:rsid w:val="4061E5A9"/>
    <w:rsid w:val="4063EC88"/>
    <w:rsid w:val="4070E8A7"/>
    <w:rsid w:val="4075FF2A"/>
    <w:rsid w:val="40778E05"/>
    <w:rsid w:val="4077915B"/>
    <w:rsid w:val="4077B8E3"/>
    <w:rsid w:val="40798869"/>
    <w:rsid w:val="4080609F"/>
    <w:rsid w:val="4080B313"/>
    <w:rsid w:val="40820B6F"/>
    <w:rsid w:val="4083856E"/>
    <w:rsid w:val="40888E3E"/>
    <w:rsid w:val="408AB46B"/>
    <w:rsid w:val="409A438D"/>
    <w:rsid w:val="409B831C"/>
    <w:rsid w:val="409E7403"/>
    <w:rsid w:val="40A288A1"/>
    <w:rsid w:val="40A2A8AC"/>
    <w:rsid w:val="40A42314"/>
    <w:rsid w:val="40A71C1F"/>
    <w:rsid w:val="40A8717F"/>
    <w:rsid w:val="40ACA0B8"/>
    <w:rsid w:val="40AD5559"/>
    <w:rsid w:val="40B8C8B3"/>
    <w:rsid w:val="40BB747C"/>
    <w:rsid w:val="40C3B01D"/>
    <w:rsid w:val="40C43249"/>
    <w:rsid w:val="40C5E289"/>
    <w:rsid w:val="40CBBF9B"/>
    <w:rsid w:val="40CC733F"/>
    <w:rsid w:val="40CFE0B6"/>
    <w:rsid w:val="40D75C79"/>
    <w:rsid w:val="40D7B70F"/>
    <w:rsid w:val="40DAB49E"/>
    <w:rsid w:val="40DBC14F"/>
    <w:rsid w:val="40DDFB72"/>
    <w:rsid w:val="40E0BB87"/>
    <w:rsid w:val="40E35EBA"/>
    <w:rsid w:val="40E41FD6"/>
    <w:rsid w:val="40E5D173"/>
    <w:rsid w:val="40EF5755"/>
    <w:rsid w:val="40FB25E4"/>
    <w:rsid w:val="40FBFE49"/>
    <w:rsid w:val="41012E3E"/>
    <w:rsid w:val="4105189A"/>
    <w:rsid w:val="410B3E54"/>
    <w:rsid w:val="410B9AF2"/>
    <w:rsid w:val="410D1A05"/>
    <w:rsid w:val="41104447"/>
    <w:rsid w:val="4114EC61"/>
    <w:rsid w:val="411AAECE"/>
    <w:rsid w:val="41227CD0"/>
    <w:rsid w:val="4123B8A1"/>
    <w:rsid w:val="4127284C"/>
    <w:rsid w:val="4127C834"/>
    <w:rsid w:val="4129620D"/>
    <w:rsid w:val="41317943"/>
    <w:rsid w:val="41339926"/>
    <w:rsid w:val="413622D2"/>
    <w:rsid w:val="413E6837"/>
    <w:rsid w:val="41425428"/>
    <w:rsid w:val="41482950"/>
    <w:rsid w:val="4149425C"/>
    <w:rsid w:val="4149D578"/>
    <w:rsid w:val="4149D6C9"/>
    <w:rsid w:val="4153747D"/>
    <w:rsid w:val="41579FF8"/>
    <w:rsid w:val="4158A36A"/>
    <w:rsid w:val="41592DF1"/>
    <w:rsid w:val="4161537C"/>
    <w:rsid w:val="4161FC15"/>
    <w:rsid w:val="4164158B"/>
    <w:rsid w:val="41649C73"/>
    <w:rsid w:val="4165B19F"/>
    <w:rsid w:val="4167189C"/>
    <w:rsid w:val="41679166"/>
    <w:rsid w:val="416838C2"/>
    <w:rsid w:val="4169E3FD"/>
    <w:rsid w:val="416BC50D"/>
    <w:rsid w:val="416DAE9E"/>
    <w:rsid w:val="41709C1B"/>
    <w:rsid w:val="4177CFC6"/>
    <w:rsid w:val="417A95C2"/>
    <w:rsid w:val="41855157"/>
    <w:rsid w:val="418A31F5"/>
    <w:rsid w:val="418B312B"/>
    <w:rsid w:val="418B8DB1"/>
    <w:rsid w:val="418CBB2B"/>
    <w:rsid w:val="4191FD54"/>
    <w:rsid w:val="41927527"/>
    <w:rsid w:val="4192FFEA"/>
    <w:rsid w:val="4194B00E"/>
    <w:rsid w:val="4194C897"/>
    <w:rsid w:val="4197B68D"/>
    <w:rsid w:val="41A0F4CE"/>
    <w:rsid w:val="41A13EEB"/>
    <w:rsid w:val="41A19DDD"/>
    <w:rsid w:val="41A2086D"/>
    <w:rsid w:val="41A47F82"/>
    <w:rsid w:val="41A67524"/>
    <w:rsid w:val="41A6D786"/>
    <w:rsid w:val="41A87FE1"/>
    <w:rsid w:val="41AA4F89"/>
    <w:rsid w:val="41B372E9"/>
    <w:rsid w:val="41B4F520"/>
    <w:rsid w:val="41BBB49B"/>
    <w:rsid w:val="41D13939"/>
    <w:rsid w:val="41D409C2"/>
    <w:rsid w:val="41DB5D2C"/>
    <w:rsid w:val="41DDABCF"/>
    <w:rsid w:val="41DE1AA3"/>
    <w:rsid w:val="41DF31D5"/>
    <w:rsid w:val="41DF7819"/>
    <w:rsid w:val="41E0C22A"/>
    <w:rsid w:val="41E69DEE"/>
    <w:rsid w:val="41EEBC9A"/>
    <w:rsid w:val="41F3A7F9"/>
    <w:rsid w:val="41F40700"/>
    <w:rsid w:val="41F44D06"/>
    <w:rsid w:val="41F45C87"/>
    <w:rsid w:val="41F68F5F"/>
    <w:rsid w:val="41F8B0E7"/>
    <w:rsid w:val="42027FC3"/>
    <w:rsid w:val="42043AF8"/>
    <w:rsid w:val="42047B13"/>
    <w:rsid w:val="420496F3"/>
    <w:rsid w:val="4209AF1D"/>
    <w:rsid w:val="420A698A"/>
    <w:rsid w:val="420AF2FE"/>
    <w:rsid w:val="420CA38F"/>
    <w:rsid w:val="420DC125"/>
    <w:rsid w:val="420F4201"/>
    <w:rsid w:val="4215DBA2"/>
    <w:rsid w:val="42191706"/>
    <w:rsid w:val="421A02C1"/>
    <w:rsid w:val="421B5015"/>
    <w:rsid w:val="421EC219"/>
    <w:rsid w:val="42210446"/>
    <w:rsid w:val="422588BC"/>
    <w:rsid w:val="422AC3A7"/>
    <w:rsid w:val="422BA6EB"/>
    <w:rsid w:val="42344B0E"/>
    <w:rsid w:val="42367A63"/>
    <w:rsid w:val="423A8CD9"/>
    <w:rsid w:val="423AA1AD"/>
    <w:rsid w:val="42426475"/>
    <w:rsid w:val="42449828"/>
    <w:rsid w:val="4245311F"/>
    <w:rsid w:val="42464E26"/>
    <w:rsid w:val="4246AB1B"/>
    <w:rsid w:val="424A99A0"/>
    <w:rsid w:val="424B08E8"/>
    <w:rsid w:val="424F8205"/>
    <w:rsid w:val="42545A39"/>
    <w:rsid w:val="42576170"/>
    <w:rsid w:val="425B57A3"/>
    <w:rsid w:val="42624246"/>
    <w:rsid w:val="4263731B"/>
    <w:rsid w:val="426BE1C6"/>
    <w:rsid w:val="426C4264"/>
    <w:rsid w:val="426F12C3"/>
    <w:rsid w:val="427061DA"/>
    <w:rsid w:val="4271282D"/>
    <w:rsid w:val="427156BE"/>
    <w:rsid w:val="4272F422"/>
    <w:rsid w:val="4274AB42"/>
    <w:rsid w:val="427A397D"/>
    <w:rsid w:val="427ABF5C"/>
    <w:rsid w:val="428040CE"/>
    <w:rsid w:val="4281274A"/>
    <w:rsid w:val="4286E05D"/>
    <w:rsid w:val="4288277A"/>
    <w:rsid w:val="428E1D85"/>
    <w:rsid w:val="4294D52F"/>
    <w:rsid w:val="42977127"/>
    <w:rsid w:val="42987589"/>
    <w:rsid w:val="429D59F0"/>
    <w:rsid w:val="429E9CDB"/>
    <w:rsid w:val="42A02EDB"/>
    <w:rsid w:val="42A29DD0"/>
    <w:rsid w:val="42A3884C"/>
    <w:rsid w:val="42A40B89"/>
    <w:rsid w:val="42AD9333"/>
    <w:rsid w:val="42B17A66"/>
    <w:rsid w:val="42B45B0F"/>
    <w:rsid w:val="42B6E031"/>
    <w:rsid w:val="42B9CB1D"/>
    <w:rsid w:val="42C3CDD8"/>
    <w:rsid w:val="42C48706"/>
    <w:rsid w:val="42C561C1"/>
    <w:rsid w:val="42CD3CEC"/>
    <w:rsid w:val="42CDF88C"/>
    <w:rsid w:val="42CE166B"/>
    <w:rsid w:val="42D01FF1"/>
    <w:rsid w:val="42D130FD"/>
    <w:rsid w:val="42D325BD"/>
    <w:rsid w:val="42D3C1B1"/>
    <w:rsid w:val="42D40473"/>
    <w:rsid w:val="42D46EF3"/>
    <w:rsid w:val="42D7898F"/>
    <w:rsid w:val="42DA4A06"/>
    <w:rsid w:val="42DD12F9"/>
    <w:rsid w:val="42DFB387"/>
    <w:rsid w:val="42E32372"/>
    <w:rsid w:val="42E783CC"/>
    <w:rsid w:val="42E8D0F4"/>
    <w:rsid w:val="42E939A7"/>
    <w:rsid w:val="42E9FE28"/>
    <w:rsid w:val="42EF6138"/>
    <w:rsid w:val="42EFA60F"/>
    <w:rsid w:val="42F20728"/>
    <w:rsid w:val="42F5B001"/>
    <w:rsid w:val="42F81D05"/>
    <w:rsid w:val="42F9FCEA"/>
    <w:rsid w:val="430446CC"/>
    <w:rsid w:val="4306CEF6"/>
    <w:rsid w:val="43083FD3"/>
    <w:rsid w:val="4308C550"/>
    <w:rsid w:val="4311008F"/>
    <w:rsid w:val="43180E70"/>
    <w:rsid w:val="43193A11"/>
    <w:rsid w:val="431B2CE0"/>
    <w:rsid w:val="431B3B02"/>
    <w:rsid w:val="43211A9A"/>
    <w:rsid w:val="43238EA7"/>
    <w:rsid w:val="432DAA4C"/>
    <w:rsid w:val="43303FBD"/>
    <w:rsid w:val="43327880"/>
    <w:rsid w:val="43340E78"/>
    <w:rsid w:val="4338C8CD"/>
    <w:rsid w:val="433A79AC"/>
    <w:rsid w:val="433B3E98"/>
    <w:rsid w:val="433BD314"/>
    <w:rsid w:val="433F02A4"/>
    <w:rsid w:val="43404BD5"/>
    <w:rsid w:val="434441F3"/>
    <w:rsid w:val="4344EF43"/>
    <w:rsid w:val="43468DA1"/>
    <w:rsid w:val="434788DE"/>
    <w:rsid w:val="434CDB7F"/>
    <w:rsid w:val="434D7D54"/>
    <w:rsid w:val="4350A646"/>
    <w:rsid w:val="435197A6"/>
    <w:rsid w:val="4354F87B"/>
    <w:rsid w:val="4357D7A1"/>
    <w:rsid w:val="43582C0D"/>
    <w:rsid w:val="435A50F2"/>
    <w:rsid w:val="435AC783"/>
    <w:rsid w:val="435E38B7"/>
    <w:rsid w:val="4369F13A"/>
    <w:rsid w:val="436D2206"/>
    <w:rsid w:val="4371DE4D"/>
    <w:rsid w:val="43759A59"/>
    <w:rsid w:val="4379109B"/>
    <w:rsid w:val="437C19D4"/>
    <w:rsid w:val="437CF39C"/>
    <w:rsid w:val="4380650C"/>
    <w:rsid w:val="4382338D"/>
    <w:rsid w:val="43831E37"/>
    <w:rsid w:val="438A2044"/>
    <w:rsid w:val="439644E0"/>
    <w:rsid w:val="4396FF8C"/>
    <w:rsid w:val="43A06CC1"/>
    <w:rsid w:val="43A6ECEF"/>
    <w:rsid w:val="43A7F8EA"/>
    <w:rsid w:val="43AA4C6D"/>
    <w:rsid w:val="43B19A01"/>
    <w:rsid w:val="43B5C837"/>
    <w:rsid w:val="43B60544"/>
    <w:rsid w:val="43B79512"/>
    <w:rsid w:val="43C09135"/>
    <w:rsid w:val="43CA18B5"/>
    <w:rsid w:val="43CB3237"/>
    <w:rsid w:val="43D051B9"/>
    <w:rsid w:val="43DC221B"/>
    <w:rsid w:val="43DE7F83"/>
    <w:rsid w:val="43E5E8DC"/>
    <w:rsid w:val="43E66A01"/>
    <w:rsid w:val="43E7D8A7"/>
    <w:rsid w:val="43E81324"/>
    <w:rsid w:val="43E98462"/>
    <w:rsid w:val="43EE6F82"/>
    <w:rsid w:val="43F7A5E2"/>
    <w:rsid w:val="43F83F18"/>
    <w:rsid w:val="43FA1A49"/>
    <w:rsid w:val="43FA203B"/>
    <w:rsid w:val="43FB1A82"/>
    <w:rsid w:val="4401AE6D"/>
    <w:rsid w:val="4405D000"/>
    <w:rsid w:val="4408AF00"/>
    <w:rsid w:val="440A67C9"/>
    <w:rsid w:val="440B0EB8"/>
    <w:rsid w:val="440B2764"/>
    <w:rsid w:val="440D7A92"/>
    <w:rsid w:val="441128D1"/>
    <w:rsid w:val="44139FCC"/>
    <w:rsid w:val="44171BD2"/>
    <w:rsid w:val="441B50E9"/>
    <w:rsid w:val="4420C75C"/>
    <w:rsid w:val="4420DA0C"/>
    <w:rsid w:val="44220D75"/>
    <w:rsid w:val="44265D46"/>
    <w:rsid w:val="442B9CEE"/>
    <w:rsid w:val="442F2CF9"/>
    <w:rsid w:val="443595D0"/>
    <w:rsid w:val="443EAE4A"/>
    <w:rsid w:val="4443063D"/>
    <w:rsid w:val="44454D9E"/>
    <w:rsid w:val="44486931"/>
    <w:rsid w:val="44491B3A"/>
    <w:rsid w:val="444F016E"/>
    <w:rsid w:val="4452E362"/>
    <w:rsid w:val="445A3C4C"/>
    <w:rsid w:val="445DB195"/>
    <w:rsid w:val="44629997"/>
    <w:rsid w:val="44630866"/>
    <w:rsid w:val="4464E25B"/>
    <w:rsid w:val="44653DC1"/>
    <w:rsid w:val="446B05B3"/>
    <w:rsid w:val="44712048"/>
    <w:rsid w:val="447267EE"/>
    <w:rsid w:val="4473EC47"/>
    <w:rsid w:val="44799C57"/>
    <w:rsid w:val="44809E32"/>
    <w:rsid w:val="448E5FC5"/>
    <w:rsid w:val="44904251"/>
    <w:rsid w:val="44906CC7"/>
    <w:rsid w:val="449310E5"/>
    <w:rsid w:val="4499E259"/>
    <w:rsid w:val="449C2D43"/>
    <w:rsid w:val="449DF02F"/>
    <w:rsid w:val="449ED5C1"/>
    <w:rsid w:val="44A3F6DC"/>
    <w:rsid w:val="44A5EE78"/>
    <w:rsid w:val="44A6309A"/>
    <w:rsid w:val="44A689B9"/>
    <w:rsid w:val="44B3DBE5"/>
    <w:rsid w:val="44B79C73"/>
    <w:rsid w:val="44B7AE7E"/>
    <w:rsid w:val="44BE8895"/>
    <w:rsid w:val="44C2651A"/>
    <w:rsid w:val="44C42EE9"/>
    <w:rsid w:val="44C91AD4"/>
    <w:rsid w:val="44CC8019"/>
    <w:rsid w:val="44D6A3CE"/>
    <w:rsid w:val="44D74F05"/>
    <w:rsid w:val="44D90F57"/>
    <w:rsid w:val="44DC12C0"/>
    <w:rsid w:val="44DDFB18"/>
    <w:rsid w:val="44E3F4D1"/>
    <w:rsid w:val="44EC987A"/>
    <w:rsid w:val="44EFBD04"/>
    <w:rsid w:val="44FECCB9"/>
    <w:rsid w:val="4500173D"/>
    <w:rsid w:val="45025D04"/>
    <w:rsid w:val="450393FE"/>
    <w:rsid w:val="45079C29"/>
    <w:rsid w:val="4508CC43"/>
    <w:rsid w:val="450ABF09"/>
    <w:rsid w:val="450C867C"/>
    <w:rsid w:val="450CEE08"/>
    <w:rsid w:val="4510B3FB"/>
    <w:rsid w:val="451570BE"/>
    <w:rsid w:val="4515DBB6"/>
    <w:rsid w:val="451616AC"/>
    <w:rsid w:val="451C4321"/>
    <w:rsid w:val="451C442A"/>
    <w:rsid w:val="4528686E"/>
    <w:rsid w:val="4529AE26"/>
    <w:rsid w:val="4529F9AA"/>
    <w:rsid w:val="45399D96"/>
    <w:rsid w:val="4539CAB3"/>
    <w:rsid w:val="4543F88F"/>
    <w:rsid w:val="454618EF"/>
    <w:rsid w:val="4547A29B"/>
    <w:rsid w:val="45491859"/>
    <w:rsid w:val="454CDD37"/>
    <w:rsid w:val="454E1BCC"/>
    <w:rsid w:val="454ED049"/>
    <w:rsid w:val="45523D9D"/>
    <w:rsid w:val="455452C4"/>
    <w:rsid w:val="455C2B41"/>
    <w:rsid w:val="455DDEA7"/>
    <w:rsid w:val="456052C0"/>
    <w:rsid w:val="456606F4"/>
    <w:rsid w:val="45672DB8"/>
    <w:rsid w:val="4569CAB5"/>
    <w:rsid w:val="456DF02E"/>
    <w:rsid w:val="4571488E"/>
    <w:rsid w:val="45721959"/>
    <w:rsid w:val="4576929D"/>
    <w:rsid w:val="4578C91C"/>
    <w:rsid w:val="4579FD40"/>
    <w:rsid w:val="457AA922"/>
    <w:rsid w:val="457AD59C"/>
    <w:rsid w:val="457E805C"/>
    <w:rsid w:val="458B9545"/>
    <w:rsid w:val="458D9F20"/>
    <w:rsid w:val="458F2CF3"/>
    <w:rsid w:val="45940CAA"/>
    <w:rsid w:val="459997A1"/>
    <w:rsid w:val="459D9A92"/>
    <w:rsid w:val="45A80537"/>
    <w:rsid w:val="45A90B0D"/>
    <w:rsid w:val="45A9F59A"/>
    <w:rsid w:val="45AC4637"/>
    <w:rsid w:val="45AD7E6F"/>
    <w:rsid w:val="45B138B6"/>
    <w:rsid w:val="45B23D6A"/>
    <w:rsid w:val="45B50564"/>
    <w:rsid w:val="45B61CA9"/>
    <w:rsid w:val="45B93549"/>
    <w:rsid w:val="45C6A26F"/>
    <w:rsid w:val="45C83CE5"/>
    <w:rsid w:val="45C9749E"/>
    <w:rsid w:val="45CC82A6"/>
    <w:rsid w:val="45CE7A1E"/>
    <w:rsid w:val="45CF698C"/>
    <w:rsid w:val="45D05A92"/>
    <w:rsid w:val="45D08E5A"/>
    <w:rsid w:val="45D132CC"/>
    <w:rsid w:val="45D26E4A"/>
    <w:rsid w:val="45D49A26"/>
    <w:rsid w:val="45D77A9E"/>
    <w:rsid w:val="45D9D0EC"/>
    <w:rsid w:val="45DAF547"/>
    <w:rsid w:val="45DED69E"/>
    <w:rsid w:val="45E13BD6"/>
    <w:rsid w:val="45E1AD0D"/>
    <w:rsid w:val="45E9458D"/>
    <w:rsid w:val="45ECC65E"/>
    <w:rsid w:val="45ED7A68"/>
    <w:rsid w:val="45FDD07E"/>
    <w:rsid w:val="46024A0B"/>
    <w:rsid w:val="460704C8"/>
    <w:rsid w:val="4608604B"/>
    <w:rsid w:val="4610BD9A"/>
    <w:rsid w:val="4612DB00"/>
    <w:rsid w:val="461693F3"/>
    <w:rsid w:val="4619F11B"/>
    <w:rsid w:val="462171BE"/>
    <w:rsid w:val="4623D743"/>
    <w:rsid w:val="462515D7"/>
    <w:rsid w:val="4626B442"/>
    <w:rsid w:val="4626C8C9"/>
    <w:rsid w:val="46270022"/>
    <w:rsid w:val="462CCF7A"/>
    <w:rsid w:val="462D9A42"/>
    <w:rsid w:val="462E6B93"/>
    <w:rsid w:val="462FCFEC"/>
    <w:rsid w:val="4630F8D1"/>
    <w:rsid w:val="46390EF5"/>
    <w:rsid w:val="463E8E4A"/>
    <w:rsid w:val="463F6637"/>
    <w:rsid w:val="464CE59E"/>
    <w:rsid w:val="464E94C7"/>
    <w:rsid w:val="465737A0"/>
    <w:rsid w:val="465B122F"/>
    <w:rsid w:val="465B8F08"/>
    <w:rsid w:val="465C31D6"/>
    <w:rsid w:val="465C6A17"/>
    <w:rsid w:val="465FFDE5"/>
    <w:rsid w:val="4667AF37"/>
    <w:rsid w:val="466A0496"/>
    <w:rsid w:val="466AA074"/>
    <w:rsid w:val="466D6491"/>
    <w:rsid w:val="466E0063"/>
    <w:rsid w:val="46746541"/>
    <w:rsid w:val="4675E11E"/>
    <w:rsid w:val="4680E92E"/>
    <w:rsid w:val="468850D5"/>
    <w:rsid w:val="469245F0"/>
    <w:rsid w:val="4694679D"/>
    <w:rsid w:val="4696F1A5"/>
    <w:rsid w:val="469A1675"/>
    <w:rsid w:val="469B821D"/>
    <w:rsid w:val="46A0C9B1"/>
    <w:rsid w:val="46A2A8A2"/>
    <w:rsid w:val="46A3633F"/>
    <w:rsid w:val="46A4591B"/>
    <w:rsid w:val="46A4AED5"/>
    <w:rsid w:val="46B0B895"/>
    <w:rsid w:val="46B3DCEE"/>
    <w:rsid w:val="46B82924"/>
    <w:rsid w:val="46BCC806"/>
    <w:rsid w:val="46CA5422"/>
    <w:rsid w:val="46D40819"/>
    <w:rsid w:val="46DA4ACE"/>
    <w:rsid w:val="46DB3BFA"/>
    <w:rsid w:val="46E733EA"/>
    <w:rsid w:val="46E8F47B"/>
    <w:rsid w:val="46EE4A77"/>
    <w:rsid w:val="46F20D45"/>
    <w:rsid w:val="46F3BE12"/>
    <w:rsid w:val="47010CD6"/>
    <w:rsid w:val="4704A3C4"/>
    <w:rsid w:val="470854D5"/>
    <w:rsid w:val="4709AB6D"/>
    <w:rsid w:val="470D063F"/>
    <w:rsid w:val="4714B3E7"/>
    <w:rsid w:val="4717D778"/>
    <w:rsid w:val="471DC9ED"/>
    <w:rsid w:val="471FD3B7"/>
    <w:rsid w:val="47217F82"/>
    <w:rsid w:val="472460E9"/>
    <w:rsid w:val="472C706B"/>
    <w:rsid w:val="4730985B"/>
    <w:rsid w:val="4731C1B5"/>
    <w:rsid w:val="4732F0F1"/>
    <w:rsid w:val="4735B7E4"/>
    <w:rsid w:val="473C8EDA"/>
    <w:rsid w:val="473D8B45"/>
    <w:rsid w:val="473E961F"/>
    <w:rsid w:val="473F15A7"/>
    <w:rsid w:val="47404CA0"/>
    <w:rsid w:val="4744723C"/>
    <w:rsid w:val="474610A8"/>
    <w:rsid w:val="4746BDC8"/>
    <w:rsid w:val="474F7132"/>
    <w:rsid w:val="4752F1EB"/>
    <w:rsid w:val="47560874"/>
    <w:rsid w:val="4757100D"/>
    <w:rsid w:val="475786C9"/>
    <w:rsid w:val="475C383E"/>
    <w:rsid w:val="47602593"/>
    <w:rsid w:val="47673F71"/>
    <w:rsid w:val="476EF2FC"/>
    <w:rsid w:val="4777D878"/>
    <w:rsid w:val="477860C9"/>
    <w:rsid w:val="477B3AF7"/>
    <w:rsid w:val="477BAD5C"/>
    <w:rsid w:val="477BE8B8"/>
    <w:rsid w:val="477CBA7C"/>
    <w:rsid w:val="477E0681"/>
    <w:rsid w:val="478B1CD9"/>
    <w:rsid w:val="478DF03F"/>
    <w:rsid w:val="47966AF6"/>
    <w:rsid w:val="4796FC0F"/>
    <w:rsid w:val="479FD3EA"/>
    <w:rsid w:val="47A2199A"/>
    <w:rsid w:val="47A3C267"/>
    <w:rsid w:val="47A4D844"/>
    <w:rsid w:val="47B6F926"/>
    <w:rsid w:val="47B9BB83"/>
    <w:rsid w:val="47BC32B4"/>
    <w:rsid w:val="47C0B70A"/>
    <w:rsid w:val="47C36144"/>
    <w:rsid w:val="47CB5FEF"/>
    <w:rsid w:val="47D3570F"/>
    <w:rsid w:val="47D595ED"/>
    <w:rsid w:val="47D5CD30"/>
    <w:rsid w:val="47DCBD2F"/>
    <w:rsid w:val="47E85734"/>
    <w:rsid w:val="47E9F189"/>
    <w:rsid w:val="47EB2E4E"/>
    <w:rsid w:val="47F953EF"/>
    <w:rsid w:val="47F9A9B2"/>
    <w:rsid w:val="47FD17AD"/>
    <w:rsid w:val="47FD8A83"/>
    <w:rsid w:val="4802621F"/>
    <w:rsid w:val="48059493"/>
    <w:rsid w:val="480596AE"/>
    <w:rsid w:val="4805D4F7"/>
    <w:rsid w:val="480972EF"/>
    <w:rsid w:val="48098C10"/>
    <w:rsid w:val="480D24BA"/>
    <w:rsid w:val="480E222C"/>
    <w:rsid w:val="4810C54E"/>
    <w:rsid w:val="4812783B"/>
    <w:rsid w:val="481AA5BA"/>
    <w:rsid w:val="482095E8"/>
    <w:rsid w:val="482263A5"/>
    <w:rsid w:val="482A4373"/>
    <w:rsid w:val="482ED97D"/>
    <w:rsid w:val="4830D8BF"/>
    <w:rsid w:val="48359543"/>
    <w:rsid w:val="4836FEC5"/>
    <w:rsid w:val="483F7040"/>
    <w:rsid w:val="484251F6"/>
    <w:rsid w:val="4848BA5C"/>
    <w:rsid w:val="484A179E"/>
    <w:rsid w:val="48581726"/>
    <w:rsid w:val="485F57F9"/>
    <w:rsid w:val="48616A25"/>
    <w:rsid w:val="48629FFC"/>
    <w:rsid w:val="4866113D"/>
    <w:rsid w:val="48676323"/>
    <w:rsid w:val="486A17EE"/>
    <w:rsid w:val="486AC1B2"/>
    <w:rsid w:val="486BAF5A"/>
    <w:rsid w:val="48746B24"/>
    <w:rsid w:val="48752C92"/>
    <w:rsid w:val="48760AB9"/>
    <w:rsid w:val="4877C6E0"/>
    <w:rsid w:val="4878679A"/>
    <w:rsid w:val="487996D9"/>
    <w:rsid w:val="487EA368"/>
    <w:rsid w:val="487FD916"/>
    <w:rsid w:val="48860E66"/>
    <w:rsid w:val="4889B409"/>
    <w:rsid w:val="488BEE60"/>
    <w:rsid w:val="488CEF22"/>
    <w:rsid w:val="488EF5AA"/>
    <w:rsid w:val="48900689"/>
    <w:rsid w:val="4891D6F0"/>
    <w:rsid w:val="48934D7F"/>
    <w:rsid w:val="489AF93C"/>
    <w:rsid w:val="489D62F0"/>
    <w:rsid w:val="48A37993"/>
    <w:rsid w:val="48A6CF74"/>
    <w:rsid w:val="48A76BC6"/>
    <w:rsid w:val="48A9E751"/>
    <w:rsid w:val="48AB1ED7"/>
    <w:rsid w:val="48AD73CC"/>
    <w:rsid w:val="48B32591"/>
    <w:rsid w:val="48B57098"/>
    <w:rsid w:val="48B63277"/>
    <w:rsid w:val="48B6B5F8"/>
    <w:rsid w:val="48BCA48D"/>
    <w:rsid w:val="48BD2124"/>
    <w:rsid w:val="48C66C49"/>
    <w:rsid w:val="48C6F222"/>
    <w:rsid w:val="48C80DAF"/>
    <w:rsid w:val="48C90560"/>
    <w:rsid w:val="48CB63C4"/>
    <w:rsid w:val="48D60018"/>
    <w:rsid w:val="48D802E3"/>
    <w:rsid w:val="48DB3F35"/>
    <w:rsid w:val="48DF2217"/>
    <w:rsid w:val="48E0F546"/>
    <w:rsid w:val="48E46E8D"/>
    <w:rsid w:val="48EA8241"/>
    <w:rsid w:val="48EC78D6"/>
    <w:rsid w:val="48ED6A04"/>
    <w:rsid w:val="48F8A68F"/>
    <w:rsid w:val="48F91189"/>
    <w:rsid w:val="4900A122"/>
    <w:rsid w:val="4904A498"/>
    <w:rsid w:val="4904CBC9"/>
    <w:rsid w:val="490507B6"/>
    <w:rsid w:val="49091549"/>
    <w:rsid w:val="491064FD"/>
    <w:rsid w:val="4916648C"/>
    <w:rsid w:val="49167F88"/>
    <w:rsid w:val="491A5546"/>
    <w:rsid w:val="491BECAB"/>
    <w:rsid w:val="492134BA"/>
    <w:rsid w:val="4924B162"/>
    <w:rsid w:val="492888CC"/>
    <w:rsid w:val="49290AA8"/>
    <w:rsid w:val="49297A28"/>
    <w:rsid w:val="492D0134"/>
    <w:rsid w:val="492E877F"/>
    <w:rsid w:val="4934812E"/>
    <w:rsid w:val="493AB453"/>
    <w:rsid w:val="494106E5"/>
    <w:rsid w:val="4943664B"/>
    <w:rsid w:val="4947055C"/>
    <w:rsid w:val="4947A7BD"/>
    <w:rsid w:val="4948A2F5"/>
    <w:rsid w:val="49512913"/>
    <w:rsid w:val="495C3505"/>
    <w:rsid w:val="495CE6CB"/>
    <w:rsid w:val="495D9EE1"/>
    <w:rsid w:val="496E2816"/>
    <w:rsid w:val="497033E7"/>
    <w:rsid w:val="4970B38D"/>
    <w:rsid w:val="497FE9C9"/>
    <w:rsid w:val="4982B1DE"/>
    <w:rsid w:val="498DA95F"/>
    <w:rsid w:val="498F4B9A"/>
    <w:rsid w:val="49925F52"/>
    <w:rsid w:val="4993E7DF"/>
    <w:rsid w:val="499B8B76"/>
    <w:rsid w:val="499BEF99"/>
    <w:rsid w:val="499CF650"/>
    <w:rsid w:val="499E32FF"/>
    <w:rsid w:val="49A05F07"/>
    <w:rsid w:val="49A9DC74"/>
    <w:rsid w:val="49AD14FD"/>
    <w:rsid w:val="49AD96C6"/>
    <w:rsid w:val="49AECCEB"/>
    <w:rsid w:val="49B1B856"/>
    <w:rsid w:val="49B2D3B9"/>
    <w:rsid w:val="49BBFB80"/>
    <w:rsid w:val="49C2E412"/>
    <w:rsid w:val="49D3B543"/>
    <w:rsid w:val="49D9B4EC"/>
    <w:rsid w:val="49DA060B"/>
    <w:rsid w:val="49E2A441"/>
    <w:rsid w:val="49E9DE86"/>
    <w:rsid w:val="49EA8400"/>
    <w:rsid w:val="49EB2395"/>
    <w:rsid w:val="49ECF99A"/>
    <w:rsid w:val="49F24A73"/>
    <w:rsid w:val="49F78072"/>
    <w:rsid w:val="49F9E94D"/>
    <w:rsid w:val="49FBD386"/>
    <w:rsid w:val="49FC07C9"/>
    <w:rsid w:val="4A00D173"/>
    <w:rsid w:val="4A018E68"/>
    <w:rsid w:val="4A08F2B0"/>
    <w:rsid w:val="4A092E73"/>
    <w:rsid w:val="4A0B0B58"/>
    <w:rsid w:val="4A0B3F00"/>
    <w:rsid w:val="4A11BF13"/>
    <w:rsid w:val="4A1A15F1"/>
    <w:rsid w:val="4A1A6F97"/>
    <w:rsid w:val="4A27FBA0"/>
    <w:rsid w:val="4A2A382A"/>
    <w:rsid w:val="4A2AF8A2"/>
    <w:rsid w:val="4A2DA9BD"/>
    <w:rsid w:val="4A2E645E"/>
    <w:rsid w:val="4A30B936"/>
    <w:rsid w:val="4A37FDC0"/>
    <w:rsid w:val="4A3A24AE"/>
    <w:rsid w:val="4A3A9A68"/>
    <w:rsid w:val="4A41B2B0"/>
    <w:rsid w:val="4A41FCB8"/>
    <w:rsid w:val="4A44F4AD"/>
    <w:rsid w:val="4A4D52E2"/>
    <w:rsid w:val="4A4E9FA3"/>
    <w:rsid w:val="4A567526"/>
    <w:rsid w:val="4A56BBF0"/>
    <w:rsid w:val="4A5C958D"/>
    <w:rsid w:val="4A5DB0C3"/>
    <w:rsid w:val="4A607982"/>
    <w:rsid w:val="4A64500F"/>
    <w:rsid w:val="4A64CC57"/>
    <w:rsid w:val="4A671990"/>
    <w:rsid w:val="4A676A8F"/>
    <w:rsid w:val="4A834F34"/>
    <w:rsid w:val="4A8584D0"/>
    <w:rsid w:val="4A907761"/>
    <w:rsid w:val="4A908DFC"/>
    <w:rsid w:val="4A91E55F"/>
    <w:rsid w:val="4A939B00"/>
    <w:rsid w:val="4A990E6A"/>
    <w:rsid w:val="4A9A1673"/>
    <w:rsid w:val="4A9B3C9E"/>
    <w:rsid w:val="4A9BF1B8"/>
    <w:rsid w:val="4AA517AE"/>
    <w:rsid w:val="4AA62806"/>
    <w:rsid w:val="4AA74A04"/>
    <w:rsid w:val="4AAC3C1A"/>
    <w:rsid w:val="4AAD87ED"/>
    <w:rsid w:val="4AAE65E7"/>
    <w:rsid w:val="4AB5AEA3"/>
    <w:rsid w:val="4AB5FE60"/>
    <w:rsid w:val="4AC35F7B"/>
    <w:rsid w:val="4AC68B78"/>
    <w:rsid w:val="4ACB4AF9"/>
    <w:rsid w:val="4ACE22B8"/>
    <w:rsid w:val="4ACFDBC7"/>
    <w:rsid w:val="4AD1F181"/>
    <w:rsid w:val="4AD31E2A"/>
    <w:rsid w:val="4AD3C150"/>
    <w:rsid w:val="4ADB8ABA"/>
    <w:rsid w:val="4ADE5D4B"/>
    <w:rsid w:val="4AE16E0B"/>
    <w:rsid w:val="4AE3D04B"/>
    <w:rsid w:val="4AE4FC6A"/>
    <w:rsid w:val="4AE6E75C"/>
    <w:rsid w:val="4AE84F52"/>
    <w:rsid w:val="4AEAAA8D"/>
    <w:rsid w:val="4AECB9EA"/>
    <w:rsid w:val="4B03E342"/>
    <w:rsid w:val="4B04DB61"/>
    <w:rsid w:val="4B0884AB"/>
    <w:rsid w:val="4B09C125"/>
    <w:rsid w:val="4B0C9094"/>
    <w:rsid w:val="4B0E3607"/>
    <w:rsid w:val="4B0FA2A5"/>
    <w:rsid w:val="4B1068DC"/>
    <w:rsid w:val="4B1C9141"/>
    <w:rsid w:val="4B1E14C8"/>
    <w:rsid w:val="4B24DAC2"/>
    <w:rsid w:val="4B2801C3"/>
    <w:rsid w:val="4B2C64C1"/>
    <w:rsid w:val="4B3366F0"/>
    <w:rsid w:val="4B337E49"/>
    <w:rsid w:val="4B3C8A40"/>
    <w:rsid w:val="4B3F3843"/>
    <w:rsid w:val="4B403B3A"/>
    <w:rsid w:val="4B4BC67E"/>
    <w:rsid w:val="4B53E97D"/>
    <w:rsid w:val="4B5B0FE2"/>
    <w:rsid w:val="4B699A7C"/>
    <w:rsid w:val="4B6D5815"/>
    <w:rsid w:val="4B76191C"/>
    <w:rsid w:val="4B782246"/>
    <w:rsid w:val="4B7945DE"/>
    <w:rsid w:val="4B7A47A5"/>
    <w:rsid w:val="4B7B0CE4"/>
    <w:rsid w:val="4B857A57"/>
    <w:rsid w:val="4B86164D"/>
    <w:rsid w:val="4B869392"/>
    <w:rsid w:val="4B8764EC"/>
    <w:rsid w:val="4B897512"/>
    <w:rsid w:val="4B8AE86E"/>
    <w:rsid w:val="4B8B2666"/>
    <w:rsid w:val="4BA1DFCA"/>
    <w:rsid w:val="4BA20185"/>
    <w:rsid w:val="4BA79519"/>
    <w:rsid w:val="4BADFCB1"/>
    <w:rsid w:val="4BAE6DB1"/>
    <w:rsid w:val="4BB07458"/>
    <w:rsid w:val="4BB1A3FB"/>
    <w:rsid w:val="4BBF58FE"/>
    <w:rsid w:val="4BC183E0"/>
    <w:rsid w:val="4BC6B8C7"/>
    <w:rsid w:val="4BCA6E48"/>
    <w:rsid w:val="4BCAAFD4"/>
    <w:rsid w:val="4BCF1199"/>
    <w:rsid w:val="4BCFB161"/>
    <w:rsid w:val="4BD0C894"/>
    <w:rsid w:val="4BD70F64"/>
    <w:rsid w:val="4BDB440C"/>
    <w:rsid w:val="4BDC04AD"/>
    <w:rsid w:val="4BE2DAA7"/>
    <w:rsid w:val="4BE3C054"/>
    <w:rsid w:val="4BE524A0"/>
    <w:rsid w:val="4BE7328B"/>
    <w:rsid w:val="4BE976B6"/>
    <w:rsid w:val="4BEAE554"/>
    <w:rsid w:val="4BF2151D"/>
    <w:rsid w:val="4BF33179"/>
    <w:rsid w:val="4BF45D3A"/>
    <w:rsid w:val="4BF76781"/>
    <w:rsid w:val="4BF7A426"/>
    <w:rsid w:val="4BFACADF"/>
    <w:rsid w:val="4BFBD82C"/>
    <w:rsid w:val="4BFFC4E2"/>
    <w:rsid w:val="4C056019"/>
    <w:rsid w:val="4C111FE3"/>
    <w:rsid w:val="4C122094"/>
    <w:rsid w:val="4C1A4652"/>
    <w:rsid w:val="4C210ECA"/>
    <w:rsid w:val="4C217926"/>
    <w:rsid w:val="4C281673"/>
    <w:rsid w:val="4C2E38BC"/>
    <w:rsid w:val="4C2E7A83"/>
    <w:rsid w:val="4C39251E"/>
    <w:rsid w:val="4C3942DE"/>
    <w:rsid w:val="4C3D87F1"/>
    <w:rsid w:val="4C3D9F7F"/>
    <w:rsid w:val="4C3F2719"/>
    <w:rsid w:val="4C46128B"/>
    <w:rsid w:val="4C4738B9"/>
    <w:rsid w:val="4C48502B"/>
    <w:rsid w:val="4C4A6889"/>
    <w:rsid w:val="4C4BD7CC"/>
    <w:rsid w:val="4C577B31"/>
    <w:rsid w:val="4C581F8A"/>
    <w:rsid w:val="4C5BC457"/>
    <w:rsid w:val="4C643D5A"/>
    <w:rsid w:val="4C676217"/>
    <w:rsid w:val="4C67EF2F"/>
    <w:rsid w:val="4C6FE003"/>
    <w:rsid w:val="4C71D811"/>
    <w:rsid w:val="4C7353AB"/>
    <w:rsid w:val="4C7E94F3"/>
    <w:rsid w:val="4C801631"/>
    <w:rsid w:val="4C8EC956"/>
    <w:rsid w:val="4C909D56"/>
    <w:rsid w:val="4C92ACC6"/>
    <w:rsid w:val="4C936C31"/>
    <w:rsid w:val="4CA08BF8"/>
    <w:rsid w:val="4CA1D2D6"/>
    <w:rsid w:val="4CA237CB"/>
    <w:rsid w:val="4CA23B23"/>
    <w:rsid w:val="4CA46A56"/>
    <w:rsid w:val="4CA888CF"/>
    <w:rsid w:val="4CB4208F"/>
    <w:rsid w:val="4CB9B3ED"/>
    <w:rsid w:val="4CBFA3E9"/>
    <w:rsid w:val="4CC53E6A"/>
    <w:rsid w:val="4CCDDD48"/>
    <w:rsid w:val="4CCFE2E1"/>
    <w:rsid w:val="4CDDDBA5"/>
    <w:rsid w:val="4CE2B526"/>
    <w:rsid w:val="4CE5E9E3"/>
    <w:rsid w:val="4CE969A3"/>
    <w:rsid w:val="4CEB2F17"/>
    <w:rsid w:val="4CEC3340"/>
    <w:rsid w:val="4CF0B718"/>
    <w:rsid w:val="4CF51539"/>
    <w:rsid w:val="4CF8B0A6"/>
    <w:rsid w:val="4CFC8D7F"/>
    <w:rsid w:val="4CFD6B0F"/>
    <w:rsid w:val="4D06F300"/>
    <w:rsid w:val="4D124BAF"/>
    <w:rsid w:val="4D141525"/>
    <w:rsid w:val="4D1AC63A"/>
    <w:rsid w:val="4D20E1D9"/>
    <w:rsid w:val="4D2195F9"/>
    <w:rsid w:val="4D279C49"/>
    <w:rsid w:val="4D29EB38"/>
    <w:rsid w:val="4D2F49A1"/>
    <w:rsid w:val="4D32D63C"/>
    <w:rsid w:val="4D33621C"/>
    <w:rsid w:val="4D36972A"/>
    <w:rsid w:val="4D3770C4"/>
    <w:rsid w:val="4D37A88C"/>
    <w:rsid w:val="4D3D5147"/>
    <w:rsid w:val="4D413932"/>
    <w:rsid w:val="4D43B5A4"/>
    <w:rsid w:val="4D45F682"/>
    <w:rsid w:val="4D48E39B"/>
    <w:rsid w:val="4D4B3E38"/>
    <w:rsid w:val="4D4EA1D9"/>
    <w:rsid w:val="4D4EED84"/>
    <w:rsid w:val="4D4F2C5B"/>
    <w:rsid w:val="4D53863A"/>
    <w:rsid w:val="4D58344F"/>
    <w:rsid w:val="4D5B2FA0"/>
    <w:rsid w:val="4D61EB55"/>
    <w:rsid w:val="4D673140"/>
    <w:rsid w:val="4D6BBB3B"/>
    <w:rsid w:val="4D7064F6"/>
    <w:rsid w:val="4D709B15"/>
    <w:rsid w:val="4D72E17F"/>
    <w:rsid w:val="4D74D6F9"/>
    <w:rsid w:val="4D799434"/>
    <w:rsid w:val="4D7B736D"/>
    <w:rsid w:val="4D7E5490"/>
    <w:rsid w:val="4D7F8E17"/>
    <w:rsid w:val="4D81AB7B"/>
    <w:rsid w:val="4D87A14A"/>
    <w:rsid w:val="4D8AAAAA"/>
    <w:rsid w:val="4D8EB2E5"/>
    <w:rsid w:val="4D91BE10"/>
    <w:rsid w:val="4D94277E"/>
    <w:rsid w:val="4D95885F"/>
    <w:rsid w:val="4D9D3672"/>
    <w:rsid w:val="4DA19253"/>
    <w:rsid w:val="4DA3468A"/>
    <w:rsid w:val="4DA48419"/>
    <w:rsid w:val="4DA6BC19"/>
    <w:rsid w:val="4DA93296"/>
    <w:rsid w:val="4DA99631"/>
    <w:rsid w:val="4DAB70FB"/>
    <w:rsid w:val="4DB18595"/>
    <w:rsid w:val="4DB3DFFD"/>
    <w:rsid w:val="4DB46C11"/>
    <w:rsid w:val="4DB4C285"/>
    <w:rsid w:val="4DB65CAD"/>
    <w:rsid w:val="4DB6CDB9"/>
    <w:rsid w:val="4DB92F6F"/>
    <w:rsid w:val="4DBAF9C0"/>
    <w:rsid w:val="4DC076AA"/>
    <w:rsid w:val="4DC25310"/>
    <w:rsid w:val="4DC5722C"/>
    <w:rsid w:val="4DC66EE6"/>
    <w:rsid w:val="4DCADD2E"/>
    <w:rsid w:val="4DCDA164"/>
    <w:rsid w:val="4DD12BD4"/>
    <w:rsid w:val="4DD38052"/>
    <w:rsid w:val="4DE224B3"/>
    <w:rsid w:val="4DE2B26A"/>
    <w:rsid w:val="4DEEBA7F"/>
    <w:rsid w:val="4DF9CDAF"/>
    <w:rsid w:val="4DFA54CB"/>
    <w:rsid w:val="4DFDD0E1"/>
    <w:rsid w:val="4DFE6E75"/>
    <w:rsid w:val="4E05FD87"/>
    <w:rsid w:val="4E122254"/>
    <w:rsid w:val="4E18E88F"/>
    <w:rsid w:val="4E1A3A5F"/>
    <w:rsid w:val="4E2652AD"/>
    <w:rsid w:val="4E26DAB5"/>
    <w:rsid w:val="4E2796B9"/>
    <w:rsid w:val="4E2864C3"/>
    <w:rsid w:val="4E297A4F"/>
    <w:rsid w:val="4E2D85BC"/>
    <w:rsid w:val="4E30537F"/>
    <w:rsid w:val="4E317CED"/>
    <w:rsid w:val="4E364B3C"/>
    <w:rsid w:val="4E3B42B4"/>
    <w:rsid w:val="4E3C568D"/>
    <w:rsid w:val="4E3E60E1"/>
    <w:rsid w:val="4E424ACA"/>
    <w:rsid w:val="4E425850"/>
    <w:rsid w:val="4E46BC50"/>
    <w:rsid w:val="4E477093"/>
    <w:rsid w:val="4E478DAA"/>
    <w:rsid w:val="4E4BADE3"/>
    <w:rsid w:val="4E5538D3"/>
    <w:rsid w:val="4E5AB694"/>
    <w:rsid w:val="4E5AB96B"/>
    <w:rsid w:val="4E639384"/>
    <w:rsid w:val="4E6684C2"/>
    <w:rsid w:val="4E6BB32D"/>
    <w:rsid w:val="4E6C27BD"/>
    <w:rsid w:val="4E718269"/>
    <w:rsid w:val="4E73581B"/>
    <w:rsid w:val="4E758560"/>
    <w:rsid w:val="4E75E660"/>
    <w:rsid w:val="4E763D75"/>
    <w:rsid w:val="4E80BB1A"/>
    <w:rsid w:val="4E88AAB9"/>
    <w:rsid w:val="4E892220"/>
    <w:rsid w:val="4E90ABD2"/>
    <w:rsid w:val="4E942914"/>
    <w:rsid w:val="4E94F6DA"/>
    <w:rsid w:val="4E98EE2A"/>
    <w:rsid w:val="4E9B6638"/>
    <w:rsid w:val="4EA44AC6"/>
    <w:rsid w:val="4EA62AC2"/>
    <w:rsid w:val="4EA7A941"/>
    <w:rsid w:val="4EA8BAEE"/>
    <w:rsid w:val="4EAB85F8"/>
    <w:rsid w:val="4EB1A582"/>
    <w:rsid w:val="4EB6D0F7"/>
    <w:rsid w:val="4EB9CE42"/>
    <w:rsid w:val="4EBB80EB"/>
    <w:rsid w:val="4EBE3D3D"/>
    <w:rsid w:val="4EC11EF2"/>
    <w:rsid w:val="4EC15124"/>
    <w:rsid w:val="4EC84407"/>
    <w:rsid w:val="4ECC8E31"/>
    <w:rsid w:val="4ED28C17"/>
    <w:rsid w:val="4ED62164"/>
    <w:rsid w:val="4ED954BC"/>
    <w:rsid w:val="4ED9B17C"/>
    <w:rsid w:val="4EDA2BA1"/>
    <w:rsid w:val="4EDB6AEA"/>
    <w:rsid w:val="4EDD3BEC"/>
    <w:rsid w:val="4EDF51BE"/>
    <w:rsid w:val="4EE5ADBD"/>
    <w:rsid w:val="4EECA867"/>
    <w:rsid w:val="4EEF133A"/>
    <w:rsid w:val="4EF25F67"/>
    <w:rsid w:val="4EF29153"/>
    <w:rsid w:val="4EF2CFA3"/>
    <w:rsid w:val="4EF8BF88"/>
    <w:rsid w:val="4EFA75E7"/>
    <w:rsid w:val="4F09447B"/>
    <w:rsid w:val="4F0BAA06"/>
    <w:rsid w:val="4F0EBE70"/>
    <w:rsid w:val="4F10840C"/>
    <w:rsid w:val="4F1324A0"/>
    <w:rsid w:val="4F13D65C"/>
    <w:rsid w:val="4F143D2D"/>
    <w:rsid w:val="4F14DEF6"/>
    <w:rsid w:val="4F15C54F"/>
    <w:rsid w:val="4F172826"/>
    <w:rsid w:val="4F1CA87D"/>
    <w:rsid w:val="4F1D1C78"/>
    <w:rsid w:val="4F1F3DA2"/>
    <w:rsid w:val="4F2032E4"/>
    <w:rsid w:val="4F22FCAA"/>
    <w:rsid w:val="4F263C10"/>
    <w:rsid w:val="4F276AD6"/>
    <w:rsid w:val="4F284D6D"/>
    <w:rsid w:val="4F290D22"/>
    <w:rsid w:val="4F2CDBD1"/>
    <w:rsid w:val="4F2E2099"/>
    <w:rsid w:val="4F2F0B88"/>
    <w:rsid w:val="4F2F2D59"/>
    <w:rsid w:val="4F31FA2E"/>
    <w:rsid w:val="4F33A9C8"/>
    <w:rsid w:val="4F3C2E4D"/>
    <w:rsid w:val="4F419855"/>
    <w:rsid w:val="4F484B98"/>
    <w:rsid w:val="4F4922A2"/>
    <w:rsid w:val="4F4FC1E3"/>
    <w:rsid w:val="4F5303AC"/>
    <w:rsid w:val="4F562694"/>
    <w:rsid w:val="4F56A7BA"/>
    <w:rsid w:val="4F576651"/>
    <w:rsid w:val="4F5AE9B9"/>
    <w:rsid w:val="4F5DE133"/>
    <w:rsid w:val="4F63EED3"/>
    <w:rsid w:val="4F6CAAA0"/>
    <w:rsid w:val="4F7019C1"/>
    <w:rsid w:val="4F73CF7D"/>
    <w:rsid w:val="4F7C4C36"/>
    <w:rsid w:val="4F7E5CAD"/>
    <w:rsid w:val="4F85076D"/>
    <w:rsid w:val="4F9544E1"/>
    <w:rsid w:val="4F959243"/>
    <w:rsid w:val="4F99F751"/>
    <w:rsid w:val="4FA3A96C"/>
    <w:rsid w:val="4FA67099"/>
    <w:rsid w:val="4FA9B47C"/>
    <w:rsid w:val="4FAA6A37"/>
    <w:rsid w:val="4FAB4A09"/>
    <w:rsid w:val="4FB16293"/>
    <w:rsid w:val="4FB64EAF"/>
    <w:rsid w:val="4FBCD04B"/>
    <w:rsid w:val="4FBE5C60"/>
    <w:rsid w:val="4FBF1F73"/>
    <w:rsid w:val="4FC3246F"/>
    <w:rsid w:val="4FC92EB3"/>
    <w:rsid w:val="4FCB3B75"/>
    <w:rsid w:val="4FCCCB1F"/>
    <w:rsid w:val="4FD0C7DD"/>
    <w:rsid w:val="4FD2EF62"/>
    <w:rsid w:val="4FD35BB3"/>
    <w:rsid w:val="4FD7CBAA"/>
    <w:rsid w:val="4FDBADDE"/>
    <w:rsid w:val="4FDBFB3A"/>
    <w:rsid w:val="4FDD48A8"/>
    <w:rsid w:val="4FDEDC82"/>
    <w:rsid w:val="4FE05370"/>
    <w:rsid w:val="4FE152F3"/>
    <w:rsid w:val="4FE16AFA"/>
    <w:rsid w:val="4FE3ED07"/>
    <w:rsid w:val="4FE57EDB"/>
    <w:rsid w:val="4FE654CF"/>
    <w:rsid w:val="4FE70F46"/>
    <w:rsid w:val="4FEAFA72"/>
    <w:rsid w:val="4FF1FC0A"/>
    <w:rsid w:val="4FFA5C30"/>
    <w:rsid w:val="5000B5C5"/>
    <w:rsid w:val="5007692B"/>
    <w:rsid w:val="5009FD0A"/>
    <w:rsid w:val="500A8F90"/>
    <w:rsid w:val="50136B01"/>
    <w:rsid w:val="5014BF8E"/>
    <w:rsid w:val="50155A57"/>
    <w:rsid w:val="5017CF91"/>
    <w:rsid w:val="50205B50"/>
    <w:rsid w:val="5020F9BE"/>
    <w:rsid w:val="5029FDB1"/>
    <w:rsid w:val="502CE8B1"/>
    <w:rsid w:val="502CF5AA"/>
    <w:rsid w:val="502EC204"/>
    <w:rsid w:val="502F0C3F"/>
    <w:rsid w:val="503704AE"/>
    <w:rsid w:val="503ACAAE"/>
    <w:rsid w:val="504E6373"/>
    <w:rsid w:val="50533347"/>
    <w:rsid w:val="50545C88"/>
    <w:rsid w:val="50570842"/>
    <w:rsid w:val="505BECD2"/>
    <w:rsid w:val="505F05C9"/>
    <w:rsid w:val="505F67DB"/>
    <w:rsid w:val="5062441A"/>
    <w:rsid w:val="50672DF1"/>
    <w:rsid w:val="506DB1EE"/>
    <w:rsid w:val="506EDEE7"/>
    <w:rsid w:val="50704A37"/>
    <w:rsid w:val="50730644"/>
    <w:rsid w:val="5078B49F"/>
    <w:rsid w:val="507B23AB"/>
    <w:rsid w:val="507BA012"/>
    <w:rsid w:val="5083B61B"/>
    <w:rsid w:val="508636E4"/>
    <w:rsid w:val="508829E2"/>
    <w:rsid w:val="508CDF8F"/>
    <w:rsid w:val="50909BF9"/>
    <w:rsid w:val="5092871F"/>
    <w:rsid w:val="5092AAF0"/>
    <w:rsid w:val="50967B0C"/>
    <w:rsid w:val="509D7D3D"/>
    <w:rsid w:val="50A230EB"/>
    <w:rsid w:val="50A307FC"/>
    <w:rsid w:val="50A57C3F"/>
    <w:rsid w:val="50A845CD"/>
    <w:rsid w:val="50ACFB0A"/>
    <w:rsid w:val="50B3093C"/>
    <w:rsid w:val="50B32D35"/>
    <w:rsid w:val="50B625F2"/>
    <w:rsid w:val="50BC5EEC"/>
    <w:rsid w:val="50C4B36E"/>
    <w:rsid w:val="50C53E66"/>
    <w:rsid w:val="50C98A2A"/>
    <w:rsid w:val="50CC7B92"/>
    <w:rsid w:val="50CD326E"/>
    <w:rsid w:val="50CFD2E7"/>
    <w:rsid w:val="50D0EC7E"/>
    <w:rsid w:val="50D73C45"/>
    <w:rsid w:val="50D85FA9"/>
    <w:rsid w:val="50DA2E03"/>
    <w:rsid w:val="50DFB062"/>
    <w:rsid w:val="50E943FB"/>
    <w:rsid w:val="50E9940E"/>
    <w:rsid w:val="50EA3ADD"/>
    <w:rsid w:val="50EC115B"/>
    <w:rsid w:val="50EFD82F"/>
    <w:rsid w:val="50F061AF"/>
    <w:rsid w:val="50F3CEC7"/>
    <w:rsid w:val="50F8C486"/>
    <w:rsid w:val="51014085"/>
    <w:rsid w:val="51038BC8"/>
    <w:rsid w:val="51051CA9"/>
    <w:rsid w:val="510637CD"/>
    <w:rsid w:val="5107995C"/>
    <w:rsid w:val="510F71BB"/>
    <w:rsid w:val="5111A955"/>
    <w:rsid w:val="51150934"/>
    <w:rsid w:val="51153152"/>
    <w:rsid w:val="51161B91"/>
    <w:rsid w:val="5116419A"/>
    <w:rsid w:val="511785E3"/>
    <w:rsid w:val="511C9EB1"/>
    <w:rsid w:val="511CCEF3"/>
    <w:rsid w:val="511D604D"/>
    <w:rsid w:val="511E62B4"/>
    <w:rsid w:val="5129ACEE"/>
    <w:rsid w:val="512D83D7"/>
    <w:rsid w:val="512DC65A"/>
    <w:rsid w:val="512F0C05"/>
    <w:rsid w:val="51305415"/>
    <w:rsid w:val="5132268B"/>
    <w:rsid w:val="5134DDD8"/>
    <w:rsid w:val="513614F1"/>
    <w:rsid w:val="5139EFAC"/>
    <w:rsid w:val="513F677C"/>
    <w:rsid w:val="5147756C"/>
    <w:rsid w:val="51485496"/>
    <w:rsid w:val="514B16E7"/>
    <w:rsid w:val="514B1E2F"/>
    <w:rsid w:val="514B1EEE"/>
    <w:rsid w:val="514C5891"/>
    <w:rsid w:val="515790D6"/>
    <w:rsid w:val="5159A685"/>
    <w:rsid w:val="515E2842"/>
    <w:rsid w:val="516240B1"/>
    <w:rsid w:val="516654F0"/>
    <w:rsid w:val="5168643E"/>
    <w:rsid w:val="51691DAF"/>
    <w:rsid w:val="516BFC67"/>
    <w:rsid w:val="516C5666"/>
    <w:rsid w:val="516E30D3"/>
    <w:rsid w:val="51723831"/>
    <w:rsid w:val="5172FCA7"/>
    <w:rsid w:val="51732460"/>
    <w:rsid w:val="5173A6FC"/>
    <w:rsid w:val="5176C941"/>
    <w:rsid w:val="517745DB"/>
    <w:rsid w:val="517F25C6"/>
    <w:rsid w:val="51819CF3"/>
    <w:rsid w:val="51843C0D"/>
    <w:rsid w:val="518507D8"/>
    <w:rsid w:val="51884250"/>
    <w:rsid w:val="518E4B0D"/>
    <w:rsid w:val="51908EDC"/>
    <w:rsid w:val="519653ED"/>
    <w:rsid w:val="519B0B8F"/>
    <w:rsid w:val="519B59A3"/>
    <w:rsid w:val="519D5BA4"/>
    <w:rsid w:val="51A0F6C3"/>
    <w:rsid w:val="51A2C0D4"/>
    <w:rsid w:val="51A5858B"/>
    <w:rsid w:val="51A65B78"/>
    <w:rsid w:val="51AA6C2A"/>
    <w:rsid w:val="51B0830B"/>
    <w:rsid w:val="51B18EA5"/>
    <w:rsid w:val="51B3C166"/>
    <w:rsid w:val="51B84C11"/>
    <w:rsid w:val="51BDBD24"/>
    <w:rsid w:val="51C2D91F"/>
    <w:rsid w:val="51C7942A"/>
    <w:rsid w:val="51CB8605"/>
    <w:rsid w:val="51CD22E9"/>
    <w:rsid w:val="51CF1F2C"/>
    <w:rsid w:val="51CFC776"/>
    <w:rsid w:val="51D6441F"/>
    <w:rsid w:val="51DBDB76"/>
    <w:rsid w:val="51DF8134"/>
    <w:rsid w:val="51E0AA8E"/>
    <w:rsid w:val="51E0E427"/>
    <w:rsid w:val="51E11F1D"/>
    <w:rsid w:val="51EA24ED"/>
    <w:rsid w:val="51EE6AE8"/>
    <w:rsid w:val="51EF119C"/>
    <w:rsid w:val="51EF5841"/>
    <w:rsid w:val="51F1E21F"/>
    <w:rsid w:val="51F68A01"/>
    <w:rsid w:val="51FA41B2"/>
    <w:rsid w:val="51FD25C8"/>
    <w:rsid w:val="51FDB216"/>
    <w:rsid w:val="52046A24"/>
    <w:rsid w:val="520C1094"/>
    <w:rsid w:val="520F4365"/>
    <w:rsid w:val="52132718"/>
    <w:rsid w:val="52159E21"/>
    <w:rsid w:val="5215DE86"/>
    <w:rsid w:val="521AF135"/>
    <w:rsid w:val="52206532"/>
    <w:rsid w:val="52236830"/>
    <w:rsid w:val="52290066"/>
    <w:rsid w:val="52320AEF"/>
    <w:rsid w:val="52349729"/>
    <w:rsid w:val="5234C173"/>
    <w:rsid w:val="52393A53"/>
    <w:rsid w:val="523CC976"/>
    <w:rsid w:val="523FD9FE"/>
    <w:rsid w:val="5245DC00"/>
    <w:rsid w:val="5248C16F"/>
    <w:rsid w:val="524C049F"/>
    <w:rsid w:val="525385CD"/>
    <w:rsid w:val="525446CD"/>
    <w:rsid w:val="52558614"/>
    <w:rsid w:val="525A38E6"/>
    <w:rsid w:val="525FAFAA"/>
    <w:rsid w:val="5260FCC8"/>
    <w:rsid w:val="5261FF5D"/>
    <w:rsid w:val="52640C95"/>
    <w:rsid w:val="5267358C"/>
    <w:rsid w:val="5267D660"/>
    <w:rsid w:val="526BF024"/>
    <w:rsid w:val="526D395C"/>
    <w:rsid w:val="526EB396"/>
    <w:rsid w:val="526F9F2D"/>
    <w:rsid w:val="52701986"/>
    <w:rsid w:val="52719F13"/>
    <w:rsid w:val="527C7505"/>
    <w:rsid w:val="527D95A7"/>
    <w:rsid w:val="527DB5AA"/>
    <w:rsid w:val="52829CC9"/>
    <w:rsid w:val="528441AE"/>
    <w:rsid w:val="52857300"/>
    <w:rsid w:val="528833DC"/>
    <w:rsid w:val="528EA880"/>
    <w:rsid w:val="5294CF29"/>
    <w:rsid w:val="529610DA"/>
    <w:rsid w:val="529A76D2"/>
    <w:rsid w:val="529B7EA6"/>
    <w:rsid w:val="529BFD8E"/>
    <w:rsid w:val="529FAA4C"/>
    <w:rsid w:val="52A19378"/>
    <w:rsid w:val="52AD7F95"/>
    <w:rsid w:val="52B89B50"/>
    <w:rsid w:val="52B8BB20"/>
    <w:rsid w:val="52BC7149"/>
    <w:rsid w:val="52C27809"/>
    <w:rsid w:val="52C7B368"/>
    <w:rsid w:val="52C8B8A6"/>
    <w:rsid w:val="52CE0A9A"/>
    <w:rsid w:val="52D07613"/>
    <w:rsid w:val="52D0D3A3"/>
    <w:rsid w:val="52D27E3E"/>
    <w:rsid w:val="52D37D4A"/>
    <w:rsid w:val="52D3C3B0"/>
    <w:rsid w:val="52D6C224"/>
    <w:rsid w:val="52D9E70A"/>
    <w:rsid w:val="52E4F0DB"/>
    <w:rsid w:val="52E8F29F"/>
    <w:rsid w:val="52EB656C"/>
    <w:rsid w:val="52EB73B1"/>
    <w:rsid w:val="52F75AA2"/>
    <w:rsid w:val="52F82885"/>
    <w:rsid w:val="52FB938A"/>
    <w:rsid w:val="52FC0EB9"/>
    <w:rsid w:val="52FC3483"/>
    <w:rsid w:val="52FF9F4E"/>
    <w:rsid w:val="530832AB"/>
    <w:rsid w:val="530E17D0"/>
    <w:rsid w:val="530EFA3D"/>
    <w:rsid w:val="5321B87E"/>
    <w:rsid w:val="5322C0BD"/>
    <w:rsid w:val="5322E1A3"/>
    <w:rsid w:val="53267E0D"/>
    <w:rsid w:val="532D0335"/>
    <w:rsid w:val="532D372F"/>
    <w:rsid w:val="532DDE3C"/>
    <w:rsid w:val="53383EC0"/>
    <w:rsid w:val="533A8F2D"/>
    <w:rsid w:val="533B83CB"/>
    <w:rsid w:val="533CBF9D"/>
    <w:rsid w:val="53411B97"/>
    <w:rsid w:val="53460C7E"/>
    <w:rsid w:val="534E00AC"/>
    <w:rsid w:val="53513A28"/>
    <w:rsid w:val="5351C031"/>
    <w:rsid w:val="5355DF58"/>
    <w:rsid w:val="535E4BCB"/>
    <w:rsid w:val="535F7271"/>
    <w:rsid w:val="535F8F13"/>
    <w:rsid w:val="5363E493"/>
    <w:rsid w:val="53650622"/>
    <w:rsid w:val="53663458"/>
    <w:rsid w:val="536D9627"/>
    <w:rsid w:val="536F33CC"/>
    <w:rsid w:val="53724FC3"/>
    <w:rsid w:val="5372851C"/>
    <w:rsid w:val="5372CFD7"/>
    <w:rsid w:val="5373EF51"/>
    <w:rsid w:val="5384BAB4"/>
    <w:rsid w:val="5388B2C9"/>
    <w:rsid w:val="538BD6B6"/>
    <w:rsid w:val="539111BF"/>
    <w:rsid w:val="53919AF2"/>
    <w:rsid w:val="539408EA"/>
    <w:rsid w:val="53943D8E"/>
    <w:rsid w:val="53A3067C"/>
    <w:rsid w:val="53A571A9"/>
    <w:rsid w:val="53A62A17"/>
    <w:rsid w:val="53AF0F2A"/>
    <w:rsid w:val="53B18E64"/>
    <w:rsid w:val="53B75405"/>
    <w:rsid w:val="53C1E793"/>
    <w:rsid w:val="53C43B00"/>
    <w:rsid w:val="53C6AE0E"/>
    <w:rsid w:val="53C7186D"/>
    <w:rsid w:val="53CA98FF"/>
    <w:rsid w:val="53CB2BF7"/>
    <w:rsid w:val="53CCEF75"/>
    <w:rsid w:val="53CD0CEA"/>
    <w:rsid w:val="53D335C4"/>
    <w:rsid w:val="53D53460"/>
    <w:rsid w:val="53D70C27"/>
    <w:rsid w:val="53D7A1C6"/>
    <w:rsid w:val="53DBA1E0"/>
    <w:rsid w:val="53E29E4C"/>
    <w:rsid w:val="53EAB60C"/>
    <w:rsid w:val="53FB721F"/>
    <w:rsid w:val="53FBBB6F"/>
    <w:rsid w:val="53FD234D"/>
    <w:rsid w:val="5401326E"/>
    <w:rsid w:val="54027152"/>
    <w:rsid w:val="54035850"/>
    <w:rsid w:val="5407FBD3"/>
    <w:rsid w:val="54081843"/>
    <w:rsid w:val="540F8267"/>
    <w:rsid w:val="54197AA0"/>
    <w:rsid w:val="54204933"/>
    <w:rsid w:val="542295E6"/>
    <w:rsid w:val="54255F79"/>
    <w:rsid w:val="5427448B"/>
    <w:rsid w:val="54335E34"/>
    <w:rsid w:val="54379806"/>
    <w:rsid w:val="54396168"/>
    <w:rsid w:val="5441D168"/>
    <w:rsid w:val="544AEA76"/>
    <w:rsid w:val="544D8C90"/>
    <w:rsid w:val="544ED815"/>
    <w:rsid w:val="545623B5"/>
    <w:rsid w:val="545B731F"/>
    <w:rsid w:val="5462EAA6"/>
    <w:rsid w:val="54644F13"/>
    <w:rsid w:val="54656A82"/>
    <w:rsid w:val="546D9B07"/>
    <w:rsid w:val="546EB20D"/>
    <w:rsid w:val="54715281"/>
    <w:rsid w:val="547356AA"/>
    <w:rsid w:val="5477DBE9"/>
    <w:rsid w:val="5478F9AF"/>
    <w:rsid w:val="547B9DAB"/>
    <w:rsid w:val="547ECE9A"/>
    <w:rsid w:val="54854E78"/>
    <w:rsid w:val="5491B351"/>
    <w:rsid w:val="5492EEAC"/>
    <w:rsid w:val="5498D33D"/>
    <w:rsid w:val="549D80A3"/>
    <w:rsid w:val="549FA784"/>
    <w:rsid w:val="54A16524"/>
    <w:rsid w:val="54A1DF89"/>
    <w:rsid w:val="54ADCD44"/>
    <w:rsid w:val="54B0DAE6"/>
    <w:rsid w:val="54BD6280"/>
    <w:rsid w:val="54C4DD82"/>
    <w:rsid w:val="54C58ED2"/>
    <w:rsid w:val="54C61D5E"/>
    <w:rsid w:val="54C83980"/>
    <w:rsid w:val="54C86C14"/>
    <w:rsid w:val="54C8BEA0"/>
    <w:rsid w:val="54CE06AE"/>
    <w:rsid w:val="54D7D1A2"/>
    <w:rsid w:val="54D930FF"/>
    <w:rsid w:val="54DCA9F7"/>
    <w:rsid w:val="54DFA548"/>
    <w:rsid w:val="54E3698B"/>
    <w:rsid w:val="54E62E03"/>
    <w:rsid w:val="54E86845"/>
    <w:rsid w:val="54EC4585"/>
    <w:rsid w:val="54EDC8E6"/>
    <w:rsid w:val="54F2AA4F"/>
    <w:rsid w:val="54F58A26"/>
    <w:rsid w:val="54F7B967"/>
    <w:rsid w:val="54FDBA2B"/>
    <w:rsid w:val="550C1CF2"/>
    <w:rsid w:val="550EA7A6"/>
    <w:rsid w:val="550F774E"/>
    <w:rsid w:val="551912AD"/>
    <w:rsid w:val="5524461A"/>
    <w:rsid w:val="55271037"/>
    <w:rsid w:val="552A6637"/>
    <w:rsid w:val="552B0F8B"/>
    <w:rsid w:val="55305EFD"/>
    <w:rsid w:val="5531E75D"/>
    <w:rsid w:val="55331C12"/>
    <w:rsid w:val="55348414"/>
    <w:rsid w:val="5534C910"/>
    <w:rsid w:val="553C7AAD"/>
    <w:rsid w:val="553C9735"/>
    <w:rsid w:val="553FF92F"/>
    <w:rsid w:val="554601F3"/>
    <w:rsid w:val="55464F97"/>
    <w:rsid w:val="554B7445"/>
    <w:rsid w:val="554C408C"/>
    <w:rsid w:val="554E794F"/>
    <w:rsid w:val="5550D03D"/>
    <w:rsid w:val="5552A21E"/>
    <w:rsid w:val="55578155"/>
    <w:rsid w:val="555F52A9"/>
    <w:rsid w:val="5561578F"/>
    <w:rsid w:val="55651FD3"/>
    <w:rsid w:val="5572619D"/>
    <w:rsid w:val="557317E2"/>
    <w:rsid w:val="55790284"/>
    <w:rsid w:val="557AC099"/>
    <w:rsid w:val="558EBF73"/>
    <w:rsid w:val="5596C590"/>
    <w:rsid w:val="559BA26D"/>
    <w:rsid w:val="55A8433F"/>
    <w:rsid w:val="55B01125"/>
    <w:rsid w:val="55B0B9D9"/>
    <w:rsid w:val="55B4FB25"/>
    <w:rsid w:val="55C7A0C0"/>
    <w:rsid w:val="55D2EB0D"/>
    <w:rsid w:val="55D59B32"/>
    <w:rsid w:val="55D702C8"/>
    <w:rsid w:val="55E2EA57"/>
    <w:rsid w:val="55E47E54"/>
    <w:rsid w:val="55E8E347"/>
    <w:rsid w:val="55EACB8E"/>
    <w:rsid w:val="55EE3BBC"/>
    <w:rsid w:val="55EEDDDF"/>
    <w:rsid w:val="55F30D9D"/>
    <w:rsid w:val="55F420B5"/>
    <w:rsid w:val="55F63B54"/>
    <w:rsid w:val="55F714FE"/>
    <w:rsid w:val="55FA1888"/>
    <w:rsid w:val="56001EA9"/>
    <w:rsid w:val="560036D9"/>
    <w:rsid w:val="5601120B"/>
    <w:rsid w:val="56028FE2"/>
    <w:rsid w:val="5604393E"/>
    <w:rsid w:val="56069F78"/>
    <w:rsid w:val="5609B9D3"/>
    <w:rsid w:val="560AE22D"/>
    <w:rsid w:val="560AFD43"/>
    <w:rsid w:val="5610A5D6"/>
    <w:rsid w:val="5610DD96"/>
    <w:rsid w:val="561143EB"/>
    <w:rsid w:val="56133DA2"/>
    <w:rsid w:val="5619C699"/>
    <w:rsid w:val="561FC2F6"/>
    <w:rsid w:val="5622B7B5"/>
    <w:rsid w:val="56240AF8"/>
    <w:rsid w:val="5626664C"/>
    <w:rsid w:val="56269ECC"/>
    <w:rsid w:val="5628DB04"/>
    <w:rsid w:val="5629097B"/>
    <w:rsid w:val="562A46E8"/>
    <w:rsid w:val="562D7023"/>
    <w:rsid w:val="562F1E45"/>
    <w:rsid w:val="562F73C1"/>
    <w:rsid w:val="5633409C"/>
    <w:rsid w:val="563382C1"/>
    <w:rsid w:val="5636BEDF"/>
    <w:rsid w:val="5636C1AA"/>
    <w:rsid w:val="563B84EE"/>
    <w:rsid w:val="563DF9B3"/>
    <w:rsid w:val="563E399B"/>
    <w:rsid w:val="56413E44"/>
    <w:rsid w:val="564150B0"/>
    <w:rsid w:val="56415CDF"/>
    <w:rsid w:val="5642DACD"/>
    <w:rsid w:val="56486842"/>
    <w:rsid w:val="5652C53E"/>
    <w:rsid w:val="565435AA"/>
    <w:rsid w:val="565540D0"/>
    <w:rsid w:val="56575168"/>
    <w:rsid w:val="5657B695"/>
    <w:rsid w:val="5659777B"/>
    <w:rsid w:val="565CBB4F"/>
    <w:rsid w:val="56621B78"/>
    <w:rsid w:val="56641EEE"/>
    <w:rsid w:val="56672E74"/>
    <w:rsid w:val="56672FA5"/>
    <w:rsid w:val="5667C754"/>
    <w:rsid w:val="56697732"/>
    <w:rsid w:val="566A4FED"/>
    <w:rsid w:val="566B2894"/>
    <w:rsid w:val="566BF34F"/>
    <w:rsid w:val="566C1156"/>
    <w:rsid w:val="566E7B4F"/>
    <w:rsid w:val="566EAACD"/>
    <w:rsid w:val="5672053C"/>
    <w:rsid w:val="56740EE5"/>
    <w:rsid w:val="56757F6F"/>
    <w:rsid w:val="5675F8C3"/>
    <w:rsid w:val="56764B10"/>
    <w:rsid w:val="567DBF63"/>
    <w:rsid w:val="56821D07"/>
    <w:rsid w:val="568814ED"/>
    <w:rsid w:val="56886AB3"/>
    <w:rsid w:val="56890336"/>
    <w:rsid w:val="568EC042"/>
    <w:rsid w:val="5691807C"/>
    <w:rsid w:val="56926B88"/>
    <w:rsid w:val="569286BE"/>
    <w:rsid w:val="5694A43D"/>
    <w:rsid w:val="5698F2C8"/>
    <w:rsid w:val="5698FAEF"/>
    <w:rsid w:val="569A7836"/>
    <w:rsid w:val="56A1D17E"/>
    <w:rsid w:val="56A63B77"/>
    <w:rsid w:val="56A71548"/>
    <w:rsid w:val="56A8FF99"/>
    <w:rsid w:val="56AAE6AC"/>
    <w:rsid w:val="56B2B919"/>
    <w:rsid w:val="56B38DC6"/>
    <w:rsid w:val="56B3D44D"/>
    <w:rsid w:val="56B70B3B"/>
    <w:rsid w:val="56B7E47A"/>
    <w:rsid w:val="56CC6471"/>
    <w:rsid w:val="56CD4A1E"/>
    <w:rsid w:val="56CFA7C2"/>
    <w:rsid w:val="56CFCC32"/>
    <w:rsid w:val="56D14AA7"/>
    <w:rsid w:val="56DC58D4"/>
    <w:rsid w:val="56E0F331"/>
    <w:rsid w:val="56E79C17"/>
    <w:rsid w:val="56EB12A0"/>
    <w:rsid w:val="56FF428F"/>
    <w:rsid w:val="57042B23"/>
    <w:rsid w:val="5704FFC2"/>
    <w:rsid w:val="5707726F"/>
    <w:rsid w:val="5707A3B4"/>
    <w:rsid w:val="5707B28C"/>
    <w:rsid w:val="570BB81A"/>
    <w:rsid w:val="570E1321"/>
    <w:rsid w:val="570ED279"/>
    <w:rsid w:val="5714CD82"/>
    <w:rsid w:val="571841D1"/>
    <w:rsid w:val="571A7D7E"/>
    <w:rsid w:val="5720191D"/>
    <w:rsid w:val="5723E3B6"/>
    <w:rsid w:val="5724492C"/>
    <w:rsid w:val="5729389A"/>
    <w:rsid w:val="572D671E"/>
    <w:rsid w:val="57390463"/>
    <w:rsid w:val="573AB1CE"/>
    <w:rsid w:val="573C3B95"/>
    <w:rsid w:val="573FF863"/>
    <w:rsid w:val="57412B4A"/>
    <w:rsid w:val="57428613"/>
    <w:rsid w:val="574682A2"/>
    <w:rsid w:val="574727DB"/>
    <w:rsid w:val="5747B993"/>
    <w:rsid w:val="574A1274"/>
    <w:rsid w:val="574A3E12"/>
    <w:rsid w:val="574E4DAE"/>
    <w:rsid w:val="5752A7BF"/>
    <w:rsid w:val="57577E36"/>
    <w:rsid w:val="575BD1F8"/>
    <w:rsid w:val="575DD269"/>
    <w:rsid w:val="57638B92"/>
    <w:rsid w:val="576B54A8"/>
    <w:rsid w:val="576BEF2E"/>
    <w:rsid w:val="576E50FC"/>
    <w:rsid w:val="577E9752"/>
    <w:rsid w:val="57863C0B"/>
    <w:rsid w:val="5786FA94"/>
    <w:rsid w:val="57891692"/>
    <w:rsid w:val="5790AABC"/>
    <w:rsid w:val="57975CB6"/>
    <w:rsid w:val="57985FA6"/>
    <w:rsid w:val="57A5CBBA"/>
    <w:rsid w:val="57AB6A49"/>
    <w:rsid w:val="57AE386D"/>
    <w:rsid w:val="57AF4C5E"/>
    <w:rsid w:val="57AFD0F5"/>
    <w:rsid w:val="57B53F73"/>
    <w:rsid w:val="57B83108"/>
    <w:rsid w:val="57BB5AAA"/>
    <w:rsid w:val="57BCFE47"/>
    <w:rsid w:val="57BF038E"/>
    <w:rsid w:val="57C03A4A"/>
    <w:rsid w:val="57C74176"/>
    <w:rsid w:val="57CABA1B"/>
    <w:rsid w:val="57CBDF4B"/>
    <w:rsid w:val="57CC4034"/>
    <w:rsid w:val="57D251E4"/>
    <w:rsid w:val="57D6516C"/>
    <w:rsid w:val="57E04462"/>
    <w:rsid w:val="57E17B32"/>
    <w:rsid w:val="57EDA4AD"/>
    <w:rsid w:val="57EE781D"/>
    <w:rsid w:val="57EEAAAD"/>
    <w:rsid w:val="57F49F57"/>
    <w:rsid w:val="57F89188"/>
    <w:rsid w:val="57F9192A"/>
    <w:rsid w:val="57FDBE7E"/>
    <w:rsid w:val="57FE28D2"/>
    <w:rsid w:val="5802E695"/>
    <w:rsid w:val="58038E56"/>
    <w:rsid w:val="580E30DF"/>
    <w:rsid w:val="580E69CE"/>
    <w:rsid w:val="58103C7E"/>
    <w:rsid w:val="5815375C"/>
    <w:rsid w:val="58169A9B"/>
    <w:rsid w:val="581A5BB7"/>
    <w:rsid w:val="581AC2D9"/>
    <w:rsid w:val="581E33AC"/>
    <w:rsid w:val="581F0349"/>
    <w:rsid w:val="582AFFF6"/>
    <w:rsid w:val="582D0E26"/>
    <w:rsid w:val="582EEA82"/>
    <w:rsid w:val="5834F9C7"/>
    <w:rsid w:val="58352690"/>
    <w:rsid w:val="583A1AC5"/>
    <w:rsid w:val="583DA1A0"/>
    <w:rsid w:val="5840D5EE"/>
    <w:rsid w:val="5846BBE4"/>
    <w:rsid w:val="58495CEA"/>
    <w:rsid w:val="584CC5D2"/>
    <w:rsid w:val="584D3715"/>
    <w:rsid w:val="584D7C3D"/>
    <w:rsid w:val="58514FC9"/>
    <w:rsid w:val="58525630"/>
    <w:rsid w:val="5855CA3B"/>
    <w:rsid w:val="585F22A3"/>
    <w:rsid w:val="5860DD37"/>
    <w:rsid w:val="586487C2"/>
    <w:rsid w:val="586AC2F9"/>
    <w:rsid w:val="586C932A"/>
    <w:rsid w:val="586FB9D5"/>
    <w:rsid w:val="58752F49"/>
    <w:rsid w:val="58798E24"/>
    <w:rsid w:val="587CE3B0"/>
    <w:rsid w:val="587F7FA9"/>
    <w:rsid w:val="588015CF"/>
    <w:rsid w:val="5880379E"/>
    <w:rsid w:val="5880C622"/>
    <w:rsid w:val="58811A87"/>
    <w:rsid w:val="58858E84"/>
    <w:rsid w:val="588A0414"/>
    <w:rsid w:val="588D24C5"/>
    <w:rsid w:val="588E4807"/>
    <w:rsid w:val="5891D656"/>
    <w:rsid w:val="58931F05"/>
    <w:rsid w:val="589A5EB9"/>
    <w:rsid w:val="589D483B"/>
    <w:rsid w:val="589D739B"/>
    <w:rsid w:val="589EDCE1"/>
    <w:rsid w:val="58A66C65"/>
    <w:rsid w:val="58AFFC40"/>
    <w:rsid w:val="58B09353"/>
    <w:rsid w:val="58B23435"/>
    <w:rsid w:val="58BD522B"/>
    <w:rsid w:val="58C1E20D"/>
    <w:rsid w:val="58C35098"/>
    <w:rsid w:val="58C6C3FE"/>
    <w:rsid w:val="58C96601"/>
    <w:rsid w:val="58CD51F3"/>
    <w:rsid w:val="58CF808D"/>
    <w:rsid w:val="58D69434"/>
    <w:rsid w:val="58D98669"/>
    <w:rsid w:val="58DC4853"/>
    <w:rsid w:val="58E402C3"/>
    <w:rsid w:val="58E95078"/>
    <w:rsid w:val="58EB8515"/>
    <w:rsid w:val="58ED6B85"/>
    <w:rsid w:val="58F31DC6"/>
    <w:rsid w:val="58F58827"/>
    <w:rsid w:val="58F8ECBE"/>
    <w:rsid w:val="58FBE41F"/>
    <w:rsid w:val="58FF796C"/>
    <w:rsid w:val="5900DA44"/>
    <w:rsid w:val="5901EDDB"/>
    <w:rsid w:val="59042DA4"/>
    <w:rsid w:val="59069610"/>
    <w:rsid w:val="59084BDD"/>
    <w:rsid w:val="590DA62F"/>
    <w:rsid w:val="590DD636"/>
    <w:rsid w:val="590E1B1E"/>
    <w:rsid w:val="590F7ECE"/>
    <w:rsid w:val="591090D8"/>
    <w:rsid w:val="59194E80"/>
    <w:rsid w:val="591A4A92"/>
    <w:rsid w:val="591D5BCC"/>
    <w:rsid w:val="591F999F"/>
    <w:rsid w:val="5924456C"/>
    <w:rsid w:val="59276D59"/>
    <w:rsid w:val="59303AE4"/>
    <w:rsid w:val="5930DB20"/>
    <w:rsid w:val="5935B3D5"/>
    <w:rsid w:val="5935E9E9"/>
    <w:rsid w:val="5935F818"/>
    <w:rsid w:val="5936EBC5"/>
    <w:rsid w:val="593C784F"/>
    <w:rsid w:val="59402203"/>
    <w:rsid w:val="59416FDB"/>
    <w:rsid w:val="59423A4E"/>
    <w:rsid w:val="59432B8F"/>
    <w:rsid w:val="5949F140"/>
    <w:rsid w:val="594B38B9"/>
    <w:rsid w:val="594BE951"/>
    <w:rsid w:val="594CCC37"/>
    <w:rsid w:val="594EA688"/>
    <w:rsid w:val="59532D2A"/>
    <w:rsid w:val="59542401"/>
    <w:rsid w:val="59548931"/>
    <w:rsid w:val="5956E26B"/>
    <w:rsid w:val="5957AD12"/>
    <w:rsid w:val="595C3479"/>
    <w:rsid w:val="595FA678"/>
    <w:rsid w:val="59627FDB"/>
    <w:rsid w:val="5964CE94"/>
    <w:rsid w:val="59664580"/>
    <w:rsid w:val="5969249B"/>
    <w:rsid w:val="59720905"/>
    <w:rsid w:val="59728CB5"/>
    <w:rsid w:val="597AFCC6"/>
    <w:rsid w:val="59804D18"/>
    <w:rsid w:val="598432F2"/>
    <w:rsid w:val="5984C627"/>
    <w:rsid w:val="59853879"/>
    <w:rsid w:val="5985C7C2"/>
    <w:rsid w:val="598CB608"/>
    <w:rsid w:val="598EDFF5"/>
    <w:rsid w:val="59963C59"/>
    <w:rsid w:val="5999F193"/>
    <w:rsid w:val="59A11A12"/>
    <w:rsid w:val="59A4C7CF"/>
    <w:rsid w:val="59A64A7D"/>
    <w:rsid w:val="59A831E2"/>
    <w:rsid w:val="59AA08C5"/>
    <w:rsid w:val="59AA9EC0"/>
    <w:rsid w:val="59B3CE0E"/>
    <w:rsid w:val="59BEE422"/>
    <w:rsid w:val="59C13D0B"/>
    <w:rsid w:val="59C2100F"/>
    <w:rsid w:val="59C28824"/>
    <w:rsid w:val="59C31A81"/>
    <w:rsid w:val="59C9F1EF"/>
    <w:rsid w:val="59CE97D2"/>
    <w:rsid w:val="59CED39D"/>
    <w:rsid w:val="59CF0393"/>
    <w:rsid w:val="59D40BFA"/>
    <w:rsid w:val="59D797EB"/>
    <w:rsid w:val="59D7FC06"/>
    <w:rsid w:val="59D99876"/>
    <w:rsid w:val="59DCF137"/>
    <w:rsid w:val="59E5B980"/>
    <w:rsid w:val="59E8D71B"/>
    <w:rsid w:val="59EC3A5E"/>
    <w:rsid w:val="59EE81D3"/>
    <w:rsid w:val="59F0EA90"/>
    <w:rsid w:val="59F3E430"/>
    <w:rsid w:val="59F91551"/>
    <w:rsid w:val="59FB74D4"/>
    <w:rsid w:val="59FBCEE6"/>
    <w:rsid w:val="59FE1500"/>
    <w:rsid w:val="5A02A807"/>
    <w:rsid w:val="5A07553B"/>
    <w:rsid w:val="5A0C32C1"/>
    <w:rsid w:val="5A0DD41C"/>
    <w:rsid w:val="5A1581B2"/>
    <w:rsid w:val="5A1C0888"/>
    <w:rsid w:val="5A1DCCA6"/>
    <w:rsid w:val="5A217160"/>
    <w:rsid w:val="5A24CBE3"/>
    <w:rsid w:val="5A25FAA2"/>
    <w:rsid w:val="5A28B494"/>
    <w:rsid w:val="5A2E215C"/>
    <w:rsid w:val="5A2EE7F0"/>
    <w:rsid w:val="5A2FEE69"/>
    <w:rsid w:val="5A36CE75"/>
    <w:rsid w:val="5A3A8B7B"/>
    <w:rsid w:val="5A3C7321"/>
    <w:rsid w:val="5A47748E"/>
    <w:rsid w:val="5A4BB361"/>
    <w:rsid w:val="5A527763"/>
    <w:rsid w:val="5A551816"/>
    <w:rsid w:val="5A64BED0"/>
    <w:rsid w:val="5A64D4CC"/>
    <w:rsid w:val="5A666FB7"/>
    <w:rsid w:val="5A671553"/>
    <w:rsid w:val="5A6D1E55"/>
    <w:rsid w:val="5A6D4FAC"/>
    <w:rsid w:val="5A6FD9CD"/>
    <w:rsid w:val="5A701428"/>
    <w:rsid w:val="5A722FE0"/>
    <w:rsid w:val="5A83D681"/>
    <w:rsid w:val="5A864440"/>
    <w:rsid w:val="5A89CD7D"/>
    <w:rsid w:val="5A8B5F44"/>
    <w:rsid w:val="5A8F8792"/>
    <w:rsid w:val="5A9A030F"/>
    <w:rsid w:val="5A9C2AAA"/>
    <w:rsid w:val="5A9CC540"/>
    <w:rsid w:val="5A9E5378"/>
    <w:rsid w:val="5A9F9EDB"/>
    <w:rsid w:val="5AA8A2EF"/>
    <w:rsid w:val="5AB9F45E"/>
    <w:rsid w:val="5ABB4FF9"/>
    <w:rsid w:val="5AC3DE0D"/>
    <w:rsid w:val="5AC623CC"/>
    <w:rsid w:val="5AC8FA38"/>
    <w:rsid w:val="5ACC3A3B"/>
    <w:rsid w:val="5AD28788"/>
    <w:rsid w:val="5AD2DCF2"/>
    <w:rsid w:val="5AD46134"/>
    <w:rsid w:val="5AD81D20"/>
    <w:rsid w:val="5AD86CA3"/>
    <w:rsid w:val="5AD88B91"/>
    <w:rsid w:val="5ADC7A91"/>
    <w:rsid w:val="5AE45B96"/>
    <w:rsid w:val="5AE4EABE"/>
    <w:rsid w:val="5AE650E7"/>
    <w:rsid w:val="5AEAC6B9"/>
    <w:rsid w:val="5AEDCFD1"/>
    <w:rsid w:val="5AEE4C1F"/>
    <w:rsid w:val="5AF01528"/>
    <w:rsid w:val="5AF0BD2B"/>
    <w:rsid w:val="5AF6154B"/>
    <w:rsid w:val="5B060AF3"/>
    <w:rsid w:val="5B1CC1CD"/>
    <w:rsid w:val="5B1E720D"/>
    <w:rsid w:val="5B239E07"/>
    <w:rsid w:val="5B246C8F"/>
    <w:rsid w:val="5B272C91"/>
    <w:rsid w:val="5B301E3C"/>
    <w:rsid w:val="5B3738FB"/>
    <w:rsid w:val="5B377D42"/>
    <w:rsid w:val="5B3A3F50"/>
    <w:rsid w:val="5B3DA791"/>
    <w:rsid w:val="5B421747"/>
    <w:rsid w:val="5B423B1B"/>
    <w:rsid w:val="5B48E16E"/>
    <w:rsid w:val="5B4E49E0"/>
    <w:rsid w:val="5B52BE10"/>
    <w:rsid w:val="5B535A31"/>
    <w:rsid w:val="5B574128"/>
    <w:rsid w:val="5B575E90"/>
    <w:rsid w:val="5B586C61"/>
    <w:rsid w:val="5B59D0F8"/>
    <w:rsid w:val="5B5DC31C"/>
    <w:rsid w:val="5B65A5EB"/>
    <w:rsid w:val="5B6A8B2A"/>
    <w:rsid w:val="5B6F3113"/>
    <w:rsid w:val="5B71A84F"/>
    <w:rsid w:val="5B77366A"/>
    <w:rsid w:val="5B7832E8"/>
    <w:rsid w:val="5B89968F"/>
    <w:rsid w:val="5B904317"/>
    <w:rsid w:val="5B952ACC"/>
    <w:rsid w:val="5B95D736"/>
    <w:rsid w:val="5B97AB04"/>
    <w:rsid w:val="5BA10AC9"/>
    <w:rsid w:val="5BA21566"/>
    <w:rsid w:val="5BA33AB4"/>
    <w:rsid w:val="5BA47697"/>
    <w:rsid w:val="5BA6B45C"/>
    <w:rsid w:val="5BA7A980"/>
    <w:rsid w:val="5BAB6C51"/>
    <w:rsid w:val="5BACA858"/>
    <w:rsid w:val="5BAFDAC6"/>
    <w:rsid w:val="5BB1E3BD"/>
    <w:rsid w:val="5BB1F6CF"/>
    <w:rsid w:val="5BB351EB"/>
    <w:rsid w:val="5BB456E0"/>
    <w:rsid w:val="5BB5590D"/>
    <w:rsid w:val="5BB57BD1"/>
    <w:rsid w:val="5BB8F600"/>
    <w:rsid w:val="5BC0FC15"/>
    <w:rsid w:val="5BC15B15"/>
    <w:rsid w:val="5BC2B0B2"/>
    <w:rsid w:val="5BC60EA7"/>
    <w:rsid w:val="5BC63612"/>
    <w:rsid w:val="5BCC5E95"/>
    <w:rsid w:val="5BCC7464"/>
    <w:rsid w:val="5BCDB7EA"/>
    <w:rsid w:val="5BCFB11E"/>
    <w:rsid w:val="5BD267D2"/>
    <w:rsid w:val="5BDE6E37"/>
    <w:rsid w:val="5BE1A321"/>
    <w:rsid w:val="5BEA4889"/>
    <w:rsid w:val="5BEC5100"/>
    <w:rsid w:val="5BEF39D3"/>
    <w:rsid w:val="5BF237B8"/>
    <w:rsid w:val="5BF2ABAB"/>
    <w:rsid w:val="5BF46A0B"/>
    <w:rsid w:val="5BF51A57"/>
    <w:rsid w:val="5BF7372A"/>
    <w:rsid w:val="5BFF64D1"/>
    <w:rsid w:val="5BFF9332"/>
    <w:rsid w:val="5C05BEFD"/>
    <w:rsid w:val="5C0EEF4E"/>
    <w:rsid w:val="5C0FFB20"/>
    <w:rsid w:val="5C11F3A4"/>
    <w:rsid w:val="5C123E02"/>
    <w:rsid w:val="5C15C1CB"/>
    <w:rsid w:val="5C173B79"/>
    <w:rsid w:val="5C18FB74"/>
    <w:rsid w:val="5C1DFD1A"/>
    <w:rsid w:val="5C1F285B"/>
    <w:rsid w:val="5C22E2F7"/>
    <w:rsid w:val="5C2609F5"/>
    <w:rsid w:val="5C2DE0FD"/>
    <w:rsid w:val="5C3883BB"/>
    <w:rsid w:val="5C3E0431"/>
    <w:rsid w:val="5C3F43F1"/>
    <w:rsid w:val="5C45A469"/>
    <w:rsid w:val="5C4DBEF8"/>
    <w:rsid w:val="5C4DC16F"/>
    <w:rsid w:val="5C4F0E25"/>
    <w:rsid w:val="5C5274EB"/>
    <w:rsid w:val="5C53CB08"/>
    <w:rsid w:val="5C55F3EC"/>
    <w:rsid w:val="5C575AD2"/>
    <w:rsid w:val="5C5BD1A9"/>
    <w:rsid w:val="5C5E0FFF"/>
    <w:rsid w:val="5C6652EA"/>
    <w:rsid w:val="5C66FC58"/>
    <w:rsid w:val="5C670237"/>
    <w:rsid w:val="5C6A7840"/>
    <w:rsid w:val="5C6D087C"/>
    <w:rsid w:val="5C71B0B6"/>
    <w:rsid w:val="5C72508B"/>
    <w:rsid w:val="5C7275A5"/>
    <w:rsid w:val="5C751F5B"/>
    <w:rsid w:val="5C764B1F"/>
    <w:rsid w:val="5C7D5D89"/>
    <w:rsid w:val="5C7D6139"/>
    <w:rsid w:val="5C7F7835"/>
    <w:rsid w:val="5C804C63"/>
    <w:rsid w:val="5C8157B5"/>
    <w:rsid w:val="5C8320DB"/>
    <w:rsid w:val="5C84D721"/>
    <w:rsid w:val="5C8590F2"/>
    <w:rsid w:val="5C87A781"/>
    <w:rsid w:val="5C907953"/>
    <w:rsid w:val="5C92DE18"/>
    <w:rsid w:val="5C956CC5"/>
    <w:rsid w:val="5C98D423"/>
    <w:rsid w:val="5C9D5FB9"/>
    <w:rsid w:val="5CA2A2E4"/>
    <w:rsid w:val="5CA3891D"/>
    <w:rsid w:val="5CAA658F"/>
    <w:rsid w:val="5CAF9343"/>
    <w:rsid w:val="5CB2F482"/>
    <w:rsid w:val="5CBF4E9D"/>
    <w:rsid w:val="5CC11BB9"/>
    <w:rsid w:val="5CC35A0C"/>
    <w:rsid w:val="5CC5867A"/>
    <w:rsid w:val="5CC6A554"/>
    <w:rsid w:val="5CC7CAB8"/>
    <w:rsid w:val="5CCA11DA"/>
    <w:rsid w:val="5CCB6DE1"/>
    <w:rsid w:val="5CCE8E1E"/>
    <w:rsid w:val="5CD06575"/>
    <w:rsid w:val="5CD1DFE7"/>
    <w:rsid w:val="5CD38CF3"/>
    <w:rsid w:val="5CD5DACD"/>
    <w:rsid w:val="5CD6E3C5"/>
    <w:rsid w:val="5CDA8FBB"/>
    <w:rsid w:val="5CE4FD6E"/>
    <w:rsid w:val="5CE59617"/>
    <w:rsid w:val="5CE7F2E9"/>
    <w:rsid w:val="5CEB8B15"/>
    <w:rsid w:val="5D006212"/>
    <w:rsid w:val="5D054134"/>
    <w:rsid w:val="5D07A6C8"/>
    <w:rsid w:val="5D08B7DD"/>
    <w:rsid w:val="5D0986CF"/>
    <w:rsid w:val="5D0A48B6"/>
    <w:rsid w:val="5D180590"/>
    <w:rsid w:val="5D184151"/>
    <w:rsid w:val="5D1D4B2E"/>
    <w:rsid w:val="5D231E05"/>
    <w:rsid w:val="5D2C8088"/>
    <w:rsid w:val="5D35C797"/>
    <w:rsid w:val="5D37EB88"/>
    <w:rsid w:val="5D3837EF"/>
    <w:rsid w:val="5D3C5F78"/>
    <w:rsid w:val="5D48A64F"/>
    <w:rsid w:val="5D4A9F52"/>
    <w:rsid w:val="5D4DB76C"/>
    <w:rsid w:val="5D4EFFCE"/>
    <w:rsid w:val="5D56F866"/>
    <w:rsid w:val="5D62556E"/>
    <w:rsid w:val="5D64D633"/>
    <w:rsid w:val="5D65758A"/>
    <w:rsid w:val="5D664EE5"/>
    <w:rsid w:val="5D672585"/>
    <w:rsid w:val="5D675B34"/>
    <w:rsid w:val="5D68197B"/>
    <w:rsid w:val="5D6AA6F5"/>
    <w:rsid w:val="5D6B228D"/>
    <w:rsid w:val="5D6C16F9"/>
    <w:rsid w:val="5D6E1598"/>
    <w:rsid w:val="5D6F781F"/>
    <w:rsid w:val="5D6FB091"/>
    <w:rsid w:val="5D700701"/>
    <w:rsid w:val="5D713A1E"/>
    <w:rsid w:val="5D71CBDA"/>
    <w:rsid w:val="5D73E498"/>
    <w:rsid w:val="5D751B47"/>
    <w:rsid w:val="5D7520E1"/>
    <w:rsid w:val="5D78A353"/>
    <w:rsid w:val="5D79EAC1"/>
    <w:rsid w:val="5D7C1262"/>
    <w:rsid w:val="5D7D373C"/>
    <w:rsid w:val="5D7D5831"/>
    <w:rsid w:val="5D7D87C4"/>
    <w:rsid w:val="5D95B8BC"/>
    <w:rsid w:val="5D95ED4C"/>
    <w:rsid w:val="5D982D31"/>
    <w:rsid w:val="5D9AD3AC"/>
    <w:rsid w:val="5D9CED65"/>
    <w:rsid w:val="5D9D88CB"/>
    <w:rsid w:val="5D9D9C0A"/>
    <w:rsid w:val="5DA2765B"/>
    <w:rsid w:val="5DA61BF5"/>
    <w:rsid w:val="5DB63613"/>
    <w:rsid w:val="5DB67AE2"/>
    <w:rsid w:val="5DBC1650"/>
    <w:rsid w:val="5DC05FB8"/>
    <w:rsid w:val="5DC3D5C1"/>
    <w:rsid w:val="5DC801F2"/>
    <w:rsid w:val="5DC80BCF"/>
    <w:rsid w:val="5DC9DBE6"/>
    <w:rsid w:val="5DCD38A0"/>
    <w:rsid w:val="5DCE96C6"/>
    <w:rsid w:val="5DD1005E"/>
    <w:rsid w:val="5DD1458E"/>
    <w:rsid w:val="5DD24CBF"/>
    <w:rsid w:val="5DDC755B"/>
    <w:rsid w:val="5DDE3323"/>
    <w:rsid w:val="5DDE8A0E"/>
    <w:rsid w:val="5DE462E1"/>
    <w:rsid w:val="5DE513A0"/>
    <w:rsid w:val="5DE52D4B"/>
    <w:rsid w:val="5DE67131"/>
    <w:rsid w:val="5DFF24F4"/>
    <w:rsid w:val="5DFF7596"/>
    <w:rsid w:val="5E0869D1"/>
    <w:rsid w:val="5E098884"/>
    <w:rsid w:val="5E0C3E4B"/>
    <w:rsid w:val="5E1313AE"/>
    <w:rsid w:val="5E138C48"/>
    <w:rsid w:val="5E13CA54"/>
    <w:rsid w:val="5E15985E"/>
    <w:rsid w:val="5E199C09"/>
    <w:rsid w:val="5E19FFB8"/>
    <w:rsid w:val="5E2016E5"/>
    <w:rsid w:val="5E203ECC"/>
    <w:rsid w:val="5E215F54"/>
    <w:rsid w:val="5E239443"/>
    <w:rsid w:val="5E2BDB7E"/>
    <w:rsid w:val="5E2EE7A7"/>
    <w:rsid w:val="5E2FCA52"/>
    <w:rsid w:val="5E350AAD"/>
    <w:rsid w:val="5E426B07"/>
    <w:rsid w:val="5E448461"/>
    <w:rsid w:val="5E46E53C"/>
    <w:rsid w:val="5E47E380"/>
    <w:rsid w:val="5E49C7D3"/>
    <w:rsid w:val="5E53394E"/>
    <w:rsid w:val="5E53F660"/>
    <w:rsid w:val="5E5E7E32"/>
    <w:rsid w:val="5E605B80"/>
    <w:rsid w:val="5E633DCA"/>
    <w:rsid w:val="5E63C9F4"/>
    <w:rsid w:val="5E64E00F"/>
    <w:rsid w:val="5E65A046"/>
    <w:rsid w:val="5E6C4392"/>
    <w:rsid w:val="5E6E9E5C"/>
    <w:rsid w:val="5E6F2137"/>
    <w:rsid w:val="5E727DF5"/>
    <w:rsid w:val="5E72B800"/>
    <w:rsid w:val="5E72DD89"/>
    <w:rsid w:val="5E7B0792"/>
    <w:rsid w:val="5E7C46B6"/>
    <w:rsid w:val="5E7F196B"/>
    <w:rsid w:val="5E829F1E"/>
    <w:rsid w:val="5E83D528"/>
    <w:rsid w:val="5E849A32"/>
    <w:rsid w:val="5E8AFFC4"/>
    <w:rsid w:val="5E8C9A24"/>
    <w:rsid w:val="5E9804A2"/>
    <w:rsid w:val="5EA48F02"/>
    <w:rsid w:val="5EA5C427"/>
    <w:rsid w:val="5EA69C75"/>
    <w:rsid w:val="5EA772AF"/>
    <w:rsid w:val="5EA8EDFC"/>
    <w:rsid w:val="5EAE3272"/>
    <w:rsid w:val="5EB04EA6"/>
    <w:rsid w:val="5EB8D23C"/>
    <w:rsid w:val="5EB91E5A"/>
    <w:rsid w:val="5EBC0272"/>
    <w:rsid w:val="5EBCB978"/>
    <w:rsid w:val="5EBF495B"/>
    <w:rsid w:val="5EC14F01"/>
    <w:rsid w:val="5EC2B437"/>
    <w:rsid w:val="5ECFB36A"/>
    <w:rsid w:val="5ED7CD1D"/>
    <w:rsid w:val="5ED88415"/>
    <w:rsid w:val="5EE21CA0"/>
    <w:rsid w:val="5EEC8DA6"/>
    <w:rsid w:val="5EECBF71"/>
    <w:rsid w:val="5EFDB84E"/>
    <w:rsid w:val="5F0AB413"/>
    <w:rsid w:val="5F0D35CD"/>
    <w:rsid w:val="5F10DD38"/>
    <w:rsid w:val="5F129182"/>
    <w:rsid w:val="5F133A96"/>
    <w:rsid w:val="5F14F7B6"/>
    <w:rsid w:val="5F1CD795"/>
    <w:rsid w:val="5F1D328F"/>
    <w:rsid w:val="5F1E46B7"/>
    <w:rsid w:val="5F24F7EE"/>
    <w:rsid w:val="5F259E0C"/>
    <w:rsid w:val="5F26BE9E"/>
    <w:rsid w:val="5F274183"/>
    <w:rsid w:val="5F298511"/>
    <w:rsid w:val="5F29A76F"/>
    <w:rsid w:val="5F2A5C25"/>
    <w:rsid w:val="5F2A9977"/>
    <w:rsid w:val="5F2D26D2"/>
    <w:rsid w:val="5F301AE8"/>
    <w:rsid w:val="5F33CD36"/>
    <w:rsid w:val="5F3AF6C1"/>
    <w:rsid w:val="5F3DDEA5"/>
    <w:rsid w:val="5F3F972B"/>
    <w:rsid w:val="5F3F99B5"/>
    <w:rsid w:val="5F4362B0"/>
    <w:rsid w:val="5F462BBD"/>
    <w:rsid w:val="5F4AD578"/>
    <w:rsid w:val="5F4AD8D1"/>
    <w:rsid w:val="5F4FE546"/>
    <w:rsid w:val="5F54ED6B"/>
    <w:rsid w:val="5F574F10"/>
    <w:rsid w:val="5F590B22"/>
    <w:rsid w:val="5F5B6219"/>
    <w:rsid w:val="5F617CF1"/>
    <w:rsid w:val="5F646869"/>
    <w:rsid w:val="5F67CCD8"/>
    <w:rsid w:val="5F705013"/>
    <w:rsid w:val="5F70D00D"/>
    <w:rsid w:val="5F74275A"/>
    <w:rsid w:val="5F7BDD2C"/>
    <w:rsid w:val="5F7CE577"/>
    <w:rsid w:val="5F7D2CFD"/>
    <w:rsid w:val="5F7D420D"/>
    <w:rsid w:val="5F84DF07"/>
    <w:rsid w:val="5F8DCC83"/>
    <w:rsid w:val="5F942C0E"/>
    <w:rsid w:val="5F96B7C0"/>
    <w:rsid w:val="5F98AD87"/>
    <w:rsid w:val="5F9A5A2D"/>
    <w:rsid w:val="5F9B1817"/>
    <w:rsid w:val="5F9ED28F"/>
    <w:rsid w:val="5F9FDCED"/>
    <w:rsid w:val="5FA2108B"/>
    <w:rsid w:val="5FA40F68"/>
    <w:rsid w:val="5FA4ECDE"/>
    <w:rsid w:val="5FA50980"/>
    <w:rsid w:val="5FA61881"/>
    <w:rsid w:val="5FA6CF05"/>
    <w:rsid w:val="5FA90009"/>
    <w:rsid w:val="5FAAB264"/>
    <w:rsid w:val="5FB1E710"/>
    <w:rsid w:val="5FBB4D29"/>
    <w:rsid w:val="5FC3194E"/>
    <w:rsid w:val="5FC63E67"/>
    <w:rsid w:val="5FC7984F"/>
    <w:rsid w:val="5FCAE40A"/>
    <w:rsid w:val="5FCB0436"/>
    <w:rsid w:val="5FCF3E50"/>
    <w:rsid w:val="5FD293D0"/>
    <w:rsid w:val="5FD88E1A"/>
    <w:rsid w:val="5FDA5015"/>
    <w:rsid w:val="5FDD6533"/>
    <w:rsid w:val="5FE266D8"/>
    <w:rsid w:val="5FE483C5"/>
    <w:rsid w:val="5FE73405"/>
    <w:rsid w:val="5FEA04C5"/>
    <w:rsid w:val="5FF9E8E0"/>
    <w:rsid w:val="6007E69E"/>
    <w:rsid w:val="600A6D11"/>
    <w:rsid w:val="600B2D99"/>
    <w:rsid w:val="600B69A0"/>
    <w:rsid w:val="600B9D18"/>
    <w:rsid w:val="600C5232"/>
    <w:rsid w:val="60133A3D"/>
    <w:rsid w:val="6015DD3A"/>
    <w:rsid w:val="6017354F"/>
    <w:rsid w:val="60179903"/>
    <w:rsid w:val="60188801"/>
    <w:rsid w:val="6018F462"/>
    <w:rsid w:val="60239D09"/>
    <w:rsid w:val="60251EEB"/>
    <w:rsid w:val="602E91D7"/>
    <w:rsid w:val="602EA1F1"/>
    <w:rsid w:val="60384AC1"/>
    <w:rsid w:val="6038A45E"/>
    <w:rsid w:val="60394E77"/>
    <w:rsid w:val="603AF82A"/>
    <w:rsid w:val="603BEB96"/>
    <w:rsid w:val="6041BF1E"/>
    <w:rsid w:val="60469D7F"/>
    <w:rsid w:val="604AABC6"/>
    <w:rsid w:val="604EC1F0"/>
    <w:rsid w:val="604FC8D4"/>
    <w:rsid w:val="605436DC"/>
    <w:rsid w:val="605BC20E"/>
    <w:rsid w:val="605CF326"/>
    <w:rsid w:val="605E6E4E"/>
    <w:rsid w:val="6067CFBA"/>
    <w:rsid w:val="606958C0"/>
    <w:rsid w:val="606A987C"/>
    <w:rsid w:val="606B5624"/>
    <w:rsid w:val="606C0CDA"/>
    <w:rsid w:val="60720413"/>
    <w:rsid w:val="607591DA"/>
    <w:rsid w:val="60779F07"/>
    <w:rsid w:val="607C87B4"/>
    <w:rsid w:val="60864330"/>
    <w:rsid w:val="608DCB55"/>
    <w:rsid w:val="6098BDE2"/>
    <w:rsid w:val="60A0545C"/>
    <w:rsid w:val="60A6DD5A"/>
    <w:rsid w:val="60A7450B"/>
    <w:rsid w:val="60AC2926"/>
    <w:rsid w:val="60AD5F5D"/>
    <w:rsid w:val="60AE6CA5"/>
    <w:rsid w:val="60AEA4A2"/>
    <w:rsid w:val="60AF852A"/>
    <w:rsid w:val="60B89095"/>
    <w:rsid w:val="60BA7677"/>
    <w:rsid w:val="60BAC2EE"/>
    <w:rsid w:val="60BF4779"/>
    <w:rsid w:val="60C04B7A"/>
    <w:rsid w:val="60C158AD"/>
    <w:rsid w:val="60C61F06"/>
    <w:rsid w:val="60C8846E"/>
    <w:rsid w:val="60C8C9B5"/>
    <w:rsid w:val="60CC20FF"/>
    <w:rsid w:val="60D36E39"/>
    <w:rsid w:val="60D760C3"/>
    <w:rsid w:val="60D7D2DB"/>
    <w:rsid w:val="60EA041F"/>
    <w:rsid w:val="60EA8406"/>
    <w:rsid w:val="60ED64B9"/>
    <w:rsid w:val="60EFC67C"/>
    <w:rsid w:val="60F29AB6"/>
    <w:rsid w:val="60F33B5B"/>
    <w:rsid w:val="60F4E12F"/>
    <w:rsid w:val="60F7DC32"/>
    <w:rsid w:val="60F8C432"/>
    <w:rsid w:val="60F9AB75"/>
    <w:rsid w:val="60FCC136"/>
    <w:rsid w:val="610228CD"/>
    <w:rsid w:val="610DCFD1"/>
    <w:rsid w:val="610FD411"/>
    <w:rsid w:val="6112CD28"/>
    <w:rsid w:val="61155978"/>
    <w:rsid w:val="611E74D8"/>
    <w:rsid w:val="6122BBA5"/>
    <w:rsid w:val="6127B56F"/>
    <w:rsid w:val="612803BE"/>
    <w:rsid w:val="61363D82"/>
    <w:rsid w:val="613A60BB"/>
    <w:rsid w:val="613B512A"/>
    <w:rsid w:val="613D66D8"/>
    <w:rsid w:val="61402E97"/>
    <w:rsid w:val="61405585"/>
    <w:rsid w:val="6141F69C"/>
    <w:rsid w:val="6142F518"/>
    <w:rsid w:val="6143896F"/>
    <w:rsid w:val="614CC62D"/>
    <w:rsid w:val="615087F2"/>
    <w:rsid w:val="61514E9F"/>
    <w:rsid w:val="6159A308"/>
    <w:rsid w:val="615D0452"/>
    <w:rsid w:val="6166F194"/>
    <w:rsid w:val="61689D2C"/>
    <w:rsid w:val="616B9B73"/>
    <w:rsid w:val="61722C34"/>
    <w:rsid w:val="61731D15"/>
    <w:rsid w:val="61764510"/>
    <w:rsid w:val="617AAB64"/>
    <w:rsid w:val="617BF334"/>
    <w:rsid w:val="617E22EE"/>
    <w:rsid w:val="618CC90B"/>
    <w:rsid w:val="61985442"/>
    <w:rsid w:val="619B22AC"/>
    <w:rsid w:val="619DBD5D"/>
    <w:rsid w:val="619F7309"/>
    <w:rsid w:val="61A48A76"/>
    <w:rsid w:val="61A63FCB"/>
    <w:rsid w:val="61A8AE49"/>
    <w:rsid w:val="61A98940"/>
    <w:rsid w:val="61A9C947"/>
    <w:rsid w:val="61AAE057"/>
    <w:rsid w:val="61B4E48A"/>
    <w:rsid w:val="61B64B01"/>
    <w:rsid w:val="61B894D5"/>
    <w:rsid w:val="61BD5EA8"/>
    <w:rsid w:val="61C1179C"/>
    <w:rsid w:val="61C3458F"/>
    <w:rsid w:val="61D6AAAA"/>
    <w:rsid w:val="61E2243C"/>
    <w:rsid w:val="61E7B67A"/>
    <w:rsid w:val="61EDA91A"/>
    <w:rsid w:val="61F25DA7"/>
    <w:rsid w:val="61F55CCE"/>
    <w:rsid w:val="61F73E44"/>
    <w:rsid w:val="61F8E6E4"/>
    <w:rsid w:val="61FEAAAF"/>
    <w:rsid w:val="61FF1827"/>
    <w:rsid w:val="6202A7F2"/>
    <w:rsid w:val="620736BA"/>
    <w:rsid w:val="62101A0C"/>
    <w:rsid w:val="62132DEA"/>
    <w:rsid w:val="6215DEFE"/>
    <w:rsid w:val="622E644C"/>
    <w:rsid w:val="622E7217"/>
    <w:rsid w:val="62301D6A"/>
    <w:rsid w:val="623352EE"/>
    <w:rsid w:val="6235AD75"/>
    <w:rsid w:val="623A500A"/>
    <w:rsid w:val="623C76B1"/>
    <w:rsid w:val="623E0C98"/>
    <w:rsid w:val="6241DA6B"/>
    <w:rsid w:val="62448AF6"/>
    <w:rsid w:val="6245610B"/>
    <w:rsid w:val="62473525"/>
    <w:rsid w:val="624F9816"/>
    <w:rsid w:val="6250628F"/>
    <w:rsid w:val="62539118"/>
    <w:rsid w:val="6254850A"/>
    <w:rsid w:val="6258C456"/>
    <w:rsid w:val="62598A0D"/>
    <w:rsid w:val="625EF956"/>
    <w:rsid w:val="6267DD53"/>
    <w:rsid w:val="6276D0E2"/>
    <w:rsid w:val="627731CB"/>
    <w:rsid w:val="627C55CF"/>
    <w:rsid w:val="6281317B"/>
    <w:rsid w:val="62856EC7"/>
    <w:rsid w:val="62894A83"/>
    <w:rsid w:val="628C288B"/>
    <w:rsid w:val="628C6C72"/>
    <w:rsid w:val="628C95B7"/>
    <w:rsid w:val="629113D8"/>
    <w:rsid w:val="6291ED1F"/>
    <w:rsid w:val="62977133"/>
    <w:rsid w:val="629A60D6"/>
    <w:rsid w:val="629B3125"/>
    <w:rsid w:val="629CCCE5"/>
    <w:rsid w:val="62A61A4C"/>
    <w:rsid w:val="62AE2AE0"/>
    <w:rsid w:val="62B67DDC"/>
    <w:rsid w:val="62B8BBA9"/>
    <w:rsid w:val="62BD5F58"/>
    <w:rsid w:val="62BDF6B1"/>
    <w:rsid w:val="62C0E055"/>
    <w:rsid w:val="62C12811"/>
    <w:rsid w:val="62D6A7FF"/>
    <w:rsid w:val="62D948B0"/>
    <w:rsid w:val="62E08874"/>
    <w:rsid w:val="62E24F66"/>
    <w:rsid w:val="62E96733"/>
    <w:rsid w:val="62F1AA75"/>
    <w:rsid w:val="62F69B66"/>
    <w:rsid w:val="62F81908"/>
    <w:rsid w:val="62FD56D8"/>
    <w:rsid w:val="62FFF6B8"/>
    <w:rsid w:val="63009527"/>
    <w:rsid w:val="6307A5B9"/>
    <w:rsid w:val="6307B350"/>
    <w:rsid w:val="6309B628"/>
    <w:rsid w:val="630C9412"/>
    <w:rsid w:val="631004AC"/>
    <w:rsid w:val="6311AFE1"/>
    <w:rsid w:val="63176A3D"/>
    <w:rsid w:val="631C11CC"/>
    <w:rsid w:val="6321AFF8"/>
    <w:rsid w:val="6323562F"/>
    <w:rsid w:val="63265481"/>
    <w:rsid w:val="632EB647"/>
    <w:rsid w:val="632F97CD"/>
    <w:rsid w:val="63337DF9"/>
    <w:rsid w:val="63342976"/>
    <w:rsid w:val="63383A46"/>
    <w:rsid w:val="63387AD0"/>
    <w:rsid w:val="63407B3D"/>
    <w:rsid w:val="6343C6F3"/>
    <w:rsid w:val="63470F31"/>
    <w:rsid w:val="634A2257"/>
    <w:rsid w:val="634B4D3B"/>
    <w:rsid w:val="634E9E86"/>
    <w:rsid w:val="634FD99C"/>
    <w:rsid w:val="6353208D"/>
    <w:rsid w:val="6353B2C0"/>
    <w:rsid w:val="635767E2"/>
    <w:rsid w:val="636215ED"/>
    <w:rsid w:val="6362D5C9"/>
    <w:rsid w:val="636382D0"/>
    <w:rsid w:val="636832BD"/>
    <w:rsid w:val="636BC5EC"/>
    <w:rsid w:val="636CF3A0"/>
    <w:rsid w:val="636F9A64"/>
    <w:rsid w:val="6373B05C"/>
    <w:rsid w:val="6376CBFC"/>
    <w:rsid w:val="6378AB47"/>
    <w:rsid w:val="637E096E"/>
    <w:rsid w:val="6382C6D4"/>
    <w:rsid w:val="63835BF2"/>
    <w:rsid w:val="6384A9F9"/>
    <w:rsid w:val="6386CF3A"/>
    <w:rsid w:val="63898EF3"/>
    <w:rsid w:val="6389D009"/>
    <w:rsid w:val="638D91CF"/>
    <w:rsid w:val="638EBD2A"/>
    <w:rsid w:val="639B0BF9"/>
    <w:rsid w:val="639DF1C1"/>
    <w:rsid w:val="63A3BA97"/>
    <w:rsid w:val="63A5156E"/>
    <w:rsid w:val="63A53C82"/>
    <w:rsid w:val="63AB6F1A"/>
    <w:rsid w:val="63ABD41F"/>
    <w:rsid w:val="63ABF375"/>
    <w:rsid w:val="63AEE7FC"/>
    <w:rsid w:val="63AF0361"/>
    <w:rsid w:val="63B39692"/>
    <w:rsid w:val="63B40178"/>
    <w:rsid w:val="63B56B47"/>
    <w:rsid w:val="63B9F17C"/>
    <w:rsid w:val="63BA3137"/>
    <w:rsid w:val="63BBA294"/>
    <w:rsid w:val="63BF1D48"/>
    <w:rsid w:val="63BF5366"/>
    <w:rsid w:val="63C44BD7"/>
    <w:rsid w:val="63C4584A"/>
    <w:rsid w:val="63C62028"/>
    <w:rsid w:val="63C935D0"/>
    <w:rsid w:val="63CA21A6"/>
    <w:rsid w:val="63CA4CED"/>
    <w:rsid w:val="63CC95FB"/>
    <w:rsid w:val="63CF40BA"/>
    <w:rsid w:val="63D14097"/>
    <w:rsid w:val="63D2CC0A"/>
    <w:rsid w:val="63D9EB11"/>
    <w:rsid w:val="63DD69F0"/>
    <w:rsid w:val="63DF1E3B"/>
    <w:rsid w:val="63E4E3D5"/>
    <w:rsid w:val="63E50506"/>
    <w:rsid w:val="63EB2A9B"/>
    <w:rsid w:val="63EBFE63"/>
    <w:rsid w:val="63ED64BF"/>
    <w:rsid w:val="63F1C5AA"/>
    <w:rsid w:val="63F243FB"/>
    <w:rsid w:val="63F34668"/>
    <w:rsid w:val="63F47A9A"/>
    <w:rsid w:val="63F6295A"/>
    <w:rsid w:val="63FF8F4D"/>
    <w:rsid w:val="640064C3"/>
    <w:rsid w:val="64022E57"/>
    <w:rsid w:val="6402F38B"/>
    <w:rsid w:val="64060285"/>
    <w:rsid w:val="640C7A19"/>
    <w:rsid w:val="6411AB32"/>
    <w:rsid w:val="6418BBF4"/>
    <w:rsid w:val="641B8170"/>
    <w:rsid w:val="641C5E55"/>
    <w:rsid w:val="641C9B54"/>
    <w:rsid w:val="641D0AEE"/>
    <w:rsid w:val="64223313"/>
    <w:rsid w:val="64259DFA"/>
    <w:rsid w:val="6426BB04"/>
    <w:rsid w:val="6426C28B"/>
    <w:rsid w:val="642BDEA9"/>
    <w:rsid w:val="6432985E"/>
    <w:rsid w:val="64368270"/>
    <w:rsid w:val="6437DA86"/>
    <w:rsid w:val="643AD077"/>
    <w:rsid w:val="643E3E89"/>
    <w:rsid w:val="64426D92"/>
    <w:rsid w:val="644317F8"/>
    <w:rsid w:val="64442963"/>
    <w:rsid w:val="6447EDFC"/>
    <w:rsid w:val="6448F3D2"/>
    <w:rsid w:val="644BF729"/>
    <w:rsid w:val="644C8212"/>
    <w:rsid w:val="644FBF04"/>
    <w:rsid w:val="645CF1B6"/>
    <w:rsid w:val="645D3CB1"/>
    <w:rsid w:val="645F0128"/>
    <w:rsid w:val="645F1CC5"/>
    <w:rsid w:val="6464E815"/>
    <w:rsid w:val="646C308C"/>
    <w:rsid w:val="6476AC73"/>
    <w:rsid w:val="6480AC7F"/>
    <w:rsid w:val="648260C9"/>
    <w:rsid w:val="6491F8A6"/>
    <w:rsid w:val="649A1338"/>
    <w:rsid w:val="649E78E5"/>
    <w:rsid w:val="649FF41D"/>
    <w:rsid w:val="64A235DE"/>
    <w:rsid w:val="64A2DF52"/>
    <w:rsid w:val="64A2EA62"/>
    <w:rsid w:val="64A3C6F7"/>
    <w:rsid w:val="64A8BEB4"/>
    <w:rsid w:val="64AC1377"/>
    <w:rsid w:val="64B4AE40"/>
    <w:rsid w:val="64B63B2C"/>
    <w:rsid w:val="64BD874C"/>
    <w:rsid w:val="64C1D2F1"/>
    <w:rsid w:val="64C31108"/>
    <w:rsid w:val="64C6A2E0"/>
    <w:rsid w:val="64C6AE15"/>
    <w:rsid w:val="64D183EC"/>
    <w:rsid w:val="64D236C4"/>
    <w:rsid w:val="64D2EE4F"/>
    <w:rsid w:val="64D96408"/>
    <w:rsid w:val="64DBB0AE"/>
    <w:rsid w:val="64E1A125"/>
    <w:rsid w:val="64E764C0"/>
    <w:rsid w:val="64EFFD00"/>
    <w:rsid w:val="64F36961"/>
    <w:rsid w:val="64F5A4FD"/>
    <w:rsid w:val="64FB21CC"/>
    <w:rsid w:val="64FD0C1E"/>
    <w:rsid w:val="65004D71"/>
    <w:rsid w:val="650157E9"/>
    <w:rsid w:val="6503A999"/>
    <w:rsid w:val="65056C4A"/>
    <w:rsid w:val="65069519"/>
    <w:rsid w:val="650AAB86"/>
    <w:rsid w:val="650B4C94"/>
    <w:rsid w:val="65130BE2"/>
    <w:rsid w:val="651A58F6"/>
    <w:rsid w:val="651A81B8"/>
    <w:rsid w:val="651D5096"/>
    <w:rsid w:val="651DA56B"/>
    <w:rsid w:val="6520D7A8"/>
    <w:rsid w:val="652D9C1F"/>
    <w:rsid w:val="653B7A75"/>
    <w:rsid w:val="653D216B"/>
    <w:rsid w:val="65409D2F"/>
    <w:rsid w:val="6547B46C"/>
    <w:rsid w:val="6547C3D6"/>
    <w:rsid w:val="654C1522"/>
    <w:rsid w:val="654C868E"/>
    <w:rsid w:val="654CBEB1"/>
    <w:rsid w:val="65513FDF"/>
    <w:rsid w:val="655466D0"/>
    <w:rsid w:val="6554F320"/>
    <w:rsid w:val="6557882C"/>
    <w:rsid w:val="6557D6D7"/>
    <w:rsid w:val="65592756"/>
    <w:rsid w:val="65617EA7"/>
    <w:rsid w:val="65636C4A"/>
    <w:rsid w:val="656616B8"/>
    <w:rsid w:val="65662B96"/>
    <w:rsid w:val="6566CF14"/>
    <w:rsid w:val="65721F2A"/>
    <w:rsid w:val="6575092C"/>
    <w:rsid w:val="657AE072"/>
    <w:rsid w:val="657D5538"/>
    <w:rsid w:val="657E505D"/>
    <w:rsid w:val="657F98A3"/>
    <w:rsid w:val="6581F331"/>
    <w:rsid w:val="65855D06"/>
    <w:rsid w:val="6589E3B2"/>
    <w:rsid w:val="658DDCD3"/>
    <w:rsid w:val="6592583B"/>
    <w:rsid w:val="6594CA04"/>
    <w:rsid w:val="6597BAF7"/>
    <w:rsid w:val="659A32AC"/>
    <w:rsid w:val="659F7E15"/>
    <w:rsid w:val="65A0E404"/>
    <w:rsid w:val="65A17932"/>
    <w:rsid w:val="65A7DD9E"/>
    <w:rsid w:val="65AACCE4"/>
    <w:rsid w:val="65AF3ED1"/>
    <w:rsid w:val="65B70BBA"/>
    <w:rsid w:val="65BA8BEF"/>
    <w:rsid w:val="65BD5FA1"/>
    <w:rsid w:val="65C0C9F9"/>
    <w:rsid w:val="65C1662C"/>
    <w:rsid w:val="65C5877B"/>
    <w:rsid w:val="65C5F1A7"/>
    <w:rsid w:val="65C5FAF7"/>
    <w:rsid w:val="65C6BD56"/>
    <w:rsid w:val="65CA3A1E"/>
    <w:rsid w:val="65CD74CF"/>
    <w:rsid w:val="65E06DA0"/>
    <w:rsid w:val="65E07070"/>
    <w:rsid w:val="65E1D094"/>
    <w:rsid w:val="65E2D336"/>
    <w:rsid w:val="65E2EB66"/>
    <w:rsid w:val="65E821F5"/>
    <w:rsid w:val="65E89DA7"/>
    <w:rsid w:val="65EB51BC"/>
    <w:rsid w:val="65F8C217"/>
    <w:rsid w:val="65F9951D"/>
    <w:rsid w:val="65FA4548"/>
    <w:rsid w:val="65FEE3C6"/>
    <w:rsid w:val="66017594"/>
    <w:rsid w:val="6601ABCF"/>
    <w:rsid w:val="66031490"/>
    <w:rsid w:val="66049253"/>
    <w:rsid w:val="6604B5AA"/>
    <w:rsid w:val="66079B8D"/>
    <w:rsid w:val="660BE80C"/>
    <w:rsid w:val="660C7CDD"/>
    <w:rsid w:val="660D657E"/>
    <w:rsid w:val="66112A27"/>
    <w:rsid w:val="661282D2"/>
    <w:rsid w:val="661B209A"/>
    <w:rsid w:val="661B472A"/>
    <w:rsid w:val="661DBDEB"/>
    <w:rsid w:val="6621BCC4"/>
    <w:rsid w:val="6626ABB9"/>
    <w:rsid w:val="6629C840"/>
    <w:rsid w:val="6630F0EA"/>
    <w:rsid w:val="66314863"/>
    <w:rsid w:val="6633F728"/>
    <w:rsid w:val="663C6E0F"/>
    <w:rsid w:val="663CFFD2"/>
    <w:rsid w:val="663F2B74"/>
    <w:rsid w:val="663F7A29"/>
    <w:rsid w:val="664125C3"/>
    <w:rsid w:val="6641BED8"/>
    <w:rsid w:val="6644D5F8"/>
    <w:rsid w:val="6650D097"/>
    <w:rsid w:val="6652936B"/>
    <w:rsid w:val="6659FCE3"/>
    <w:rsid w:val="665B9880"/>
    <w:rsid w:val="665BE232"/>
    <w:rsid w:val="665C9C2F"/>
    <w:rsid w:val="6660A075"/>
    <w:rsid w:val="66660CC2"/>
    <w:rsid w:val="66666C83"/>
    <w:rsid w:val="6666EE53"/>
    <w:rsid w:val="6667D91C"/>
    <w:rsid w:val="66691C33"/>
    <w:rsid w:val="666A227A"/>
    <w:rsid w:val="6671E8A9"/>
    <w:rsid w:val="667A6132"/>
    <w:rsid w:val="6681E2DE"/>
    <w:rsid w:val="668800E0"/>
    <w:rsid w:val="66896F48"/>
    <w:rsid w:val="668C00AF"/>
    <w:rsid w:val="668D74A9"/>
    <w:rsid w:val="6692197C"/>
    <w:rsid w:val="6694013A"/>
    <w:rsid w:val="6695701B"/>
    <w:rsid w:val="669DAB18"/>
    <w:rsid w:val="669F6778"/>
    <w:rsid w:val="66A14719"/>
    <w:rsid w:val="66A49EA9"/>
    <w:rsid w:val="66A5072F"/>
    <w:rsid w:val="66AFC63B"/>
    <w:rsid w:val="66B05F37"/>
    <w:rsid w:val="66B067A8"/>
    <w:rsid w:val="66B894A5"/>
    <w:rsid w:val="66BE3860"/>
    <w:rsid w:val="66C2E9C6"/>
    <w:rsid w:val="66CD4DEF"/>
    <w:rsid w:val="66CF60B7"/>
    <w:rsid w:val="66D21C3D"/>
    <w:rsid w:val="66D37300"/>
    <w:rsid w:val="66D8212A"/>
    <w:rsid w:val="66DD2165"/>
    <w:rsid w:val="66E1D7F6"/>
    <w:rsid w:val="66E39F98"/>
    <w:rsid w:val="66E92E14"/>
    <w:rsid w:val="66EC722B"/>
    <w:rsid w:val="66EDBE90"/>
    <w:rsid w:val="66F0CEB8"/>
    <w:rsid w:val="66F837D8"/>
    <w:rsid w:val="66FE6EBD"/>
    <w:rsid w:val="6700B18E"/>
    <w:rsid w:val="67063120"/>
    <w:rsid w:val="670B7220"/>
    <w:rsid w:val="670E92BA"/>
    <w:rsid w:val="67134C9D"/>
    <w:rsid w:val="671A9CA3"/>
    <w:rsid w:val="671FD43C"/>
    <w:rsid w:val="672970CB"/>
    <w:rsid w:val="672F0D4E"/>
    <w:rsid w:val="6737E0A7"/>
    <w:rsid w:val="673871BD"/>
    <w:rsid w:val="6739BAC3"/>
    <w:rsid w:val="673C55F9"/>
    <w:rsid w:val="673F0724"/>
    <w:rsid w:val="6743A98B"/>
    <w:rsid w:val="6743F76F"/>
    <w:rsid w:val="6747941F"/>
    <w:rsid w:val="674B79D1"/>
    <w:rsid w:val="675289C7"/>
    <w:rsid w:val="6753F075"/>
    <w:rsid w:val="675CD7CE"/>
    <w:rsid w:val="675EA57F"/>
    <w:rsid w:val="675F036B"/>
    <w:rsid w:val="6761C301"/>
    <w:rsid w:val="6761D3A1"/>
    <w:rsid w:val="676A9DBF"/>
    <w:rsid w:val="676B29A4"/>
    <w:rsid w:val="676B7CCB"/>
    <w:rsid w:val="676DC4DD"/>
    <w:rsid w:val="676F19B3"/>
    <w:rsid w:val="67709611"/>
    <w:rsid w:val="677170E7"/>
    <w:rsid w:val="677220BD"/>
    <w:rsid w:val="6774F097"/>
    <w:rsid w:val="67764D90"/>
    <w:rsid w:val="677B4756"/>
    <w:rsid w:val="677DFE51"/>
    <w:rsid w:val="6782760A"/>
    <w:rsid w:val="6783594C"/>
    <w:rsid w:val="678597E3"/>
    <w:rsid w:val="67890501"/>
    <w:rsid w:val="678AA40D"/>
    <w:rsid w:val="67903460"/>
    <w:rsid w:val="6790AD30"/>
    <w:rsid w:val="6795B3BC"/>
    <w:rsid w:val="6797D71A"/>
    <w:rsid w:val="679BAF60"/>
    <w:rsid w:val="679E9EB5"/>
    <w:rsid w:val="679F41E3"/>
    <w:rsid w:val="67A00EAF"/>
    <w:rsid w:val="67A2E748"/>
    <w:rsid w:val="67A78693"/>
    <w:rsid w:val="67A7889C"/>
    <w:rsid w:val="67A9FDAB"/>
    <w:rsid w:val="67B14CFF"/>
    <w:rsid w:val="67B246A3"/>
    <w:rsid w:val="67B304E6"/>
    <w:rsid w:val="67B58837"/>
    <w:rsid w:val="67B96E2C"/>
    <w:rsid w:val="67B9FECD"/>
    <w:rsid w:val="67BA08CC"/>
    <w:rsid w:val="67BEF5AC"/>
    <w:rsid w:val="67C34D19"/>
    <w:rsid w:val="67C65920"/>
    <w:rsid w:val="67C72CB0"/>
    <w:rsid w:val="67CB6F68"/>
    <w:rsid w:val="67CD451F"/>
    <w:rsid w:val="67CFAF06"/>
    <w:rsid w:val="67D451B8"/>
    <w:rsid w:val="67DB1061"/>
    <w:rsid w:val="67DB67B6"/>
    <w:rsid w:val="67DC719C"/>
    <w:rsid w:val="67DD6A50"/>
    <w:rsid w:val="67E472E7"/>
    <w:rsid w:val="67E47998"/>
    <w:rsid w:val="67EA57A0"/>
    <w:rsid w:val="67EE1614"/>
    <w:rsid w:val="67F5BCD2"/>
    <w:rsid w:val="67FD8938"/>
    <w:rsid w:val="680035EA"/>
    <w:rsid w:val="68068BC5"/>
    <w:rsid w:val="68083614"/>
    <w:rsid w:val="6808FFBD"/>
    <w:rsid w:val="680BA750"/>
    <w:rsid w:val="680F4537"/>
    <w:rsid w:val="680F4784"/>
    <w:rsid w:val="6813BE6D"/>
    <w:rsid w:val="68168D5D"/>
    <w:rsid w:val="681A97F8"/>
    <w:rsid w:val="681BE711"/>
    <w:rsid w:val="681C4E5F"/>
    <w:rsid w:val="68227A8D"/>
    <w:rsid w:val="682974F8"/>
    <w:rsid w:val="682C8653"/>
    <w:rsid w:val="6834C6A3"/>
    <w:rsid w:val="683716D1"/>
    <w:rsid w:val="683FF198"/>
    <w:rsid w:val="684D6075"/>
    <w:rsid w:val="684D8B48"/>
    <w:rsid w:val="684ECFAB"/>
    <w:rsid w:val="6855A0BF"/>
    <w:rsid w:val="68570843"/>
    <w:rsid w:val="685BB14A"/>
    <w:rsid w:val="686238D7"/>
    <w:rsid w:val="68674E72"/>
    <w:rsid w:val="68685C02"/>
    <w:rsid w:val="6868B7ED"/>
    <w:rsid w:val="68691CBA"/>
    <w:rsid w:val="686B23FC"/>
    <w:rsid w:val="686DCBB4"/>
    <w:rsid w:val="686EF9F8"/>
    <w:rsid w:val="686EFA3F"/>
    <w:rsid w:val="68750445"/>
    <w:rsid w:val="6877DB09"/>
    <w:rsid w:val="6879007A"/>
    <w:rsid w:val="687EA48E"/>
    <w:rsid w:val="687F6BDF"/>
    <w:rsid w:val="68812315"/>
    <w:rsid w:val="6883136B"/>
    <w:rsid w:val="6883196F"/>
    <w:rsid w:val="68843A8C"/>
    <w:rsid w:val="688589E0"/>
    <w:rsid w:val="688B0D81"/>
    <w:rsid w:val="688E41CA"/>
    <w:rsid w:val="688E5C33"/>
    <w:rsid w:val="6892C400"/>
    <w:rsid w:val="68942820"/>
    <w:rsid w:val="6895DE0F"/>
    <w:rsid w:val="6899DAFA"/>
    <w:rsid w:val="689E3E2B"/>
    <w:rsid w:val="68A491C8"/>
    <w:rsid w:val="68A868CE"/>
    <w:rsid w:val="68AFAB6E"/>
    <w:rsid w:val="68AFDD3C"/>
    <w:rsid w:val="68B63E63"/>
    <w:rsid w:val="68B68C54"/>
    <w:rsid w:val="68BB2A25"/>
    <w:rsid w:val="68C8CC17"/>
    <w:rsid w:val="68CC69BA"/>
    <w:rsid w:val="68E0F706"/>
    <w:rsid w:val="68E1C71F"/>
    <w:rsid w:val="68E4037F"/>
    <w:rsid w:val="68E608DD"/>
    <w:rsid w:val="68ED65E9"/>
    <w:rsid w:val="68F1C619"/>
    <w:rsid w:val="68F46AF1"/>
    <w:rsid w:val="68FA419F"/>
    <w:rsid w:val="68FC92C1"/>
    <w:rsid w:val="68FCB35D"/>
    <w:rsid w:val="68FCC4E4"/>
    <w:rsid w:val="68FE4D9D"/>
    <w:rsid w:val="68FF9C00"/>
    <w:rsid w:val="69004D3B"/>
    <w:rsid w:val="69024FE0"/>
    <w:rsid w:val="690A3E78"/>
    <w:rsid w:val="690AB415"/>
    <w:rsid w:val="6913FFBC"/>
    <w:rsid w:val="6914E62F"/>
    <w:rsid w:val="6915C374"/>
    <w:rsid w:val="6919D596"/>
    <w:rsid w:val="691DD5DD"/>
    <w:rsid w:val="69215C86"/>
    <w:rsid w:val="69243DCF"/>
    <w:rsid w:val="692891E8"/>
    <w:rsid w:val="6928D78F"/>
    <w:rsid w:val="692937A5"/>
    <w:rsid w:val="692E6D52"/>
    <w:rsid w:val="692EDAF3"/>
    <w:rsid w:val="6935A15F"/>
    <w:rsid w:val="6936C5FB"/>
    <w:rsid w:val="6937EDA1"/>
    <w:rsid w:val="693F7CB5"/>
    <w:rsid w:val="69468F63"/>
    <w:rsid w:val="6950D893"/>
    <w:rsid w:val="6958B43A"/>
    <w:rsid w:val="695C60A5"/>
    <w:rsid w:val="695E0E3E"/>
    <w:rsid w:val="69637C5B"/>
    <w:rsid w:val="69661F8F"/>
    <w:rsid w:val="6966587E"/>
    <w:rsid w:val="696CCD59"/>
    <w:rsid w:val="696E2381"/>
    <w:rsid w:val="696E9470"/>
    <w:rsid w:val="6974CF7E"/>
    <w:rsid w:val="69805134"/>
    <w:rsid w:val="6980879F"/>
    <w:rsid w:val="69862801"/>
    <w:rsid w:val="6988D8DB"/>
    <w:rsid w:val="69898DD1"/>
    <w:rsid w:val="698CDE35"/>
    <w:rsid w:val="699043AF"/>
    <w:rsid w:val="69914EE3"/>
    <w:rsid w:val="699158CD"/>
    <w:rsid w:val="699235D5"/>
    <w:rsid w:val="699639B3"/>
    <w:rsid w:val="69964EE3"/>
    <w:rsid w:val="69A37418"/>
    <w:rsid w:val="69A5C1FF"/>
    <w:rsid w:val="69A7DB06"/>
    <w:rsid w:val="69A9D0FC"/>
    <w:rsid w:val="69AF32FC"/>
    <w:rsid w:val="69AF9052"/>
    <w:rsid w:val="69B20101"/>
    <w:rsid w:val="69BA27B7"/>
    <w:rsid w:val="69BCBC5F"/>
    <w:rsid w:val="69BE5695"/>
    <w:rsid w:val="69C2B2A2"/>
    <w:rsid w:val="69C4DCA5"/>
    <w:rsid w:val="69C7AF28"/>
    <w:rsid w:val="69C9B51C"/>
    <w:rsid w:val="69D13B5A"/>
    <w:rsid w:val="69D664FE"/>
    <w:rsid w:val="69D7DE97"/>
    <w:rsid w:val="69D7E688"/>
    <w:rsid w:val="69DAA55F"/>
    <w:rsid w:val="69DABF67"/>
    <w:rsid w:val="69E8F732"/>
    <w:rsid w:val="69ED62E5"/>
    <w:rsid w:val="69EF85AF"/>
    <w:rsid w:val="69F5412B"/>
    <w:rsid w:val="69F610BE"/>
    <w:rsid w:val="69F624E7"/>
    <w:rsid w:val="69F7466C"/>
    <w:rsid w:val="6A01F554"/>
    <w:rsid w:val="6A04D123"/>
    <w:rsid w:val="6A0608AB"/>
    <w:rsid w:val="6A0EFC7F"/>
    <w:rsid w:val="6A0FBBB5"/>
    <w:rsid w:val="6A113636"/>
    <w:rsid w:val="6A15B25B"/>
    <w:rsid w:val="6A186DE8"/>
    <w:rsid w:val="6A1B9CA0"/>
    <w:rsid w:val="6A1CA6C1"/>
    <w:rsid w:val="6A1D1830"/>
    <w:rsid w:val="6A2043A7"/>
    <w:rsid w:val="6A21AE5C"/>
    <w:rsid w:val="6A2F949F"/>
    <w:rsid w:val="6A374EE8"/>
    <w:rsid w:val="6A387B1B"/>
    <w:rsid w:val="6A3DF05F"/>
    <w:rsid w:val="6A461FB6"/>
    <w:rsid w:val="6A512F7B"/>
    <w:rsid w:val="6A56A094"/>
    <w:rsid w:val="6A56F71B"/>
    <w:rsid w:val="6A57B521"/>
    <w:rsid w:val="6A597BF3"/>
    <w:rsid w:val="6A66C4B8"/>
    <w:rsid w:val="6A67C1CE"/>
    <w:rsid w:val="6A795778"/>
    <w:rsid w:val="6A7A8D47"/>
    <w:rsid w:val="6A7C5E47"/>
    <w:rsid w:val="6A7DF575"/>
    <w:rsid w:val="6A812A4C"/>
    <w:rsid w:val="6A81A57C"/>
    <w:rsid w:val="6A846B09"/>
    <w:rsid w:val="6A85DF89"/>
    <w:rsid w:val="6A8C9B97"/>
    <w:rsid w:val="6A8D0666"/>
    <w:rsid w:val="6A8FD90E"/>
    <w:rsid w:val="6A92DCAC"/>
    <w:rsid w:val="6A9406A3"/>
    <w:rsid w:val="6A95834B"/>
    <w:rsid w:val="6A95FC23"/>
    <w:rsid w:val="6A97A8AB"/>
    <w:rsid w:val="6A9F8CA0"/>
    <w:rsid w:val="6AA0A216"/>
    <w:rsid w:val="6AA93865"/>
    <w:rsid w:val="6AAAB712"/>
    <w:rsid w:val="6AADAE09"/>
    <w:rsid w:val="6AB05320"/>
    <w:rsid w:val="6AB2CE6F"/>
    <w:rsid w:val="6AB4A7EA"/>
    <w:rsid w:val="6AB4E880"/>
    <w:rsid w:val="6AB591EC"/>
    <w:rsid w:val="6AB776E4"/>
    <w:rsid w:val="6AB95775"/>
    <w:rsid w:val="6AB9C041"/>
    <w:rsid w:val="6ABA934B"/>
    <w:rsid w:val="6AC109D9"/>
    <w:rsid w:val="6AC1F1C0"/>
    <w:rsid w:val="6AC2B803"/>
    <w:rsid w:val="6AC5180D"/>
    <w:rsid w:val="6AC59646"/>
    <w:rsid w:val="6AC6B1D8"/>
    <w:rsid w:val="6AC6E23E"/>
    <w:rsid w:val="6ADA9734"/>
    <w:rsid w:val="6ADACCE9"/>
    <w:rsid w:val="6AE3A4C6"/>
    <w:rsid w:val="6AE78C28"/>
    <w:rsid w:val="6AE7F668"/>
    <w:rsid w:val="6AE94F11"/>
    <w:rsid w:val="6AEB1ACE"/>
    <w:rsid w:val="6AF1DA70"/>
    <w:rsid w:val="6AF34CA2"/>
    <w:rsid w:val="6AF425B9"/>
    <w:rsid w:val="6AF77E15"/>
    <w:rsid w:val="6AF8B015"/>
    <w:rsid w:val="6AFDFF8F"/>
    <w:rsid w:val="6AFF00F0"/>
    <w:rsid w:val="6B09DBD1"/>
    <w:rsid w:val="6B0CDC31"/>
    <w:rsid w:val="6B10321B"/>
    <w:rsid w:val="6B159D4D"/>
    <w:rsid w:val="6B1B5B87"/>
    <w:rsid w:val="6B20011B"/>
    <w:rsid w:val="6B23BD82"/>
    <w:rsid w:val="6B24EB14"/>
    <w:rsid w:val="6B2D0541"/>
    <w:rsid w:val="6B369706"/>
    <w:rsid w:val="6B37D648"/>
    <w:rsid w:val="6B38C7F1"/>
    <w:rsid w:val="6B39CC42"/>
    <w:rsid w:val="6B39F66F"/>
    <w:rsid w:val="6B3A56F6"/>
    <w:rsid w:val="6B3C71C1"/>
    <w:rsid w:val="6B3D1834"/>
    <w:rsid w:val="6B46C40D"/>
    <w:rsid w:val="6B498DD8"/>
    <w:rsid w:val="6B49AB89"/>
    <w:rsid w:val="6B4ADAD1"/>
    <w:rsid w:val="6B542838"/>
    <w:rsid w:val="6B5B8052"/>
    <w:rsid w:val="6B5F5139"/>
    <w:rsid w:val="6B663F1B"/>
    <w:rsid w:val="6B67E85E"/>
    <w:rsid w:val="6B6A0B19"/>
    <w:rsid w:val="6B6FADCF"/>
    <w:rsid w:val="6B704D31"/>
    <w:rsid w:val="6B761858"/>
    <w:rsid w:val="6B77DE45"/>
    <w:rsid w:val="6B7DF8B6"/>
    <w:rsid w:val="6B83CEDE"/>
    <w:rsid w:val="6B8AB764"/>
    <w:rsid w:val="6B8C7A0F"/>
    <w:rsid w:val="6B8F7A68"/>
    <w:rsid w:val="6B90F926"/>
    <w:rsid w:val="6B92CAD9"/>
    <w:rsid w:val="6B936724"/>
    <w:rsid w:val="6B98C293"/>
    <w:rsid w:val="6B9ACC40"/>
    <w:rsid w:val="6B9AF201"/>
    <w:rsid w:val="6B9CC86E"/>
    <w:rsid w:val="6B9FC65A"/>
    <w:rsid w:val="6BA15C66"/>
    <w:rsid w:val="6BA2E161"/>
    <w:rsid w:val="6BA3D0CB"/>
    <w:rsid w:val="6BA4A7AC"/>
    <w:rsid w:val="6BA5514D"/>
    <w:rsid w:val="6BA7CC8A"/>
    <w:rsid w:val="6BAA9CF4"/>
    <w:rsid w:val="6BAF4A5C"/>
    <w:rsid w:val="6BAFE2A6"/>
    <w:rsid w:val="6BB0BE5E"/>
    <w:rsid w:val="6BB4BBAE"/>
    <w:rsid w:val="6BB6E547"/>
    <w:rsid w:val="6BB7107C"/>
    <w:rsid w:val="6BB7CE74"/>
    <w:rsid w:val="6BB91C5D"/>
    <w:rsid w:val="6BBC2833"/>
    <w:rsid w:val="6BBCC167"/>
    <w:rsid w:val="6BBDF0D6"/>
    <w:rsid w:val="6BBF151F"/>
    <w:rsid w:val="6BC08178"/>
    <w:rsid w:val="6BCC3817"/>
    <w:rsid w:val="6BCCADC9"/>
    <w:rsid w:val="6BCDE497"/>
    <w:rsid w:val="6BD318B3"/>
    <w:rsid w:val="6BD58BB9"/>
    <w:rsid w:val="6BD73B0C"/>
    <w:rsid w:val="6BD83325"/>
    <w:rsid w:val="6BD97704"/>
    <w:rsid w:val="6BDA52E6"/>
    <w:rsid w:val="6BDD0278"/>
    <w:rsid w:val="6BDEF987"/>
    <w:rsid w:val="6BE1AF4B"/>
    <w:rsid w:val="6BE5195C"/>
    <w:rsid w:val="6BE98506"/>
    <w:rsid w:val="6BEADE18"/>
    <w:rsid w:val="6BF10455"/>
    <w:rsid w:val="6BF6D2B5"/>
    <w:rsid w:val="6BF92FDD"/>
    <w:rsid w:val="6BFB132E"/>
    <w:rsid w:val="6BFC6321"/>
    <w:rsid w:val="6BFF325E"/>
    <w:rsid w:val="6BFFCC22"/>
    <w:rsid w:val="6C0107FD"/>
    <w:rsid w:val="6C0193F3"/>
    <w:rsid w:val="6C07DEAB"/>
    <w:rsid w:val="6C088C76"/>
    <w:rsid w:val="6C093BF6"/>
    <w:rsid w:val="6C0CC796"/>
    <w:rsid w:val="6C0DE509"/>
    <w:rsid w:val="6C100844"/>
    <w:rsid w:val="6C1225E5"/>
    <w:rsid w:val="6C14FA0C"/>
    <w:rsid w:val="6C1577B6"/>
    <w:rsid w:val="6C168D09"/>
    <w:rsid w:val="6C1B38AA"/>
    <w:rsid w:val="6C1D8436"/>
    <w:rsid w:val="6C1D98AB"/>
    <w:rsid w:val="6C2D3312"/>
    <w:rsid w:val="6C30E8F5"/>
    <w:rsid w:val="6C34ED9F"/>
    <w:rsid w:val="6C36F430"/>
    <w:rsid w:val="6C3962AC"/>
    <w:rsid w:val="6C397FB9"/>
    <w:rsid w:val="6C3A9155"/>
    <w:rsid w:val="6C3D8FF3"/>
    <w:rsid w:val="6C4482A4"/>
    <w:rsid w:val="6C464D99"/>
    <w:rsid w:val="6C4DE75B"/>
    <w:rsid w:val="6C4E9ED0"/>
    <w:rsid w:val="6C55211D"/>
    <w:rsid w:val="6C57BEFA"/>
    <w:rsid w:val="6C676851"/>
    <w:rsid w:val="6C68A37F"/>
    <w:rsid w:val="6C6C64F0"/>
    <w:rsid w:val="6C6F03C1"/>
    <w:rsid w:val="6C6F0C9B"/>
    <w:rsid w:val="6C6F377E"/>
    <w:rsid w:val="6C71EEDE"/>
    <w:rsid w:val="6C736602"/>
    <w:rsid w:val="6C738721"/>
    <w:rsid w:val="6C7471E7"/>
    <w:rsid w:val="6C7667F4"/>
    <w:rsid w:val="6C7A58E2"/>
    <w:rsid w:val="6C7AC0F6"/>
    <w:rsid w:val="6C7C7474"/>
    <w:rsid w:val="6C7CF6DF"/>
    <w:rsid w:val="6C7EE929"/>
    <w:rsid w:val="6C85768B"/>
    <w:rsid w:val="6C862886"/>
    <w:rsid w:val="6C8ADE06"/>
    <w:rsid w:val="6C8AE4C7"/>
    <w:rsid w:val="6C8E2368"/>
    <w:rsid w:val="6C8EA473"/>
    <w:rsid w:val="6C92B18C"/>
    <w:rsid w:val="6C94841F"/>
    <w:rsid w:val="6C94BE39"/>
    <w:rsid w:val="6C9BB26B"/>
    <w:rsid w:val="6C9D293E"/>
    <w:rsid w:val="6C9FEF92"/>
    <w:rsid w:val="6C9FF919"/>
    <w:rsid w:val="6CA10878"/>
    <w:rsid w:val="6CA1EDFC"/>
    <w:rsid w:val="6CA26B44"/>
    <w:rsid w:val="6CA584AD"/>
    <w:rsid w:val="6CA8A0E8"/>
    <w:rsid w:val="6CB0696B"/>
    <w:rsid w:val="6CB4DC7D"/>
    <w:rsid w:val="6CB66E84"/>
    <w:rsid w:val="6CBA72FB"/>
    <w:rsid w:val="6CBB66EE"/>
    <w:rsid w:val="6CBED45D"/>
    <w:rsid w:val="6CC0B285"/>
    <w:rsid w:val="6CC3E0E1"/>
    <w:rsid w:val="6CC43809"/>
    <w:rsid w:val="6CC5C029"/>
    <w:rsid w:val="6CC82094"/>
    <w:rsid w:val="6CCD25FB"/>
    <w:rsid w:val="6CD55C95"/>
    <w:rsid w:val="6CDB06E9"/>
    <w:rsid w:val="6CE8FC8F"/>
    <w:rsid w:val="6CEAAC76"/>
    <w:rsid w:val="6CEB330E"/>
    <w:rsid w:val="6CEFE0B2"/>
    <w:rsid w:val="6CF0D292"/>
    <w:rsid w:val="6CF24C7B"/>
    <w:rsid w:val="6CF36E78"/>
    <w:rsid w:val="6CF42103"/>
    <w:rsid w:val="6CF4AC79"/>
    <w:rsid w:val="6CF7BC27"/>
    <w:rsid w:val="6CF990C1"/>
    <w:rsid w:val="6CFBFFCD"/>
    <w:rsid w:val="6CFDA28B"/>
    <w:rsid w:val="6D0190C2"/>
    <w:rsid w:val="6D0400AB"/>
    <w:rsid w:val="6D051F52"/>
    <w:rsid w:val="6D0E08B2"/>
    <w:rsid w:val="6D132E0D"/>
    <w:rsid w:val="6D155ADF"/>
    <w:rsid w:val="6D1B44C1"/>
    <w:rsid w:val="6D1E21F7"/>
    <w:rsid w:val="6D2242CE"/>
    <w:rsid w:val="6D22E882"/>
    <w:rsid w:val="6D2B1514"/>
    <w:rsid w:val="6D2D66F3"/>
    <w:rsid w:val="6D2FF136"/>
    <w:rsid w:val="6D348AFE"/>
    <w:rsid w:val="6D34E45D"/>
    <w:rsid w:val="6D3B45B1"/>
    <w:rsid w:val="6D43090E"/>
    <w:rsid w:val="6D4A07DD"/>
    <w:rsid w:val="6D4B9A0E"/>
    <w:rsid w:val="6D4BC722"/>
    <w:rsid w:val="6D5332C9"/>
    <w:rsid w:val="6D5649B5"/>
    <w:rsid w:val="6D60F57D"/>
    <w:rsid w:val="6D62625D"/>
    <w:rsid w:val="6D64DEF8"/>
    <w:rsid w:val="6D684F84"/>
    <w:rsid w:val="6D6C3F5B"/>
    <w:rsid w:val="6D6FEEC1"/>
    <w:rsid w:val="6D7423EC"/>
    <w:rsid w:val="6D769341"/>
    <w:rsid w:val="6D78C846"/>
    <w:rsid w:val="6D79D5F8"/>
    <w:rsid w:val="6D7AD24C"/>
    <w:rsid w:val="6D7FDE00"/>
    <w:rsid w:val="6D8ADCCA"/>
    <w:rsid w:val="6D8B7D62"/>
    <w:rsid w:val="6D8F9931"/>
    <w:rsid w:val="6D92CBB4"/>
    <w:rsid w:val="6D97FC11"/>
    <w:rsid w:val="6D9D87D2"/>
    <w:rsid w:val="6D9EA63B"/>
    <w:rsid w:val="6DA2CB1B"/>
    <w:rsid w:val="6DA38D99"/>
    <w:rsid w:val="6DA7AA06"/>
    <w:rsid w:val="6DACAB02"/>
    <w:rsid w:val="6DAFCB86"/>
    <w:rsid w:val="6DB32827"/>
    <w:rsid w:val="6DB8234E"/>
    <w:rsid w:val="6DBE061E"/>
    <w:rsid w:val="6DC18ABB"/>
    <w:rsid w:val="6DC2708E"/>
    <w:rsid w:val="6DC29D36"/>
    <w:rsid w:val="6DCEA99F"/>
    <w:rsid w:val="6DCEFCCA"/>
    <w:rsid w:val="6DD39B85"/>
    <w:rsid w:val="6DD41610"/>
    <w:rsid w:val="6DD81EC3"/>
    <w:rsid w:val="6DDE2BBC"/>
    <w:rsid w:val="6DDEFA23"/>
    <w:rsid w:val="6DDF62DB"/>
    <w:rsid w:val="6DE0B864"/>
    <w:rsid w:val="6DE9891D"/>
    <w:rsid w:val="6DEB5780"/>
    <w:rsid w:val="6DF3B53E"/>
    <w:rsid w:val="6DF57A2A"/>
    <w:rsid w:val="6DF6742C"/>
    <w:rsid w:val="6DF878AF"/>
    <w:rsid w:val="6DFC3787"/>
    <w:rsid w:val="6DFD6D30"/>
    <w:rsid w:val="6DFF40C5"/>
    <w:rsid w:val="6E011E26"/>
    <w:rsid w:val="6E02D7F6"/>
    <w:rsid w:val="6E0806FD"/>
    <w:rsid w:val="6E0C6695"/>
    <w:rsid w:val="6E159E13"/>
    <w:rsid w:val="6E188874"/>
    <w:rsid w:val="6E1971EF"/>
    <w:rsid w:val="6E1B555E"/>
    <w:rsid w:val="6E1E899F"/>
    <w:rsid w:val="6E237544"/>
    <w:rsid w:val="6E2459D8"/>
    <w:rsid w:val="6E258C19"/>
    <w:rsid w:val="6E269E1D"/>
    <w:rsid w:val="6E284A51"/>
    <w:rsid w:val="6E28964D"/>
    <w:rsid w:val="6E2B8DDF"/>
    <w:rsid w:val="6E3268C7"/>
    <w:rsid w:val="6E353C8E"/>
    <w:rsid w:val="6E375A4B"/>
    <w:rsid w:val="6E37BBC2"/>
    <w:rsid w:val="6E407423"/>
    <w:rsid w:val="6E4409C4"/>
    <w:rsid w:val="6E447CF3"/>
    <w:rsid w:val="6E47AA71"/>
    <w:rsid w:val="6E49F7DF"/>
    <w:rsid w:val="6E4B6E70"/>
    <w:rsid w:val="6E4B8A77"/>
    <w:rsid w:val="6E4C111D"/>
    <w:rsid w:val="6E4EBB74"/>
    <w:rsid w:val="6E4FD3E0"/>
    <w:rsid w:val="6E529D68"/>
    <w:rsid w:val="6E542125"/>
    <w:rsid w:val="6E604269"/>
    <w:rsid w:val="6E686899"/>
    <w:rsid w:val="6E689102"/>
    <w:rsid w:val="6E6974F4"/>
    <w:rsid w:val="6E699376"/>
    <w:rsid w:val="6E6AF2D0"/>
    <w:rsid w:val="6E6B7B7A"/>
    <w:rsid w:val="6E6D5A05"/>
    <w:rsid w:val="6E6DE0CD"/>
    <w:rsid w:val="6E772FE0"/>
    <w:rsid w:val="6E7EA979"/>
    <w:rsid w:val="6E8423B0"/>
    <w:rsid w:val="6E88A3EA"/>
    <w:rsid w:val="6E92EB43"/>
    <w:rsid w:val="6E9A0BB3"/>
    <w:rsid w:val="6E9A9BCF"/>
    <w:rsid w:val="6EA1E5AC"/>
    <w:rsid w:val="6EA1F302"/>
    <w:rsid w:val="6EA301D9"/>
    <w:rsid w:val="6EA8D640"/>
    <w:rsid w:val="6EAD7CBA"/>
    <w:rsid w:val="6EB2294B"/>
    <w:rsid w:val="6EB244FB"/>
    <w:rsid w:val="6EB8AEB6"/>
    <w:rsid w:val="6EBCA414"/>
    <w:rsid w:val="6EBEE2C2"/>
    <w:rsid w:val="6EBF164F"/>
    <w:rsid w:val="6EC1E011"/>
    <w:rsid w:val="6EC2D6E8"/>
    <w:rsid w:val="6EC53DA4"/>
    <w:rsid w:val="6EC66FA4"/>
    <w:rsid w:val="6ECA1017"/>
    <w:rsid w:val="6ECAAC71"/>
    <w:rsid w:val="6EE2C69E"/>
    <w:rsid w:val="6EE31FFF"/>
    <w:rsid w:val="6EE3CA0C"/>
    <w:rsid w:val="6EE6443F"/>
    <w:rsid w:val="6EE82264"/>
    <w:rsid w:val="6EEA5A82"/>
    <w:rsid w:val="6EEAD60A"/>
    <w:rsid w:val="6EEADCC7"/>
    <w:rsid w:val="6EF5E910"/>
    <w:rsid w:val="6EF80E4D"/>
    <w:rsid w:val="6EFC7473"/>
    <w:rsid w:val="6EFCD682"/>
    <w:rsid w:val="6EFCFAF6"/>
    <w:rsid w:val="6EFE6FEC"/>
    <w:rsid w:val="6F01610D"/>
    <w:rsid w:val="6F048ACE"/>
    <w:rsid w:val="6F05C73E"/>
    <w:rsid w:val="6F0AEADF"/>
    <w:rsid w:val="6F0CE8EB"/>
    <w:rsid w:val="6F1162BD"/>
    <w:rsid w:val="6F166A72"/>
    <w:rsid w:val="6F1B9EE2"/>
    <w:rsid w:val="6F1F8D32"/>
    <w:rsid w:val="6F1FB18C"/>
    <w:rsid w:val="6F207FD9"/>
    <w:rsid w:val="6F225919"/>
    <w:rsid w:val="6F2C4634"/>
    <w:rsid w:val="6F37AFED"/>
    <w:rsid w:val="6F3AC3A4"/>
    <w:rsid w:val="6F3DE016"/>
    <w:rsid w:val="6F412A00"/>
    <w:rsid w:val="6F48C2DB"/>
    <w:rsid w:val="6F4923F3"/>
    <w:rsid w:val="6F4C83A0"/>
    <w:rsid w:val="6F501160"/>
    <w:rsid w:val="6F50BF07"/>
    <w:rsid w:val="6F5B7774"/>
    <w:rsid w:val="6F5C7AD8"/>
    <w:rsid w:val="6F5D0AAA"/>
    <w:rsid w:val="6F5DA9F1"/>
    <w:rsid w:val="6F6136FB"/>
    <w:rsid w:val="6F62703B"/>
    <w:rsid w:val="6F667828"/>
    <w:rsid w:val="6F667EF5"/>
    <w:rsid w:val="6F6698B6"/>
    <w:rsid w:val="6F677238"/>
    <w:rsid w:val="6F68AB02"/>
    <w:rsid w:val="6F6CF3D1"/>
    <w:rsid w:val="6F6D1760"/>
    <w:rsid w:val="6F757D5D"/>
    <w:rsid w:val="6F77B22D"/>
    <w:rsid w:val="6F7B1D32"/>
    <w:rsid w:val="6F7BBA03"/>
    <w:rsid w:val="6F80BE8A"/>
    <w:rsid w:val="6F8B21A0"/>
    <w:rsid w:val="6F8C079F"/>
    <w:rsid w:val="6F8CB685"/>
    <w:rsid w:val="6F911AFA"/>
    <w:rsid w:val="6F959C7A"/>
    <w:rsid w:val="6F961901"/>
    <w:rsid w:val="6F9D75E8"/>
    <w:rsid w:val="6FA7D6C0"/>
    <w:rsid w:val="6FB46BA5"/>
    <w:rsid w:val="6FBD5192"/>
    <w:rsid w:val="6FC10132"/>
    <w:rsid w:val="6FC3EEBB"/>
    <w:rsid w:val="6FCAAB6F"/>
    <w:rsid w:val="6FCB687C"/>
    <w:rsid w:val="6FCB8955"/>
    <w:rsid w:val="6FD0EB59"/>
    <w:rsid w:val="6FD5ECED"/>
    <w:rsid w:val="6FD77106"/>
    <w:rsid w:val="6FD980EE"/>
    <w:rsid w:val="6FDA0132"/>
    <w:rsid w:val="6FE5918E"/>
    <w:rsid w:val="6FE6F6CE"/>
    <w:rsid w:val="6FE97F96"/>
    <w:rsid w:val="6FEC7E75"/>
    <w:rsid w:val="6FED4CB1"/>
    <w:rsid w:val="6FEDA5DB"/>
    <w:rsid w:val="6FF2714E"/>
    <w:rsid w:val="6FF43F35"/>
    <w:rsid w:val="6FF8A6AC"/>
    <w:rsid w:val="6FF9D64F"/>
    <w:rsid w:val="6FFACAD6"/>
    <w:rsid w:val="7001828A"/>
    <w:rsid w:val="70070285"/>
    <w:rsid w:val="70073C41"/>
    <w:rsid w:val="700BE61D"/>
    <w:rsid w:val="700FB313"/>
    <w:rsid w:val="7014C81F"/>
    <w:rsid w:val="7016B558"/>
    <w:rsid w:val="70186CFA"/>
    <w:rsid w:val="701946DF"/>
    <w:rsid w:val="701B0228"/>
    <w:rsid w:val="701CEEC5"/>
    <w:rsid w:val="70200D24"/>
    <w:rsid w:val="7020DEBD"/>
    <w:rsid w:val="703EC5F7"/>
    <w:rsid w:val="7044619D"/>
    <w:rsid w:val="704E1341"/>
    <w:rsid w:val="70566C44"/>
    <w:rsid w:val="705721EC"/>
    <w:rsid w:val="70582F27"/>
    <w:rsid w:val="705A2CBE"/>
    <w:rsid w:val="705BEA20"/>
    <w:rsid w:val="705C9EF3"/>
    <w:rsid w:val="706034C3"/>
    <w:rsid w:val="70638C64"/>
    <w:rsid w:val="706585A1"/>
    <w:rsid w:val="706D2F09"/>
    <w:rsid w:val="706E4C83"/>
    <w:rsid w:val="706EE8B6"/>
    <w:rsid w:val="706FFCD0"/>
    <w:rsid w:val="707F8811"/>
    <w:rsid w:val="70811500"/>
    <w:rsid w:val="7081F252"/>
    <w:rsid w:val="70854349"/>
    <w:rsid w:val="708A5C7A"/>
    <w:rsid w:val="708E7433"/>
    <w:rsid w:val="708F2F51"/>
    <w:rsid w:val="7091CA17"/>
    <w:rsid w:val="70994379"/>
    <w:rsid w:val="7099B89E"/>
    <w:rsid w:val="709FFCB3"/>
    <w:rsid w:val="70A57530"/>
    <w:rsid w:val="70A669A9"/>
    <w:rsid w:val="70A9DFFA"/>
    <w:rsid w:val="70AD1F06"/>
    <w:rsid w:val="70AF0226"/>
    <w:rsid w:val="70B47CFE"/>
    <w:rsid w:val="70B4FFE3"/>
    <w:rsid w:val="70B669A2"/>
    <w:rsid w:val="70BC7E72"/>
    <w:rsid w:val="70C25E17"/>
    <w:rsid w:val="70CE9B6F"/>
    <w:rsid w:val="70CEF99B"/>
    <w:rsid w:val="70DAA945"/>
    <w:rsid w:val="70DC29DE"/>
    <w:rsid w:val="70DD0A5F"/>
    <w:rsid w:val="70DEFB5A"/>
    <w:rsid w:val="70DF22AE"/>
    <w:rsid w:val="70E03B67"/>
    <w:rsid w:val="70E83172"/>
    <w:rsid w:val="70EA04D7"/>
    <w:rsid w:val="70EACF31"/>
    <w:rsid w:val="70EB7458"/>
    <w:rsid w:val="70EDC746"/>
    <w:rsid w:val="70EEDFD9"/>
    <w:rsid w:val="70F234BB"/>
    <w:rsid w:val="70F2AE2B"/>
    <w:rsid w:val="70F69E68"/>
    <w:rsid w:val="70FDDDEF"/>
    <w:rsid w:val="70FF370D"/>
    <w:rsid w:val="7110DEA9"/>
    <w:rsid w:val="711195A7"/>
    <w:rsid w:val="7118938F"/>
    <w:rsid w:val="711B5130"/>
    <w:rsid w:val="7121505B"/>
    <w:rsid w:val="71253615"/>
    <w:rsid w:val="7125A84E"/>
    <w:rsid w:val="7125C07B"/>
    <w:rsid w:val="71272588"/>
    <w:rsid w:val="712A634C"/>
    <w:rsid w:val="712BCFA1"/>
    <w:rsid w:val="712CCAEE"/>
    <w:rsid w:val="71315570"/>
    <w:rsid w:val="71334ACA"/>
    <w:rsid w:val="71409549"/>
    <w:rsid w:val="71428BF8"/>
    <w:rsid w:val="7146FE0C"/>
    <w:rsid w:val="7147A389"/>
    <w:rsid w:val="71496BAD"/>
    <w:rsid w:val="714B0C8B"/>
    <w:rsid w:val="714DC2F7"/>
    <w:rsid w:val="7155D449"/>
    <w:rsid w:val="715DEFAE"/>
    <w:rsid w:val="7164FE59"/>
    <w:rsid w:val="7168D84C"/>
    <w:rsid w:val="716F30D4"/>
    <w:rsid w:val="7175A6FC"/>
    <w:rsid w:val="7178DD97"/>
    <w:rsid w:val="717B4C6B"/>
    <w:rsid w:val="717C02BB"/>
    <w:rsid w:val="717D4736"/>
    <w:rsid w:val="717EBA66"/>
    <w:rsid w:val="718615F4"/>
    <w:rsid w:val="718CF742"/>
    <w:rsid w:val="718D2541"/>
    <w:rsid w:val="71915B6F"/>
    <w:rsid w:val="7193AEB2"/>
    <w:rsid w:val="71965A05"/>
    <w:rsid w:val="71969C54"/>
    <w:rsid w:val="7198B3B6"/>
    <w:rsid w:val="719BEEC1"/>
    <w:rsid w:val="719CE5E0"/>
    <w:rsid w:val="71A2B1E3"/>
    <w:rsid w:val="71A48BCC"/>
    <w:rsid w:val="71A49548"/>
    <w:rsid w:val="71A7D60B"/>
    <w:rsid w:val="71B2ECEB"/>
    <w:rsid w:val="71BA6BE0"/>
    <w:rsid w:val="71BCE408"/>
    <w:rsid w:val="71BD399F"/>
    <w:rsid w:val="71BD9F0E"/>
    <w:rsid w:val="71BE4C6E"/>
    <w:rsid w:val="71C04563"/>
    <w:rsid w:val="71D532EF"/>
    <w:rsid w:val="71D6087E"/>
    <w:rsid w:val="71D6D79E"/>
    <w:rsid w:val="71DB3C25"/>
    <w:rsid w:val="71DDE2BA"/>
    <w:rsid w:val="71EA3D6B"/>
    <w:rsid w:val="71EB0169"/>
    <w:rsid w:val="71EF5F25"/>
    <w:rsid w:val="71EFBFFA"/>
    <w:rsid w:val="71F59AF5"/>
    <w:rsid w:val="71FB6DDA"/>
    <w:rsid w:val="71FD5237"/>
    <w:rsid w:val="71FDD5F6"/>
    <w:rsid w:val="71FE044E"/>
    <w:rsid w:val="71FF2AC1"/>
    <w:rsid w:val="720147CF"/>
    <w:rsid w:val="7204113A"/>
    <w:rsid w:val="7206BEFC"/>
    <w:rsid w:val="7206ECA1"/>
    <w:rsid w:val="72078623"/>
    <w:rsid w:val="720DA39E"/>
    <w:rsid w:val="720F8210"/>
    <w:rsid w:val="721443EF"/>
    <w:rsid w:val="72163370"/>
    <w:rsid w:val="72195169"/>
    <w:rsid w:val="721AB63B"/>
    <w:rsid w:val="7221EBDC"/>
    <w:rsid w:val="7222D4C8"/>
    <w:rsid w:val="7222D9BE"/>
    <w:rsid w:val="7222FE3A"/>
    <w:rsid w:val="72260DEB"/>
    <w:rsid w:val="7229D2F9"/>
    <w:rsid w:val="722C49CC"/>
    <w:rsid w:val="722D342C"/>
    <w:rsid w:val="722D686D"/>
    <w:rsid w:val="7240063B"/>
    <w:rsid w:val="724131E8"/>
    <w:rsid w:val="7245C346"/>
    <w:rsid w:val="724A0C07"/>
    <w:rsid w:val="724E20E2"/>
    <w:rsid w:val="724F8B58"/>
    <w:rsid w:val="72561DDB"/>
    <w:rsid w:val="725CEE0A"/>
    <w:rsid w:val="725ECDBF"/>
    <w:rsid w:val="725F39D7"/>
    <w:rsid w:val="7264FAAB"/>
    <w:rsid w:val="7266EA50"/>
    <w:rsid w:val="726912BB"/>
    <w:rsid w:val="726AB6CB"/>
    <w:rsid w:val="72705F2A"/>
    <w:rsid w:val="727301E1"/>
    <w:rsid w:val="7276399E"/>
    <w:rsid w:val="7276F238"/>
    <w:rsid w:val="72780CB4"/>
    <w:rsid w:val="7278E1F6"/>
    <w:rsid w:val="727A9A8A"/>
    <w:rsid w:val="727CC5F4"/>
    <w:rsid w:val="727FDC33"/>
    <w:rsid w:val="72811709"/>
    <w:rsid w:val="72813CC7"/>
    <w:rsid w:val="72850BC4"/>
    <w:rsid w:val="7288997E"/>
    <w:rsid w:val="72892D5C"/>
    <w:rsid w:val="728A4F80"/>
    <w:rsid w:val="72962342"/>
    <w:rsid w:val="729B4792"/>
    <w:rsid w:val="729C0BD1"/>
    <w:rsid w:val="72A0DE8C"/>
    <w:rsid w:val="72AC3B7B"/>
    <w:rsid w:val="72BA0971"/>
    <w:rsid w:val="72BD3605"/>
    <w:rsid w:val="72BE7045"/>
    <w:rsid w:val="72CC7B6A"/>
    <w:rsid w:val="72CF1034"/>
    <w:rsid w:val="72D5161A"/>
    <w:rsid w:val="72D587B4"/>
    <w:rsid w:val="72D5D340"/>
    <w:rsid w:val="72D673A5"/>
    <w:rsid w:val="72D6D5BB"/>
    <w:rsid w:val="72DD5144"/>
    <w:rsid w:val="72E4CEE2"/>
    <w:rsid w:val="72E7459B"/>
    <w:rsid w:val="72F1DC2F"/>
    <w:rsid w:val="72F55111"/>
    <w:rsid w:val="72F93DCF"/>
    <w:rsid w:val="72FBF4E7"/>
    <w:rsid w:val="7301040E"/>
    <w:rsid w:val="73083D34"/>
    <w:rsid w:val="730B2D0A"/>
    <w:rsid w:val="730E530D"/>
    <w:rsid w:val="730E6DB5"/>
    <w:rsid w:val="7312F38A"/>
    <w:rsid w:val="731E7E99"/>
    <w:rsid w:val="731F8DE4"/>
    <w:rsid w:val="73217437"/>
    <w:rsid w:val="7321C0BE"/>
    <w:rsid w:val="7323D8B3"/>
    <w:rsid w:val="7325319D"/>
    <w:rsid w:val="73260FAD"/>
    <w:rsid w:val="73268E6D"/>
    <w:rsid w:val="732770BC"/>
    <w:rsid w:val="7327766B"/>
    <w:rsid w:val="7327B8BD"/>
    <w:rsid w:val="732D5976"/>
    <w:rsid w:val="732D7B68"/>
    <w:rsid w:val="732E26AB"/>
    <w:rsid w:val="73389948"/>
    <w:rsid w:val="73390637"/>
    <w:rsid w:val="733B1DC8"/>
    <w:rsid w:val="7341D4A3"/>
    <w:rsid w:val="73463F4C"/>
    <w:rsid w:val="734659C0"/>
    <w:rsid w:val="73482898"/>
    <w:rsid w:val="734C2636"/>
    <w:rsid w:val="734C31E0"/>
    <w:rsid w:val="734DC773"/>
    <w:rsid w:val="734E6072"/>
    <w:rsid w:val="73526927"/>
    <w:rsid w:val="7354FA23"/>
    <w:rsid w:val="73588B65"/>
    <w:rsid w:val="735A9622"/>
    <w:rsid w:val="735B1A5D"/>
    <w:rsid w:val="736A0583"/>
    <w:rsid w:val="736CDA21"/>
    <w:rsid w:val="737113AF"/>
    <w:rsid w:val="7372B5FF"/>
    <w:rsid w:val="7373ACD9"/>
    <w:rsid w:val="73749D92"/>
    <w:rsid w:val="7376621C"/>
    <w:rsid w:val="7378B697"/>
    <w:rsid w:val="737B5439"/>
    <w:rsid w:val="737DF8AF"/>
    <w:rsid w:val="737F74CC"/>
    <w:rsid w:val="7380BD4E"/>
    <w:rsid w:val="738A97E5"/>
    <w:rsid w:val="7390AC6E"/>
    <w:rsid w:val="739BB44F"/>
    <w:rsid w:val="739C867C"/>
    <w:rsid w:val="739D4A30"/>
    <w:rsid w:val="739EC3D4"/>
    <w:rsid w:val="73A6D048"/>
    <w:rsid w:val="73AE1C23"/>
    <w:rsid w:val="73B25580"/>
    <w:rsid w:val="73B6607B"/>
    <w:rsid w:val="73BC236B"/>
    <w:rsid w:val="73BD66C4"/>
    <w:rsid w:val="73CAE671"/>
    <w:rsid w:val="73CF3770"/>
    <w:rsid w:val="73D5CFD0"/>
    <w:rsid w:val="73D62217"/>
    <w:rsid w:val="73D91373"/>
    <w:rsid w:val="73DA4E08"/>
    <w:rsid w:val="73DC4610"/>
    <w:rsid w:val="73DF3B83"/>
    <w:rsid w:val="73DF9C11"/>
    <w:rsid w:val="73E2F4F6"/>
    <w:rsid w:val="73E43178"/>
    <w:rsid w:val="73EB2DAA"/>
    <w:rsid w:val="73F04047"/>
    <w:rsid w:val="73F2C178"/>
    <w:rsid w:val="73F4906D"/>
    <w:rsid w:val="73F83E63"/>
    <w:rsid w:val="73FA0A12"/>
    <w:rsid w:val="73FD50D0"/>
    <w:rsid w:val="7400C15E"/>
    <w:rsid w:val="74014AB7"/>
    <w:rsid w:val="7401A3B9"/>
    <w:rsid w:val="74113A62"/>
    <w:rsid w:val="74129574"/>
    <w:rsid w:val="7412A88B"/>
    <w:rsid w:val="7412BBB5"/>
    <w:rsid w:val="741403A6"/>
    <w:rsid w:val="74140D10"/>
    <w:rsid w:val="741B388A"/>
    <w:rsid w:val="741EAD41"/>
    <w:rsid w:val="7420ECA5"/>
    <w:rsid w:val="74221E9A"/>
    <w:rsid w:val="742C9F0A"/>
    <w:rsid w:val="7431C428"/>
    <w:rsid w:val="74394CCD"/>
    <w:rsid w:val="743AB56B"/>
    <w:rsid w:val="74425EF6"/>
    <w:rsid w:val="7442FE4C"/>
    <w:rsid w:val="744342A0"/>
    <w:rsid w:val="7447150D"/>
    <w:rsid w:val="744EA674"/>
    <w:rsid w:val="7458F11D"/>
    <w:rsid w:val="74593EE6"/>
    <w:rsid w:val="745E01FE"/>
    <w:rsid w:val="745E2FAA"/>
    <w:rsid w:val="74600D4F"/>
    <w:rsid w:val="746D61AD"/>
    <w:rsid w:val="746DA444"/>
    <w:rsid w:val="7476B985"/>
    <w:rsid w:val="74773033"/>
    <w:rsid w:val="747E30ED"/>
    <w:rsid w:val="747ED669"/>
    <w:rsid w:val="747FD8DE"/>
    <w:rsid w:val="7483951F"/>
    <w:rsid w:val="7484901E"/>
    <w:rsid w:val="7485371E"/>
    <w:rsid w:val="748D5FD8"/>
    <w:rsid w:val="7490496F"/>
    <w:rsid w:val="7492B0F1"/>
    <w:rsid w:val="74949302"/>
    <w:rsid w:val="749BCF35"/>
    <w:rsid w:val="749E20D9"/>
    <w:rsid w:val="749E233B"/>
    <w:rsid w:val="749E64F9"/>
    <w:rsid w:val="74A3F94D"/>
    <w:rsid w:val="74A82CC9"/>
    <w:rsid w:val="74ABEADC"/>
    <w:rsid w:val="74AFDCF3"/>
    <w:rsid w:val="74B2AE8B"/>
    <w:rsid w:val="74B329A3"/>
    <w:rsid w:val="74B50339"/>
    <w:rsid w:val="74B55118"/>
    <w:rsid w:val="74B86468"/>
    <w:rsid w:val="74BB9268"/>
    <w:rsid w:val="74C22C35"/>
    <w:rsid w:val="74C2C06C"/>
    <w:rsid w:val="74C2C1B5"/>
    <w:rsid w:val="74DD2D1C"/>
    <w:rsid w:val="74E0FE93"/>
    <w:rsid w:val="74E2D4AA"/>
    <w:rsid w:val="74E2E9C0"/>
    <w:rsid w:val="74E3FABA"/>
    <w:rsid w:val="74E8EE19"/>
    <w:rsid w:val="74E94259"/>
    <w:rsid w:val="74EA4EC3"/>
    <w:rsid w:val="74EA9D40"/>
    <w:rsid w:val="74F21EAD"/>
    <w:rsid w:val="74F60D45"/>
    <w:rsid w:val="750036A2"/>
    <w:rsid w:val="75025F67"/>
    <w:rsid w:val="7504B00E"/>
    <w:rsid w:val="7507F290"/>
    <w:rsid w:val="750ACBC7"/>
    <w:rsid w:val="750BE041"/>
    <w:rsid w:val="750D9B2C"/>
    <w:rsid w:val="750E9732"/>
    <w:rsid w:val="75154537"/>
    <w:rsid w:val="751B1125"/>
    <w:rsid w:val="751D6942"/>
    <w:rsid w:val="751EFBCF"/>
    <w:rsid w:val="7521C412"/>
    <w:rsid w:val="7521F901"/>
    <w:rsid w:val="7523713E"/>
    <w:rsid w:val="7525C274"/>
    <w:rsid w:val="752A4457"/>
    <w:rsid w:val="752B9084"/>
    <w:rsid w:val="7530AB66"/>
    <w:rsid w:val="753190A7"/>
    <w:rsid w:val="75377F85"/>
    <w:rsid w:val="753A0FD9"/>
    <w:rsid w:val="753B53A1"/>
    <w:rsid w:val="753BA51B"/>
    <w:rsid w:val="753C9CF0"/>
    <w:rsid w:val="753E9128"/>
    <w:rsid w:val="754121AA"/>
    <w:rsid w:val="7542D8FD"/>
    <w:rsid w:val="7542F233"/>
    <w:rsid w:val="75459522"/>
    <w:rsid w:val="7548DFC2"/>
    <w:rsid w:val="7555D002"/>
    <w:rsid w:val="75566D7B"/>
    <w:rsid w:val="7556C357"/>
    <w:rsid w:val="755C8000"/>
    <w:rsid w:val="755EBD5A"/>
    <w:rsid w:val="75663AFE"/>
    <w:rsid w:val="75664D06"/>
    <w:rsid w:val="7568C7D8"/>
    <w:rsid w:val="756E6BD1"/>
    <w:rsid w:val="7570DA55"/>
    <w:rsid w:val="7571751E"/>
    <w:rsid w:val="75721C3E"/>
    <w:rsid w:val="7574ACB2"/>
    <w:rsid w:val="75765231"/>
    <w:rsid w:val="757B48EC"/>
    <w:rsid w:val="757B5756"/>
    <w:rsid w:val="757CED74"/>
    <w:rsid w:val="7589118E"/>
    <w:rsid w:val="758B4736"/>
    <w:rsid w:val="758BAA10"/>
    <w:rsid w:val="758DC7E6"/>
    <w:rsid w:val="7593F4C2"/>
    <w:rsid w:val="75A2A6E5"/>
    <w:rsid w:val="75A5D570"/>
    <w:rsid w:val="75A73D66"/>
    <w:rsid w:val="75B31DA1"/>
    <w:rsid w:val="75BDE69E"/>
    <w:rsid w:val="75C43E0C"/>
    <w:rsid w:val="75C4FED4"/>
    <w:rsid w:val="75CE30AA"/>
    <w:rsid w:val="75D2F8A7"/>
    <w:rsid w:val="75D39B27"/>
    <w:rsid w:val="75D6E934"/>
    <w:rsid w:val="75E32B39"/>
    <w:rsid w:val="75E78071"/>
    <w:rsid w:val="75EA883F"/>
    <w:rsid w:val="75EB0FF3"/>
    <w:rsid w:val="75EB6832"/>
    <w:rsid w:val="75EF4D1E"/>
    <w:rsid w:val="75F1F241"/>
    <w:rsid w:val="75F4BCD0"/>
    <w:rsid w:val="75F7AA6C"/>
    <w:rsid w:val="75F9990C"/>
    <w:rsid w:val="75FFCCD0"/>
    <w:rsid w:val="75FFED03"/>
    <w:rsid w:val="7601E505"/>
    <w:rsid w:val="76026F94"/>
    <w:rsid w:val="76032D74"/>
    <w:rsid w:val="76047A86"/>
    <w:rsid w:val="7604C248"/>
    <w:rsid w:val="76055868"/>
    <w:rsid w:val="76079738"/>
    <w:rsid w:val="761EBE5A"/>
    <w:rsid w:val="762C8658"/>
    <w:rsid w:val="762EC425"/>
    <w:rsid w:val="7633F715"/>
    <w:rsid w:val="76340BAE"/>
    <w:rsid w:val="76370861"/>
    <w:rsid w:val="7639C228"/>
    <w:rsid w:val="763B0D6C"/>
    <w:rsid w:val="763F2378"/>
    <w:rsid w:val="7640D70D"/>
    <w:rsid w:val="7641A6AD"/>
    <w:rsid w:val="7646A73A"/>
    <w:rsid w:val="764BF2F8"/>
    <w:rsid w:val="7652DA76"/>
    <w:rsid w:val="76537A04"/>
    <w:rsid w:val="7655E429"/>
    <w:rsid w:val="7657E403"/>
    <w:rsid w:val="7657F539"/>
    <w:rsid w:val="7665D272"/>
    <w:rsid w:val="766696A8"/>
    <w:rsid w:val="766EF5E1"/>
    <w:rsid w:val="76753099"/>
    <w:rsid w:val="7675F24C"/>
    <w:rsid w:val="76778EFB"/>
    <w:rsid w:val="767BD657"/>
    <w:rsid w:val="767C8572"/>
    <w:rsid w:val="767DF279"/>
    <w:rsid w:val="768577A8"/>
    <w:rsid w:val="768EF40D"/>
    <w:rsid w:val="769582AF"/>
    <w:rsid w:val="769631E7"/>
    <w:rsid w:val="769E82AC"/>
    <w:rsid w:val="76A02DEA"/>
    <w:rsid w:val="76A6828F"/>
    <w:rsid w:val="76A6A1C5"/>
    <w:rsid w:val="76B3EFB7"/>
    <w:rsid w:val="76B6B969"/>
    <w:rsid w:val="76BB23AB"/>
    <w:rsid w:val="76BF1F74"/>
    <w:rsid w:val="76C356D1"/>
    <w:rsid w:val="76C8EC85"/>
    <w:rsid w:val="76C98833"/>
    <w:rsid w:val="76CAE465"/>
    <w:rsid w:val="76CB2B8E"/>
    <w:rsid w:val="76CCBD17"/>
    <w:rsid w:val="76D2C4DE"/>
    <w:rsid w:val="76D3425C"/>
    <w:rsid w:val="76D44C08"/>
    <w:rsid w:val="76D59F4F"/>
    <w:rsid w:val="76D59F92"/>
    <w:rsid w:val="76D6E239"/>
    <w:rsid w:val="76DC123C"/>
    <w:rsid w:val="76DF237A"/>
    <w:rsid w:val="76E41183"/>
    <w:rsid w:val="76E424AB"/>
    <w:rsid w:val="76E5E44F"/>
    <w:rsid w:val="76E7A566"/>
    <w:rsid w:val="76E84E02"/>
    <w:rsid w:val="76EAC723"/>
    <w:rsid w:val="76ED349B"/>
    <w:rsid w:val="76EF48CE"/>
    <w:rsid w:val="76F11EDD"/>
    <w:rsid w:val="76F14EBF"/>
    <w:rsid w:val="76F1DFA3"/>
    <w:rsid w:val="76F5D6C0"/>
    <w:rsid w:val="76F8AB5F"/>
    <w:rsid w:val="76FFAB42"/>
    <w:rsid w:val="77078E87"/>
    <w:rsid w:val="7707D7C3"/>
    <w:rsid w:val="77126E4E"/>
    <w:rsid w:val="7717654C"/>
    <w:rsid w:val="7728B857"/>
    <w:rsid w:val="77293EBB"/>
    <w:rsid w:val="7730C54E"/>
    <w:rsid w:val="7737964B"/>
    <w:rsid w:val="7737E7A4"/>
    <w:rsid w:val="7738DFA4"/>
    <w:rsid w:val="773B3D90"/>
    <w:rsid w:val="7742CD57"/>
    <w:rsid w:val="774789B1"/>
    <w:rsid w:val="774D1EFD"/>
    <w:rsid w:val="774D3C06"/>
    <w:rsid w:val="775140EB"/>
    <w:rsid w:val="77527804"/>
    <w:rsid w:val="77582797"/>
    <w:rsid w:val="775836C8"/>
    <w:rsid w:val="7759EA83"/>
    <w:rsid w:val="775BF3D9"/>
    <w:rsid w:val="776102CC"/>
    <w:rsid w:val="7761EAB4"/>
    <w:rsid w:val="776424FE"/>
    <w:rsid w:val="776668C2"/>
    <w:rsid w:val="77688A8D"/>
    <w:rsid w:val="776DF331"/>
    <w:rsid w:val="776E348B"/>
    <w:rsid w:val="77749601"/>
    <w:rsid w:val="77787F92"/>
    <w:rsid w:val="77793200"/>
    <w:rsid w:val="777CA755"/>
    <w:rsid w:val="777F7328"/>
    <w:rsid w:val="778620D6"/>
    <w:rsid w:val="778B4DAF"/>
    <w:rsid w:val="778DBCD7"/>
    <w:rsid w:val="77937394"/>
    <w:rsid w:val="77990459"/>
    <w:rsid w:val="779FFB2C"/>
    <w:rsid w:val="77A2D022"/>
    <w:rsid w:val="77A2DEBD"/>
    <w:rsid w:val="77A68E75"/>
    <w:rsid w:val="77A73D6E"/>
    <w:rsid w:val="77A97D59"/>
    <w:rsid w:val="77A9CC71"/>
    <w:rsid w:val="77AA29D7"/>
    <w:rsid w:val="77ABC499"/>
    <w:rsid w:val="77AC97E8"/>
    <w:rsid w:val="77AF3708"/>
    <w:rsid w:val="77B49B60"/>
    <w:rsid w:val="77B4DA1F"/>
    <w:rsid w:val="77B50514"/>
    <w:rsid w:val="77B69BB2"/>
    <w:rsid w:val="77B91CE7"/>
    <w:rsid w:val="77BCC372"/>
    <w:rsid w:val="77C53537"/>
    <w:rsid w:val="77CCDE92"/>
    <w:rsid w:val="77D2B1E6"/>
    <w:rsid w:val="77D684BD"/>
    <w:rsid w:val="77D6BA89"/>
    <w:rsid w:val="77D734E7"/>
    <w:rsid w:val="77D745A3"/>
    <w:rsid w:val="77D933D7"/>
    <w:rsid w:val="77DA551B"/>
    <w:rsid w:val="77E2377B"/>
    <w:rsid w:val="77E3BB62"/>
    <w:rsid w:val="77E582C0"/>
    <w:rsid w:val="77E70431"/>
    <w:rsid w:val="77EC58AE"/>
    <w:rsid w:val="77EC6015"/>
    <w:rsid w:val="77EF0BA5"/>
    <w:rsid w:val="77F466F3"/>
    <w:rsid w:val="77F7F801"/>
    <w:rsid w:val="77F89675"/>
    <w:rsid w:val="77F9A09E"/>
    <w:rsid w:val="77F9EC22"/>
    <w:rsid w:val="7800B852"/>
    <w:rsid w:val="7800CCF7"/>
    <w:rsid w:val="78052631"/>
    <w:rsid w:val="780BD831"/>
    <w:rsid w:val="78104936"/>
    <w:rsid w:val="7813A4AD"/>
    <w:rsid w:val="7818874E"/>
    <w:rsid w:val="78189A28"/>
    <w:rsid w:val="781B6478"/>
    <w:rsid w:val="7821CB1A"/>
    <w:rsid w:val="7826C733"/>
    <w:rsid w:val="7827678A"/>
    <w:rsid w:val="782800AA"/>
    <w:rsid w:val="7828480B"/>
    <w:rsid w:val="782B9002"/>
    <w:rsid w:val="782D5911"/>
    <w:rsid w:val="782EC1DE"/>
    <w:rsid w:val="78353C5E"/>
    <w:rsid w:val="784F1FC4"/>
    <w:rsid w:val="7851FC0A"/>
    <w:rsid w:val="78538841"/>
    <w:rsid w:val="785AB652"/>
    <w:rsid w:val="785C2DB5"/>
    <w:rsid w:val="785FCE3E"/>
    <w:rsid w:val="7863F432"/>
    <w:rsid w:val="7865C291"/>
    <w:rsid w:val="7866E66C"/>
    <w:rsid w:val="786FF7C5"/>
    <w:rsid w:val="7871EFDD"/>
    <w:rsid w:val="787E953F"/>
    <w:rsid w:val="787EB4DF"/>
    <w:rsid w:val="787FF852"/>
    <w:rsid w:val="787FFB1A"/>
    <w:rsid w:val="788291E0"/>
    <w:rsid w:val="78865A82"/>
    <w:rsid w:val="78874D4B"/>
    <w:rsid w:val="788AF254"/>
    <w:rsid w:val="788B1D34"/>
    <w:rsid w:val="788C1C28"/>
    <w:rsid w:val="788D5E0F"/>
    <w:rsid w:val="788D9FF4"/>
    <w:rsid w:val="78901DE2"/>
    <w:rsid w:val="78929A04"/>
    <w:rsid w:val="789C0695"/>
    <w:rsid w:val="78A1D8E6"/>
    <w:rsid w:val="78B015C5"/>
    <w:rsid w:val="78B57E17"/>
    <w:rsid w:val="78B70215"/>
    <w:rsid w:val="78BB64F1"/>
    <w:rsid w:val="78BC2C39"/>
    <w:rsid w:val="78BD61FB"/>
    <w:rsid w:val="78BDBF38"/>
    <w:rsid w:val="78BEA0D1"/>
    <w:rsid w:val="78BF25F0"/>
    <w:rsid w:val="78C09CDC"/>
    <w:rsid w:val="78C8ECB3"/>
    <w:rsid w:val="78CE293E"/>
    <w:rsid w:val="78D0CA46"/>
    <w:rsid w:val="78D1B982"/>
    <w:rsid w:val="78E0F8E7"/>
    <w:rsid w:val="78E4AC99"/>
    <w:rsid w:val="78E8E508"/>
    <w:rsid w:val="78EE2107"/>
    <w:rsid w:val="78EEC3BD"/>
    <w:rsid w:val="78EFC90C"/>
    <w:rsid w:val="78F15E22"/>
    <w:rsid w:val="78F7A42D"/>
    <w:rsid w:val="78F8587D"/>
    <w:rsid w:val="78F8ADE9"/>
    <w:rsid w:val="78FA50CC"/>
    <w:rsid w:val="78FACE40"/>
    <w:rsid w:val="78FF2593"/>
    <w:rsid w:val="79015307"/>
    <w:rsid w:val="7903CF05"/>
    <w:rsid w:val="7905AACA"/>
    <w:rsid w:val="790A383D"/>
    <w:rsid w:val="790AA5D9"/>
    <w:rsid w:val="790CB981"/>
    <w:rsid w:val="790E23EC"/>
    <w:rsid w:val="790EFCCB"/>
    <w:rsid w:val="790F8CCB"/>
    <w:rsid w:val="790FC826"/>
    <w:rsid w:val="790FDFAA"/>
    <w:rsid w:val="791139D8"/>
    <w:rsid w:val="79125511"/>
    <w:rsid w:val="7913458F"/>
    <w:rsid w:val="792225AA"/>
    <w:rsid w:val="7923E72C"/>
    <w:rsid w:val="7924B268"/>
    <w:rsid w:val="7924FBBB"/>
    <w:rsid w:val="7926DD5E"/>
    <w:rsid w:val="792B9DDF"/>
    <w:rsid w:val="792CC806"/>
    <w:rsid w:val="792E54F5"/>
    <w:rsid w:val="79344F67"/>
    <w:rsid w:val="793853F5"/>
    <w:rsid w:val="793CF388"/>
    <w:rsid w:val="793D3CE6"/>
    <w:rsid w:val="7940FF41"/>
    <w:rsid w:val="7945F652"/>
    <w:rsid w:val="794635B3"/>
    <w:rsid w:val="79494FA5"/>
    <w:rsid w:val="7956C32C"/>
    <w:rsid w:val="79593814"/>
    <w:rsid w:val="7959AD48"/>
    <w:rsid w:val="795A5BBB"/>
    <w:rsid w:val="79613B7D"/>
    <w:rsid w:val="7962F856"/>
    <w:rsid w:val="79696DDD"/>
    <w:rsid w:val="796BD9B4"/>
    <w:rsid w:val="796C685E"/>
    <w:rsid w:val="796D4D10"/>
    <w:rsid w:val="798005A4"/>
    <w:rsid w:val="79819259"/>
    <w:rsid w:val="798901EC"/>
    <w:rsid w:val="798A1502"/>
    <w:rsid w:val="798FFF33"/>
    <w:rsid w:val="79954A3F"/>
    <w:rsid w:val="79974572"/>
    <w:rsid w:val="79979780"/>
    <w:rsid w:val="7999BAC3"/>
    <w:rsid w:val="799C6BC2"/>
    <w:rsid w:val="799CA11B"/>
    <w:rsid w:val="799DA54D"/>
    <w:rsid w:val="79A38841"/>
    <w:rsid w:val="79A45BBA"/>
    <w:rsid w:val="79ADFC4D"/>
    <w:rsid w:val="79AE7428"/>
    <w:rsid w:val="79B182F1"/>
    <w:rsid w:val="79B3D783"/>
    <w:rsid w:val="79B60F5E"/>
    <w:rsid w:val="79BB62B2"/>
    <w:rsid w:val="79BCCAF7"/>
    <w:rsid w:val="79BD31C6"/>
    <w:rsid w:val="79BF81EB"/>
    <w:rsid w:val="79BF82F7"/>
    <w:rsid w:val="79C49384"/>
    <w:rsid w:val="79C83069"/>
    <w:rsid w:val="79CD1195"/>
    <w:rsid w:val="79CFBA2B"/>
    <w:rsid w:val="79D5DC8D"/>
    <w:rsid w:val="79DB3AB4"/>
    <w:rsid w:val="79DDAAE6"/>
    <w:rsid w:val="79E42AD4"/>
    <w:rsid w:val="79E91857"/>
    <w:rsid w:val="79EB1062"/>
    <w:rsid w:val="79ECB190"/>
    <w:rsid w:val="79EECE4E"/>
    <w:rsid w:val="79EF666A"/>
    <w:rsid w:val="79F840B8"/>
    <w:rsid w:val="79F8D8E0"/>
    <w:rsid w:val="79FC6BB9"/>
    <w:rsid w:val="79FDA750"/>
    <w:rsid w:val="7A00164F"/>
    <w:rsid w:val="7A01C095"/>
    <w:rsid w:val="7A0652CF"/>
    <w:rsid w:val="7A0D0966"/>
    <w:rsid w:val="7A110AB9"/>
    <w:rsid w:val="7A1ABA40"/>
    <w:rsid w:val="7A1F659B"/>
    <w:rsid w:val="7A22330E"/>
    <w:rsid w:val="7A228149"/>
    <w:rsid w:val="7A25256E"/>
    <w:rsid w:val="7A296683"/>
    <w:rsid w:val="7A2B01BB"/>
    <w:rsid w:val="7A2B1CA9"/>
    <w:rsid w:val="7A2DED9B"/>
    <w:rsid w:val="7A31F207"/>
    <w:rsid w:val="7A3DA7A7"/>
    <w:rsid w:val="7A3E7100"/>
    <w:rsid w:val="7A3FB670"/>
    <w:rsid w:val="7A41063A"/>
    <w:rsid w:val="7A417A93"/>
    <w:rsid w:val="7A48ABF5"/>
    <w:rsid w:val="7A48B18F"/>
    <w:rsid w:val="7A4BB675"/>
    <w:rsid w:val="7A4C35CF"/>
    <w:rsid w:val="7A4E444A"/>
    <w:rsid w:val="7A4F381C"/>
    <w:rsid w:val="7A4F56E5"/>
    <w:rsid w:val="7A591979"/>
    <w:rsid w:val="7A5C001A"/>
    <w:rsid w:val="7A610918"/>
    <w:rsid w:val="7A66215D"/>
    <w:rsid w:val="7A68C85A"/>
    <w:rsid w:val="7A6B4160"/>
    <w:rsid w:val="7A6FCF68"/>
    <w:rsid w:val="7A7BB1A6"/>
    <w:rsid w:val="7A7E5EAF"/>
    <w:rsid w:val="7A7F8777"/>
    <w:rsid w:val="7A80138A"/>
    <w:rsid w:val="7A8106EA"/>
    <w:rsid w:val="7A83F5C5"/>
    <w:rsid w:val="7A85751F"/>
    <w:rsid w:val="7A876B58"/>
    <w:rsid w:val="7A8B8467"/>
    <w:rsid w:val="7A92321C"/>
    <w:rsid w:val="7A976B2E"/>
    <w:rsid w:val="7A99F8F3"/>
    <w:rsid w:val="7A9D26CC"/>
    <w:rsid w:val="7AA045D2"/>
    <w:rsid w:val="7AA11463"/>
    <w:rsid w:val="7AA69AAA"/>
    <w:rsid w:val="7AABFABF"/>
    <w:rsid w:val="7AAC81FD"/>
    <w:rsid w:val="7AAE948A"/>
    <w:rsid w:val="7AB28522"/>
    <w:rsid w:val="7ABB15A5"/>
    <w:rsid w:val="7ABF0561"/>
    <w:rsid w:val="7AC44573"/>
    <w:rsid w:val="7AC81D4D"/>
    <w:rsid w:val="7ACC1372"/>
    <w:rsid w:val="7ACD4DED"/>
    <w:rsid w:val="7ACDA854"/>
    <w:rsid w:val="7ACEE117"/>
    <w:rsid w:val="7AD06AB0"/>
    <w:rsid w:val="7AD28D26"/>
    <w:rsid w:val="7AD40624"/>
    <w:rsid w:val="7AD909B3"/>
    <w:rsid w:val="7ADC9D19"/>
    <w:rsid w:val="7AE3FDB8"/>
    <w:rsid w:val="7AEDEBE6"/>
    <w:rsid w:val="7AF03AB3"/>
    <w:rsid w:val="7AF53F90"/>
    <w:rsid w:val="7AFEA88B"/>
    <w:rsid w:val="7B018BD8"/>
    <w:rsid w:val="7B02E055"/>
    <w:rsid w:val="7B096C4F"/>
    <w:rsid w:val="7B0DA67D"/>
    <w:rsid w:val="7B0EE18E"/>
    <w:rsid w:val="7B1147A6"/>
    <w:rsid w:val="7B159DE5"/>
    <w:rsid w:val="7B161118"/>
    <w:rsid w:val="7B16AA0E"/>
    <w:rsid w:val="7B196EAC"/>
    <w:rsid w:val="7B1C741B"/>
    <w:rsid w:val="7B227D58"/>
    <w:rsid w:val="7B22CC7A"/>
    <w:rsid w:val="7B259D8C"/>
    <w:rsid w:val="7B2A2A95"/>
    <w:rsid w:val="7B2D4C6B"/>
    <w:rsid w:val="7B2E0C89"/>
    <w:rsid w:val="7B2E3D25"/>
    <w:rsid w:val="7B3693FE"/>
    <w:rsid w:val="7B3A1CBD"/>
    <w:rsid w:val="7B3AEF7D"/>
    <w:rsid w:val="7B48A4A4"/>
    <w:rsid w:val="7B48E54D"/>
    <w:rsid w:val="7B4AD79D"/>
    <w:rsid w:val="7B504A1F"/>
    <w:rsid w:val="7B529488"/>
    <w:rsid w:val="7B5496CC"/>
    <w:rsid w:val="7B5C7CDF"/>
    <w:rsid w:val="7B5EB01B"/>
    <w:rsid w:val="7B634432"/>
    <w:rsid w:val="7B64931F"/>
    <w:rsid w:val="7B655AEE"/>
    <w:rsid w:val="7B686093"/>
    <w:rsid w:val="7B6CB855"/>
    <w:rsid w:val="7B735978"/>
    <w:rsid w:val="7B76F223"/>
    <w:rsid w:val="7B7776B0"/>
    <w:rsid w:val="7B785BA4"/>
    <w:rsid w:val="7B855784"/>
    <w:rsid w:val="7B8A099C"/>
    <w:rsid w:val="7B8D9FF7"/>
    <w:rsid w:val="7B8F2EE7"/>
    <w:rsid w:val="7B9109CD"/>
    <w:rsid w:val="7B9E4A9C"/>
    <w:rsid w:val="7B9F04C2"/>
    <w:rsid w:val="7BA18299"/>
    <w:rsid w:val="7BAFF26F"/>
    <w:rsid w:val="7BB176B1"/>
    <w:rsid w:val="7BB192CC"/>
    <w:rsid w:val="7BB693CA"/>
    <w:rsid w:val="7BB873B2"/>
    <w:rsid w:val="7BBCA43D"/>
    <w:rsid w:val="7BC52A1E"/>
    <w:rsid w:val="7BC9D331"/>
    <w:rsid w:val="7BD2B127"/>
    <w:rsid w:val="7BD5E521"/>
    <w:rsid w:val="7BD76266"/>
    <w:rsid w:val="7BDBA489"/>
    <w:rsid w:val="7BE2FCAB"/>
    <w:rsid w:val="7BE72B08"/>
    <w:rsid w:val="7BE96A74"/>
    <w:rsid w:val="7BEFF84A"/>
    <w:rsid w:val="7BF14E28"/>
    <w:rsid w:val="7BF3B578"/>
    <w:rsid w:val="7BF445D0"/>
    <w:rsid w:val="7BF73E62"/>
    <w:rsid w:val="7BF865DF"/>
    <w:rsid w:val="7BF9401D"/>
    <w:rsid w:val="7BFA157D"/>
    <w:rsid w:val="7BFF0A81"/>
    <w:rsid w:val="7BFF4C89"/>
    <w:rsid w:val="7C00B223"/>
    <w:rsid w:val="7C00EDBD"/>
    <w:rsid w:val="7C02D272"/>
    <w:rsid w:val="7C03002E"/>
    <w:rsid w:val="7C04D1B4"/>
    <w:rsid w:val="7C060356"/>
    <w:rsid w:val="7C0978D9"/>
    <w:rsid w:val="7C0AB099"/>
    <w:rsid w:val="7C0E2E54"/>
    <w:rsid w:val="7C0E3991"/>
    <w:rsid w:val="7C111FEE"/>
    <w:rsid w:val="7C14C8B5"/>
    <w:rsid w:val="7C1684D1"/>
    <w:rsid w:val="7C16F5B4"/>
    <w:rsid w:val="7C1A7A07"/>
    <w:rsid w:val="7C1AE499"/>
    <w:rsid w:val="7C1C9012"/>
    <w:rsid w:val="7C1EA8EB"/>
    <w:rsid w:val="7C22C66F"/>
    <w:rsid w:val="7C274088"/>
    <w:rsid w:val="7C27B5AE"/>
    <w:rsid w:val="7C2AB4CF"/>
    <w:rsid w:val="7C2B22DB"/>
    <w:rsid w:val="7C32C82D"/>
    <w:rsid w:val="7C41368E"/>
    <w:rsid w:val="7C42B352"/>
    <w:rsid w:val="7C491D45"/>
    <w:rsid w:val="7C4A2B9C"/>
    <w:rsid w:val="7C4C7983"/>
    <w:rsid w:val="7C52C22E"/>
    <w:rsid w:val="7C54E11F"/>
    <w:rsid w:val="7C55A3DE"/>
    <w:rsid w:val="7C5B3E6C"/>
    <w:rsid w:val="7C5DB699"/>
    <w:rsid w:val="7C63AE4B"/>
    <w:rsid w:val="7C64F6B6"/>
    <w:rsid w:val="7C66D32B"/>
    <w:rsid w:val="7C6AABC0"/>
    <w:rsid w:val="7C6CEC8E"/>
    <w:rsid w:val="7C6E572B"/>
    <w:rsid w:val="7C6FD427"/>
    <w:rsid w:val="7C74A8D5"/>
    <w:rsid w:val="7C75C4B8"/>
    <w:rsid w:val="7C7E29E8"/>
    <w:rsid w:val="7C83391A"/>
    <w:rsid w:val="7C8F7A72"/>
    <w:rsid w:val="7C92D351"/>
    <w:rsid w:val="7C945F39"/>
    <w:rsid w:val="7C94F565"/>
    <w:rsid w:val="7C9833DE"/>
    <w:rsid w:val="7C986C02"/>
    <w:rsid w:val="7C9B82BC"/>
    <w:rsid w:val="7C9E01CF"/>
    <w:rsid w:val="7CA168AB"/>
    <w:rsid w:val="7CA34122"/>
    <w:rsid w:val="7CA5E3AC"/>
    <w:rsid w:val="7CA75FEF"/>
    <w:rsid w:val="7CA9417F"/>
    <w:rsid w:val="7CA947AC"/>
    <w:rsid w:val="7CB6F2CC"/>
    <w:rsid w:val="7CB9AC27"/>
    <w:rsid w:val="7CB9D9C3"/>
    <w:rsid w:val="7CC3D10A"/>
    <w:rsid w:val="7CC42FD3"/>
    <w:rsid w:val="7CCC0E9B"/>
    <w:rsid w:val="7CCCA03A"/>
    <w:rsid w:val="7CD09384"/>
    <w:rsid w:val="7CD46151"/>
    <w:rsid w:val="7CD7703C"/>
    <w:rsid w:val="7CD7AB01"/>
    <w:rsid w:val="7CD9F03A"/>
    <w:rsid w:val="7CDA21AD"/>
    <w:rsid w:val="7CDB83EF"/>
    <w:rsid w:val="7CDD8017"/>
    <w:rsid w:val="7CDDDB0C"/>
    <w:rsid w:val="7CDEC87A"/>
    <w:rsid w:val="7CE643BB"/>
    <w:rsid w:val="7CF1E3A2"/>
    <w:rsid w:val="7CF52DC3"/>
    <w:rsid w:val="7CF79E7C"/>
    <w:rsid w:val="7CFD5614"/>
    <w:rsid w:val="7CFED2B1"/>
    <w:rsid w:val="7D009DAD"/>
    <w:rsid w:val="7D039EF3"/>
    <w:rsid w:val="7D05745C"/>
    <w:rsid w:val="7D06BA85"/>
    <w:rsid w:val="7D071441"/>
    <w:rsid w:val="7D10B8D0"/>
    <w:rsid w:val="7D135365"/>
    <w:rsid w:val="7D165D94"/>
    <w:rsid w:val="7D194896"/>
    <w:rsid w:val="7D1D2A83"/>
    <w:rsid w:val="7D21DB93"/>
    <w:rsid w:val="7D21FDD2"/>
    <w:rsid w:val="7D2295C3"/>
    <w:rsid w:val="7D2362F6"/>
    <w:rsid w:val="7D269764"/>
    <w:rsid w:val="7D27C078"/>
    <w:rsid w:val="7D2F7F8C"/>
    <w:rsid w:val="7D357093"/>
    <w:rsid w:val="7D35CE68"/>
    <w:rsid w:val="7D3F89FC"/>
    <w:rsid w:val="7D3FEF1B"/>
    <w:rsid w:val="7D4EC48F"/>
    <w:rsid w:val="7D53FE84"/>
    <w:rsid w:val="7D54C81D"/>
    <w:rsid w:val="7D562C26"/>
    <w:rsid w:val="7D572A4D"/>
    <w:rsid w:val="7D5775F8"/>
    <w:rsid w:val="7D5B459D"/>
    <w:rsid w:val="7D5D43B9"/>
    <w:rsid w:val="7D5EC2A7"/>
    <w:rsid w:val="7D5ED950"/>
    <w:rsid w:val="7D5EF3E3"/>
    <w:rsid w:val="7D5FAB67"/>
    <w:rsid w:val="7D60DD3A"/>
    <w:rsid w:val="7D646770"/>
    <w:rsid w:val="7D64CD72"/>
    <w:rsid w:val="7D6B6838"/>
    <w:rsid w:val="7D6BF057"/>
    <w:rsid w:val="7D6CE772"/>
    <w:rsid w:val="7D6E74AA"/>
    <w:rsid w:val="7D733B01"/>
    <w:rsid w:val="7D737702"/>
    <w:rsid w:val="7D743552"/>
    <w:rsid w:val="7D7601E5"/>
    <w:rsid w:val="7D7BC201"/>
    <w:rsid w:val="7D7D9E35"/>
    <w:rsid w:val="7D7EFF1A"/>
    <w:rsid w:val="7D7F99EC"/>
    <w:rsid w:val="7D82C552"/>
    <w:rsid w:val="7D85323A"/>
    <w:rsid w:val="7D85691E"/>
    <w:rsid w:val="7D86B796"/>
    <w:rsid w:val="7D87945C"/>
    <w:rsid w:val="7D8D737B"/>
    <w:rsid w:val="7D9082CE"/>
    <w:rsid w:val="7D9660A5"/>
    <w:rsid w:val="7D9A2EE4"/>
    <w:rsid w:val="7D9C30E3"/>
    <w:rsid w:val="7D9D986A"/>
    <w:rsid w:val="7D9F8FFE"/>
    <w:rsid w:val="7D9FDEA3"/>
    <w:rsid w:val="7DA125A7"/>
    <w:rsid w:val="7DA3F9E0"/>
    <w:rsid w:val="7DA4097A"/>
    <w:rsid w:val="7DA67CA0"/>
    <w:rsid w:val="7DA9A5DF"/>
    <w:rsid w:val="7DA9C24E"/>
    <w:rsid w:val="7DAB8AA7"/>
    <w:rsid w:val="7DADD418"/>
    <w:rsid w:val="7DB0752E"/>
    <w:rsid w:val="7DB1ECDD"/>
    <w:rsid w:val="7DB386DB"/>
    <w:rsid w:val="7DB75733"/>
    <w:rsid w:val="7DB83BD5"/>
    <w:rsid w:val="7DBFAB75"/>
    <w:rsid w:val="7DC2B4DD"/>
    <w:rsid w:val="7DCAD06E"/>
    <w:rsid w:val="7DCEE2C4"/>
    <w:rsid w:val="7DD6590A"/>
    <w:rsid w:val="7DD7ACFA"/>
    <w:rsid w:val="7DDB04EA"/>
    <w:rsid w:val="7DDB7B89"/>
    <w:rsid w:val="7DDD3B42"/>
    <w:rsid w:val="7DE039A9"/>
    <w:rsid w:val="7DE1EDFC"/>
    <w:rsid w:val="7DE3DC84"/>
    <w:rsid w:val="7DF9D4FE"/>
    <w:rsid w:val="7DFC71B5"/>
    <w:rsid w:val="7DFC87A3"/>
    <w:rsid w:val="7DFD7CE0"/>
    <w:rsid w:val="7E003430"/>
    <w:rsid w:val="7E085D77"/>
    <w:rsid w:val="7E0DA885"/>
    <w:rsid w:val="7E0E8E63"/>
    <w:rsid w:val="7E0F40D6"/>
    <w:rsid w:val="7E11F919"/>
    <w:rsid w:val="7E16C25F"/>
    <w:rsid w:val="7E16C7EF"/>
    <w:rsid w:val="7E18240B"/>
    <w:rsid w:val="7E1CF02F"/>
    <w:rsid w:val="7E1CF09C"/>
    <w:rsid w:val="7E1F2EA7"/>
    <w:rsid w:val="7E2376E7"/>
    <w:rsid w:val="7E26B447"/>
    <w:rsid w:val="7E3193E9"/>
    <w:rsid w:val="7E33E398"/>
    <w:rsid w:val="7E3B5A87"/>
    <w:rsid w:val="7E3B708C"/>
    <w:rsid w:val="7E3B83A6"/>
    <w:rsid w:val="7E3D136A"/>
    <w:rsid w:val="7E411567"/>
    <w:rsid w:val="7E4649A6"/>
    <w:rsid w:val="7E47A134"/>
    <w:rsid w:val="7E55AB33"/>
    <w:rsid w:val="7E57CF7C"/>
    <w:rsid w:val="7E585B6D"/>
    <w:rsid w:val="7E5BB583"/>
    <w:rsid w:val="7E636F1B"/>
    <w:rsid w:val="7E6F0C35"/>
    <w:rsid w:val="7E782ADC"/>
    <w:rsid w:val="7E81CE09"/>
    <w:rsid w:val="7E8865CB"/>
    <w:rsid w:val="7E88B7E9"/>
    <w:rsid w:val="7E96DD6B"/>
    <w:rsid w:val="7EA56BFF"/>
    <w:rsid w:val="7EA6F6A7"/>
    <w:rsid w:val="7EB9C63A"/>
    <w:rsid w:val="7EBAB831"/>
    <w:rsid w:val="7EBE52D6"/>
    <w:rsid w:val="7EBEA29B"/>
    <w:rsid w:val="7EC2A91B"/>
    <w:rsid w:val="7EC8794E"/>
    <w:rsid w:val="7ED4547B"/>
    <w:rsid w:val="7ED72C48"/>
    <w:rsid w:val="7ED7CEAC"/>
    <w:rsid w:val="7ED83E91"/>
    <w:rsid w:val="7ED9D82F"/>
    <w:rsid w:val="7EDD436E"/>
    <w:rsid w:val="7EDFCD45"/>
    <w:rsid w:val="7EE335E2"/>
    <w:rsid w:val="7EEACDB6"/>
    <w:rsid w:val="7EEF032B"/>
    <w:rsid w:val="7EF00686"/>
    <w:rsid w:val="7EF5AE8B"/>
    <w:rsid w:val="7EF830C2"/>
    <w:rsid w:val="7EFA1F8D"/>
    <w:rsid w:val="7EFF33AF"/>
    <w:rsid w:val="7EFF9425"/>
    <w:rsid w:val="7F08F167"/>
    <w:rsid w:val="7F0C4941"/>
    <w:rsid w:val="7F1079F8"/>
    <w:rsid w:val="7F18E6D1"/>
    <w:rsid w:val="7F1E0FF7"/>
    <w:rsid w:val="7F1FCD74"/>
    <w:rsid w:val="7F21CEAC"/>
    <w:rsid w:val="7F251256"/>
    <w:rsid w:val="7F27DF35"/>
    <w:rsid w:val="7F27F65B"/>
    <w:rsid w:val="7F285E21"/>
    <w:rsid w:val="7F287474"/>
    <w:rsid w:val="7F296669"/>
    <w:rsid w:val="7F2BDD79"/>
    <w:rsid w:val="7F2EFACC"/>
    <w:rsid w:val="7F3493D4"/>
    <w:rsid w:val="7F37F142"/>
    <w:rsid w:val="7F37F1E3"/>
    <w:rsid w:val="7F3840F2"/>
    <w:rsid w:val="7F3C7180"/>
    <w:rsid w:val="7F3FA6C3"/>
    <w:rsid w:val="7F3FCD90"/>
    <w:rsid w:val="7F403B55"/>
    <w:rsid w:val="7F44159D"/>
    <w:rsid w:val="7F46B32E"/>
    <w:rsid w:val="7F4A166E"/>
    <w:rsid w:val="7F4A6D0D"/>
    <w:rsid w:val="7F4B7763"/>
    <w:rsid w:val="7F4D1991"/>
    <w:rsid w:val="7F4E4819"/>
    <w:rsid w:val="7F515016"/>
    <w:rsid w:val="7F516D79"/>
    <w:rsid w:val="7F52541A"/>
    <w:rsid w:val="7F558391"/>
    <w:rsid w:val="7F5B4CF6"/>
    <w:rsid w:val="7F5B7CE0"/>
    <w:rsid w:val="7F5ED226"/>
    <w:rsid w:val="7F64D361"/>
    <w:rsid w:val="7F68C3C3"/>
    <w:rsid w:val="7F6B8F42"/>
    <w:rsid w:val="7F6DEFDC"/>
    <w:rsid w:val="7F6E5833"/>
    <w:rsid w:val="7F70DC57"/>
    <w:rsid w:val="7F71EBD2"/>
    <w:rsid w:val="7F73440F"/>
    <w:rsid w:val="7F75C599"/>
    <w:rsid w:val="7F763FD9"/>
    <w:rsid w:val="7F76CE31"/>
    <w:rsid w:val="7F7CF4AC"/>
    <w:rsid w:val="7F8000E4"/>
    <w:rsid w:val="7F81E80E"/>
    <w:rsid w:val="7F822CA8"/>
    <w:rsid w:val="7F8F914E"/>
    <w:rsid w:val="7F93B38A"/>
    <w:rsid w:val="7F99FCEE"/>
    <w:rsid w:val="7F9A5804"/>
    <w:rsid w:val="7FA28D8B"/>
    <w:rsid w:val="7FA46750"/>
    <w:rsid w:val="7FAC7AD6"/>
    <w:rsid w:val="7FAE17F9"/>
    <w:rsid w:val="7FAF4398"/>
    <w:rsid w:val="7FBABFF6"/>
    <w:rsid w:val="7FBB875E"/>
    <w:rsid w:val="7FC00638"/>
    <w:rsid w:val="7FC0567B"/>
    <w:rsid w:val="7FC06FAF"/>
    <w:rsid w:val="7FC1DFA8"/>
    <w:rsid w:val="7FC65127"/>
    <w:rsid w:val="7FC68432"/>
    <w:rsid w:val="7FC7490B"/>
    <w:rsid w:val="7FC9E2C5"/>
    <w:rsid w:val="7FCE6AB7"/>
    <w:rsid w:val="7FD44958"/>
    <w:rsid w:val="7FD4BCC4"/>
    <w:rsid w:val="7FD4EF20"/>
    <w:rsid w:val="7FD523A6"/>
    <w:rsid w:val="7FD9B5B3"/>
    <w:rsid w:val="7FDF233C"/>
    <w:rsid w:val="7FE18E9D"/>
    <w:rsid w:val="7FE2642C"/>
    <w:rsid w:val="7FE61A39"/>
    <w:rsid w:val="7FE80591"/>
    <w:rsid w:val="7FECF5E5"/>
    <w:rsid w:val="7FEDE16D"/>
    <w:rsid w:val="7FFB9917"/>
    <w:rsid w:val="7FFD8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C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A0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C96D5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40CFE"/>
    <w:rPr>
      <w:sz w:val="16"/>
      <w:szCs w:val="16"/>
    </w:rPr>
  </w:style>
  <w:style w:type="paragraph" w:styleId="Tekstkomentarza">
    <w:name w:val="annotation text"/>
    <w:basedOn w:val="Normalny"/>
    <w:link w:val="TekstkomentarzaZnak"/>
    <w:uiPriority w:val="99"/>
    <w:unhideWhenUsed/>
    <w:qFormat/>
    <w:rsid w:val="00F40CF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40CFE"/>
    <w:rPr>
      <w:sz w:val="20"/>
      <w:szCs w:val="20"/>
    </w:rPr>
  </w:style>
  <w:style w:type="paragraph" w:styleId="Tematkomentarza">
    <w:name w:val="annotation subject"/>
    <w:basedOn w:val="Tekstkomentarza"/>
    <w:next w:val="Tekstkomentarza"/>
    <w:link w:val="TematkomentarzaZnak"/>
    <w:uiPriority w:val="99"/>
    <w:semiHidden/>
    <w:unhideWhenUsed/>
    <w:rsid w:val="00F40CFE"/>
    <w:rPr>
      <w:b/>
      <w:bCs/>
    </w:rPr>
  </w:style>
  <w:style w:type="character" w:customStyle="1" w:styleId="TematkomentarzaZnak">
    <w:name w:val="Temat komentarza Znak"/>
    <w:basedOn w:val="TekstkomentarzaZnak"/>
    <w:link w:val="Tematkomentarza"/>
    <w:uiPriority w:val="99"/>
    <w:semiHidden/>
    <w:rsid w:val="00F40CFE"/>
    <w:rPr>
      <w:b/>
      <w:bCs/>
      <w:sz w:val="20"/>
      <w:szCs w:val="20"/>
    </w:rPr>
  </w:style>
  <w:style w:type="paragraph" w:styleId="Tekstdymka">
    <w:name w:val="Balloon Text"/>
    <w:basedOn w:val="Normalny"/>
    <w:link w:val="TekstdymkaZnak"/>
    <w:uiPriority w:val="99"/>
    <w:semiHidden/>
    <w:unhideWhenUsed/>
    <w:rsid w:val="00F40C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CFE"/>
    <w:rPr>
      <w:rFonts w:ascii="Segoe UI" w:hAnsi="Segoe UI" w:cs="Segoe UI"/>
      <w:sz w:val="18"/>
      <w:szCs w:val="18"/>
    </w:rPr>
  </w:style>
  <w:style w:type="character" w:customStyle="1" w:styleId="articletitle">
    <w:name w:val="articletitle"/>
    <w:basedOn w:val="Domylnaczcionkaakapitu"/>
    <w:rsid w:val="0089491F"/>
  </w:style>
  <w:style w:type="paragraph" w:customStyle="1" w:styleId="h1chapter">
    <w:name w:val="h1.chapter"/>
    <w:uiPriority w:val="99"/>
    <w:rsid w:val="005C0DB3"/>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character" w:styleId="Hipercze">
    <w:name w:val="Hyperlink"/>
    <w:basedOn w:val="Domylnaczcionkaakapitu"/>
    <w:unhideWhenUsed/>
    <w:rsid w:val="00DE52E9"/>
    <w:rPr>
      <w:color w:val="0000FF"/>
      <w:u w:val="single"/>
    </w:rPr>
  </w:style>
  <w:style w:type="paragraph" w:customStyle="1" w:styleId="divpoint">
    <w:name w:val="div.point"/>
    <w:uiPriority w:val="99"/>
    <w:rsid w:val="00633AD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dolnego">
    <w:name w:val="footnote text"/>
    <w:basedOn w:val="Normalny"/>
    <w:link w:val="TekstprzypisudolnegoZnak"/>
    <w:uiPriority w:val="99"/>
    <w:semiHidden/>
    <w:unhideWhenUsed/>
    <w:rsid w:val="004E71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184"/>
    <w:rPr>
      <w:sz w:val="20"/>
      <w:szCs w:val="20"/>
    </w:rPr>
  </w:style>
  <w:style w:type="character" w:styleId="Odwoanieprzypisudolnego">
    <w:name w:val="footnote reference"/>
    <w:basedOn w:val="Domylnaczcionkaakapitu"/>
    <w:uiPriority w:val="99"/>
    <w:semiHidden/>
    <w:unhideWhenUsed/>
    <w:rsid w:val="004E7184"/>
    <w:rPr>
      <w:vertAlign w:val="superscript"/>
    </w:rPr>
  </w:style>
  <w:style w:type="paragraph" w:styleId="Akapitzlist">
    <w:name w:val="List Paragraph"/>
    <w:basedOn w:val="Normalny"/>
    <w:link w:val="AkapitzlistZnak"/>
    <w:uiPriority w:val="34"/>
    <w:qFormat/>
    <w:rsid w:val="00C51F2B"/>
    <w:pPr>
      <w:ind w:left="720"/>
      <w:contextualSpacing/>
    </w:pPr>
  </w:style>
  <w:style w:type="character" w:customStyle="1" w:styleId="highlight-disabled">
    <w:name w:val="highlight-disabled"/>
    <w:basedOn w:val="Domylnaczcionkaakapitu"/>
    <w:rsid w:val="00491353"/>
  </w:style>
  <w:style w:type="paragraph" w:customStyle="1" w:styleId="USTustnpkodeksu">
    <w:name w:val="UST(§) – ust. (§ np. kodeksu)"/>
    <w:basedOn w:val="Normalny"/>
    <w:uiPriority w:val="12"/>
    <w:qFormat/>
    <w:rsid w:val="008B2797"/>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81742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Akapitzlist1">
    <w:name w:val="Akapit z listą1"/>
    <w:basedOn w:val="Normalny"/>
    <w:rsid w:val="00AA0616"/>
    <w:pPr>
      <w:spacing w:line="257" w:lineRule="auto"/>
      <w:ind w:left="720"/>
    </w:pPr>
    <w:rPr>
      <w:rFonts w:ascii="Calibri" w:eastAsia="Calibri" w:hAnsi="Calibri" w:cs="Times New Roman"/>
    </w:rPr>
  </w:style>
  <w:style w:type="paragraph" w:customStyle="1" w:styleId="CZWSPPKTczwsplnapunktw">
    <w:name w:val="CZ_WSP_PKT – część wspólna punktów"/>
    <w:basedOn w:val="Normalny"/>
    <w:next w:val="USTustnpkodeksu"/>
    <w:uiPriority w:val="16"/>
    <w:qFormat/>
    <w:rsid w:val="003A4E05"/>
    <w:pPr>
      <w:spacing w:after="0" w:line="240" w:lineRule="auto"/>
      <w:jc w:val="both"/>
    </w:pPr>
    <w:rPr>
      <w:rFonts w:ascii="Times New Roman" w:eastAsia="SimSun" w:hAnsi="Times New Roman" w:cs="Arial"/>
      <w:bCs/>
      <w:sz w:val="20"/>
      <w:szCs w:val="20"/>
      <w:lang w:eastAsia="pl-PL"/>
    </w:rPr>
  </w:style>
  <w:style w:type="paragraph" w:styleId="Nagwek">
    <w:name w:val="header"/>
    <w:basedOn w:val="Normalny"/>
    <w:link w:val="NagwekZnak"/>
    <w:uiPriority w:val="99"/>
    <w:unhideWhenUsed/>
    <w:rsid w:val="00720D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DB3"/>
  </w:style>
  <w:style w:type="paragraph" w:styleId="Stopka">
    <w:name w:val="footer"/>
    <w:basedOn w:val="Normalny"/>
    <w:link w:val="StopkaZnak"/>
    <w:uiPriority w:val="99"/>
    <w:unhideWhenUsed/>
    <w:rsid w:val="00720D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DB3"/>
  </w:style>
  <w:style w:type="paragraph" w:customStyle="1" w:styleId="ROZDZODDZPRZEDMprzedmiotregulacjirozdziauluboddziau">
    <w:name w:val="ROZDZ(ODDZ)_PRZEDM – przedmiot regulacji rozdziału lub oddziału"/>
    <w:next w:val="ARTartustawynprozporzdzenia"/>
    <w:uiPriority w:val="10"/>
    <w:qFormat/>
    <w:rsid w:val="0034315E"/>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TYTDZPRZEDMprzedmiotregulacjitytuulubdziau">
    <w:name w:val="TYT(DZ)_PRZEDM – przedmiot regulacji tytułu lub działu"/>
    <w:next w:val="ARTartustawynprozporzdzenia"/>
    <w:uiPriority w:val="9"/>
    <w:qFormat/>
    <w:rsid w:val="0066128E"/>
    <w:pPr>
      <w:keepNext/>
      <w:suppressAutoHyphens/>
      <w:spacing w:before="120" w:after="0" w:line="360" w:lineRule="auto"/>
      <w:jc w:val="center"/>
    </w:pPr>
    <w:rPr>
      <w:rFonts w:ascii="Times" w:eastAsia="Times New Roman" w:hAnsi="Times" w:cs="Times New Roman"/>
      <w:b/>
      <w:sz w:val="24"/>
      <w:szCs w:val="26"/>
      <w:lang w:eastAsia="pl-PL"/>
    </w:rPr>
  </w:style>
  <w:style w:type="paragraph" w:styleId="Tekstprzypisukocowego">
    <w:name w:val="endnote text"/>
    <w:basedOn w:val="Normalny"/>
    <w:link w:val="TekstprzypisukocowegoZnak"/>
    <w:uiPriority w:val="99"/>
    <w:semiHidden/>
    <w:unhideWhenUsed/>
    <w:rsid w:val="00BB2D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2DD7"/>
    <w:rPr>
      <w:sz w:val="20"/>
      <w:szCs w:val="20"/>
    </w:rPr>
  </w:style>
  <w:style w:type="character" w:styleId="Odwoanieprzypisukocowego">
    <w:name w:val="endnote reference"/>
    <w:basedOn w:val="Domylnaczcionkaakapitu"/>
    <w:uiPriority w:val="99"/>
    <w:semiHidden/>
    <w:unhideWhenUsed/>
    <w:rsid w:val="00BB2DD7"/>
    <w:rPr>
      <w:vertAlign w:val="superscript"/>
    </w:rPr>
  </w:style>
  <w:style w:type="paragraph" w:customStyle="1" w:styleId="ROZDZODDZOZNoznaczenierozdziauluboddziau">
    <w:name w:val="ROZDZ(ODDZ)_OZN – oznaczenie rozdziału lub oddziału"/>
    <w:next w:val="ARTartustawynprozporzdzenia"/>
    <w:uiPriority w:val="10"/>
    <w:qFormat/>
    <w:rsid w:val="00E37FC4"/>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65779"/>
    <w:rPr>
      <w:bCs/>
    </w:rPr>
  </w:style>
  <w:style w:type="character" w:customStyle="1" w:styleId="IGindeksgrny">
    <w:name w:val="_IG_ – indeks górny"/>
    <w:basedOn w:val="Domylnaczcionkaakapitu"/>
    <w:uiPriority w:val="2"/>
    <w:qFormat/>
    <w:rsid w:val="00965779"/>
    <w:rPr>
      <w:b w:val="0"/>
      <w:i w:val="0"/>
      <w:vanish w:val="0"/>
      <w:spacing w:val="0"/>
      <w:vertAlign w:val="superscript"/>
    </w:rPr>
  </w:style>
  <w:style w:type="character" w:customStyle="1" w:styleId="Ppogrubienie">
    <w:name w:val="_P_ – pogrubienie"/>
    <w:basedOn w:val="Domylnaczcionkaakapitu"/>
    <w:uiPriority w:val="1"/>
    <w:qFormat/>
    <w:rsid w:val="00965779"/>
    <w:rPr>
      <w:b/>
    </w:rPr>
  </w:style>
  <w:style w:type="paragraph" w:styleId="Tekstpodstawowy2">
    <w:name w:val="Body Text 2"/>
    <w:basedOn w:val="Normalny"/>
    <w:link w:val="Tekstpodstawowy2Znak"/>
    <w:rsid w:val="00D0300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03005"/>
    <w:rPr>
      <w:rFonts w:ascii="Times New Roman" w:eastAsia="Times New Roman" w:hAnsi="Times New Roman" w:cs="Times New Roman"/>
      <w:sz w:val="24"/>
      <w:szCs w:val="24"/>
      <w:lang w:eastAsia="pl-PL"/>
    </w:rPr>
  </w:style>
  <w:style w:type="paragraph" w:customStyle="1" w:styleId="BodyText21">
    <w:name w:val="Body Text 21"/>
    <w:basedOn w:val="Normalny"/>
    <w:rsid w:val="00D0300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03005"/>
    <w:pPr>
      <w:spacing w:after="120"/>
    </w:pPr>
  </w:style>
  <w:style w:type="character" w:customStyle="1" w:styleId="TekstpodstawowyZnak">
    <w:name w:val="Tekst podstawowy Znak"/>
    <w:basedOn w:val="Domylnaczcionkaakapitu"/>
    <w:link w:val="Tekstpodstawowy"/>
    <w:uiPriority w:val="99"/>
    <w:semiHidden/>
    <w:rsid w:val="00D03005"/>
  </w:style>
  <w:style w:type="paragraph" w:customStyle="1" w:styleId="ZROZDZODDZOZNzmoznrozdzoddzartykuempunktem">
    <w:name w:val="Z/ROZDZ(ODDZ)_OZN – zm. ozn. rozdz. (oddz.) artykułem (punktem)"/>
    <w:next w:val="Normalny"/>
    <w:uiPriority w:val="29"/>
    <w:qFormat/>
    <w:rsid w:val="00941C32"/>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WMATFIZCHEMwzrmatfizlubchem">
    <w:name w:val="W_MAT(FIZ|CHEM) – wzór mat. (fiz. lub chem.)"/>
    <w:uiPriority w:val="18"/>
    <w:qFormat/>
    <w:rsid w:val="00FB5B7E"/>
    <w:pPr>
      <w:spacing w:after="0" w:line="360" w:lineRule="auto"/>
      <w:jc w:val="center"/>
    </w:pPr>
    <w:rPr>
      <w:rFonts w:ascii="Times New Roman" w:eastAsiaTheme="minorEastAsia" w:hAnsi="Times New Roman" w:cs="Arial"/>
      <w:sz w:val="24"/>
      <w:szCs w:val="20"/>
      <w:lang w:eastAsia="pl-PL"/>
    </w:rPr>
  </w:style>
  <w:style w:type="paragraph" w:customStyle="1" w:styleId="PKTpunkt">
    <w:name w:val="PKT – punkt"/>
    <w:uiPriority w:val="13"/>
    <w:qFormat/>
    <w:rsid w:val="003431EC"/>
    <w:pPr>
      <w:spacing w:after="0" w:line="360" w:lineRule="auto"/>
      <w:ind w:left="510" w:hanging="510"/>
      <w:jc w:val="both"/>
    </w:pPr>
    <w:rPr>
      <w:rFonts w:ascii="Times" w:eastAsiaTheme="minorEastAsia" w:hAnsi="Times" w:cs="Arial"/>
      <w:bCs/>
      <w:sz w:val="24"/>
      <w:szCs w:val="20"/>
      <w:lang w:eastAsia="pl-PL"/>
    </w:rPr>
  </w:style>
  <w:style w:type="character" w:styleId="Pogrubienie">
    <w:name w:val="Strong"/>
    <w:basedOn w:val="Domylnaczcionkaakapitu"/>
    <w:uiPriority w:val="22"/>
    <w:qFormat/>
    <w:rsid w:val="003405EC"/>
    <w:rPr>
      <w:b/>
      <w:bCs/>
    </w:rPr>
  </w:style>
  <w:style w:type="character" w:customStyle="1" w:styleId="Nagwek1Znak">
    <w:name w:val="Nagłówek 1 Znak"/>
    <w:basedOn w:val="Domylnaczcionkaakapitu"/>
    <w:link w:val="Nagwek1"/>
    <w:uiPriority w:val="9"/>
    <w:rsid w:val="001A0975"/>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B17D2D"/>
    <w:pPr>
      <w:spacing w:after="0" w:line="240" w:lineRule="auto"/>
    </w:pPr>
  </w:style>
  <w:style w:type="character" w:customStyle="1" w:styleId="normaltextrun">
    <w:name w:val="normaltextrun"/>
    <w:basedOn w:val="Domylnaczcionkaakapitu"/>
    <w:rsid w:val="003A753A"/>
  </w:style>
  <w:style w:type="character" w:customStyle="1" w:styleId="spellingerror">
    <w:name w:val="spellingerror"/>
    <w:basedOn w:val="Domylnaczcionkaakapitu"/>
    <w:rsid w:val="0052113B"/>
  </w:style>
  <w:style w:type="character" w:customStyle="1" w:styleId="Nagwek2Znak">
    <w:name w:val="Nagłówek 2 Znak"/>
    <w:basedOn w:val="Domylnaczcionkaakapitu"/>
    <w:link w:val="Nagwek2"/>
    <w:uiPriority w:val="9"/>
    <w:rsid w:val="00C96D57"/>
    <w:rPr>
      <w:rFonts w:ascii="Times New Roman" w:eastAsia="Times New Roman" w:hAnsi="Times New Roman" w:cs="Times New Roman"/>
      <w:b/>
      <w:bCs/>
      <w:sz w:val="36"/>
      <w:szCs w:val="36"/>
      <w:lang w:eastAsia="pl-PL"/>
    </w:rPr>
  </w:style>
  <w:style w:type="character" w:customStyle="1" w:styleId="contextualspellingandgrammarerror">
    <w:name w:val="contextualspellingandgrammarerror"/>
    <w:basedOn w:val="Domylnaczcionkaakapitu"/>
    <w:rsid w:val="006D396A"/>
  </w:style>
  <w:style w:type="paragraph" w:customStyle="1" w:styleId="TIRtiret">
    <w:name w:val="TIR – tiret"/>
    <w:qFormat/>
    <w:rsid w:val="0615F0E1"/>
    <w:pPr>
      <w:spacing w:line="360" w:lineRule="auto"/>
      <w:ind w:left="1384" w:hanging="397"/>
      <w:jc w:val="both"/>
    </w:pPr>
    <w:rPr>
      <w:rFonts w:ascii="Times" w:eastAsiaTheme="minorEastAsia" w:hAnsi="Times" w:cs="Aria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8D6F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rsid w:val="005B7370"/>
  </w:style>
  <w:style w:type="character" w:customStyle="1" w:styleId="eop">
    <w:name w:val="eop"/>
    <w:basedOn w:val="Domylnaczcionkaakapitu"/>
    <w:rsid w:val="0062500A"/>
  </w:style>
  <w:style w:type="paragraph" w:customStyle="1" w:styleId="ZLITUSTzmustliter">
    <w:name w:val="Z_LIT/UST(§) – zm. ust. (§) literą"/>
    <w:basedOn w:val="Normalny"/>
    <w:uiPriority w:val="46"/>
    <w:rsid w:val="009D1405"/>
    <w:pPr>
      <w:autoSpaceDE w:val="0"/>
      <w:autoSpaceDN w:val="0"/>
      <w:spacing w:after="0" w:line="360" w:lineRule="auto"/>
      <w:ind w:left="987" w:firstLine="510"/>
      <w:jc w:val="both"/>
    </w:pPr>
    <w:rPr>
      <w:rFonts w:ascii="Times" w:hAnsi="Times" w:cs="Time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796">
      <w:bodyDiv w:val="1"/>
      <w:marLeft w:val="0"/>
      <w:marRight w:val="0"/>
      <w:marTop w:val="0"/>
      <w:marBottom w:val="0"/>
      <w:divBdr>
        <w:top w:val="none" w:sz="0" w:space="0" w:color="auto"/>
        <w:left w:val="none" w:sz="0" w:space="0" w:color="auto"/>
        <w:bottom w:val="none" w:sz="0" w:space="0" w:color="auto"/>
        <w:right w:val="none" w:sz="0" w:space="0" w:color="auto"/>
      </w:divBdr>
    </w:div>
    <w:div w:id="129250115">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5">
          <w:marLeft w:val="0"/>
          <w:marRight w:val="0"/>
          <w:marTop w:val="0"/>
          <w:marBottom w:val="0"/>
          <w:divBdr>
            <w:top w:val="none" w:sz="0" w:space="0" w:color="auto"/>
            <w:left w:val="none" w:sz="0" w:space="0" w:color="auto"/>
            <w:bottom w:val="none" w:sz="0" w:space="0" w:color="auto"/>
            <w:right w:val="none" w:sz="0" w:space="0" w:color="auto"/>
          </w:divBdr>
          <w:divsChild>
            <w:div w:id="1538396190">
              <w:marLeft w:val="0"/>
              <w:marRight w:val="0"/>
              <w:marTop w:val="0"/>
              <w:marBottom w:val="0"/>
              <w:divBdr>
                <w:top w:val="none" w:sz="0" w:space="0" w:color="auto"/>
                <w:left w:val="none" w:sz="0" w:space="0" w:color="auto"/>
                <w:bottom w:val="none" w:sz="0" w:space="0" w:color="auto"/>
                <w:right w:val="none" w:sz="0" w:space="0" w:color="auto"/>
              </w:divBdr>
              <w:divsChild>
                <w:div w:id="1516916420">
                  <w:marLeft w:val="0"/>
                  <w:marRight w:val="0"/>
                  <w:marTop w:val="0"/>
                  <w:marBottom w:val="0"/>
                  <w:divBdr>
                    <w:top w:val="none" w:sz="0" w:space="0" w:color="auto"/>
                    <w:left w:val="none" w:sz="0" w:space="0" w:color="auto"/>
                    <w:bottom w:val="none" w:sz="0" w:space="0" w:color="auto"/>
                    <w:right w:val="none" w:sz="0" w:space="0" w:color="auto"/>
                  </w:divBdr>
                  <w:divsChild>
                    <w:div w:id="737895537">
                      <w:marLeft w:val="0"/>
                      <w:marRight w:val="0"/>
                      <w:marTop w:val="0"/>
                      <w:marBottom w:val="0"/>
                      <w:divBdr>
                        <w:top w:val="none" w:sz="0" w:space="0" w:color="auto"/>
                        <w:left w:val="none" w:sz="0" w:space="0" w:color="auto"/>
                        <w:bottom w:val="none" w:sz="0" w:space="0" w:color="auto"/>
                        <w:right w:val="none" w:sz="0" w:space="0" w:color="auto"/>
                      </w:divBdr>
                      <w:divsChild>
                        <w:div w:id="743263228">
                          <w:marLeft w:val="0"/>
                          <w:marRight w:val="0"/>
                          <w:marTop w:val="0"/>
                          <w:marBottom w:val="0"/>
                          <w:divBdr>
                            <w:top w:val="none" w:sz="0" w:space="0" w:color="auto"/>
                            <w:left w:val="none" w:sz="0" w:space="0" w:color="auto"/>
                            <w:bottom w:val="none" w:sz="0" w:space="0" w:color="auto"/>
                            <w:right w:val="none" w:sz="0" w:space="0" w:color="auto"/>
                          </w:divBdr>
                          <w:divsChild>
                            <w:div w:id="1519151586">
                              <w:marLeft w:val="0"/>
                              <w:marRight w:val="0"/>
                              <w:marTop w:val="0"/>
                              <w:marBottom w:val="0"/>
                              <w:divBdr>
                                <w:top w:val="none" w:sz="0" w:space="0" w:color="auto"/>
                                <w:left w:val="none" w:sz="0" w:space="0" w:color="auto"/>
                                <w:bottom w:val="none" w:sz="0" w:space="0" w:color="auto"/>
                                <w:right w:val="none" w:sz="0" w:space="0" w:color="auto"/>
                              </w:divBdr>
                              <w:divsChild>
                                <w:div w:id="1705329621">
                                  <w:marLeft w:val="0"/>
                                  <w:marRight w:val="0"/>
                                  <w:marTop w:val="0"/>
                                  <w:marBottom w:val="0"/>
                                  <w:divBdr>
                                    <w:top w:val="none" w:sz="0" w:space="0" w:color="auto"/>
                                    <w:left w:val="none" w:sz="0" w:space="0" w:color="auto"/>
                                    <w:bottom w:val="none" w:sz="0" w:space="0" w:color="auto"/>
                                    <w:right w:val="none" w:sz="0" w:space="0" w:color="auto"/>
                                  </w:divBdr>
                                  <w:divsChild>
                                    <w:div w:id="2027636103">
                                      <w:marLeft w:val="0"/>
                                      <w:marRight w:val="0"/>
                                      <w:marTop w:val="0"/>
                                      <w:marBottom w:val="0"/>
                                      <w:divBdr>
                                        <w:top w:val="none" w:sz="0" w:space="0" w:color="auto"/>
                                        <w:left w:val="none" w:sz="0" w:space="0" w:color="auto"/>
                                        <w:bottom w:val="none" w:sz="0" w:space="0" w:color="auto"/>
                                        <w:right w:val="none" w:sz="0" w:space="0" w:color="auto"/>
                                      </w:divBdr>
                                      <w:divsChild>
                                        <w:div w:id="2108915307">
                                          <w:marLeft w:val="0"/>
                                          <w:marRight w:val="0"/>
                                          <w:marTop w:val="0"/>
                                          <w:marBottom w:val="0"/>
                                          <w:divBdr>
                                            <w:top w:val="none" w:sz="0" w:space="0" w:color="auto"/>
                                            <w:left w:val="none" w:sz="0" w:space="0" w:color="auto"/>
                                            <w:bottom w:val="none" w:sz="0" w:space="0" w:color="auto"/>
                                            <w:right w:val="none" w:sz="0" w:space="0" w:color="auto"/>
                                          </w:divBdr>
                                          <w:divsChild>
                                            <w:div w:id="123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883">
      <w:bodyDiv w:val="1"/>
      <w:marLeft w:val="0"/>
      <w:marRight w:val="0"/>
      <w:marTop w:val="0"/>
      <w:marBottom w:val="0"/>
      <w:divBdr>
        <w:top w:val="none" w:sz="0" w:space="0" w:color="auto"/>
        <w:left w:val="none" w:sz="0" w:space="0" w:color="auto"/>
        <w:bottom w:val="none" w:sz="0" w:space="0" w:color="auto"/>
        <w:right w:val="none" w:sz="0" w:space="0" w:color="auto"/>
      </w:divBdr>
      <w:divsChild>
        <w:div w:id="1651520746">
          <w:marLeft w:val="0"/>
          <w:marRight w:val="0"/>
          <w:marTop w:val="0"/>
          <w:marBottom w:val="0"/>
          <w:divBdr>
            <w:top w:val="none" w:sz="0" w:space="0" w:color="auto"/>
            <w:left w:val="none" w:sz="0" w:space="0" w:color="auto"/>
            <w:bottom w:val="none" w:sz="0" w:space="0" w:color="auto"/>
            <w:right w:val="none" w:sz="0" w:space="0" w:color="auto"/>
          </w:divBdr>
          <w:divsChild>
            <w:div w:id="1609266160">
              <w:marLeft w:val="0"/>
              <w:marRight w:val="0"/>
              <w:marTop w:val="0"/>
              <w:marBottom w:val="0"/>
              <w:divBdr>
                <w:top w:val="none" w:sz="0" w:space="0" w:color="auto"/>
                <w:left w:val="none" w:sz="0" w:space="0" w:color="auto"/>
                <w:bottom w:val="none" w:sz="0" w:space="0" w:color="auto"/>
                <w:right w:val="none" w:sz="0" w:space="0" w:color="auto"/>
              </w:divBdr>
              <w:divsChild>
                <w:div w:id="1397556053">
                  <w:marLeft w:val="0"/>
                  <w:marRight w:val="0"/>
                  <w:marTop w:val="0"/>
                  <w:marBottom w:val="0"/>
                  <w:divBdr>
                    <w:top w:val="none" w:sz="0" w:space="0" w:color="auto"/>
                    <w:left w:val="none" w:sz="0" w:space="0" w:color="auto"/>
                    <w:bottom w:val="none" w:sz="0" w:space="0" w:color="auto"/>
                    <w:right w:val="none" w:sz="0" w:space="0" w:color="auto"/>
                  </w:divBdr>
                  <w:divsChild>
                    <w:div w:id="556401523">
                      <w:marLeft w:val="0"/>
                      <w:marRight w:val="0"/>
                      <w:marTop w:val="0"/>
                      <w:marBottom w:val="0"/>
                      <w:divBdr>
                        <w:top w:val="none" w:sz="0" w:space="0" w:color="auto"/>
                        <w:left w:val="none" w:sz="0" w:space="0" w:color="auto"/>
                        <w:bottom w:val="none" w:sz="0" w:space="0" w:color="auto"/>
                        <w:right w:val="none" w:sz="0" w:space="0" w:color="auto"/>
                      </w:divBdr>
                      <w:divsChild>
                        <w:div w:id="306907794">
                          <w:marLeft w:val="0"/>
                          <w:marRight w:val="0"/>
                          <w:marTop w:val="0"/>
                          <w:marBottom w:val="0"/>
                          <w:divBdr>
                            <w:top w:val="none" w:sz="0" w:space="0" w:color="auto"/>
                            <w:left w:val="none" w:sz="0" w:space="0" w:color="auto"/>
                            <w:bottom w:val="none" w:sz="0" w:space="0" w:color="auto"/>
                            <w:right w:val="none" w:sz="0" w:space="0" w:color="auto"/>
                          </w:divBdr>
                          <w:divsChild>
                            <w:div w:id="1491218082">
                              <w:marLeft w:val="0"/>
                              <w:marRight w:val="0"/>
                              <w:marTop w:val="0"/>
                              <w:marBottom w:val="0"/>
                              <w:divBdr>
                                <w:top w:val="none" w:sz="0" w:space="0" w:color="auto"/>
                                <w:left w:val="none" w:sz="0" w:space="0" w:color="auto"/>
                                <w:bottom w:val="none" w:sz="0" w:space="0" w:color="auto"/>
                                <w:right w:val="none" w:sz="0" w:space="0" w:color="auto"/>
                              </w:divBdr>
                              <w:divsChild>
                                <w:div w:id="112871701">
                                  <w:marLeft w:val="0"/>
                                  <w:marRight w:val="0"/>
                                  <w:marTop w:val="0"/>
                                  <w:marBottom w:val="0"/>
                                  <w:divBdr>
                                    <w:top w:val="none" w:sz="0" w:space="0" w:color="auto"/>
                                    <w:left w:val="none" w:sz="0" w:space="0" w:color="auto"/>
                                    <w:bottom w:val="none" w:sz="0" w:space="0" w:color="auto"/>
                                    <w:right w:val="none" w:sz="0" w:space="0" w:color="auto"/>
                                  </w:divBdr>
                                  <w:divsChild>
                                    <w:div w:id="125899310">
                                      <w:marLeft w:val="0"/>
                                      <w:marRight w:val="0"/>
                                      <w:marTop w:val="0"/>
                                      <w:marBottom w:val="0"/>
                                      <w:divBdr>
                                        <w:top w:val="none" w:sz="0" w:space="0" w:color="auto"/>
                                        <w:left w:val="none" w:sz="0" w:space="0" w:color="auto"/>
                                        <w:bottom w:val="none" w:sz="0" w:space="0" w:color="auto"/>
                                        <w:right w:val="none" w:sz="0" w:space="0" w:color="auto"/>
                                      </w:divBdr>
                                      <w:divsChild>
                                        <w:div w:id="1758014557">
                                          <w:marLeft w:val="0"/>
                                          <w:marRight w:val="0"/>
                                          <w:marTop w:val="0"/>
                                          <w:marBottom w:val="0"/>
                                          <w:divBdr>
                                            <w:top w:val="none" w:sz="0" w:space="0" w:color="auto"/>
                                            <w:left w:val="none" w:sz="0" w:space="0" w:color="auto"/>
                                            <w:bottom w:val="none" w:sz="0" w:space="0" w:color="auto"/>
                                            <w:right w:val="none" w:sz="0" w:space="0" w:color="auto"/>
                                          </w:divBdr>
                                          <w:divsChild>
                                            <w:div w:id="1520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43695">
      <w:bodyDiv w:val="1"/>
      <w:marLeft w:val="0"/>
      <w:marRight w:val="0"/>
      <w:marTop w:val="0"/>
      <w:marBottom w:val="0"/>
      <w:divBdr>
        <w:top w:val="none" w:sz="0" w:space="0" w:color="auto"/>
        <w:left w:val="none" w:sz="0" w:space="0" w:color="auto"/>
        <w:bottom w:val="none" w:sz="0" w:space="0" w:color="auto"/>
        <w:right w:val="none" w:sz="0" w:space="0" w:color="auto"/>
      </w:divBdr>
    </w:div>
    <w:div w:id="285545591">
      <w:bodyDiv w:val="1"/>
      <w:marLeft w:val="0"/>
      <w:marRight w:val="0"/>
      <w:marTop w:val="0"/>
      <w:marBottom w:val="0"/>
      <w:divBdr>
        <w:top w:val="none" w:sz="0" w:space="0" w:color="auto"/>
        <w:left w:val="none" w:sz="0" w:space="0" w:color="auto"/>
        <w:bottom w:val="none" w:sz="0" w:space="0" w:color="auto"/>
        <w:right w:val="none" w:sz="0" w:space="0" w:color="auto"/>
      </w:divBdr>
    </w:div>
    <w:div w:id="290788714">
      <w:bodyDiv w:val="1"/>
      <w:marLeft w:val="0"/>
      <w:marRight w:val="0"/>
      <w:marTop w:val="0"/>
      <w:marBottom w:val="0"/>
      <w:divBdr>
        <w:top w:val="none" w:sz="0" w:space="0" w:color="auto"/>
        <w:left w:val="none" w:sz="0" w:space="0" w:color="auto"/>
        <w:bottom w:val="none" w:sz="0" w:space="0" w:color="auto"/>
        <w:right w:val="none" w:sz="0" w:space="0" w:color="auto"/>
      </w:divBdr>
    </w:div>
    <w:div w:id="405962349">
      <w:bodyDiv w:val="1"/>
      <w:marLeft w:val="0"/>
      <w:marRight w:val="0"/>
      <w:marTop w:val="0"/>
      <w:marBottom w:val="0"/>
      <w:divBdr>
        <w:top w:val="none" w:sz="0" w:space="0" w:color="auto"/>
        <w:left w:val="none" w:sz="0" w:space="0" w:color="auto"/>
        <w:bottom w:val="none" w:sz="0" w:space="0" w:color="auto"/>
        <w:right w:val="none" w:sz="0" w:space="0" w:color="auto"/>
      </w:divBdr>
    </w:div>
    <w:div w:id="422381463">
      <w:bodyDiv w:val="1"/>
      <w:marLeft w:val="0"/>
      <w:marRight w:val="0"/>
      <w:marTop w:val="0"/>
      <w:marBottom w:val="0"/>
      <w:divBdr>
        <w:top w:val="none" w:sz="0" w:space="0" w:color="auto"/>
        <w:left w:val="none" w:sz="0" w:space="0" w:color="auto"/>
        <w:bottom w:val="none" w:sz="0" w:space="0" w:color="auto"/>
        <w:right w:val="none" w:sz="0" w:space="0" w:color="auto"/>
      </w:divBdr>
      <w:divsChild>
        <w:div w:id="1597442439">
          <w:marLeft w:val="600"/>
          <w:marRight w:val="0"/>
          <w:marTop w:val="0"/>
          <w:marBottom w:val="0"/>
          <w:divBdr>
            <w:top w:val="none" w:sz="0" w:space="0" w:color="auto"/>
            <w:left w:val="none" w:sz="0" w:space="0" w:color="auto"/>
            <w:bottom w:val="none" w:sz="0" w:space="0" w:color="auto"/>
            <w:right w:val="none" w:sz="0" w:space="0" w:color="auto"/>
          </w:divBdr>
        </w:div>
        <w:div w:id="1602029081">
          <w:marLeft w:val="0"/>
          <w:marRight w:val="0"/>
          <w:marTop w:val="105"/>
          <w:marBottom w:val="0"/>
          <w:divBdr>
            <w:top w:val="none" w:sz="0" w:space="0" w:color="auto"/>
            <w:left w:val="none" w:sz="0" w:space="0" w:color="auto"/>
            <w:bottom w:val="none" w:sz="0" w:space="0" w:color="auto"/>
            <w:right w:val="none" w:sz="0" w:space="0" w:color="auto"/>
          </w:divBdr>
        </w:div>
        <w:div w:id="1826774041">
          <w:marLeft w:val="600"/>
          <w:marRight w:val="0"/>
          <w:marTop w:val="0"/>
          <w:marBottom w:val="0"/>
          <w:divBdr>
            <w:top w:val="none" w:sz="0" w:space="0" w:color="auto"/>
            <w:left w:val="none" w:sz="0" w:space="0" w:color="auto"/>
            <w:bottom w:val="none" w:sz="0" w:space="0" w:color="auto"/>
            <w:right w:val="none" w:sz="0" w:space="0" w:color="auto"/>
          </w:divBdr>
        </w:div>
      </w:divsChild>
    </w:div>
    <w:div w:id="436676876">
      <w:bodyDiv w:val="1"/>
      <w:marLeft w:val="0"/>
      <w:marRight w:val="0"/>
      <w:marTop w:val="0"/>
      <w:marBottom w:val="0"/>
      <w:divBdr>
        <w:top w:val="none" w:sz="0" w:space="0" w:color="auto"/>
        <w:left w:val="none" w:sz="0" w:space="0" w:color="auto"/>
        <w:bottom w:val="none" w:sz="0" w:space="0" w:color="auto"/>
        <w:right w:val="none" w:sz="0" w:space="0" w:color="auto"/>
      </w:divBdr>
    </w:div>
    <w:div w:id="621813659">
      <w:bodyDiv w:val="1"/>
      <w:marLeft w:val="0"/>
      <w:marRight w:val="0"/>
      <w:marTop w:val="0"/>
      <w:marBottom w:val="0"/>
      <w:divBdr>
        <w:top w:val="none" w:sz="0" w:space="0" w:color="auto"/>
        <w:left w:val="none" w:sz="0" w:space="0" w:color="auto"/>
        <w:bottom w:val="none" w:sz="0" w:space="0" w:color="auto"/>
        <w:right w:val="none" w:sz="0" w:space="0" w:color="auto"/>
      </w:divBdr>
    </w:div>
    <w:div w:id="753084725">
      <w:bodyDiv w:val="1"/>
      <w:marLeft w:val="0"/>
      <w:marRight w:val="0"/>
      <w:marTop w:val="0"/>
      <w:marBottom w:val="0"/>
      <w:divBdr>
        <w:top w:val="none" w:sz="0" w:space="0" w:color="auto"/>
        <w:left w:val="none" w:sz="0" w:space="0" w:color="auto"/>
        <w:bottom w:val="none" w:sz="0" w:space="0" w:color="auto"/>
        <w:right w:val="none" w:sz="0" w:space="0" w:color="auto"/>
      </w:divBdr>
    </w:div>
    <w:div w:id="764427086">
      <w:bodyDiv w:val="1"/>
      <w:marLeft w:val="0"/>
      <w:marRight w:val="0"/>
      <w:marTop w:val="0"/>
      <w:marBottom w:val="0"/>
      <w:divBdr>
        <w:top w:val="none" w:sz="0" w:space="0" w:color="auto"/>
        <w:left w:val="none" w:sz="0" w:space="0" w:color="auto"/>
        <w:bottom w:val="none" w:sz="0" w:space="0" w:color="auto"/>
        <w:right w:val="none" w:sz="0" w:space="0" w:color="auto"/>
      </w:divBdr>
      <w:divsChild>
        <w:div w:id="1076822474">
          <w:marLeft w:val="0"/>
          <w:marRight w:val="0"/>
          <w:marTop w:val="0"/>
          <w:marBottom w:val="0"/>
          <w:divBdr>
            <w:top w:val="none" w:sz="0" w:space="0" w:color="auto"/>
            <w:left w:val="none" w:sz="0" w:space="0" w:color="auto"/>
            <w:bottom w:val="none" w:sz="0" w:space="0" w:color="auto"/>
            <w:right w:val="none" w:sz="0" w:space="0" w:color="auto"/>
          </w:divBdr>
          <w:divsChild>
            <w:div w:id="87966650">
              <w:marLeft w:val="0"/>
              <w:marRight w:val="0"/>
              <w:marTop w:val="0"/>
              <w:marBottom w:val="0"/>
              <w:divBdr>
                <w:top w:val="none" w:sz="0" w:space="0" w:color="auto"/>
                <w:left w:val="none" w:sz="0" w:space="0" w:color="auto"/>
                <w:bottom w:val="none" w:sz="0" w:space="0" w:color="auto"/>
                <w:right w:val="none" w:sz="0" w:space="0" w:color="auto"/>
              </w:divBdr>
              <w:divsChild>
                <w:div w:id="64038905">
                  <w:marLeft w:val="0"/>
                  <w:marRight w:val="0"/>
                  <w:marTop w:val="0"/>
                  <w:marBottom w:val="0"/>
                  <w:divBdr>
                    <w:top w:val="none" w:sz="0" w:space="0" w:color="auto"/>
                    <w:left w:val="none" w:sz="0" w:space="0" w:color="auto"/>
                    <w:bottom w:val="none" w:sz="0" w:space="0" w:color="auto"/>
                    <w:right w:val="none" w:sz="0" w:space="0" w:color="auto"/>
                  </w:divBdr>
                  <w:divsChild>
                    <w:div w:id="97604414">
                      <w:marLeft w:val="0"/>
                      <w:marRight w:val="0"/>
                      <w:marTop w:val="0"/>
                      <w:marBottom w:val="0"/>
                      <w:divBdr>
                        <w:top w:val="none" w:sz="0" w:space="0" w:color="auto"/>
                        <w:left w:val="none" w:sz="0" w:space="0" w:color="auto"/>
                        <w:bottom w:val="none" w:sz="0" w:space="0" w:color="auto"/>
                        <w:right w:val="none" w:sz="0" w:space="0" w:color="auto"/>
                      </w:divBdr>
                      <w:divsChild>
                        <w:div w:id="933173290">
                          <w:marLeft w:val="0"/>
                          <w:marRight w:val="0"/>
                          <w:marTop w:val="0"/>
                          <w:marBottom w:val="0"/>
                          <w:divBdr>
                            <w:top w:val="none" w:sz="0" w:space="0" w:color="auto"/>
                            <w:left w:val="none" w:sz="0" w:space="0" w:color="auto"/>
                            <w:bottom w:val="none" w:sz="0" w:space="0" w:color="auto"/>
                            <w:right w:val="none" w:sz="0" w:space="0" w:color="auto"/>
                          </w:divBdr>
                          <w:divsChild>
                            <w:div w:id="1006518942">
                              <w:marLeft w:val="0"/>
                              <w:marRight w:val="0"/>
                              <w:marTop w:val="0"/>
                              <w:marBottom w:val="0"/>
                              <w:divBdr>
                                <w:top w:val="none" w:sz="0" w:space="0" w:color="auto"/>
                                <w:left w:val="none" w:sz="0" w:space="0" w:color="auto"/>
                                <w:bottom w:val="none" w:sz="0" w:space="0" w:color="auto"/>
                                <w:right w:val="none" w:sz="0" w:space="0" w:color="auto"/>
                              </w:divBdr>
                              <w:divsChild>
                                <w:div w:id="474026207">
                                  <w:marLeft w:val="0"/>
                                  <w:marRight w:val="0"/>
                                  <w:marTop w:val="0"/>
                                  <w:marBottom w:val="0"/>
                                  <w:divBdr>
                                    <w:top w:val="none" w:sz="0" w:space="0" w:color="auto"/>
                                    <w:left w:val="none" w:sz="0" w:space="0" w:color="auto"/>
                                    <w:bottom w:val="none" w:sz="0" w:space="0" w:color="auto"/>
                                    <w:right w:val="none" w:sz="0" w:space="0" w:color="auto"/>
                                  </w:divBdr>
                                  <w:divsChild>
                                    <w:div w:id="254245403">
                                      <w:marLeft w:val="0"/>
                                      <w:marRight w:val="0"/>
                                      <w:marTop w:val="0"/>
                                      <w:marBottom w:val="0"/>
                                      <w:divBdr>
                                        <w:top w:val="none" w:sz="0" w:space="0" w:color="auto"/>
                                        <w:left w:val="none" w:sz="0" w:space="0" w:color="auto"/>
                                        <w:bottom w:val="none" w:sz="0" w:space="0" w:color="auto"/>
                                        <w:right w:val="none" w:sz="0" w:space="0" w:color="auto"/>
                                      </w:divBdr>
                                      <w:divsChild>
                                        <w:div w:id="1358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290024">
      <w:bodyDiv w:val="1"/>
      <w:marLeft w:val="0"/>
      <w:marRight w:val="0"/>
      <w:marTop w:val="0"/>
      <w:marBottom w:val="0"/>
      <w:divBdr>
        <w:top w:val="none" w:sz="0" w:space="0" w:color="auto"/>
        <w:left w:val="none" w:sz="0" w:space="0" w:color="auto"/>
        <w:bottom w:val="none" w:sz="0" w:space="0" w:color="auto"/>
        <w:right w:val="none" w:sz="0" w:space="0" w:color="auto"/>
      </w:divBdr>
    </w:div>
    <w:div w:id="841434286">
      <w:bodyDiv w:val="1"/>
      <w:marLeft w:val="0"/>
      <w:marRight w:val="0"/>
      <w:marTop w:val="0"/>
      <w:marBottom w:val="0"/>
      <w:divBdr>
        <w:top w:val="none" w:sz="0" w:space="0" w:color="auto"/>
        <w:left w:val="none" w:sz="0" w:space="0" w:color="auto"/>
        <w:bottom w:val="none" w:sz="0" w:space="0" w:color="auto"/>
        <w:right w:val="none" w:sz="0" w:space="0" w:color="auto"/>
      </w:divBdr>
    </w:div>
    <w:div w:id="855658478">
      <w:bodyDiv w:val="1"/>
      <w:marLeft w:val="0"/>
      <w:marRight w:val="0"/>
      <w:marTop w:val="0"/>
      <w:marBottom w:val="0"/>
      <w:divBdr>
        <w:top w:val="none" w:sz="0" w:space="0" w:color="auto"/>
        <w:left w:val="none" w:sz="0" w:space="0" w:color="auto"/>
        <w:bottom w:val="none" w:sz="0" w:space="0" w:color="auto"/>
        <w:right w:val="none" w:sz="0" w:space="0" w:color="auto"/>
      </w:divBdr>
      <w:divsChild>
        <w:div w:id="1179932729">
          <w:marLeft w:val="0"/>
          <w:marRight w:val="0"/>
          <w:marTop w:val="0"/>
          <w:marBottom w:val="0"/>
          <w:divBdr>
            <w:top w:val="none" w:sz="0" w:space="0" w:color="auto"/>
            <w:left w:val="none" w:sz="0" w:space="0" w:color="auto"/>
            <w:bottom w:val="none" w:sz="0" w:space="0" w:color="auto"/>
            <w:right w:val="none" w:sz="0" w:space="0" w:color="auto"/>
          </w:divBdr>
          <w:divsChild>
            <w:div w:id="1196432147">
              <w:marLeft w:val="0"/>
              <w:marRight w:val="0"/>
              <w:marTop w:val="0"/>
              <w:marBottom w:val="0"/>
              <w:divBdr>
                <w:top w:val="none" w:sz="0" w:space="0" w:color="auto"/>
                <w:left w:val="none" w:sz="0" w:space="0" w:color="auto"/>
                <w:bottom w:val="none" w:sz="0" w:space="0" w:color="auto"/>
                <w:right w:val="none" w:sz="0" w:space="0" w:color="auto"/>
              </w:divBdr>
              <w:divsChild>
                <w:div w:id="2128816633">
                  <w:marLeft w:val="0"/>
                  <w:marRight w:val="0"/>
                  <w:marTop w:val="0"/>
                  <w:marBottom w:val="0"/>
                  <w:divBdr>
                    <w:top w:val="none" w:sz="0" w:space="0" w:color="auto"/>
                    <w:left w:val="none" w:sz="0" w:space="0" w:color="auto"/>
                    <w:bottom w:val="none" w:sz="0" w:space="0" w:color="auto"/>
                    <w:right w:val="none" w:sz="0" w:space="0" w:color="auto"/>
                  </w:divBdr>
                  <w:divsChild>
                    <w:div w:id="675114972">
                      <w:marLeft w:val="0"/>
                      <w:marRight w:val="0"/>
                      <w:marTop w:val="0"/>
                      <w:marBottom w:val="0"/>
                      <w:divBdr>
                        <w:top w:val="none" w:sz="0" w:space="0" w:color="auto"/>
                        <w:left w:val="none" w:sz="0" w:space="0" w:color="auto"/>
                        <w:bottom w:val="none" w:sz="0" w:space="0" w:color="auto"/>
                        <w:right w:val="none" w:sz="0" w:space="0" w:color="auto"/>
                      </w:divBdr>
                      <w:divsChild>
                        <w:div w:id="1242372352">
                          <w:marLeft w:val="0"/>
                          <w:marRight w:val="0"/>
                          <w:marTop w:val="0"/>
                          <w:marBottom w:val="0"/>
                          <w:divBdr>
                            <w:top w:val="none" w:sz="0" w:space="0" w:color="auto"/>
                            <w:left w:val="none" w:sz="0" w:space="0" w:color="auto"/>
                            <w:bottom w:val="none" w:sz="0" w:space="0" w:color="auto"/>
                            <w:right w:val="none" w:sz="0" w:space="0" w:color="auto"/>
                          </w:divBdr>
                          <w:divsChild>
                            <w:div w:id="1179583640">
                              <w:marLeft w:val="0"/>
                              <w:marRight w:val="0"/>
                              <w:marTop w:val="0"/>
                              <w:marBottom w:val="0"/>
                              <w:divBdr>
                                <w:top w:val="none" w:sz="0" w:space="0" w:color="auto"/>
                                <w:left w:val="none" w:sz="0" w:space="0" w:color="auto"/>
                                <w:bottom w:val="none" w:sz="0" w:space="0" w:color="auto"/>
                                <w:right w:val="none" w:sz="0" w:space="0" w:color="auto"/>
                              </w:divBdr>
                              <w:divsChild>
                                <w:div w:id="207646773">
                                  <w:marLeft w:val="0"/>
                                  <w:marRight w:val="0"/>
                                  <w:marTop w:val="0"/>
                                  <w:marBottom w:val="0"/>
                                  <w:divBdr>
                                    <w:top w:val="none" w:sz="0" w:space="0" w:color="auto"/>
                                    <w:left w:val="none" w:sz="0" w:space="0" w:color="auto"/>
                                    <w:bottom w:val="none" w:sz="0" w:space="0" w:color="auto"/>
                                    <w:right w:val="none" w:sz="0" w:space="0" w:color="auto"/>
                                  </w:divBdr>
                                  <w:divsChild>
                                    <w:div w:id="1559317479">
                                      <w:marLeft w:val="0"/>
                                      <w:marRight w:val="0"/>
                                      <w:marTop w:val="0"/>
                                      <w:marBottom w:val="0"/>
                                      <w:divBdr>
                                        <w:top w:val="none" w:sz="0" w:space="0" w:color="auto"/>
                                        <w:left w:val="none" w:sz="0" w:space="0" w:color="auto"/>
                                        <w:bottom w:val="none" w:sz="0" w:space="0" w:color="auto"/>
                                        <w:right w:val="none" w:sz="0" w:space="0" w:color="auto"/>
                                      </w:divBdr>
                                      <w:divsChild>
                                        <w:div w:id="2138719870">
                                          <w:marLeft w:val="0"/>
                                          <w:marRight w:val="0"/>
                                          <w:marTop w:val="0"/>
                                          <w:marBottom w:val="0"/>
                                          <w:divBdr>
                                            <w:top w:val="none" w:sz="0" w:space="0" w:color="auto"/>
                                            <w:left w:val="none" w:sz="0" w:space="0" w:color="auto"/>
                                            <w:bottom w:val="none" w:sz="0" w:space="0" w:color="auto"/>
                                            <w:right w:val="none" w:sz="0" w:space="0" w:color="auto"/>
                                          </w:divBdr>
                                          <w:divsChild>
                                            <w:div w:id="7634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737455">
      <w:bodyDiv w:val="1"/>
      <w:marLeft w:val="0"/>
      <w:marRight w:val="0"/>
      <w:marTop w:val="0"/>
      <w:marBottom w:val="0"/>
      <w:divBdr>
        <w:top w:val="none" w:sz="0" w:space="0" w:color="auto"/>
        <w:left w:val="none" w:sz="0" w:space="0" w:color="auto"/>
        <w:bottom w:val="none" w:sz="0" w:space="0" w:color="auto"/>
        <w:right w:val="none" w:sz="0" w:space="0" w:color="auto"/>
      </w:divBdr>
    </w:div>
    <w:div w:id="1051656892">
      <w:bodyDiv w:val="1"/>
      <w:marLeft w:val="0"/>
      <w:marRight w:val="0"/>
      <w:marTop w:val="0"/>
      <w:marBottom w:val="0"/>
      <w:divBdr>
        <w:top w:val="none" w:sz="0" w:space="0" w:color="auto"/>
        <w:left w:val="none" w:sz="0" w:space="0" w:color="auto"/>
        <w:bottom w:val="none" w:sz="0" w:space="0" w:color="auto"/>
        <w:right w:val="none" w:sz="0" w:space="0" w:color="auto"/>
      </w:divBdr>
    </w:div>
    <w:div w:id="1216508907">
      <w:bodyDiv w:val="1"/>
      <w:marLeft w:val="0"/>
      <w:marRight w:val="0"/>
      <w:marTop w:val="0"/>
      <w:marBottom w:val="0"/>
      <w:divBdr>
        <w:top w:val="none" w:sz="0" w:space="0" w:color="auto"/>
        <w:left w:val="none" w:sz="0" w:space="0" w:color="auto"/>
        <w:bottom w:val="none" w:sz="0" w:space="0" w:color="auto"/>
        <w:right w:val="none" w:sz="0" w:space="0" w:color="auto"/>
      </w:divBdr>
      <w:divsChild>
        <w:div w:id="224268311">
          <w:marLeft w:val="0"/>
          <w:marRight w:val="0"/>
          <w:marTop w:val="0"/>
          <w:marBottom w:val="0"/>
          <w:divBdr>
            <w:top w:val="none" w:sz="0" w:space="0" w:color="auto"/>
            <w:left w:val="none" w:sz="0" w:space="0" w:color="auto"/>
            <w:bottom w:val="none" w:sz="0" w:space="0" w:color="auto"/>
            <w:right w:val="none" w:sz="0" w:space="0" w:color="auto"/>
          </w:divBdr>
          <w:divsChild>
            <w:div w:id="191915886">
              <w:marLeft w:val="0"/>
              <w:marRight w:val="0"/>
              <w:marTop w:val="0"/>
              <w:marBottom w:val="0"/>
              <w:divBdr>
                <w:top w:val="none" w:sz="0" w:space="0" w:color="auto"/>
                <w:left w:val="none" w:sz="0" w:space="0" w:color="auto"/>
                <w:bottom w:val="none" w:sz="0" w:space="0" w:color="auto"/>
                <w:right w:val="none" w:sz="0" w:space="0" w:color="auto"/>
              </w:divBdr>
              <w:divsChild>
                <w:div w:id="1747648589">
                  <w:marLeft w:val="0"/>
                  <w:marRight w:val="0"/>
                  <w:marTop w:val="0"/>
                  <w:marBottom w:val="0"/>
                  <w:divBdr>
                    <w:top w:val="none" w:sz="0" w:space="0" w:color="auto"/>
                    <w:left w:val="none" w:sz="0" w:space="0" w:color="auto"/>
                    <w:bottom w:val="none" w:sz="0" w:space="0" w:color="auto"/>
                    <w:right w:val="none" w:sz="0" w:space="0" w:color="auto"/>
                  </w:divBdr>
                  <w:divsChild>
                    <w:div w:id="190459520">
                      <w:marLeft w:val="0"/>
                      <w:marRight w:val="0"/>
                      <w:marTop w:val="420"/>
                      <w:marBottom w:val="0"/>
                      <w:divBdr>
                        <w:top w:val="none" w:sz="0" w:space="0" w:color="auto"/>
                        <w:left w:val="none" w:sz="0" w:space="0" w:color="auto"/>
                        <w:bottom w:val="none" w:sz="0" w:space="0" w:color="auto"/>
                        <w:right w:val="none" w:sz="0" w:space="0" w:color="auto"/>
                      </w:divBdr>
                      <w:divsChild>
                        <w:div w:id="762922236">
                          <w:marLeft w:val="0"/>
                          <w:marRight w:val="0"/>
                          <w:marTop w:val="0"/>
                          <w:marBottom w:val="0"/>
                          <w:divBdr>
                            <w:top w:val="none" w:sz="0" w:space="0" w:color="auto"/>
                            <w:left w:val="none" w:sz="0" w:space="0" w:color="auto"/>
                            <w:bottom w:val="none" w:sz="0" w:space="0" w:color="auto"/>
                            <w:right w:val="none" w:sz="0" w:space="0" w:color="auto"/>
                          </w:divBdr>
                          <w:divsChild>
                            <w:div w:id="594751993">
                              <w:marLeft w:val="0"/>
                              <w:marRight w:val="0"/>
                              <w:marTop w:val="0"/>
                              <w:marBottom w:val="0"/>
                              <w:divBdr>
                                <w:top w:val="none" w:sz="0" w:space="0" w:color="auto"/>
                                <w:left w:val="none" w:sz="0" w:space="0" w:color="auto"/>
                                <w:bottom w:val="none" w:sz="0" w:space="0" w:color="auto"/>
                                <w:right w:val="none" w:sz="0" w:space="0" w:color="auto"/>
                              </w:divBdr>
                              <w:divsChild>
                                <w:div w:id="294263490">
                                  <w:marLeft w:val="0"/>
                                  <w:marRight w:val="0"/>
                                  <w:marTop w:val="0"/>
                                  <w:marBottom w:val="0"/>
                                  <w:divBdr>
                                    <w:top w:val="none" w:sz="0" w:space="0" w:color="auto"/>
                                    <w:left w:val="none" w:sz="0" w:space="0" w:color="auto"/>
                                    <w:bottom w:val="none" w:sz="0" w:space="0" w:color="auto"/>
                                    <w:right w:val="none" w:sz="0" w:space="0" w:color="auto"/>
                                  </w:divBdr>
                                  <w:divsChild>
                                    <w:div w:id="1251426956">
                                      <w:marLeft w:val="0"/>
                                      <w:marRight w:val="0"/>
                                      <w:marTop w:val="0"/>
                                      <w:marBottom w:val="0"/>
                                      <w:divBdr>
                                        <w:top w:val="none" w:sz="0" w:space="0" w:color="auto"/>
                                        <w:left w:val="none" w:sz="0" w:space="0" w:color="auto"/>
                                        <w:bottom w:val="none" w:sz="0" w:space="0" w:color="auto"/>
                                        <w:right w:val="none" w:sz="0" w:space="0" w:color="auto"/>
                                      </w:divBdr>
                                      <w:divsChild>
                                        <w:div w:id="550075936">
                                          <w:marLeft w:val="0"/>
                                          <w:marRight w:val="0"/>
                                          <w:marTop w:val="0"/>
                                          <w:marBottom w:val="0"/>
                                          <w:divBdr>
                                            <w:top w:val="none" w:sz="0" w:space="0" w:color="auto"/>
                                            <w:left w:val="none" w:sz="0" w:space="0" w:color="auto"/>
                                            <w:bottom w:val="none" w:sz="0" w:space="0" w:color="auto"/>
                                            <w:right w:val="none" w:sz="0" w:space="0" w:color="auto"/>
                                          </w:divBdr>
                                          <w:divsChild>
                                            <w:div w:id="2004963908">
                                              <w:marLeft w:val="0"/>
                                              <w:marRight w:val="0"/>
                                              <w:marTop w:val="0"/>
                                              <w:marBottom w:val="0"/>
                                              <w:divBdr>
                                                <w:top w:val="none" w:sz="0" w:space="0" w:color="auto"/>
                                                <w:left w:val="none" w:sz="0" w:space="0" w:color="auto"/>
                                                <w:bottom w:val="none" w:sz="0" w:space="0" w:color="auto"/>
                                                <w:right w:val="none" w:sz="0" w:space="0" w:color="auto"/>
                                              </w:divBdr>
                                              <w:divsChild>
                                                <w:div w:id="731346678">
                                                  <w:marLeft w:val="0"/>
                                                  <w:marRight w:val="0"/>
                                                  <w:marTop w:val="0"/>
                                                  <w:marBottom w:val="0"/>
                                                  <w:divBdr>
                                                    <w:top w:val="none" w:sz="0" w:space="0" w:color="auto"/>
                                                    <w:left w:val="none" w:sz="0" w:space="0" w:color="auto"/>
                                                    <w:bottom w:val="none" w:sz="0" w:space="0" w:color="auto"/>
                                                    <w:right w:val="none" w:sz="0" w:space="0" w:color="auto"/>
                                                  </w:divBdr>
                                                  <w:divsChild>
                                                    <w:div w:id="6830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401583">
      <w:bodyDiv w:val="1"/>
      <w:marLeft w:val="0"/>
      <w:marRight w:val="0"/>
      <w:marTop w:val="0"/>
      <w:marBottom w:val="0"/>
      <w:divBdr>
        <w:top w:val="none" w:sz="0" w:space="0" w:color="auto"/>
        <w:left w:val="none" w:sz="0" w:space="0" w:color="auto"/>
        <w:bottom w:val="none" w:sz="0" w:space="0" w:color="auto"/>
        <w:right w:val="none" w:sz="0" w:space="0" w:color="auto"/>
      </w:divBdr>
    </w:div>
    <w:div w:id="1225065039">
      <w:bodyDiv w:val="1"/>
      <w:marLeft w:val="0"/>
      <w:marRight w:val="0"/>
      <w:marTop w:val="0"/>
      <w:marBottom w:val="0"/>
      <w:divBdr>
        <w:top w:val="none" w:sz="0" w:space="0" w:color="auto"/>
        <w:left w:val="none" w:sz="0" w:space="0" w:color="auto"/>
        <w:bottom w:val="none" w:sz="0" w:space="0" w:color="auto"/>
        <w:right w:val="none" w:sz="0" w:space="0" w:color="auto"/>
      </w:divBdr>
    </w:div>
    <w:div w:id="1245384830">
      <w:bodyDiv w:val="1"/>
      <w:marLeft w:val="0"/>
      <w:marRight w:val="0"/>
      <w:marTop w:val="0"/>
      <w:marBottom w:val="0"/>
      <w:divBdr>
        <w:top w:val="none" w:sz="0" w:space="0" w:color="auto"/>
        <w:left w:val="none" w:sz="0" w:space="0" w:color="auto"/>
        <w:bottom w:val="none" w:sz="0" w:space="0" w:color="auto"/>
        <w:right w:val="none" w:sz="0" w:space="0" w:color="auto"/>
      </w:divBdr>
      <w:divsChild>
        <w:div w:id="126944050">
          <w:marLeft w:val="600"/>
          <w:marRight w:val="0"/>
          <w:marTop w:val="0"/>
          <w:marBottom w:val="0"/>
          <w:divBdr>
            <w:top w:val="none" w:sz="0" w:space="0" w:color="auto"/>
            <w:left w:val="none" w:sz="0" w:space="0" w:color="auto"/>
            <w:bottom w:val="none" w:sz="0" w:space="0" w:color="auto"/>
            <w:right w:val="none" w:sz="0" w:space="0" w:color="auto"/>
          </w:divBdr>
        </w:div>
        <w:div w:id="618295289">
          <w:marLeft w:val="600"/>
          <w:marRight w:val="0"/>
          <w:marTop w:val="0"/>
          <w:marBottom w:val="0"/>
          <w:divBdr>
            <w:top w:val="none" w:sz="0" w:space="0" w:color="auto"/>
            <w:left w:val="none" w:sz="0" w:space="0" w:color="auto"/>
            <w:bottom w:val="none" w:sz="0" w:space="0" w:color="auto"/>
            <w:right w:val="none" w:sz="0" w:space="0" w:color="auto"/>
          </w:divBdr>
        </w:div>
        <w:div w:id="836847044">
          <w:marLeft w:val="0"/>
          <w:marRight w:val="0"/>
          <w:marTop w:val="105"/>
          <w:marBottom w:val="0"/>
          <w:divBdr>
            <w:top w:val="none" w:sz="0" w:space="0" w:color="auto"/>
            <w:left w:val="none" w:sz="0" w:space="0" w:color="auto"/>
            <w:bottom w:val="none" w:sz="0" w:space="0" w:color="auto"/>
            <w:right w:val="none" w:sz="0" w:space="0" w:color="auto"/>
          </w:divBdr>
        </w:div>
        <w:div w:id="1450320555">
          <w:marLeft w:val="600"/>
          <w:marRight w:val="0"/>
          <w:marTop w:val="0"/>
          <w:marBottom w:val="0"/>
          <w:divBdr>
            <w:top w:val="none" w:sz="0" w:space="0" w:color="auto"/>
            <w:left w:val="none" w:sz="0" w:space="0" w:color="auto"/>
            <w:bottom w:val="none" w:sz="0" w:space="0" w:color="auto"/>
            <w:right w:val="none" w:sz="0" w:space="0" w:color="auto"/>
          </w:divBdr>
        </w:div>
        <w:div w:id="2076658102">
          <w:marLeft w:val="600"/>
          <w:marRight w:val="0"/>
          <w:marTop w:val="0"/>
          <w:marBottom w:val="0"/>
          <w:divBdr>
            <w:top w:val="none" w:sz="0" w:space="0" w:color="auto"/>
            <w:left w:val="none" w:sz="0" w:space="0" w:color="auto"/>
            <w:bottom w:val="none" w:sz="0" w:space="0" w:color="auto"/>
            <w:right w:val="none" w:sz="0" w:space="0" w:color="auto"/>
          </w:divBdr>
        </w:div>
      </w:divsChild>
    </w:div>
    <w:div w:id="1264654193">
      <w:bodyDiv w:val="1"/>
      <w:marLeft w:val="0"/>
      <w:marRight w:val="0"/>
      <w:marTop w:val="0"/>
      <w:marBottom w:val="0"/>
      <w:divBdr>
        <w:top w:val="none" w:sz="0" w:space="0" w:color="auto"/>
        <w:left w:val="none" w:sz="0" w:space="0" w:color="auto"/>
        <w:bottom w:val="none" w:sz="0" w:space="0" w:color="auto"/>
        <w:right w:val="none" w:sz="0" w:space="0" w:color="auto"/>
      </w:divBdr>
      <w:divsChild>
        <w:div w:id="775099472">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sChild>
                <w:div w:id="1491603323">
                  <w:marLeft w:val="0"/>
                  <w:marRight w:val="0"/>
                  <w:marTop w:val="0"/>
                  <w:marBottom w:val="0"/>
                  <w:divBdr>
                    <w:top w:val="none" w:sz="0" w:space="0" w:color="auto"/>
                    <w:left w:val="none" w:sz="0" w:space="0" w:color="auto"/>
                    <w:bottom w:val="none" w:sz="0" w:space="0" w:color="auto"/>
                    <w:right w:val="none" w:sz="0" w:space="0" w:color="auto"/>
                  </w:divBdr>
                  <w:divsChild>
                    <w:div w:id="611402429">
                      <w:marLeft w:val="0"/>
                      <w:marRight w:val="0"/>
                      <w:marTop w:val="0"/>
                      <w:marBottom w:val="0"/>
                      <w:divBdr>
                        <w:top w:val="none" w:sz="0" w:space="0" w:color="auto"/>
                        <w:left w:val="none" w:sz="0" w:space="0" w:color="auto"/>
                        <w:bottom w:val="none" w:sz="0" w:space="0" w:color="auto"/>
                        <w:right w:val="none" w:sz="0" w:space="0" w:color="auto"/>
                      </w:divBdr>
                      <w:divsChild>
                        <w:div w:id="1065222508">
                          <w:marLeft w:val="0"/>
                          <w:marRight w:val="0"/>
                          <w:marTop w:val="0"/>
                          <w:marBottom w:val="0"/>
                          <w:divBdr>
                            <w:top w:val="none" w:sz="0" w:space="0" w:color="auto"/>
                            <w:left w:val="none" w:sz="0" w:space="0" w:color="auto"/>
                            <w:bottom w:val="none" w:sz="0" w:space="0" w:color="auto"/>
                            <w:right w:val="none" w:sz="0" w:space="0" w:color="auto"/>
                          </w:divBdr>
                          <w:divsChild>
                            <w:div w:id="1648238706">
                              <w:marLeft w:val="0"/>
                              <w:marRight w:val="0"/>
                              <w:marTop w:val="0"/>
                              <w:marBottom w:val="0"/>
                              <w:divBdr>
                                <w:top w:val="none" w:sz="0" w:space="0" w:color="auto"/>
                                <w:left w:val="none" w:sz="0" w:space="0" w:color="auto"/>
                                <w:bottom w:val="none" w:sz="0" w:space="0" w:color="auto"/>
                                <w:right w:val="none" w:sz="0" w:space="0" w:color="auto"/>
                              </w:divBdr>
                              <w:divsChild>
                                <w:div w:id="519046257">
                                  <w:marLeft w:val="0"/>
                                  <w:marRight w:val="0"/>
                                  <w:marTop w:val="0"/>
                                  <w:marBottom w:val="0"/>
                                  <w:divBdr>
                                    <w:top w:val="none" w:sz="0" w:space="0" w:color="auto"/>
                                    <w:left w:val="none" w:sz="0" w:space="0" w:color="auto"/>
                                    <w:bottom w:val="none" w:sz="0" w:space="0" w:color="auto"/>
                                    <w:right w:val="none" w:sz="0" w:space="0" w:color="auto"/>
                                  </w:divBdr>
                                  <w:divsChild>
                                    <w:div w:id="613051577">
                                      <w:marLeft w:val="0"/>
                                      <w:marRight w:val="0"/>
                                      <w:marTop w:val="0"/>
                                      <w:marBottom w:val="0"/>
                                      <w:divBdr>
                                        <w:top w:val="none" w:sz="0" w:space="0" w:color="auto"/>
                                        <w:left w:val="none" w:sz="0" w:space="0" w:color="auto"/>
                                        <w:bottom w:val="none" w:sz="0" w:space="0" w:color="auto"/>
                                        <w:right w:val="none" w:sz="0" w:space="0" w:color="auto"/>
                                      </w:divBdr>
                                      <w:divsChild>
                                        <w:div w:id="1909607647">
                                          <w:marLeft w:val="0"/>
                                          <w:marRight w:val="0"/>
                                          <w:marTop w:val="0"/>
                                          <w:marBottom w:val="0"/>
                                          <w:divBdr>
                                            <w:top w:val="none" w:sz="0" w:space="0" w:color="auto"/>
                                            <w:left w:val="none" w:sz="0" w:space="0" w:color="auto"/>
                                            <w:bottom w:val="none" w:sz="0" w:space="0" w:color="auto"/>
                                            <w:right w:val="none" w:sz="0" w:space="0" w:color="auto"/>
                                          </w:divBdr>
                                          <w:divsChild>
                                            <w:div w:id="1319577642">
                                              <w:marLeft w:val="0"/>
                                              <w:marRight w:val="0"/>
                                              <w:marTop w:val="0"/>
                                              <w:marBottom w:val="0"/>
                                              <w:divBdr>
                                                <w:top w:val="none" w:sz="0" w:space="0" w:color="auto"/>
                                                <w:left w:val="none" w:sz="0" w:space="0" w:color="auto"/>
                                                <w:bottom w:val="none" w:sz="0" w:space="0" w:color="auto"/>
                                                <w:right w:val="none" w:sz="0" w:space="0" w:color="auto"/>
                                              </w:divBdr>
                                              <w:divsChild>
                                                <w:div w:id="517277745">
                                                  <w:marLeft w:val="0"/>
                                                  <w:marRight w:val="0"/>
                                                  <w:marTop w:val="0"/>
                                                  <w:marBottom w:val="0"/>
                                                  <w:divBdr>
                                                    <w:top w:val="none" w:sz="0" w:space="0" w:color="auto"/>
                                                    <w:left w:val="none" w:sz="0" w:space="0" w:color="auto"/>
                                                    <w:bottom w:val="none" w:sz="0" w:space="0" w:color="auto"/>
                                                    <w:right w:val="none" w:sz="0" w:space="0" w:color="auto"/>
                                                  </w:divBdr>
                                                  <w:divsChild>
                                                    <w:div w:id="1490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248513">
      <w:bodyDiv w:val="1"/>
      <w:marLeft w:val="0"/>
      <w:marRight w:val="0"/>
      <w:marTop w:val="0"/>
      <w:marBottom w:val="0"/>
      <w:divBdr>
        <w:top w:val="none" w:sz="0" w:space="0" w:color="auto"/>
        <w:left w:val="none" w:sz="0" w:space="0" w:color="auto"/>
        <w:bottom w:val="none" w:sz="0" w:space="0" w:color="auto"/>
        <w:right w:val="none" w:sz="0" w:space="0" w:color="auto"/>
      </w:divBdr>
    </w:div>
    <w:div w:id="1561165196">
      <w:bodyDiv w:val="1"/>
      <w:marLeft w:val="0"/>
      <w:marRight w:val="0"/>
      <w:marTop w:val="0"/>
      <w:marBottom w:val="0"/>
      <w:divBdr>
        <w:top w:val="none" w:sz="0" w:space="0" w:color="auto"/>
        <w:left w:val="none" w:sz="0" w:space="0" w:color="auto"/>
        <w:bottom w:val="none" w:sz="0" w:space="0" w:color="auto"/>
        <w:right w:val="none" w:sz="0" w:space="0" w:color="auto"/>
      </w:divBdr>
      <w:divsChild>
        <w:div w:id="2043244704">
          <w:marLeft w:val="0"/>
          <w:marRight w:val="0"/>
          <w:marTop w:val="150"/>
          <w:marBottom w:val="168"/>
          <w:divBdr>
            <w:top w:val="none" w:sz="0" w:space="0" w:color="auto"/>
            <w:left w:val="none" w:sz="0" w:space="0" w:color="auto"/>
            <w:bottom w:val="none" w:sz="0" w:space="0" w:color="auto"/>
            <w:right w:val="none" w:sz="0" w:space="0" w:color="auto"/>
          </w:divBdr>
        </w:div>
      </w:divsChild>
    </w:div>
    <w:div w:id="1573662047">
      <w:bodyDiv w:val="1"/>
      <w:marLeft w:val="0"/>
      <w:marRight w:val="0"/>
      <w:marTop w:val="0"/>
      <w:marBottom w:val="0"/>
      <w:divBdr>
        <w:top w:val="none" w:sz="0" w:space="0" w:color="auto"/>
        <w:left w:val="none" w:sz="0" w:space="0" w:color="auto"/>
        <w:bottom w:val="none" w:sz="0" w:space="0" w:color="auto"/>
        <w:right w:val="none" w:sz="0" w:space="0" w:color="auto"/>
      </w:divBdr>
      <w:divsChild>
        <w:div w:id="362295110">
          <w:marLeft w:val="600"/>
          <w:marRight w:val="0"/>
          <w:marTop w:val="0"/>
          <w:marBottom w:val="0"/>
          <w:divBdr>
            <w:top w:val="none" w:sz="0" w:space="0" w:color="auto"/>
            <w:left w:val="none" w:sz="0" w:space="0" w:color="auto"/>
            <w:bottom w:val="none" w:sz="0" w:space="0" w:color="auto"/>
            <w:right w:val="none" w:sz="0" w:space="0" w:color="auto"/>
          </w:divBdr>
        </w:div>
        <w:div w:id="545337913">
          <w:marLeft w:val="600"/>
          <w:marRight w:val="0"/>
          <w:marTop w:val="0"/>
          <w:marBottom w:val="0"/>
          <w:divBdr>
            <w:top w:val="none" w:sz="0" w:space="0" w:color="auto"/>
            <w:left w:val="none" w:sz="0" w:space="0" w:color="auto"/>
            <w:bottom w:val="none" w:sz="0" w:space="0" w:color="auto"/>
            <w:right w:val="none" w:sz="0" w:space="0" w:color="auto"/>
          </w:divBdr>
        </w:div>
        <w:div w:id="593628720">
          <w:marLeft w:val="0"/>
          <w:marRight w:val="0"/>
          <w:marTop w:val="105"/>
          <w:marBottom w:val="0"/>
          <w:divBdr>
            <w:top w:val="none" w:sz="0" w:space="0" w:color="auto"/>
            <w:left w:val="none" w:sz="0" w:space="0" w:color="auto"/>
            <w:bottom w:val="none" w:sz="0" w:space="0" w:color="auto"/>
            <w:right w:val="none" w:sz="0" w:space="0" w:color="auto"/>
          </w:divBdr>
        </w:div>
        <w:div w:id="1291940708">
          <w:marLeft w:val="600"/>
          <w:marRight w:val="0"/>
          <w:marTop w:val="0"/>
          <w:marBottom w:val="0"/>
          <w:divBdr>
            <w:top w:val="none" w:sz="0" w:space="0" w:color="auto"/>
            <w:left w:val="none" w:sz="0" w:space="0" w:color="auto"/>
            <w:bottom w:val="none" w:sz="0" w:space="0" w:color="auto"/>
            <w:right w:val="none" w:sz="0" w:space="0" w:color="auto"/>
          </w:divBdr>
        </w:div>
        <w:div w:id="2081245970">
          <w:marLeft w:val="600"/>
          <w:marRight w:val="0"/>
          <w:marTop w:val="0"/>
          <w:marBottom w:val="0"/>
          <w:divBdr>
            <w:top w:val="none" w:sz="0" w:space="0" w:color="auto"/>
            <w:left w:val="none" w:sz="0" w:space="0" w:color="auto"/>
            <w:bottom w:val="none" w:sz="0" w:space="0" w:color="auto"/>
            <w:right w:val="none" w:sz="0" w:space="0" w:color="auto"/>
          </w:divBdr>
        </w:div>
      </w:divsChild>
    </w:div>
    <w:div w:id="1659721898">
      <w:bodyDiv w:val="1"/>
      <w:marLeft w:val="0"/>
      <w:marRight w:val="0"/>
      <w:marTop w:val="0"/>
      <w:marBottom w:val="0"/>
      <w:divBdr>
        <w:top w:val="none" w:sz="0" w:space="0" w:color="auto"/>
        <w:left w:val="none" w:sz="0" w:space="0" w:color="auto"/>
        <w:bottom w:val="none" w:sz="0" w:space="0" w:color="auto"/>
        <w:right w:val="none" w:sz="0" w:space="0" w:color="auto"/>
      </w:divBdr>
    </w:div>
    <w:div w:id="1701125751">
      <w:bodyDiv w:val="1"/>
      <w:marLeft w:val="0"/>
      <w:marRight w:val="0"/>
      <w:marTop w:val="0"/>
      <w:marBottom w:val="0"/>
      <w:divBdr>
        <w:top w:val="none" w:sz="0" w:space="0" w:color="auto"/>
        <w:left w:val="none" w:sz="0" w:space="0" w:color="auto"/>
        <w:bottom w:val="none" w:sz="0" w:space="0" w:color="auto"/>
        <w:right w:val="none" w:sz="0" w:space="0" w:color="auto"/>
      </w:divBdr>
    </w:div>
    <w:div w:id="1730884759">
      <w:bodyDiv w:val="1"/>
      <w:marLeft w:val="0"/>
      <w:marRight w:val="0"/>
      <w:marTop w:val="0"/>
      <w:marBottom w:val="0"/>
      <w:divBdr>
        <w:top w:val="none" w:sz="0" w:space="0" w:color="auto"/>
        <w:left w:val="none" w:sz="0" w:space="0" w:color="auto"/>
        <w:bottom w:val="none" w:sz="0" w:space="0" w:color="auto"/>
        <w:right w:val="none" w:sz="0" w:space="0" w:color="auto"/>
      </w:divBdr>
    </w:div>
    <w:div w:id="1765153418">
      <w:bodyDiv w:val="1"/>
      <w:marLeft w:val="0"/>
      <w:marRight w:val="0"/>
      <w:marTop w:val="0"/>
      <w:marBottom w:val="0"/>
      <w:divBdr>
        <w:top w:val="none" w:sz="0" w:space="0" w:color="auto"/>
        <w:left w:val="none" w:sz="0" w:space="0" w:color="auto"/>
        <w:bottom w:val="none" w:sz="0" w:space="0" w:color="auto"/>
        <w:right w:val="none" w:sz="0" w:space="0" w:color="auto"/>
      </w:divBdr>
    </w:div>
    <w:div w:id="1779521891">
      <w:bodyDiv w:val="1"/>
      <w:marLeft w:val="0"/>
      <w:marRight w:val="0"/>
      <w:marTop w:val="0"/>
      <w:marBottom w:val="0"/>
      <w:divBdr>
        <w:top w:val="none" w:sz="0" w:space="0" w:color="auto"/>
        <w:left w:val="none" w:sz="0" w:space="0" w:color="auto"/>
        <w:bottom w:val="none" w:sz="0" w:space="0" w:color="auto"/>
        <w:right w:val="none" w:sz="0" w:space="0" w:color="auto"/>
      </w:divBdr>
    </w:div>
    <w:div w:id="1779829461">
      <w:bodyDiv w:val="1"/>
      <w:marLeft w:val="0"/>
      <w:marRight w:val="0"/>
      <w:marTop w:val="0"/>
      <w:marBottom w:val="0"/>
      <w:divBdr>
        <w:top w:val="none" w:sz="0" w:space="0" w:color="auto"/>
        <w:left w:val="none" w:sz="0" w:space="0" w:color="auto"/>
        <w:bottom w:val="none" w:sz="0" w:space="0" w:color="auto"/>
        <w:right w:val="none" w:sz="0" w:space="0" w:color="auto"/>
      </w:divBdr>
    </w:div>
    <w:div w:id="1790082298">
      <w:bodyDiv w:val="1"/>
      <w:marLeft w:val="0"/>
      <w:marRight w:val="0"/>
      <w:marTop w:val="0"/>
      <w:marBottom w:val="0"/>
      <w:divBdr>
        <w:top w:val="none" w:sz="0" w:space="0" w:color="auto"/>
        <w:left w:val="none" w:sz="0" w:space="0" w:color="auto"/>
        <w:bottom w:val="none" w:sz="0" w:space="0" w:color="auto"/>
        <w:right w:val="none" w:sz="0" w:space="0" w:color="auto"/>
      </w:divBdr>
    </w:div>
    <w:div w:id="1790583608">
      <w:bodyDiv w:val="1"/>
      <w:marLeft w:val="0"/>
      <w:marRight w:val="0"/>
      <w:marTop w:val="0"/>
      <w:marBottom w:val="0"/>
      <w:divBdr>
        <w:top w:val="none" w:sz="0" w:space="0" w:color="auto"/>
        <w:left w:val="none" w:sz="0" w:space="0" w:color="auto"/>
        <w:bottom w:val="none" w:sz="0" w:space="0" w:color="auto"/>
        <w:right w:val="none" w:sz="0" w:space="0" w:color="auto"/>
      </w:divBdr>
    </w:div>
    <w:div w:id="1827746481">
      <w:bodyDiv w:val="1"/>
      <w:marLeft w:val="0"/>
      <w:marRight w:val="0"/>
      <w:marTop w:val="0"/>
      <w:marBottom w:val="0"/>
      <w:divBdr>
        <w:top w:val="none" w:sz="0" w:space="0" w:color="auto"/>
        <w:left w:val="none" w:sz="0" w:space="0" w:color="auto"/>
        <w:bottom w:val="none" w:sz="0" w:space="0" w:color="auto"/>
        <w:right w:val="none" w:sz="0" w:space="0" w:color="auto"/>
      </w:divBdr>
      <w:divsChild>
        <w:div w:id="214708975">
          <w:marLeft w:val="0"/>
          <w:marRight w:val="0"/>
          <w:marTop w:val="0"/>
          <w:marBottom w:val="0"/>
          <w:divBdr>
            <w:top w:val="none" w:sz="0" w:space="0" w:color="auto"/>
            <w:left w:val="none" w:sz="0" w:space="0" w:color="auto"/>
            <w:bottom w:val="none" w:sz="0" w:space="0" w:color="auto"/>
            <w:right w:val="none" w:sz="0" w:space="0" w:color="auto"/>
          </w:divBdr>
        </w:div>
        <w:div w:id="229777733">
          <w:marLeft w:val="0"/>
          <w:marRight w:val="0"/>
          <w:marTop w:val="0"/>
          <w:marBottom w:val="0"/>
          <w:divBdr>
            <w:top w:val="none" w:sz="0" w:space="0" w:color="auto"/>
            <w:left w:val="none" w:sz="0" w:space="0" w:color="auto"/>
            <w:bottom w:val="none" w:sz="0" w:space="0" w:color="auto"/>
            <w:right w:val="none" w:sz="0" w:space="0" w:color="auto"/>
          </w:divBdr>
        </w:div>
        <w:div w:id="384531084">
          <w:marLeft w:val="0"/>
          <w:marRight w:val="0"/>
          <w:marTop w:val="0"/>
          <w:marBottom w:val="0"/>
          <w:divBdr>
            <w:top w:val="none" w:sz="0" w:space="0" w:color="auto"/>
            <w:left w:val="none" w:sz="0" w:space="0" w:color="auto"/>
            <w:bottom w:val="none" w:sz="0" w:space="0" w:color="auto"/>
            <w:right w:val="none" w:sz="0" w:space="0" w:color="auto"/>
          </w:divBdr>
        </w:div>
        <w:div w:id="555242648">
          <w:marLeft w:val="0"/>
          <w:marRight w:val="0"/>
          <w:marTop w:val="0"/>
          <w:marBottom w:val="0"/>
          <w:divBdr>
            <w:top w:val="none" w:sz="0" w:space="0" w:color="auto"/>
            <w:left w:val="none" w:sz="0" w:space="0" w:color="auto"/>
            <w:bottom w:val="none" w:sz="0" w:space="0" w:color="auto"/>
            <w:right w:val="none" w:sz="0" w:space="0" w:color="auto"/>
          </w:divBdr>
        </w:div>
        <w:div w:id="566572771">
          <w:marLeft w:val="0"/>
          <w:marRight w:val="0"/>
          <w:marTop w:val="0"/>
          <w:marBottom w:val="0"/>
          <w:divBdr>
            <w:top w:val="none" w:sz="0" w:space="0" w:color="auto"/>
            <w:left w:val="none" w:sz="0" w:space="0" w:color="auto"/>
            <w:bottom w:val="none" w:sz="0" w:space="0" w:color="auto"/>
            <w:right w:val="none" w:sz="0" w:space="0" w:color="auto"/>
          </w:divBdr>
        </w:div>
        <w:div w:id="742485514">
          <w:marLeft w:val="0"/>
          <w:marRight w:val="0"/>
          <w:marTop w:val="0"/>
          <w:marBottom w:val="0"/>
          <w:divBdr>
            <w:top w:val="none" w:sz="0" w:space="0" w:color="auto"/>
            <w:left w:val="none" w:sz="0" w:space="0" w:color="auto"/>
            <w:bottom w:val="none" w:sz="0" w:space="0" w:color="auto"/>
            <w:right w:val="none" w:sz="0" w:space="0" w:color="auto"/>
          </w:divBdr>
        </w:div>
        <w:div w:id="829489920">
          <w:marLeft w:val="0"/>
          <w:marRight w:val="0"/>
          <w:marTop w:val="0"/>
          <w:marBottom w:val="0"/>
          <w:divBdr>
            <w:top w:val="none" w:sz="0" w:space="0" w:color="auto"/>
            <w:left w:val="none" w:sz="0" w:space="0" w:color="auto"/>
            <w:bottom w:val="none" w:sz="0" w:space="0" w:color="auto"/>
            <w:right w:val="none" w:sz="0" w:space="0" w:color="auto"/>
          </w:divBdr>
        </w:div>
        <w:div w:id="1101686048">
          <w:marLeft w:val="0"/>
          <w:marRight w:val="0"/>
          <w:marTop w:val="0"/>
          <w:marBottom w:val="0"/>
          <w:divBdr>
            <w:top w:val="none" w:sz="0" w:space="0" w:color="auto"/>
            <w:left w:val="none" w:sz="0" w:space="0" w:color="auto"/>
            <w:bottom w:val="none" w:sz="0" w:space="0" w:color="auto"/>
            <w:right w:val="none" w:sz="0" w:space="0" w:color="auto"/>
          </w:divBdr>
        </w:div>
        <w:div w:id="1238126039">
          <w:marLeft w:val="0"/>
          <w:marRight w:val="0"/>
          <w:marTop w:val="0"/>
          <w:marBottom w:val="0"/>
          <w:divBdr>
            <w:top w:val="none" w:sz="0" w:space="0" w:color="auto"/>
            <w:left w:val="none" w:sz="0" w:space="0" w:color="auto"/>
            <w:bottom w:val="none" w:sz="0" w:space="0" w:color="auto"/>
            <w:right w:val="none" w:sz="0" w:space="0" w:color="auto"/>
          </w:divBdr>
        </w:div>
        <w:div w:id="1264604591">
          <w:marLeft w:val="0"/>
          <w:marRight w:val="0"/>
          <w:marTop w:val="0"/>
          <w:marBottom w:val="0"/>
          <w:divBdr>
            <w:top w:val="none" w:sz="0" w:space="0" w:color="auto"/>
            <w:left w:val="none" w:sz="0" w:space="0" w:color="auto"/>
            <w:bottom w:val="none" w:sz="0" w:space="0" w:color="auto"/>
            <w:right w:val="none" w:sz="0" w:space="0" w:color="auto"/>
          </w:divBdr>
        </w:div>
        <w:div w:id="1312372709">
          <w:marLeft w:val="0"/>
          <w:marRight w:val="0"/>
          <w:marTop w:val="0"/>
          <w:marBottom w:val="0"/>
          <w:divBdr>
            <w:top w:val="none" w:sz="0" w:space="0" w:color="auto"/>
            <w:left w:val="none" w:sz="0" w:space="0" w:color="auto"/>
            <w:bottom w:val="none" w:sz="0" w:space="0" w:color="auto"/>
            <w:right w:val="none" w:sz="0" w:space="0" w:color="auto"/>
          </w:divBdr>
        </w:div>
        <w:div w:id="1334452216">
          <w:marLeft w:val="0"/>
          <w:marRight w:val="0"/>
          <w:marTop w:val="0"/>
          <w:marBottom w:val="0"/>
          <w:divBdr>
            <w:top w:val="none" w:sz="0" w:space="0" w:color="auto"/>
            <w:left w:val="none" w:sz="0" w:space="0" w:color="auto"/>
            <w:bottom w:val="none" w:sz="0" w:space="0" w:color="auto"/>
            <w:right w:val="none" w:sz="0" w:space="0" w:color="auto"/>
          </w:divBdr>
        </w:div>
        <w:div w:id="1544096963">
          <w:marLeft w:val="0"/>
          <w:marRight w:val="0"/>
          <w:marTop w:val="0"/>
          <w:marBottom w:val="0"/>
          <w:divBdr>
            <w:top w:val="none" w:sz="0" w:space="0" w:color="auto"/>
            <w:left w:val="none" w:sz="0" w:space="0" w:color="auto"/>
            <w:bottom w:val="none" w:sz="0" w:space="0" w:color="auto"/>
            <w:right w:val="none" w:sz="0" w:space="0" w:color="auto"/>
          </w:divBdr>
        </w:div>
        <w:div w:id="1556772596">
          <w:marLeft w:val="0"/>
          <w:marRight w:val="0"/>
          <w:marTop w:val="0"/>
          <w:marBottom w:val="0"/>
          <w:divBdr>
            <w:top w:val="none" w:sz="0" w:space="0" w:color="auto"/>
            <w:left w:val="none" w:sz="0" w:space="0" w:color="auto"/>
            <w:bottom w:val="none" w:sz="0" w:space="0" w:color="auto"/>
            <w:right w:val="none" w:sz="0" w:space="0" w:color="auto"/>
          </w:divBdr>
        </w:div>
        <w:div w:id="1601987266">
          <w:marLeft w:val="0"/>
          <w:marRight w:val="0"/>
          <w:marTop w:val="0"/>
          <w:marBottom w:val="0"/>
          <w:divBdr>
            <w:top w:val="none" w:sz="0" w:space="0" w:color="auto"/>
            <w:left w:val="none" w:sz="0" w:space="0" w:color="auto"/>
            <w:bottom w:val="none" w:sz="0" w:space="0" w:color="auto"/>
            <w:right w:val="none" w:sz="0" w:space="0" w:color="auto"/>
          </w:divBdr>
        </w:div>
        <w:div w:id="1604220648">
          <w:marLeft w:val="0"/>
          <w:marRight w:val="0"/>
          <w:marTop w:val="0"/>
          <w:marBottom w:val="0"/>
          <w:divBdr>
            <w:top w:val="none" w:sz="0" w:space="0" w:color="auto"/>
            <w:left w:val="none" w:sz="0" w:space="0" w:color="auto"/>
            <w:bottom w:val="none" w:sz="0" w:space="0" w:color="auto"/>
            <w:right w:val="none" w:sz="0" w:space="0" w:color="auto"/>
          </w:divBdr>
        </w:div>
        <w:div w:id="1646159691">
          <w:marLeft w:val="0"/>
          <w:marRight w:val="0"/>
          <w:marTop w:val="0"/>
          <w:marBottom w:val="0"/>
          <w:divBdr>
            <w:top w:val="none" w:sz="0" w:space="0" w:color="auto"/>
            <w:left w:val="none" w:sz="0" w:space="0" w:color="auto"/>
            <w:bottom w:val="none" w:sz="0" w:space="0" w:color="auto"/>
            <w:right w:val="none" w:sz="0" w:space="0" w:color="auto"/>
          </w:divBdr>
        </w:div>
        <w:div w:id="1811553397">
          <w:marLeft w:val="0"/>
          <w:marRight w:val="0"/>
          <w:marTop w:val="0"/>
          <w:marBottom w:val="0"/>
          <w:divBdr>
            <w:top w:val="none" w:sz="0" w:space="0" w:color="auto"/>
            <w:left w:val="none" w:sz="0" w:space="0" w:color="auto"/>
            <w:bottom w:val="none" w:sz="0" w:space="0" w:color="auto"/>
            <w:right w:val="none" w:sz="0" w:space="0" w:color="auto"/>
          </w:divBdr>
        </w:div>
        <w:div w:id="1866289658">
          <w:marLeft w:val="0"/>
          <w:marRight w:val="0"/>
          <w:marTop w:val="0"/>
          <w:marBottom w:val="0"/>
          <w:divBdr>
            <w:top w:val="none" w:sz="0" w:space="0" w:color="auto"/>
            <w:left w:val="none" w:sz="0" w:space="0" w:color="auto"/>
            <w:bottom w:val="none" w:sz="0" w:space="0" w:color="auto"/>
            <w:right w:val="none" w:sz="0" w:space="0" w:color="auto"/>
          </w:divBdr>
        </w:div>
        <w:div w:id="1937789030">
          <w:marLeft w:val="0"/>
          <w:marRight w:val="0"/>
          <w:marTop w:val="0"/>
          <w:marBottom w:val="0"/>
          <w:divBdr>
            <w:top w:val="none" w:sz="0" w:space="0" w:color="auto"/>
            <w:left w:val="none" w:sz="0" w:space="0" w:color="auto"/>
            <w:bottom w:val="none" w:sz="0" w:space="0" w:color="auto"/>
            <w:right w:val="none" w:sz="0" w:space="0" w:color="auto"/>
          </w:divBdr>
        </w:div>
        <w:div w:id="2056733870">
          <w:marLeft w:val="0"/>
          <w:marRight w:val="0"/>
          <w:marTop w:val="0"/>
          <w:marBottom w:val="0"/>
          <w:divBdr>
            <w:top w:val="none" w:sz="0" w:space="0" w:color="auto"/>
            <w:left w:val="none" w:sz="0" w:space="0" w:color="auto"/>
            <w:bottom w:val="none" w:sz="0" w:space="0" w:color="auto"/>
            <w:right w:val="none" w:sz="0" w:space="0" w:color="auto"/>
          </w:divBdr>
        </w:div>
      </w:divsChild>
    </w:div>
    <w:div w:id="1929077980">
      <w:bodyDiv w:val="1"/>
      <w:marLeft w:val="0"/>
      <w:marRight w:val="0"/>
      <w:marTop w:val="0"/>
      <w:marBottom w:val="0"/>
      <w:divBdr>
        <w:top w:val="none" w:sz="0" w:space="0" w:color="auto"/>
        <w:left w:val="none" w:sz="0" w:space="0" w:color="auto"/>
        <w:bottom w:val="none" w:sz="0" w:space="0" w:color="auto"/>
        <w:right w:val="none" w:sz="0" w:space="0" w:color="auto"/>
      </w:divBdr>
    </w:div>
    <w:div w:id="2015185338">
      <w:bodyDiv w:val="1"/>
      <w:marLeft w:val="0"/>
      <w:marRight w:val="0"/>
      <w:marTop w:val="0"/>
      <w:marBottom w:val="0"/>
      <w:divBdr>
        <w:top w:val="none" w:sz="0" w:space="0" w:color="auto"/>
        <w:left w:val="none" w:sz="0" w:space="0" w:color="auto"/>
        <w:bottom w:val="none" w:sz="0" w:space="0" w:color="auto"/>
        <w:right w:val="none" w:sz="0" w:space="0" w:color="auto"/>
      </w:divBdr>
    </w:div>
    <w:div w:id="21262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siazkiewicz/Downloads/www.gov.pl/web/5G" TargetMode="External"/><Relationship Id="rId13" Type="http://schemas.openxmlformats.org/officeDocument/2006/relationships/hyperlink" Target="https://pl.wikipedia.org/wiki/R%C3%B3wnik" TargetMode="External"/><Relationship Id="rId18" Type="http://schemas.openxmlformats.org/officeDocument/2006/relationships/hyperlink" Target="https://sip.legalis.pl/document-view.seam?documentId=mfrxilrxgazdgobzgqzq" TargetMode="External"/><Relationship Id="rId26" Type="http://schemas.openxmlformats.org/officeDocument/2006/relationships/hyperlink" Target="https://sip.legalis.pl/document-view.seam?documentId=mfrxilrsgu2tmnbrheztoltqmfyc4mrugyytmnzrgy" TargetMode="External"/><Relationship Id="rId3" Type="http://schemas.openxmlformats.org/officeDocument/2006/relationships/styles" Target="styles.xml"/><Relationship Id="rId21" Type="http://schemas.openxmlformats.org/officeDocument/2006/relationships/hyperlink" Target="https://sip.legalis.pl/document-view.seam?documentId=mfrxilrrgu2timjwgezte" TargetMode="External"/><Relationship Id="rId7" Type="http://schemas.openxmlformats.org/officeDocument/2006/relationships/endnotes" Target="endnotes.xml"/><Relationship Id="rId12" Type="http://schemas.openxmlformats.org/officeDocument/2006/relationships/hyperlink" Target="https://pl.wikipedia.org/wiki/Satelita" TargetMode="External"/><Relationship Id="rId17" Type="http://schemas.openxmlformats.org/officeDocument/2006/relationships/hyperlink" Target="https://stat.gov.pl/obszary-tematyczne/ceny-handel/wskazniki-cen/wskazniki-cen-towarow-i-uslug-konsumpcyjnych-pot-inflacja-/roczne-wskazniki-cen-towarow-i-uslug-konsumpcyjnych/" TargetMode="External"/><Relationship Id="rId25" Type="http://schemas.openxmlformats.org/officeDocument/2006/relationships/hyperlink" Target="http://sip.legalis.pl/document-view.seam?documentId=mfrxilrxgazdmnrrgayc44dboaxdcmjyg4ydoobw"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azdoltqmfyc4njqgeydknbrgm" TargetMode="External"/><Relationship Id="rId20" Type="http://schemas.openxmlformats.org/officeDocument/2006/relationships/hyperlink" Target="https://sip.legalis.pl/document-view.seam?documentId=mfrxilrtg4yteobxge3doltqmfyc4nbvgy2taobwg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Orbita" TargetMode="External"/><Relationship Id="rId24" Type="http://schemas.openxmlformats.org/officeDocument/2006/relationships/hyperlink" Target="https://sip.legalis.pl/document-view.seam?documentId=mfrxilrvgaytgmzqgiya" TargetMode="External"/><Relationship Id="rId5" Type="http://schemas.openxmlformats.org/officeDocument/2006/relationships/webSettings" Target="webSettings.xml"/><Relationship Id="rId15" Type="http://schemas.openxmlformats.org/officeDocument/2006/relationships/hyperlink" Target="https://pl.wikipedia.org/wiki/Ko%C5%82o" TargetMode="External"/><Relationship Id="rId23" Type="http://schemas.openxmlformats.org/officeDocument/2006/relationships/hyperlink" Target="https://sip.legalis.pl/document-view.seam?documentId=mfrxilrsgu2tmnbrhezto" TargetMode="External"/><Relationship Id="rId28" Type="http://schemas.openxmlformats.org/officeDocument/2006/relationships/footer" Target="footer1.xml"/><Relationship Id="rId10" Type="http://schemas.openxmlformats.org/officeDocument/2006/relationships/hyperlink" Target="https://sip.legalis.pl/document-view.seam?documentId=mfrxilrvgaytgmzqgiyc44dboaxdcmjxgmydanzq" TargetMode="External"/><Relationship Id="rId19" Type="http://schemas.openxmlformats.org/officeDocument/2006/relationships/hyperlink" Target="https://sip.legalis.pl/document-view.seam?documentId=mfrxilrtg4ytenzyha3toltqmfyc4nbug42tqnbu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bqgmzdcltqmfyc4nbrha4tgnbxga" TargetMode="External"/><Relationship Id="rId14" Type="http://schemas.openxmlformats.org/officeDocument/2006/relationships/hyperlink" Target="https://pl.wikipedia.org/wiki/Ziemia" TargetMode="External"/><Relationship Id="rId22" Type="http://schemas.openxmlformats.org/officeDocument/2006/relationships/hyperlink" Target="https://eur-lex.europa.eu/legal-content/PL/AUTO/?uri=celex:32002L0065"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rswglrrg44ts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D7F7-25E5-466E-8B67-0B4AD14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302</Pages>
  <Words>103789</Words>
  <Characters>622739</Characters>
  <Application>Microsoft Office Word</Application>
  <DocSecurity>0</DocSecurity>
  <Lines>5189</Lines>
  <Paragraphs>1450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2022-12-07T13:58:00Z</dcterms:created>
  <dcterms:modified xsi:type="dcterms:W3CDTF">2022-12-07T13:59:00Z</dcterms:modified>
</cp:coreProperties>
</file>