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CAFD" w14:textId="77777777" w:rsidR="00837EC6" w:rsidRPr="0072306F" w:rsidRDefault="00837EC6" w:rsidP="00837EC6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OGŁOSZENIE </w:t>
      </w:r>
    </w:p>
    <w:p w14:paraId="74444178" w14:textId="0C1E4280" w:rsidR="00837EC6" w:rsidRPr="0072306F" w:rsidRDefault="00837EC6" w:rsidP="00837EC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zawiadamia o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I</w:t>
      </w:r>
      <w:r w:rsidR="002D4330">
        <w:rPr>
          <w:rFonts w:ascii="Aptos" w:eastAsia="Calibri" w:hAnsi="Aptos" w:cs="Times New Roman"/>
          <w:kern w:val="0"/>
          <w:sz w:val="22"/>
          <w:szCs w:val="22"/>
          <w14:ligatures w14:val="none"/>
        </w:rPr>
        <w:t>I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przetargu pisemnym nieograniczonym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na zbycie środka trwałego  będącego własnością DSDiK.</w:t>
      </w:r>
    </w:p>
    <w:p w14:paraId="79909891" w14:textId="40AEBF63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Dnia </w:t>
      </w:r>
      <w:r w:rsidR="002D4330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23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.07.2026 r.</w:t>
      </w:r>
    </w:p>
    <w:p w14:paraId="3B39FC2B" w14:textId="77777777" w:rsidR="00837EC6" w:rsidRPr="00894844" w:rsidRDefault="00837EC6" w:rsidP="00837EC6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siedzibie Dolnośląskiej Służby Dróg i Kolei we Wrocławiu, ul. Krakowska 28, sala konferencyjna, pok.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n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r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213.</w:t>
      </w:r>
    </w:p>
    <w:tbl>
      <w:tblPr>
        <w:tblStyle w:val="Tabela-Siatka1"/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959"/>
        <w:gridCol w:w="1238"/>
        <w:gridCol w:w="1880"/>
        <w:gridCol w:w="1418"/>
        <w:gridCol w:w="1049"/>
        <w:gridCol w:w="1361"/>
        <w:gridCol w:w="1214"/>
      </w:tblGrid>
      <w:tr w:rsidR="00837EC6" w:rsidRPr="0072306F" w14:paraId="6B10F0BE" w14:textId="77777777" w:rsidTr="007D123F">
        <w:trPr>
          <w:trHeight w:val="521"/>
        </w:trPr>
        <w:tc>
          <w:tcPr>
            <w:tcW w:w="459" w:type="dxa"/>
            <w:vAlign w:val="center"/>
          </w:tcPr>
          <w:p w14:paraId="3A8BE373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59" w:type="dxa"/>
            <w:vAlign w:val="center"/>
          </w:tcPr>
          <w:p w14:paraId="23A186D9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Nr </w:t>
            </w:r>
          </w:p>
          <w:p w14:paraId="06BF0508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6930C158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0E764B14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składnika </w:t>
            </w:r>
          </w:p>
          <w:p w14:paraId="6B2AE646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majątku</w:t>
            </w:r>
          </w:p>
        </w:tc>
        <w:tc>
          <w:tcPr>
            <w:tcW w:w="1880" w:type="dxa"/>
            <w:vAlign w:val="center"/>
          </w:tcPr>
          <w:p w14:paraId="67D10B7B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Opis stanu </w:t>
            </w:r>
          </w:p>
          <w:p w14:paraId="59B257DB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technicznego</w:t>
            </w:r>
          </w:p>
        </w:tc>
        <w:tc>
          <w:tcPr>
            <w:tcW w:w="1418" w:type="dxa"/>
            <w:vAlign w:val="center"/>
          </w:tcPr>
          <w:p w14:paraId="29E15529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049" w:type="dxa"/>
            <w:vAlign w:val="center"/>
          </w:tcPr>
          <w:p w14:paraId="448CCF40" w14:textId="77777777" w:rsidR="00837EC6" w:rsidRPr="00B9644C" w:rsidRDefault="00837EC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Godzina</w:t>
            </w:r>
          </w:p>
          <w:p w14:paraId="68F79D6B" w14:textId="77777777" w:rsidR="00837EC6" w:rsidRPr="00B9644C" w:rsidRDefault="00837EC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Otwarcia</w:t>
            </w:r>
          </w:p>
          <w:p w14:paraId="7E5F0389" w14:textId="77777777" w:rsidR="00837EC6" w:rsidRPr="00B9644C" w:rsidRDefault="00837EC6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ofert</w:t>
            </w:r>
          </w:p>
        </w:tc>
        <w:tc>
          <w:tcPr>
            <w:tcW w:w="1361" w:type="dxa"/>
            <w:vAlign w:val="center"/>
          </w:tcPr>
          <w:p w14:paraId="1E178DAA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Cena </w:t>
            </w:r>
          </w:p>
          <w:p w14:paraId="08A28602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5DFBA6A2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Wadium</w:t>
            </w:r>
          </w:p>
          <w:p w14:paraId="1A347FA1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837EC6" w:rsidRPr="0072306F" w14:paraId="7764156E" w14:textId="77777777" w:rsidTr="007D123F">
        <w:trPr>
          <w:trHeight w:val="777"/>
        </w:trPr>
        <w:tc>
          <w:tcPr>
            <w:tcW w:w="459" w:type="dxa"/>
            <w:vAlign w:val="center"/>
          </w:tcPr>
          <w:p w14:paraId="03F09E24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959" w:type="dxa"/>
            <w:vAlign w:val="center"/>
          </w:tcPr>
          <w:p w14:paraId="40EF7AF5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7200</w:t>
            </w:r>
          </w:p>
        </w:tc>
        <w:tc>
          <w:tcPr>
            <w:tcW w:w="1238" w:type="dxa"/>
            <w:vAlign w:val="center"/>
          </w:tcPr>
          <w:p w14:paraId="3E4CE577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Samochód osobowy Skoda Fabia DW 571NG</w:t>
            </w:r>
          </w:p>
        </w:tc>
        <w:tc>
          <w:tcPr>
            <w:tcW w:w="1880" w:type="dxa"/>
            <w:vAlign w:val="center"/>
          </w:tcPr>
          <w:p w14:paraId="270BE59E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Samochód wyeksploatowany, stuki w zawieszeniu, przebieg 281 889 km</w:t>
            </w:r>
          </w:p>
          <w:p w14:paraId="0E749AA5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Rok produkcji 2010</w:t>
            </w:r>
          </w:p>
        </w:tc>
        <w:tc>
          <w:tcPr>
            <w:tcW w:w="1418" w:type="dxa"/>
            <w:vAlign w:val="center"/>
          </w:tcPr>
          <w:p w14:paraId="2A5D60EB" w14:textId="77777777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Wrocław 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   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ul. Krakowska 28</w:t>
            </w:r>
          </w:p>
        </w:tc>
        <w:tc>
          <w:tcPr>
            <w:tcW w:w="1049" w:type="dxa"/>
            <w:vAlign w:val="center"/>
          </w:tcPr>
          <w:p w14:paraId="5B5BDAF4" w14:textId="47D032DC" w:rsidR="00837EC6" w:rsidRPr="00B9644C" w:rsidRDefault="00837EC6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8:</w:t>
            </w:r>
            <w:r w:rsidR="00DB6053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3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1" w:type="dxa"/>
            <w:vAlign w:val="center"/>
          </w:tcPr>
          <w:p w14:paraId="6DEBBCB2" w14:textId="499C4C0C" w:rsidR="00837EC6" w:rsidRPr="00B9644C" w:rsidRDefault="00837EC6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</w:t>
            </w:r>
            <w:r w:rsidR="002D4330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 </w:t>
            </w:r>
            <w:r w:rsidR="002D4330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9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00,00 zł </w:t>
            </w:r>
          </w:p>
        </w:tc>
        <w:tc>
          <w:tcPr>
            <w:tcW w:w="1214" w:type="dxa"/>
            <w:vAlign w:val="center"/>
          </w:tcPr>
          <w:p w14:paraId="07B2F4C0" w14:textId="777431D5" w:rsidR="00837EC6" w:rsidRPr="00B9644C" w:rsidRDefault="00837EC6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</w:t>
            </w:r>
            <w:r w:rsidR="002D4330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190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,00 zł</w:t>
            </w:r>
          </w:p>
        </w:tc>
      </w:tr>
    </w:tbl>
    <w:p w14:paraId="55971931" w14:textId="77777777" w:rsidR="00837EC6" w:rsidRPr="00894844" w:rsidRDefault="00837EC6" w:rsidP="00837EC6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  <w14:ligatures w14:val="none"/>
        </w:rPr>
      </w:pPr>
    </w:p>
    <w:p w14:paraId="20AE4CF0" w14:textId="000DA6FD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Przystępujący do przetargu obowiązani są wpłacić wadium w wysokości 10% ceny wywoławczej środka trwałego, w którego licytacji zdecydują się wziąć udział. Wadium należy wnieść przed upływem składania ofert, tj.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do dnia </w:t>
      </w:r>
      <w:r w:rsidR="002D4330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22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.0</w:t>
      </w:r>
      <w:r w:rsidR="002D4330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7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.2026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które środki powinny znajdować się na naszym koncie. W opisie wpłaty należy zamieścić informację o nr inwentarzowym, nazwie środka trwałego licytowanego sprzętu/wyposażenia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59CA4863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Konto na wadium:   23 1090 2398 0000 0001 4187 4666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</w:t>
      </w:r>
    </w:p>
    <w:p w14:paraId="4047D675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Wniesione wadium przez uczestnika przetargu który został  wygrany , zalicza się na poczet ceny nabycia składnika majątku ruchomego.</w:t>
      </w:r>
    </w:p>
    <w:p w14:paraId="1EFB0DD7" w14:textId="77777777" w:rsidR="00837EC6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Pozostałym uczestnikom wadium zostanie zwrócone niezwłocznie w ciągu 7 dni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roboczych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od dnia przetargu. </w:t>
      </w:r>
    </w:p>
    <w:p w14:paraId="204EA196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Minimalna wartość sprzedaży środka trwałego jest równa cenie wywoławczej.</w:t>
      </w:r>
    </w:p>
    <w:p w14:paraId="0399BEFA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Zastrzeżenie: wniesione wadium przepada na rzecz sprzedawcy, jeżeli uczestnik przetargu, który wygrał przetarg uchyla się od zawarcia (wykonania) umowy.</w:t>
      </w:r>
    </w:p>
    <w:p w14:paraId="3C403B3C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Zastrzeżenie: organizatorowi przetargu przysługuje prawo unieważnienia przetargu bez podania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przyczyn. </w:t>
      </w:r>
    </w:p>
    <w:p w14:paraId="072D5267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Kupujący zobowiązany jest, na rzecz Sprzedającego do zapłaty ceny nabycia na konto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i w terminie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wskazane w umowie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70BEF894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Na poczet  ceny nabycia zaliczeniu ulega wadium złożone przez Kupującego.</w:t>
      </w:r>
    </w:p>
    <w:p w14:paraId="69534AB0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Wszelkie koszty transakcji wynikające z zawarcia niniejszej umowy ponosi Kupujący.</w:t>
      </w:r>
    </w:p>
    <w:p w14:paraId="6B33E9FF" w14:textId="32FBCB89" w:rsidR="00837EC6" w:rsidRDefault="00837EC6" w:rsidP="00837EC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 przypadku wpłaty ceny nabycia na rachunek bankowy , za dzień zapłaty uważany będzie dzień wpływu należności na konto Sprzedającego.</w:t>
      </w:r>
    </w:p>
    <w:p w14:paraId="41A4D6D2" w14:textId="77777777" w:rsidR="00837EC6" w:rsidRPr="0072306F" w:rsidRDefault="00837EC6" w:rsidP="00837EC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lastRenderedPageBreak/>
        <w:t>Oferta pisemna powinna zawierać:</w:t>
      </w:r>
    </w:p>
    <w:p w14:paraId="6BD20171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Imię, nazwisko, adres nr dowodu osobistego bądź innego dokumentu potwierdzającego adres zamieszkania i tożsamość oferenta, kontakt (nr tel.)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728E2D01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Oferowaną cenę i warunki jej zapłaty, kopię dowodu wniesienia wadium, oświadczenie oferenta, że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zapoznał się ze stanem przedmiotu przetargu lub że przenosi odpowiedzialność za skutki wynikające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 rezygnacji oględzin.</w:t>
      </w:r>
    </w:p>
    <w:p w14:paraId="5361815D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Ofertę w raz z wymaganymi dokumentami składa się w Kancelarii zaklejonej, właściwie opisanej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kopercie z zapisem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,,nie otwierać przed nazwę, datę i godzinę przetargu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”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. </w:t>
      </w:r>
    </w:p>
    <w:p w14:paraId="5EACAC51" w14:textId="77777777" w:rsidR="00837EC6" w:rsidRDefault="00837EC6" w:rsidP="00837EC6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Składanie ofert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: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215B8FF8" w14:textId="6C6D0759" w:rsidR="00837EC6" w:rsidRPr="0072306F" w:rsidRDefault="00837EC6" w:rsidP="00837EC6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Kancelaria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DSDiK ul. Krakowska 28 do godz. </w:t>
      </w:r>
      <w:r w:rsidR="00DB6053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8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:</w:t>
      </w:r>
      <w:r w:rsidR="00DB6053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0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0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dnia </w:t>
      </w:r>
      <w:r w:rsidR="002D4330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23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.07.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20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</w:p>
    <w:p w14:paraId="50AEF030" w14:textId="77777777" w:rsidR="00837EC6" w:rsidRPr="0072306F" w:rsidRDefault="00837EC6" w:rsidP="00837EC6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związku z wyrokiem Trybunału Sprawiedliwości Unii Europejskiej z dnia 29 września 2015 r.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 sprawie C-276/14 oraz ustawą z dnia 5 kwietnia 2016 r. o szczególnych zasadach rozliczeń podatku od towarów i usług oraz dokonania zwrotu środków pochodzących z budżetu Unii Europejskiej lub od państw członkowskich Europejskiego Porozumienia o Wolnym Handlu przez jednostki samorządu terytorialnego (Dz. U. z 2016 r. poz. 1454) Dolnośląska Służba Dróg i Kolei we Wrocławiu nie jest odrębnym od województwa Dolnośląskiego podatkiem VAT. Wszystkie czynności sprzedażowe i zakupowe dokonywane przez nas do celów podatku VAT – są uznawane za czynności wykonywane bezpośrednio przez Województwo Dolnośląskie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62414C22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Faktura VAT:</w:t>
      </w:r>
    </w:p>
    <w:p w14:paraId="7E12A75D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Województwo Dolnośląskie </w:t>
      </w:r>
    </w:p>
    <w:p w14:paraId="2CAB9405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4D5A59C2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Ul. Krakowska 28, 50-425 Wrocław</w:t>
      </w:r>
    </w:p>
    <w:p w14:paraId="1E324E6E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N</w:t>
      </w: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IP</w:t>
      </w: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: 8992803047</w:t>
      </w:r>
    </w:p>
    <w:p w14:paraId="0AF79B78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Dowód rejestracyjny wystawiony jest na:</w:t>
      </w:r>
    </w:p>
    <w:p w14:paraId="58140556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131D9DAB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ul. Krakowska 28, 50-425 Wrocław </w:t>
      </w:r>
    </w:p>
    <w:p w14:paraId="72367266" w14:textId="77777777" w:rsidR="00837EC6" w:rsidRPr="0072306F" w:rsidRDefault="00837EC6" w:rsidP="00837EC6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Osoba do kontaktu: </w:t>
      </w:r>
    </w:p>
    <w:p w14:paraId="2DCFA59F" w14:textId="77777777" w:rsidR="00837EC6" w:rsidRPr="003F2AF1" w:rsidRDefault="00837EC6" w:rsidP="00837EC6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  <w:t>Mirosław Bator 71-39-17-208</w:t>
      </w:r>
    </w:p>
    <w:p w14:paraId="12119444" w14:textId="77777777" w:rsidR="00837EC6" w:rsidRPr="00263357" w:rsidRDefault="00837EC6" w:rsidP="00837EC6">
      <w:pPr>
        <w:rPr>
          <w:rFonts w:ascii="Aptos" w:hAnsi="Aptos"/>
        </w:rPr>
      </w:pPr>
    </w:p>
    <w:p w14:paraId="47719D77" w14:textId="77777777" w:rsidR="00837EC6" w:rsidRPr="00263357" w:rsidRDefault="00837EC6" w:rsidP="00837EC6">
      <w:pPr>
        <w:rPr>
          <w:rFonts w:ascii="Aptos" w:hAnsi="Aptos"/>
        </w:rPr>
      </w:pPr>
    </w:p>
    <w:p w14:paraId="6CB2B0E0" w14:textId="77777777" w:rsidR="00837EC6" w:rsidRPr="00263357" w:rsidRDefault="00837EC6" w:rsidP="00837EC6">
      <w:pPr>
        <w:rPr>
          <w:rFonts w:ascii="Aptos" w:hAnsi="Aptos"/>
        </w:rPr>
      </w:pPr>
    </w:p>
    <w:p w14:paraId="1E3868A1" w14:textId="77777777" w:rsidR="00837EC6" w:rsidRPr="00263357" w:rsidRDefault="00837EC6" w:rsidP="00837EC6">
      <w:pPr>
        <w:rPr>
          <w:rFonts w:ascii="Aptos" w:hAnsi="Aptos"/>
        </w:rPr>
      </w:pPr>
    </w:p>
    <w:p w14:paraId="4BA0F337" w14:textId="77777777" w:rsidR="00B62266" w:rsidRDefault="00B62266"/>
    <w:sectPr w:rsidR="00B6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C6"/>
    <w:rsid w:val="002D3A1C"/>
    <w:rsid w:val="002D4330"/>
    <w:rsid w:val="00323EC5"/>
    <w:rsid w:val="003C5549"/>
    <w:rsid w:val="00447910"/>
    <w:rsid w:val="005500C4"/>
    <w:rsid w:val="00567B96"/>
    <w:rsid w:val="00837EC6"/>
    <w:rsid w:val="00B62266"/>
    <w:rsid w:val="00D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CE4"/>
  <w15:chartTrackingRefBased/>
  <w15:docId w15:val="{DF5B57E8-FFEC-4C89-A4C8-DB71EE7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EC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E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E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E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E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E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E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E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E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E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E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E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EC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EC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37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EC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37E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E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EC6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837E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Kaczor Donald</cp:lastModifiedBy>
  <cp:revision>3</cp:revision>
  <dcterms:created xsi:type="dcterms:W3CDTF">2026-07-03T08:31:00Z</dcterms:created>
  <dcterms:modified xsi:type="dcterms:W3CDTF">2026-07-08T06:45:00Z</dcterms:modified>
</cp:coreProperties>
</file>