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7728"/>
      </w:tblGrid>
      <w:tr w:rsidR="00832D76" w:rsidRPr="00832D76" w:rsidTr="00F747EA">
        <w:trPr>
          <w:trHeight w:val="1967"/>
        </w:trPr>
        <w:tc>
          <w:tcPr>
            <w:tcW w:w="1079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</w:pPr>
            <w:r w:rsidRPr="00832D76">
              <w:rPr>
                <w:noProof/>
              </w:rPr>
              <w:drawing>
                <wp:inline distT="0" distB="0" distL="0" distR="0" wp14:anchorId="3F9ADFCD" wp14:editId="33888EB8">
                  <wp:extent cx="1136650" cy="1143000"/>
                  <wp:effectExtent l="0" t="0" r="6350" b="0"/>
                  <wp:docPr id="1" name="Obraz 1" descr="PanstwowaInspekcjaSanit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stwowaInspekcjaSanit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POWIATOWA STACJA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SANITARNO - EPIDEMIOLOGICZNA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W BRZOZOWIE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  <w:p w:rsidR="00832D76" w:rsidRPr="00832D76" w:rsidRDefault="00832D76" w:rsidP="00832D76">
            <w:pPr>
              <w:suppressAutoHyphens w:val="0"/>
              <w:jc w:val="center"/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="1"/>
        <w:tblW w:w="5000" w:type="pct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6"/>
        <w:gridCol w:w="3478"/>
        <w:gridCol w:w="3090"/>
      </w:tblGrid>
      <w:tr w:rsidR="00832D76" w:rsidRPr="00832D76" w:rsidTr="00F747EA">
        <w:trPr>
          <w:trHeight w:val="707"/>
        </w:trPr>
        <w:tc>
          <w:tcPr>
            <w:tcW w:w="1667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 xml:space="preserve">ul. Moniuszki 17, 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36-200 Brzozów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 xml:space="preserve">Tel. / fax. </w:t>
            </w:r>
            <w:r w:rsidRPr="00832D76">
              <w:rPr>
                <w:rFonts w:ascii="Arial" w:hAnsi="Arial" w:cs="Arial"/>
                <w:b/>
                <w:lang w:val="en-US"/>
              </w:rPr>
              <w:t>(013) 434 14 59</w:t>
            </w:r>
          </w:p>
        </w:tc>
        <w:tc>
          <w:tcPr>
            <w:tcW w:w="1765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www.psse-brzozow.pl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e-mail: psse.brzozow@pis.gov.pl</w:t>
            </w:r>
          </w:p>
        </w:tc>
        <w:tc>
          <w:tcPr>
            <w:tcW w:w="1568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832D76">
              <w:rPr>
                <w:rFonts w:ascii="Arial" w:hAnsi="Arial" w:cs="Arial"/>
                <w:b/>
                <w:lang w:val="en-US"/>
              </w:rPr>
              <w:t>NIP: 686 14 26 548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32D76">
              <w:rPr>
                <w:rFonts w:ascii="Arial" w:hAnsi="Arial" w:cs="Arial"/>
                <w:b/>
                <w:lang w:val="en-US"/>
              </w:rPr>
              <w:t>Regon</w:t>
            </w:r>
            <w:proofErr w:type="spellEnd"/>
            <w:r w:rsidRPr="00832D76">
              <w:rPr>
                <w:rFonts w:ascii="Arial" w:hAnsi="Arial" w:cs="Arial"/>
                <w:b/>
                <w:lang w:val="en-US"/>
              </w:rPr>
              <w:t>: 370411191</w:t>
            </w:r>
          </w:p>
        </w:tc>
      </w:tr>
    </w:tbl>
    <w:p w:rsidR="00587B80" w:rsidRDefault="00587B80" w:rsidP="00940616">
      <w:pPr>
        <w:widowControl/>
        <w:autoSpaceDN/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1862B8" w:rsidRPr="004155B5" w:rsidRDefault="00832D76" w:rsidP="00940616">
      <w:pPr>
        <w:widowControl/>
        <w:autoSpaceDN/>
        <w:spacing w:after="120" w:line="276" w:lineRule="auto"/>
        <w:jc w:val="center"/>
        <w:textAlignment w:val="auto"/>
        <w:rPr>
          <w:rFonts w:ascii="Times New Roman" w:hAnsi="Times New Roman" w:cs="Times New Roman"/>
          <w:iCs/>
        </w:rPr>
      </w:pPr>
      <w:r w:rsidRPr="00832D7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OCENA STANU SANITARNO-HIGIENICZNEGO PO</w:t>
      </w:r>
      <w:r w:rsidR="009101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WIATU BRZOZOWSKIEGO ZA ROK 2017</w:t>
      </w:r>
      <w:r w:rsidRPr="00832D7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.</w:t>
      </w:r>
      <w:r w:rsidR="00340F2F">
        <w:rPr>
          <w:rFonts w:ascii="Times New Roman" w:hAnsi="Times New Roman" w:cs="Times New Roman"/>
          <w:iCs/>
        </w:rPr>
        <w:t xml:space="preserve">         </w:t>
      </w:r>
    </w:p>
    <w:p w:rsidR="001862B8" w:rsidRPr="006710C3" w:rsidRDefault="00DA7608" w:rsidP="006710C3">
      <w:pPr>
        <w:pStyle w:val="Standard"/>
        <w:jc w:val="both"/>
        <w:rPr>
          <w:rFonts w:hint="eastAsia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</w:rPr>
        <w:t xml:space="preserve">          </w:t>
      </w:r>
      <w:r w:rsidR="00C33473" w:rsidRPr="00C33473">
        <w:rPr>
          <w:rFonts w:ascii="Times New Roman" w:hAnsi="Times New Roman" w:cs="Times New Roman"/>
          <w:iCs/>
        </w:rPr>
        <w:t>Głównym celem działalności Powiatowej Stacji Sanitarno-Epidemiolog</w:t>
      </w:r>
      <w:r w:rsidR="00476DCF">
        <w:rPr>
          <w:rFonts w:ascii="Times New Roman" w:hAnsi="Times New Roman" w:cs="Times New Roman"/>
          <w:iCs/>
        </w:rPr>
        <w:t>icznej w Brzozowie</w:t>
      </w:r>
      <w:r>
        <w:rPr>
          <w:rFonts w:ascii="Times New Roman" w:hAnsi="Times New Roman" w:cs="Times New Roman"/>
          <w:iCs/>
        </w:rPr>
        <w:t xml:space="preserve"> było </w:t>
      </w:r>
      <w:r w:rsidR="00C33473" w:rsidRPr="00C33473">
        <w:rPr>
          <w:rFonts w:ascii="Times New Roman" w:hAnsi="Times New Roman" w:cs="Times New Roman"/>
          <w:iCs/>
        </w:rPr>
        <w:t>promowanie zdrowego stylu życia, nadzór nad bezpieczeństwem żywności i żywienia oraz bezpieczeństwem zdrowotnym wody, przeciwdziałanie powstawaniu</w:t>
      </w:r>
      <w:r w:rsidR="00F26524">
        <w:rPr>
          <w:rFonts w:ascii="Times New Roman" w:hAnsi="Times New Roman" w:cs="Times New Roman"/>
          <w:iCs/>
        </w:rPr>
        <w:t xml:space="preserve"> chorób, w tym chorób zakaźnych</w:t>
      </w:r>
      <w:r w:rsidR="00C33473" w:rsidRPr="00C33473">
        <w:rPr>
          <w:rFonts w:ascii="Times New Roman" w:hAnsi="Times New Roman" w:cs="Times New Roman"/>
          <w:iCs/>
        </w:rPr>
        <w:t xml:space="preserve"> i zawodowych poprzez sprawowanie zapobiegawczego i bieżącego nadzoru sanitarnego z zakresu zdrowia publicznego oraz działalności przeciwepidemicznej.</w:t>
      </w:r>
    </w:p>
    <w:p w:rsidR="00100FF0" w:rsidRPr="006368C5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6368C5">
        <w:rPr>
          <w:b/>
          <w:bCs/>
          <w:sz w:val="28"/>
          <w:szCs w:val="28"/>
        </w:rPr>
        <w:t>Sytuacja epidemiologiczna</w:t>
      </w:r>
      <w:r w:rsidR="00910109" w:rsidRPr="006368C5">
        <w:rPr>
          <w:b/>
          <w:bCs/>
          <w:sz w:val="28"/>
          <w:szCs w:val="28"/>
        </w:rPr>
        <w:t>.</w:t>
      </w:r>
      <w:r w:rsidRPr="006368C5">
        <w:rPr>
          <w:b/>
          <w:bCs/>
          <w:sz w:val="28"/>
          <w:szCs w:val="28"/>
        </w:rPr>
        <w:t xml:space="preserve"> </w:t>
      </w:r>
    </w:p>
    <w:p w:rsidR="00B1358F" w:rsidRDefault="0017285A" w:rsidP="006710C3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 </w:t>
      </w:r>
      <w:r w:rsidR="00DA7608">
        <w:rPr>
          <w:b/>
          <w:bCs/>
        </w:rPr>
        <w:t xml:space="preserve">       </w:t>
      </w:r>
      <w:r w:rsidR="00100FF0">
        <w:t>S</w:t>
      </w:r>
      <w:r>
        <w:t>tabilna i można uznać za ogólnie dobrą. Nie ma epidemicznego występowania chorób zakaźnych.</w:t>
      </w:r>
      <w:r w:rsidR="00DA7608">
        <w:t xml:space="preserve"> </w:t>
      </w:r>
      <w:r>
        <w:t xml:space="preserve">Wśród zakażeń jelitowych i zatruć pokarmowych dominują zakażenia wirusowe i tu na czoło wysuwają się zakażenia </w:t>
      </w:r>
      <w:proofErr w:type="spellStart"/>
      <w:r w:rsidRPr="00DA7608">
        <w:t>rotawirusowe</w:t>
      </w:r>
      <w:proofErr w:type="spellEnd"/>
      <w:r w:rsidRPr="00DA7608">
        <w:t>.</w:t>
      </w:r>
      <w:r>
        <w:t xml:space="preserve"> W zatruciach pokarmowych</w:t>
      </w:r>
      <w:r w:rsidR="00DA7608">
        <w:t xml:space="preserve"> </w:t>
      </w:r>
      <w:r w:rsidR="00910109">
        <w:t>(12</w:t>
      </w:r>
      <w:r w:rsidR="00DA7608">
        <w:t xml:space="preserve"> </w:t>
      </w:r>
      <w:r w:rsidR="00100FF0">
        <w:t>przyp</w:t>
      </w:r>
      <w:r w:rsidR="00F26524">
        <w:t>.</w:t>
      </w:r>
      <w:r w:rsidR="00100FF0">
        <w:t>)</w:t>
      </w:r>
      <w:r>
        <w:t xml:space="preserve"> wywoływanych Salmonellą</w:t>
      </w:r>
      <w:r w:rsidR="00940748">
        <w:t xml:space="preserve"> prawdopodobnym</w:t>
      </w:r>
      <w:r>
        <w:t xml:space="preserve"> źródłe</w:t>
      </w:r>
      <w:r w:rsidR="00940748">
        <w:t>m zakażenia była</w:t>
      </w:r>
      <w:r w:rsidR="003555E4">
        <w:t xml:space="preserve"> </w:t>
      </w:r>
      <w:r w:rsidR="00B1358F">
        <w:t>niepraw</w:t>
      </w:r>
      <w:r w:rsidR="003555E4">
        <w:t>i</w:t>
      </w:r>
      <w:r w:rsidR="009F302B">
        <w:t>dłowa obróbka termiczna potraw</w:t>
      </w:r>
      <w:r w:rsidR="00100FF0">
        <w:t xml:space="preserve"> </w:t>
      </w:r>
      <w:r w:rsidR="009F302B">
        <w:t>( jajka i mięso).</w:t>
      </w:r>
      <w:r w:rsidR="00DA7608">
        <w:t xml:space="preserve"> </w:t>
      </w:r>
      <w:r w:rsidR="00100FF0">
        <w:t>Środowiska domowe były objęte nadzorem epidemiologicznym.</w:t>
      </w:r>
    </w:p>
    <w:p w:rsidR="001862B8" w:rsidRDefault="0017285A" w:rsidP="006710C3">
      <w:pPr>
        <w:pStyle w:val="Standard"/>
        <w:jc w:val="both"/>
        <w:rPr>
          <w:rFonts w:hint="eastAsia"/>
        </w:rPr>
      </w:pPr>
      <w:r>
        <w:t xml:space="preserve"> W </w:t>
      </w:r>
      <w:proofErr w:type="spellStart"/>
      <w:r w:rsidRPr="00DA7608">
        <w:t>zachorowaniach</w:t>
      </w:r>
      <w:proofErr w:type="spellEnd"/>
      <w:r w:rsidRPr="00DA7608">
        <w:t xml:space="preserve"> na</w:t>
      </w:r>
      <w:r>
        <w:t xml:space="preserve"> żółtaczkę- nie rejestrujemy </w:t>
      </w:r>
      <w:proofErr w:type="spellStart"/>
      <w:r>
        <w:t>zachorowań</w:t>
      </w:r>
      <w:proofErr w:type="spellEnd"/>
      <w:r>
        <w:t xml:space="preserve"> na </w:t>
      </w:r>
      <w:proofErr w:type="spellStart"/>
      <w:r>
        <w:t>tzw.</w:t>
      </w:r>
      <w:r w:rsidR="00F26524">
        <w:t>żółtaczkę</w:t>
      </w:r>
      <w:proofErr w:type="spellEnd"/>
      <w:r>
        <w:t xml:space="preserve"> pokarmową, rejestrowane przypadki to żółtaczka wszczepienna typ B i C</w:t>
      </w:r>
      <w:r w:rsidR="00F26524">
        <w:t>. O</w:t>
      </w:r>
      <w:r>
        <w:t>d roku 2010 utrzymuje się tendencja wzrostowa, w 80% choroba przebiega bezobjawowo, rozwija się po kilkudziesięciu latach, bądź wykrywana  przypa</w:t>
      </w:r>
      <w:r w:rsidR="00100FF0">
        <w:t xml:space="preserve">dkowo w trakcie hospitalizacji. W </w:t>
      </w:r>
      <w:proofErr w:type="spellStart"/>
      <w:r w:rsidR="00100FF0">
        <w:t>zachorowaniach</w:t>
      </w:r>
      <w:proofErr w:type="spellEnd"/>
      <w:r w:rsidR="00100FF0">
        <w:t xml:space="preserve"> na </w:t>
      </w:r>
      <w:proofErr w:type="spellStart"/>
      <w:r w:rsidR="00100FF0">
        <w:t>wzw</w:t>
      </w:r>
      <w:proofErr w:type="spellEnd"/>
      <w:r>
        <w:t xml:space="preserve"> typ B są szczepienia, przy typie C brak. .95% Polaków nie jest świadomych zakażenia i następstw tego zakażenia </w:t>
      </w:r>
      <w:r w:rsidR="00DA7608">
        <w:t xml:space="preserve">                        </w:t>
      </w:r>
      <w:r>
        <w:t>w związku z tym może zakażać nieświadomie.</w:t>
      </w:r>
    </w:p>
    <w:p w:rsidR="00F26524" w:rsidRPr="00F26524" w:rsidRDefault="0017285A" w:rsidP="00F26524">
      <w:pPr>
        <w:pStyle w:val="Standard"/>
        <w:jc w:val="both"/>
        <w:rPr>
          <w:rFonts w:hint="eastAsia"/>
        </w:rPr>
      </w:pPr>
      <w:r>
        <w:t xml:space="preserve">W ostatnich latach obserwujemy wyraźny wzrost występowania </w:t>
      </w:r>
      <w:proofErr w:type="spellStart"/>
      <w:r>
        <w:t>boleriozy</w:t>
      </w:r>
      <w:proofErr w:type="spellEnd"/>
      <w:r>
        <w:t>- choroba prz</w:t>
      </w:r>
      <w:r w:rsidR="00FB7F63">
        <w:t>enoszona przez kleszcze. W  analizowanym okresie</w:t>
      </w:r>
      <w:r>
        <w:t xml:space="preserve"> </w:t>
      </w:r>
      <w:r w:rsidR="00100FF0">
        <w:t>za</w:t>
      </w:r>
      <w:r>
        <w:t>rejestrowan</w:t>
      </w:r>
      <w:r w:rsidR="00AC608B">
        <w:t>o 100</w:t>
      </w:r>
      <w:r w:rsidR="00100FF0">
        <w:t xml:space="preserve"> przypadków</w:t>
      </w:r>
      <w:r>
        <w:t>. Nie ma szczepionki, dlatego profilaktyka to odpowiedni ubiór.</w:t>
      </w:r>
      <w:r w:rsidR="00AC608B">
        <w:t xml:space="preserve">    </w:t>
      </w:r>
    </w:p>
    <w:p w:rsidR="00F26524" w:rsidRPr="00F26524" w:rsidRDefault="00F26524" w:rsidP="00F26524">
      <w:pPr>
        <w:pStyle w:val="Standard"/>
        <w:jc w:val="both"/>
        <w:rPr>
          <w:rFonts w:hint="eastAsia"/>
          <w:b/>
        </w:rPr>
      </w:pPr>
      <w:r w:rsidRPr="00F26524">
        <w:rPr>
          <w:b/>
        </w:rPr>
        <w:t>Gruźlica.</w:t>
      </w:r>
    </w:p>
    <w:p w:rsidR="00C742B0" w:rsidRDefault="00F26524" w:rsidP="00F26524">
      <w:pPr>
        <w:pStyle w:val="Standard"/>
        <w:jc w:val="both"/>
        <w:rPr>
          <w:rFonts w:hint="eastAsia"/>
        </w:rPr>
      </w:pPr>
      <w:r w:rsidRPr="00F26524">
        <w:t xml:space="preserve">         W 2013 roku zarejestrowano 19 przypadków </w:t>
      </w:r>
      <w:proofErr w:type="spellStart"/>
      <w:r w:rsidRPr="00F26524">
        <w:t>zachorowań</w:t>
      </w:r>
      <w:proofErr w:type="spellEnd"/>
      <w:r w:rsidRPr="00F26524">
        <w:t xml:space="preserve"> na gruźlicę, 2014- 21, w 201</w:t>
      </w:r>
      <w:r w:rsidR="00AC608B">
        <w:t>5 –12 przypadków, w 2016 – 13</w:t>
      </w:r>
      <w:r w:rsidR="004D5B26">
        <w:t xml:space="preserve"> </w:t>
      </w:r>
      <w:r w:rsidR="00AC608B">
        <w:t>a w 2017 – 10.</w:t>
      </w:r>
      <w:r w:rsidRPr="00F26524">
        <w:t xml:space="preserve"> Środowiska domowe osób chorych są objęte nadzorem epidemiologiczny</w:t>
      </w:r>
      <w:r w:rsidR="00BA5B6B">
        <w:t>m.</w:t>
      </w:r>
    </w:p>
    <w:p w:rsidR="00C742B0" w:rsidRDefault="0017285A" w:rsidP="006710C3">
      <w:pPr>
        <w:pStyle w:val="Standard"/>
        <w:jc w:val="both"/>
        <w:rPr>
          <w:rFonts w:hint="eastAsia"/>
        </w:rPr>
      </w:pPr>
      <w:r w:rsidRPr="00DA1FD5">
        <w:rPr>
          <w:b/>
          <w:bCs/>
        </w:rPr>
        <w:t>Grypa i zakażenia gr</w:t>
      </w:r>
      <w:r w:rsidR="00CD5017" w:rsidRPr="00DA1FD5">
        <w:rPr>
          <w:b/>
          <w:bCs/>
        </w:rPr>
        <w:t>y</w:t>
      </w:r>
      <w:r w:rsidR="00BA5B6B">
        <w:rPr>
          <w:b/>
          <w:bCs/>
        </w:rPr>
        <w:t>pop</w:t>
      </w:r>
      <w:r w:rsidRPr="00DA1FD5">
        <w:rPr>
          <w:b/>
          <w:bCs/>
        </w:rPr>
        <w:t>o</w:t>
      </w:r>
      <w:r w:rsidR="00BA5B6B">
        <w:rPr>
          <w:b/>
          <w:bCs/>
        </w:rPr>
        <w:t>do</w:t>
      </w:r>
      <w:r w:rsidRPr="00DA1FD5">
        <w:rPr>
          <w:b/>
          <w:bCs/>
        </w:rPr>
        <w:t>bne</w:t>
      </w:r>
      <w:r w:rsidR="00BA5B6B">
        <w:rPr>
          <w:b/>
          <w:bCs/>
        </w:rPr>
        <w:t xml:space="preserve"> </w:t>
      </w:r>
      <w:r w:rsidRPr="00DA1FD5">
        <w:rPr>
          <w:b/>
          <w:bCs/>
        </w:rPr>
        <w:t>-</w:t>
      </w:r>
      <w:r w:rsidR="00AC608B">
        <w:t xml:space="preserve"> zarejestrowane zachorowania w</w:t>
      </w:r>
      <w:r w:rsidR="00340F2F">
        <w:t xml:space="preserve">  </w:t>
      </w:r>
      <w:r w:rsidR="00AF5D4D" w:rsidRPr="00AF5D4D">
        <w:t>2016</w:t>
      </w:r>
      <w:r w:rsidR="00AF5D4D">
        <w:t xml:space="preserve"> </w:t>
      </w:r>
      <w:r w:rsidR="00495238">
        <w:t>–</w:t>
      </w:r>
      <w:r w:rsidR="00AF5D4D" w:rsidRPr="00AF5D4D">
        <w:t xml:space="preserve"> 4128</w:t>
      </w:r>
      <w:r w:rsidR="00495238">
        <w:t xml:space="preserve"> </w:t>
      </w:r>
      <w:r w:rsidR="005106DB">
        <w:t>, a w 20</w:t>
      </w:r>
      <w:r w:rsidR="00AC608B">
        <w:t xml:space="preserve">17 </w:t>
      </w:r>
      <w:r w:rsidR="005106DB">
        <w:t>–</w:t>
      </w:r>
      <w:r w:rsidR="00AF5D4D">
        <w:t xml:space="preserve"> </w:t>
      </w:r>
      <w:r w:rsidR="005106DB">
        <w:t xml:space="preserve">5649.              </w:t>
      </w:r>
    </w:p>
    <w:p w:rsidR="007D0CA5" w:rsidRDefault="00FB00E5" w:rsidP="006710C3">
      <w:pPr>
        <w:pStyle w:val="Standard"/>
        <w:jc w:val="both"/>
        <w:rPr>
          <w:rFonts w:hint="eastAsia"/>
        </w:rPr>
      </w:pPr>
      <w:r>
        <w:t xml:space="preserve">        Spośród  rzadko występujących chorób  zare</w:t>
      </w:r>
      <w:r w:rsidR="007D0CA5">
        <w:t xml:space="preserve">jestrowano 1 przypadek </w:t>
      </w:r>
      <w:proofErr w:type="spellStart"/>
      <w:r w:rsidR="007D0CA5">
        <w:t>turalemi</w:t>
      </w:r>
      <w:proofErr w:type="spellEnd"/>
      <w:r w:rsidR="00E343C7">
        <w:t xml:space="preserve"> </w:t>
      </w:r>
      <w:r w:rsidR="007D0CA5">
        <w:t>(2016) a w 2017r</w:t>
      </w:r>
      <w:r w:rsidR="00E343C7">
        <w:t xml:space="preserve">. </w:t>
      </w:r>
    </w:p>
    <w:p w:rsidR="00335105" w:rsidRDefault="007D0CA5" w:rsidP="006710C3">
      <w:pPr>
        <w:pStyle w:val="Standard"/>
        <w:jc w:val="both"/>
        <w:rPr>
          <w:rFonts w:hint="eastAsia"/>
        </w:rPr>
      </w:pPr>
      <w:r>
        <w:t xml:space="preserve">1 przypadek tężca. </w:t>
      </w:r>
    </w:p>
    <w:p w:rsidR="00DA1FD5" w:rsidRDefault="007D0CA5" w:rsidP="007D0CA5">
      <w:pPr>
        <w:pStyle w:val="Standard"/>
        <w:jc w:val="both"/>
        <w:rPr>
          <w:rFonts w:hint="eastAsia"/>
        </w:rPr>
      </w:pPr>
      <w:r>
        <w:t>W porównaniu do roku 2017</w:t>
      </w:r>
      <w:r w:rsidR="00335105">
        <w:t xml:space="preserve"> wystąpił  znaczny wzrost  </w:t>
      </w:r>
      <w:proofErr w:type="spellStart"/>
      <w:r w:rsidR="00335105">
        <w:t>zachorowań</w:t>
      </w:r>
      <w:proofErr w:type="spellEnd"/>
      <w:r w:rsidR="00335105">
        <w:t xml:space="preserve"> </w:t>
      </w:r>
      <w:r>
        <w:t xml:space="preserve"> na ospę wietrzną ( w 2016 </w:t>
      </w:r>
      <w:r w:rsidR="004D5B26">
        <w:t>–</w:t>
      </w:r>
      <w:r>
        <w:t xml:space="preserve"> 139</w:t>
      </w:r>
      <w:r w:rsidR="004D5B26">
        <w:t xml:space="preserve"> </w:t>
      </w:r>
      <w:r>
        <w:t>a w 2017 – 274).</w:t>
      </w:r>
      <w:r w:rsidR="00335105">
        <w:t xml:space="preserve"> </w:t>
      </w:r>
    </w:p>
    <w:p w:rsidR="00DA1FD5" w:rsidRPr="006368C5" w:rsidRDefault="00DA1FD5" w:rsidP="00DA1FD5">
      <w:pPr>
        <w:rPr>
          <w:rFonts w:hint="eastAsia"/>
          <w:b/>
          <w:sz w:val="28"/>
          <w:szCs w:val="28"/>
        </w:rPr>
      </w:pPr>
      <w:r w:rsidRPr="006368C5">
        <w:rPr>
          <w:b/>
          <w:sz w:val="28"/>
          <w:szCs w:val="28"/>
        </w:rPr>
        <w:t>Szczepienia ochronne jako element zwalczania chorób zakaźnych</w:t>
      </w:r>
      <w:r w:rsidR="00AB241A" w:rsidRPr="006368C5">
        <w:rPr>
          <w:b/>
          <w:sz w:val="28"/>
          <w:szCs w:val="28"/>
        </w:rPr>
        <w:t>.</w:t>
      </w:r>
    </w:p>
    <w:p w:rsidR="00DA1FD5" w:rsidRDefault="00DA1FD5" w:rsidP="00DA1FD5">
      <w:pPr>
        <w:shd w:val="clear" w:color="auto" w:fill="FFFFFF"/>
        <w:jc w:val="both"/>
        <w:rPr>
          <w:rFonts w:hint="eastAsia"/>
        </w:rPr>
      </w:pPr>
      <w:r>
        <w:rPr>
          <w:rFonts w:eastAsiaTheme="minorEastAsia"/>
          <w:color w:val="000000"/>
          <w:spacing w:val="3"/>
        </w:rPr>
        <w:t xml:space="preserve">         Bardzo ważnym elementem profilaktyki chorób zakaźnych są szczepienia ochronne.</w:t>
      </w:r>
      <w:r>
        <w:rPr>
          <w:color w:val="FF0000"/>
        </w:rPr>
        <w:t xml:space="preserve">   </w:t>
      </w:r>
      <w:r>
        <w:t xml:space="preserve">Obowiązkiem szczepień ochronnych objętych jest 13 chorób zakaźnych. Są to: błonica, gruźlica, inwazyjne zakażenie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typu b, </w:t>
      </w:r>
      <w:proofErr w:type="spellStart"/>
      <w:r>
        <w:t>Streptococus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>, krztusiec, nagminne zakażenie przyusznic (świnka), odra, ospa wietrzna, ostre nagminne porażenie dziecięce (</w:t>
      </w:r>
      <w:proofErr w:type="spellStart"/>
      <w:r>
        <w:t>poliomyelitis</w:t>
      </w:r>
      <w:proofErr w:type="spellEnd"/>
      <w:r>
        <w:t>), różyczka, tężec, wirusowe zapalenie wątroby typu B oraz wścieklizna.</w:t>
      </w:r>
      <w:r>
        <w:rPr>
          <w:color w:val="FF0000"/>
        </w:rPr>
        <w:t xml:space="preserve">   </w:t>
      </w:r>
    </w:p>
    <w:p w:rsidR="00072091" w:rsidRDefault="00DA1FD5" w:rsidP="00072091">
      <w:pPr>
        <w:jc w:val="both"/>
        <w:rPr>
          <w:rFonts w:eastAsiaTheme="minorEastAsia"/>
          <w:color w:val="000000"/>
          <w:spacing w:val="-1"/>
        </w:rPr>
      </w:pPr>
      <w:r>
        <w:rPr>
          <w:rFonts w:eastAsiaTheme="minorEastAsia"/>
          <w:color w:val="000000"/>
          <w:spacing w:val="-1"/>
        </w:rPr>
        <w:t>Warunkiem utrzymania korzystnej sytuacji epidemiologicznej j</w:t>
      </w:r>
      <w:r w:rsidR="00AB241A">
        <w:rPr>
          <w:rFonts w:eastAsiaTheme="minorEastAsia"/>
          <w:color w:val="000000"/>
          <w:spacing w:val="-1"/>
        </w:rPr>
        <w:t xml:space="preserve">est uzyskanie wysokiego odsetka </w:t>
      </w:r>
      <w:r w:rsidR="00AB241A">
        <w:rPr>
          <w:rFonts w:eastAsiaTheme="minorEastAsia"/>
          <w:color w:val="000000"/>
          <w:spacing w:val="-1"/>
        </w:rPr>
        <w:lastRenderedPageBreak/>
        <w:t>dzieci zaszczepionych.</w:t>
      </w:r>
      <w:r w:rsidR="00E343C7">
        <w:rPr>
          <w:rFonts w:eastAsiaTheme="minorEastAsia"/>
          <w:color w:val="000000"/>
          <w:spacing w:val="-1"/>
        </w:rPr>
        <w:t xml:space="preserve">  Średni odsetek  zaszczepionych dzieci w roku 2017 na choroby objęte kalendarzem szczepień ochronnych wyniósł ok.99%.</w:t>
      </w:r>
    </w:p>
    <w:p w:rsidR="00072091" w:rsidRDefault="00072091" w:rsidP="00072091">
      <w:pPr>
        <w:jc w:val="both"/>
        <w:rPr>
          <w:rFonts w:eastAsiaTheme="minorEastAsia"/>
          <w:color w:val="000000"/>
          <w:spacing w:val="-1"/>
        </w:rPr>
      </w:pPr>
    </w:p>
    <w:p w:rsidR="001862B8" w:rsidRPr="006368C5" w:rsidRDefault="0017285A" w:rsidP="00072091">
      <w:pPr>
        <w:jc w:val="both"/>
        <w:rPr>
          <w:rFonts w:hint="eastAsia"/>
          <w:b/>
          <w:bCs/>
          <w:sz w:val="28"/>
          <w:szCs w:val="28"/>
        </w:rPr>
      </w:pPr>
      <w:r w:rsidRPr="006368C5">
        <w:rPr>
          <w:b/>
          <w:bCs/>
          <w:sz w:val="28"/>
          <w:szCs w:val="28"/>
        </w:rPr>
        <w:t>Stan sanitarny podmiotów wykonujących działalność leczniczą.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Na terenie powiatu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Organy Państwowej Inspekcji </w:t>
      </w: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>prowadzą nadzór nad 1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49</w:t>
      </w: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podmiotami wykonuj</w:t>
      </w: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>ą</w:t>
      </w: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>cymi działalność</w:t>
      </w:r>
      <w:r w:rsidR="00E343C7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leczniczą</w:t>
      </w:r>
      <w:r w:rsidRPr="0007209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.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Oceniając stan sanitarny w/w obiektów szczególną uwagę zwracano na: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1.Zaopatrzenie w bieżącą zimną i ciepłą wodę.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2. Odprowadzanie ścieków.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3. Warunki sanitarno-techniczne pomieszczeń i ich funkcjonalność.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4. Zaopatrzenie w środki dezynfekcyjne,  ich stosowanie oraz opracowanie i wdrożenie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obowiązujących procedur.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5. Sterylizację narzędzi, sprzętu i materiałów medycznych.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6. Utrzymanie bieżącej czystości i porządku w obiekcie i terenu wokół niego.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7. Postępowanie z odpadami medycznymi i komunalnymi.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8. Postępowanie z bielizną czystą i brudną.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9. Dokumentację przeglądów instalacji wentylacji i klimatyzacji.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10. Dokumentację w obszarze realizacji działań zapobiegających szerzeniu się zakażeń  i chorób zakaźnych.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Zaopatrzenie w bieżącą zimną i ciepłą wodę.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Skontrolowane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C052F2"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odmioty prowadzące działalność leczniczą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zaopatrzone są w 24 przypadkach 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wodę z wodociągów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>sieciowych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pozostałych przypadkach z własnych studni. Podczas prz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prowadzanych kontroli sanitarnych zwracano uwagę na stałe utrzymywanie temperatury wody p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wyżej 55ºC aby zapobiec możliwości zasiedlenia wewnętrznej sieci wodociągowej bakteriami z rodzaju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Legionella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</w:p>
    <w:p w:rsidR="00072091" w:rsidRPr="00072091" w:rsidRDefault="00072091" w:rsidP="0007209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Odprowadzanie ścieków.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W obiektach nie stwierdzono zaniedbań w zakresie gospodarki ściekowej. W grupie podmiotów leczniczych - 45 odprowadza ścieki do kanalizacji sanitarnej, 19 do osadników bezodpływowych i 1 posiada własną oczyszczalnię. W grupie obiektów prowadzących działalność leczniczą w ramach praktyki zawodowej - 53 odprowadza nieczystości do kanalizacji sanitarnej, 8 do osadników be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odpływowych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2 do własnych oczyszczalni.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Warunki sanitarno-techniczne pomieszczeń i ich funkcjonalność.</w:t>
      </w:r>
    </w:p>
    <w:p w:rsidR="00C052F2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Przy sprawowaniu nadzoru nad stanem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sanitarno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–technicznym podmiotów leczniczych  Państw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wa Inspekcja Sanitarna  uwzględniała wymagania ujęte w rozporządzeniu Ministra Zdrowia z 22 czerwca 2012 r. w sprawie szczegółowych wymagań jakim powinny odpowiadać pomieszczenia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urządzenia podmiotu wykonującego działalność leczniczą.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>Nadzorowane podmioty lecznicze spełniają wymagania zawarte w w/w rozporządzeniu z wyjątkiem jednego obiektu , w stosunku do             którego wydano decyzje nakazową dotyczącą poprawy stanu sanitarno-technicznego.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Zaopatrzenie w środki dezynfekcyjne,  ich stosowanie oraz opracowanie i wdrożenie obowi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ą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zujących procedur.</w:t>
      </w:r>
    </w:p>
    <w:p w:rsidR="00072091" w:rsidRPr="00072091" w:rsidRDefault="00072091" w:rsidP="00E343C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podmiotach wykonujących działalność leczniczą zwracano szczególną uwagę na asortyment posiadanych środków myjąco - dezynfekcyjnych do mycia i dezynfekcji narzędzi oraz sprzętu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medycznego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Sprzątanie i dezynfekcja pomieszczeń podmiotów odbywa się przez zatrudniony </w:t>
      </w:r>
      <w:r w:rsidR="00C052F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personel po zakończonych przyjęciach pacjentów oraz wg potrzeb. W 9 obiektach sprząta firma.</w:t>
      </w:r>
      <w:r w:rsidR="00E343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My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cie  i dezynfekcja sprzętu  prowadzone wg</w:t>
      </w:r>
      <w:r w:rsidR="00E343C7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odrębnych procedur.                                     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       </w:t>
      </w:r>
      <w:r w:rsidR="00C052F2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                    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Sterylizacja narzędzi, sprzętu i materiałów medycznych.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Na terenie powiatu 3 podmioty lecznicze (przychodnie, poradnie, ośrodki) korzysta</w:t>
      </w:r>
      <w:r w:rsidR="001A1506">
        <w:rPr>
          <w:rFonts w:ascii="Times New Roman" w:eastAsia="Times New Roman" w:hAnsi="Times New Roman" w:cs="Times New Roman"/>
          <w:kern w:val="0"/>
          <w:lang w:eastAsia="pl-PL" w:bidi="ar-SA"/>
        </w:rPr>
        <w:t>ły do                            końca listopada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usług Centralnej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Sterylizatorni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Szpitala Specjalistycznego w Brzozowie (dotyczy głównie szpatułek), w pozostałych podmiotach prowadzona </w:t>
      </w:r>
      <w:r w:rsidR="001A1506">
        <w:rPr>
          <w:rFonts w:ascii="Times New Roman" w:eastAsia="Times New Roman" w:hAnsi="Times New Roman" w:cs="Times New Roman"/>
          <w:kern w:val="0"/>
          <w:lang w:eastAsia="pl-PL" w:bidi="ar-SA"/>
        </w:rPr>
        <w:t>jest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sterylizacja gabinetowa z </w:t>
      </w:r>
      <w:r w:rsidR="001A150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zachowaniem właściwego ciągu technologicznego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sterylizatorni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Pozostałe podmioty lecznicze </w:t>
      </w:r>
      <w:r w:rsidR="001A150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stosują wyłącznie sprzęt jednorazowego użytku.</w:t>
      </w:r>
    </w:p>
    <w:p w:rsid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Nadzorowane placówki prowadzą systematyczną kontrolę wewnętrzną procesów sterylizacji  wskaźnikami biologicznymi (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Sporal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A, 3M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Atestt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 i wskaźnikami chemicznymi zintegrowanymi 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(SPS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Steam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Indicator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Strip</w:t>
      </w:r>
      <w:proofErr w:type="spellEnd"/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,). Archiwizacja wyników oraz dokumentowanie procesów dekontam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nacji prowadzona  prawidłowo we wszystkich podmiotach. </w:t>
      </w:r>
    </w:p>
    <w:p w:rsidR="00DA7608" w:rsidRPr="00072091" w:rsidRDefault="00DA7608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72091" w:rsidRPr="00072091" w:rsidRDefault="00072091" w:rsidP="0007209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Postępowanie z odpadami medycznymi i komunalnymi.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MyriadPro-Regular" w:hAnsi="Times New Roman" w:cs="Times New Roman"/>
          <w:kern w:val="0"/>
          <w:lang w:eastAsia="pl-PL" w:bidi="ar-SA"/>
        </w:rPr>
      </w:pP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>Organy Państwowej Inspekcji Sanitarnej  sprawowały nadzór sanitarny nad postępowaniem z odp</w:t>
      </w: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>a</w:t>
      </w: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>dami medycznymi .</w:t>
      </w:r>
      <w:r w:rsidR="00E343C7">
        <w:rPr>
          <w:rFonts w:ascii="Times New Roman" w:eastAsia="MyriadPro-Regular" w:hAnsi="Times New Roman" w:cs="Times New Roman"/>
          <w:kern w:val="0"/>
          <w:lang w:eastAsia="pl-PL" w:bidi="ar-SA"/>
        </w:rPr>
        <w:t xml:space="preserve"> </w:t>
      </w: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>Kontrole objęły ambulatoria i inne obiekty. Prowadząc gospodarkę odpadami medycznymi we wszystkich  skontrolowanych obiektach zastosow</w:t>
      </w:r>
      <w:r w:rsidR="001A1506">
        <w:rPr>
          <w:rFonts w:ascii="Times New Roman" w:eastAsia="MyriadPro-Regular" w:hAnsi="Times New Roman" w:cs="Times New Roman"/>
          <w:kern w:val="0"/>
          <w:lang w:eastAsia="pl-PL" w:bidi="ar-SA"/>
        </w:rPr>
        <w:t>ano się do wymogów określ</w:t>
      </w:r>
      <w:r w:rsidR="001A1506">
        <w:rPr>
          <w:rFonts w:ascii="Times New Roman" w:eastAsia="MyriadPro-Regular" w:hAnsi="Times New Roman" w:cs="Times New Roman"/>
          <w:kern w:val="0"/>
          <w:lang w:eastAsia="pl-PL" w:bidi="ar-SA"/>
        </w:rPr>
        <w:t>o</w:t>
      </w:r>
      <w:r w:rsidR="001A1506">
        <w:rPr>
          <w:rFonts w:ascii="Times New Roman" w:eastAsia="MyriadPro-Regular" w:hAnsi="Times New Roman" w:cs="Times New Roman"/>
          <w:kern w:val="0"/>
          <w:lang w:eastAsia="pl-PL" w:bidi="ar-SA"/>
        </w:rPr>
        <w:t xml:space="preserve">nych </w:t>
      </w: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 xml:space="preserve">w rozporządzeniu Ministra Zdrowia w 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sprawie szczegółowego sposobu postępowania    z o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padami medycznymi</w:t>
      </w:r>
      <w:r w:rsidRPr="00072091">
        <w:rPr>
          <w:rFonts w:ascii="Times New Roman" w:eastAsia="MyriadPro-Regular" w:hAnsi="Times New Roman" w:cs="Times New Roman"/>
          <w:kern w:val="0"/>
          <w:lang w:eastAsia="pl-PL" w:bidi="ar-SA"/>
        </w:rPr>
        <w:t>.</w:t>
      </w:r>
    </w:p>
    <w:p w:rsidR="00072091" w:rsidRPr="00072091" w:rsidRDefault="00072091" w:rsidP="0007209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Postępowanie z bielizną czystą i brudną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Placówki posiadają wydzielone, oznakowane pojemniki do przetrzymywania bielizny brudnej w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łożone wsadami z worków 1 x użytku i  usytuowane w pomieszczeniach porządkowych. Czysta bielizna przetrzymywana w wydzielonych szafkach. W większości stosowana jest bielizna jednor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zowego użytku typu: prześcieradła, podkłady, serwety, parawany oraz fartuchy.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Bielizna zwłaszcza odzież ochronna prana jest w pral</w:t>
      </w:r>
      <w:r w:rsidR="001A1506">
        <w:rPr>
          <w:rFonts w:ascii="Times New Roman" w:eastAsia="Times New Roman" w:hAnsi="Times New Roman" w:cs="Times New Roman"/>
          <w:kern w:val="0"/>
          <w:lang w:eastAsia="pl-PL" w:bidi="ar-SA"/>
        </w:rPr>
        <w:t>niach szpitalnych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. Natomiast fartuchy z części gabinetów indywidualnych praktyk lekarskich prane są we własnym zakresie, w wydzielonych pralkach, znajdujących się w pomieszczeniach placówki.</w:t>
      </w:r>
    </w:p>
    <w:p w:rsidR="00072091" w:rsidRPr="00072091" w:rsidRDefault="00072091" w:rsidP="0007209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b/>
          <w:kern w:val="0"/>
          <w:lang w:eastAsia="pl-PL" w:bidi="ar-SA"/>
        </w:rPr>
        <w:t>Dokumentacja w obszarze realizacji działań zapobiegających szerzeniu się   zakażeń i chorób zakaźnych.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Wszystkie skontrolowane podmioty lecznicze  prowadzą kontrole wewnętrzne oraz dokumentację w obszarze realizacji działań zapobiegających szerzeniu się zakażeń i chorób zakaźnych. W wyniku dokonanej analizy protokołów i raportów  z kontroli wewnętrznej nie stwierdzono nieprawidłow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ści.</w:t>
      </w:r>
      <w:r w:rsidRPr="00072091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    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Inspekcja Sanitarna prowadzi nadzór sanitarny Szpitala Specjalistycznego Podkarpackiego Ośrodka Onkologicznego zakresie działalności przeciwepidemicznej w sytuacjach zagrożenia bezpiecze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ń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stwa sanitarnego tj. w przypadku wystąpienia choroby zakaźnej czy zakażenia, wystąpienia zbior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072091">
        <w:rPr>
          <w:rFonts w:ascii="Times New Roman" w:eastAsia="Times New Roman" w:hAnsi="Times New Roman" w:cs="Times New Roman"/>
          <w:kern w:val="0"/>
          <w:lang w:eastAsia="pl-PL" w:bidi="ar-SA"/>
        </w:rPr>
        <w:t>wych zatruć/zakażeń pokarmowych, wystąpienia ognisk epidemicznych  oraz w zakresie nadzoru nad realizacją szczepień ochronnych.</w:t>
      </w:r>
    </w:p>
    <w:p w:rsidR="00072091" w:rsidRPr="00072091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862B8" w:rsidRPr="00D96B7A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D96B7A">
        <w:rPr>
          <w:b/>
          <w:bCs/>
          <w:sz w:val="28"/>
          <w:szCs w:val="28"/>
        </w:rPr>
        <w:t xml:space="preserve">Stan sanitarny obiektów żywności, żywienia i materiałów do kontaktu </w:t>
      </w:r>
      <w:r w:rsidR="00E343C7">
        <w:rPr>
          <w:b/>
          <w:bCs/>
          <w:sz w:val="28"/>
          <w:szCs w:val="28"/>
        </w:rPr>
        <w:t xml:space="preserve">                       </w:t>
      </w:r>
      <w:r w:rsidRPr="00D96B7A">
        <w:rPr>
          <w:b/>
          <w:bCs/>
          <w:sz w:val="28"/>
          <w:szCs w:val="28"/>
        </w:rPr>
        <w:t>z żywnością</w:t>
      </w:r>
      <w:r w:rsidR="00DA1FD5" w:rsidRPr="00D96B7A">
        <w:rPr>
          <w:b/>
          <w:bCs/>
          <w:sz w:val="28"/>
          <w:szCs w:val="28"/>
        </w:rPr>
        <w:t>.</w:t>
      </w:r>
    </w:p>
    <w:p w:rsidR="003B7BFD" w:rsidRPr="00035F7B" w:rsidRDefault="00E343C7" w:rsidP="00035F7B">
      <w:pPr>
        <w:jc w:val="both"/>
        <w:rPr>
          <w:rFonts w:hint="eastAsia"/>
        </w:rPr>
      </w:pPr>
      <w:r w:rsidRPr="00035F7B">
        <w:t>1.</w:t>
      </w:r>
      <w:r w:rsidR="003B7BFD" w:rsidRPr="00035F7B">
        <w:t>Zakres nadzoru sanitarnego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 Stan sanitarny nadzorowanych obiektów oceniany był przez organy Państwowej Inspekcji Sanitarnej zgodnie z jednolitymi procedurami urzędowej kontroli żywności oraz materiałów   </w:t>
      </w:r>
      <w:r w:rsidR="00035F7B">
        <w:t xml:space="preserve">                  </w:t>
      </w:r>
      <w:r w:rsidRPr="00035F7B">
        <w:t xml:space="preserve">  i wyrobów przeznaczonych do kontaktu z żywnością uwzględniającymi przepisy w zakresie wymagań higieniczno-sanitarnych.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2.Ogólna ocena obiektów żywności i żywienia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Stan sanitarny i techniczny obiektów żywności i żywienia poprawia się m.in. dzięki systematycznym i konsekwentnym kontrolom prowadzonym przez organy Państwowej Inspekcji Sanitarnej</w:t>
      </w:r>
      <w:r w:rsidR="003C3223" w:rsidRPr="00035F7B">
        <w:t xml:space="preserve"> </w:t>
      </w:r>
      <w:r w:rsidRPr="00035F7B">
        <w:t xml:space="preserve">( 460 kontroli )  oraz coraz większej świadomości przedsiębiorców   w zakresie obowiązujących wymagań  systemu HACCP.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3.Stan sanitarny środków transportu żywności i ruchomych punktów sprzedaży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Podczas kontroli środków transportu żywności i ruchomych punktów sprzedaży nie stwierdzono </w:t>
      </w:r>
      <w:r w:rsidR="00035F7B">
        <w:t xml:space="preserve">                 </w:t>
      </w:r>
      <w:r w:rsidRPr="00035F7B">
        <w:t xml:space="preserve">w tym zakresie nieprawidłowości.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4. Jakość zdrowotna środków spożywczych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W ramach urzędowej kontroli i monitoringu w celu przeprowadzenia badań / metali, zanieczyszczeń mikrobiologicznych, substancji dodatkowych, skażeń promieniotwórczych, ocen organoleptycznych oraz znakowania, pobrano próbki  żywności/ mięsa i przetworów mięsnych,</w:t>
      </w:r>
      <w:r w:rsidRPr="003B7BFD">
        <w:rPr>
          <w:lang w:eastAsia="en-US" w:bidi="ar-SA"/>
        </w:rPr>
        <w:t xml:space="preserve"> mleka i przetworów mlecznych, wyrobów cukierniczych, owoców, warzyw i ich przetworów, ziół , przypraw/.  Zakwestionowano 5 próbek koncentratu pomidorowego ze względu na obecność pleśni. Sporządzono powiadomienie alarmowe RASFF w związku    z którym,  produkt  niewłaściwej jakości </w:t>
      </w:r>
      <w:r w:rsidRPr="00035F7B">
        <w:t xml:space="preserve">został wycofany z obrotu.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lastRenderedPageBreak/>
        <w:t>4.1. Znakowanie środków spożywczych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Próbki pobierane do badań laboratoryjnych oceniane są m.in. w kierunku zgodności znakowania z obowiązującymi przepisami.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W 2017r. pobrane próbki nie były w tym zakresie  zakwestionowane.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4.2. Badanie żywności w kierunku obecności organizmów genetycznie zmodyfikowanych (GMO)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W 2017r.  nie pobierano  próbek żywności w kierunku obecności organizmów genetycznie zmodyfikowanych.</w:t>
      </w:r>
      <w:r w:rsidR="003C3223" w:rsidRPr="00035F7B">
        <w:t xml:space="preserve"> </w:t>
      </w:r>
      <w:r w:rsidRPr="00035F7B">
        <w:t xml:space="preserve">Zagadnienie to ujęte zostało w ramach  nadzoru nad zakładami produkcyjnymi. Nie stwierdzono w tym temacie nieprawidłowości.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4.3 System Wczesnego Ostrzegania o Niebezpiecznej Żywności i Paszach – RASFF</w:t>
      </w:r>
    </w:p>
    <w:p w:rsidR="003B7BFD" w:rsidRPr="003B7BFD" w:rsidRDefault="003B7BFD" w:rsidP="00035F7B">
      <w:pPr>
        <w:jc w:val="both"/>
        <w:rPr>
          <w:rFonts w:hint="eastAsia"/>
          <w:lang w:eastAsia="en-US" w:bidi="ar-SA"/>
        </w:rPr>
      </w:pPr>
      <w:r w:rsidRPr="00035F7B">
        <w:t>RASFF jest systemem służącym do wymiany informacji, pomiędzy organami urzędowej kontroli,</w:t>
      </w:r>
      <w:r w:rsidRPr="003B7BFD">
        <w:rPr>
          <w:lang w:eastAsia="en-US" w:bidi="ar-SA"/>
        </w:rPr>
        <w:t xml:space="preserve"> </w:t>
      </w:r>
      <w:r w:rsidR="00E343C7">
        <w:rPr>
          <w:lang w:eastAsia="en-US" w:bidi="ar-SA"/>
        </w:rPr>
        <w:t xml:space="preserve">       </w:t>
      </w:r>
      <w:r w:rsidRPr="003B7BFD">
        <w:rPr>
          <w:lang w:eastAsia="en-US" w:bidi="ar-SA"/>
        </w:rPr>
        <w:t>o żywności, paszy i materiałach do kontaktu z żywnością, potencjalnie niebezpiecznych dla zdrowia ludzi, zwierząt lub środowiska i działaniach następczych prowadzonych w wyniku zidentyfikowania takich produktów.</w:t>
      </w:r>
    </w:p>
    <w:p w:rsidR="003B7BFD" w:rsidRPr="00035F7B" w:rsidRDefault="003B7BFD" w:rsidP="00035F7B">
      <w:pPr>
        <w:rPr>
          <w:rFonts w:hint="eastAsia"/>
        </w:rPr>
      </w:pPr>
      <w:r w:rsidRPr="00035F7B">
        <w:t xml:space="preserve"> W 2017r. w systemie RASFF poinformowano o następujących produktach niewłaściwej jakości : </w:t>
      </w:r>
    </w:p>
    <w:p w:rsidR="003B7BFD" w:rsidRPr="00035F7B" w:rsidRDefault="00035F7B" w:rsidP="00035F7B">
      <w:pPr>
        <w:rPr>
          <w:rFonts w:hint="eastAsia"/>
        </w:rPr>
      </w:pPr>
      <w:r>
        <w:t>-</w:t>
      </w:r>
      <w:r w:rsidR="003B7BFD" w:rsidRPr="00035F7B">
        <w:t>Suplement diety  „</w:t>
      </w:r>
      <w:proofErr w:type="spellStart"/>
      <w:r w:rsidR="003B7BFD" w:rsidRPr="00035F7B">
        <w:t>Blackbombs</w:t>
      </w:r>
      <w:proofErr w:type="spellEnd"/>
      <w:r w:rsidR="003B7BFD" w:rsidRPr="00035F7B">
        <w:t xml:space="preserve">” data minimalnej trwałości 05.07.2019r. nr partii T 1998-050716 -  stwierdzenie obecności N- </w:t>
      </w:r>
      <w:proofErr w:type="spellStart"/>
      <w:r w:rsidR="003B7BFD" w:rsidRPr="00035F7B">
        <w:t>izopropylonosynefryny</w:t>
      </w:r>
      <w:proofErr w:type="spellEnd"/>
    </w:p>
    <w:p w:rsidR="003B7BFD" w:rsidRPr="00035F7B" w:rsidRDefault="00035F7B" w:rsidP="00035F7B">
      <w:pPr>
        <w:rPr>
          <w:rFonts w:hint="eastAsia"/>
        </w:rPr>
      </w:pPr>
      <w:r>
        <w:t>-</w:t>
      </w:r>
      <w:r w:rsidR="003B7BFD" w:rsidRPr="00035F7B">
        <w:t xml:space="preserve">„Rodzynki </w:t>
      </w:r>
      <w:proofErr w:type="spellStart"/>
      <w:r w:rsidR="003B7BFD" w:rsidRPr="00035F7B">
        <w:t>Kresto</w:t>
      </w:r>
      <w:proofErr w:type="spellEnd"/>
      <w:r w:rsidR="003B7BFD" w:rsidRPr="00035F7B">
        <w:t xml:space="preserve">” - przekroczenie najwyższego dopuszczalnego poziomu </w:t>
      </w:r>
      <w:proofErr w:type="spellStart"/>
      <w:r w:rsidR="003B7BFD" w:rsidRPr="00035F7B">
        <w:t>ochrotoksyny</w:t>
      </w:r>
      <w:proofErr w:type="spellEnd"/>
      <w:r w:rsidR="003B7BFD" w:rsidRPr="00035F7B">
        <w:t xml:space="preserve"> A</w:t>
      </w:r>
    </w:p>
    <w:p w:rsidR="003B7BFD" w:rsidRPr="00035F7B" w:rsidRDefault="003B7BFD" w:rsidP="00035F7B">
      <w:pPr>
        <w:rPr>
          <w:rFonts w:hint="eastAsia"/>
        </w:rPr>
      </w:pPr>
      <w:r w:rsidRPr="00035F7B">
        <w:t>woda źródlana niegazowana Żywiec Zdrój, 1,5 l oznakowana datą minimalnej trwałości</w:t>
      </w:r>
      <w:r w:rsidRPr="003B7BFD">
        <w:rPr>
          <w:lang w:eastAsia="en-US" w:bidi="ar-SA"/>
        </w:rPr>
        <w:t xml:space="preserve"> 01.07.2018r. , nr partii S:02.07./19:31/4/1 zakwestionowana ze względu na obecność </w:t>
      </w:r>
      <w:r w:rsidRPr="00035F7B">
        <w:t xml:space="preserve">bakterii  - </w:t>
      </w:r>
      <w:proofErr w:type="spellStart"/>
      <w:r w:rsidRPr="00035F7B">
        <w:t>Pseudomonas</w:t>
      </w:r>
      <w:proofErr w:type="spellEnd"/>
      <w:r w:rsidRPr="00035F7B">
        <w:t xml:space="preserve"> </w:t>
      </w:r>
      <w:proofErr w:type="spellStart"/>
      <w:r w:rsidRPr="00035F7B">
        <w:t>aeruginosa</w:t>
      </w:r>
      <w:proofErr w:type="spellEnd"/>
      <w:r w:rsidRPr="00035F7B">
        <w:t>.</w:t>
      </w:r>
    </w:p>
    <w:p w:rsidR="003B7BFD" w:rsidRPr="00035F7B" w:rsidRDefault="00035F7B" w:rsidP="00035F7B">
      <w:pPr>
        <w:jc w:val="both"/>
        <w:rPr>
          <w:rFonts w:hint="eastAsia"/>
        </w:rPr>
      </w:pPr>
      <w:r>
        <w:t>-</w:t>
      </w:r>
      <w:r w:rsidR="003B7BFD" w:rsidRPr="00035F7B">
        <w:t xml:space="preserve">Rodzynki sułtańskie ”, 100 g, nr partii: M11 1 02/141A, data minimalnej trwałości: 06.2018 przekroczenie najwyższego dopuszczalnego  poziomu  </w:t>
      </w:r>
      <w:proofErr w:type="spellStart"/>
      <w:r w:rsidR="003B7BFD" w:rsidRPr="00035F7B">
        <w:t>ochratoksyny</w:t>
      </w:r>
      <w:proofErr w:type="spellEnd"/>
      <w:r w:rsidR="003B7BFD" w:rsidRPr="00035F7B">
        <w:t xml:space="preserve"> A </w:t>
      </w:r>
    </w:p>
    <w:p w:rsidR="003B7BFD" w:rsidRPr="00035F7B" w:rsidRDefault="00035F7B" w:rsidP="00035F7B">
      <w:pPr>
        <w:jc w:val="both"/>
        <w:rPr>
          <w:rFonts w:hint="eastAsia"/>
        </w:rPr>
      </w:pPr>
      <w:r>
        <w:t>-</w:t>
      </w:r>
      <w:r w:rsidR="003B7BFD" w:rsidRPr="00035F7B">
        <w:t xml:space="preserve">smoczki kauczukowe -  </w:t>
      </w:r>
      <w:proofErr w:type="spellStart"/>
      <w:r w:rsidR="003B7BFD" w:rsidRPr="00035F7B">
        <w:t>Canpol</w:t>
      </w:r>
      <w:proofErr w:type="spellEnd"/>
      <w:r w:rsidR="003B7BFD" w:rsidRPr="00035F7B">
        <w:t xml:space="preserve"> </w:t>
      </w:r>
      <w:proofErr w:type="spellStart"/>
      <w:r w:rsidR="003B7BFD" w:rsidRPr="00035F7B">
        <w:t>Babies</w:t>
      </w:r>
      <w:proofErr w:type="spellEnd"/>
      <w:r w:rsidR="003B7BFD" w:rsidRPr="00035F7B">
        <w:t xml:space="preserve">, numer katalogowy 23/103, numer serii CODE 0170614 - migracja N- </w:t>
      </w:r>
      <w:proofErr w:type="spellStart"/>
      <w:r w:rsidR="003B7BFD" w:rsidRPr="00035F7B">
        <w:t>nitrozoamin</w:t>
      </w:r>
      <w:proofErr w:type="spellEnd"/>
      <w:r w:rsidR="003B7BFD" w:rsidRPr="00035F7B">
        <w:t xml:space="preserve"> oraz substancji zdolnych do tworzenia </w:t>
      </w:r>
      <w:proofErr w:type="spellStart"/>
      <w:r w:rsidR="003B7BFD" w:rsidRPr="00035F7B">
        <w:t>nitrozoamin</w:t>
      </w:r>
      <w:proofErr w:type="spellEnd"/>
      <w:r w:rsidR="003B7BFD" w:rsidRPr="00035F7B">
        <w:t xml:space="preserve">. </w:t>
      </w:r>
    </w:p>
    <w:p w:rsidR="003B7BFD" w:rsidRPr="00035F7B" w:rsidRDefault="00035F7B" w:rsidP="00035F7B">
      <w:pPr>
        <w:jc w:val="both"/>
        <w:rPr>
          <w:rFonts w:hint="eastAsia"/>
        </w:rPr>
      </w:pPr>
      <w:r>
        <w:t>-</w:t>
      </w:r>
      <w:r w:rsidR="003B7BFD" w:rsidRPr="00035F7B">
        <w:t xml:space="preserve">suplement diety „ Skrzyp + VIT z bambusem” – do produkcji tego suplementu  użyto ekstraktów  z liści pokrzyw i ziela skrzypu polnego wytworzonych z surowców poddanych promieniowaniu jonizującemu w zakładzie nie wymienionym  w decyzji Komisji 2002/840/WE z dnia 23 października 2002 r. przyjmującej wykaz zatwierdzonych jednostek w państwach trzecich w odniesieniu do napromieniania żywności ( Dz.U.L.287 z 25.10.2002, str. 40 z zm.).  </w:t>
      </w:r>
      <w:r w:rsidR="009B28EF" w:rsidRPr="00035F7B">
        <w:t xml:space="preserve">                                                                                                    </w:t>
      </w:r>
      <w:r w:rsidR="003B7BFD" w:rsidRPr="00035F7B">
        <w:t>Na ternie powiatu brzozowskiego w systemie RASFF wycofano z obrotu (  z powyższych produktów):  Suplement diety  „</w:t>
      </w:r>
      <w:proofErr w:type="spellStart"/>
      <w:r w:rsidR="003B7BFD" w:rsidRPr="00035F7B">
        <w:t>Blackbombs</w:t>
      </w:r>
      <w:proofErr w:type="spellEnd"/>
      <w:r w:rsidR="003B7BFD" w:rsidRPr="00035F7B">
        <w:t xml:space="preserve">” oraz suplementu diety    „ Skrzyp + VIT      </w:t>
      </w:r>
      <w:r w:rsidR="009B28EF" w:rsidRPr="00035F7B">
        <w:t xml:space="preserve">                      </w:t>
      </w:r>
      <w:r w:rsidR="003B7BFD" w:rsidRPr="00035F7B">
        <w:t xml:space="preserve">z bambusem”. </w:t>
      </w:r>
    </w:p>
    <w:p w:rsidR="00276863" w:rsidRPr="00035F7B" w:rsidRDefault="003B7BFD" w:rsidP="00035F7B">
      <w:pPr>
        <w:jc w:val="both"/>
        <w:rPr>
          <w:rFonts w:hint="eastAsia"/>
        </w:rPr>
      </w:pPr>
      <w:r w:rsidRPr="00035F7B">
        <w:t>5. Jakość zdrowotna materiałów i wyrobów przeznaczonych do kontaktu z żywnością oraz kosmetyków.</w:t>
      </w:r>
    </w:p>
    <w:p w:rsidR="003B7BFD" w:rsidRPr="00035F7B" w:rsidRDefault="00276863" w:rsidP="00035F7B">
      <w:pPr>
        <w:jc w:val="both"/>
        <w:rPr>
          <w:rFonts w:hint="eastAsia"/>
        </w:rPr>
      </w:pPr>
      <w:r w:rsidRPr="00035F7B">
        <w:t>W 2017r. pob</w:t>
      </w:r>
      <w:r w:rsidR="003B7BFD" w:rsidRPr="00035F7B">
        <w:t>rano do badań  laboratoryjnych 3 próbki z grupy  materiałów i wyrobów przeznaczonych do kontaktu z żywnością</w:t>
      </w:r>
      <w:r w:rsidR="001757EA">
        <w:t xml:space="preserve"> </w:t>
      </w:r>
      <w:r w:rsidR="003B7BFD" w:rsidRPr="00035F7B">
        <w:t xml:space="preserve">(szklanki) . Próbki nie były kwestionowane. </w:t>
      </w:r>
      <w:r w:rsidR="007E34D7" w:rsidRPr="00035F7B">
        <w:t xml:space="preserve">Próbek kosmetyków </w:t>
      </w:r>
      <w:r w:rsidR="003B7BFD" w:rsidRPr="00035F7B">
        <w:t xml:space="preserve">nie pobierano.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6. Ocena sposobu żywienia.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Warunki produkcji i obrotu żywnością regulują obowiązujące przepisy prawa żywnościowego. </w:t>
      </w:r>
      <w:r w:rsidR="007E34D7" w:rsidRPr="00035F7B">
        <w:t xml:space="preserve">            </w:t>
      </w:r>
      <w:r w:rsidRPr="00035F7B">
        <w:t xml:space="preserve">Organy Państwowej Inspekcji Sanitarnej nadzorują warunki higieniczno-sanitarne w  zakładach żywienia zbiorowego zamkniętego. W 2017r. nie stwierdzono w tym względzie nieprawidłowości.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7. Jakość zdrowotna suplementów diety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 xml:space="preserve">Pobrane do badania w celu  dokonania  analiz laboratoryjnych i oceny znakowania suplementy diety nie były kwestionowane. Prowadzono także kontrole obejmujące zagadnienia dotyczące poprawności prezentacji  i reklamy oferowanych do sprzedaży produktów spożywczych (suplementy diety, środki spożywcze specjalnego przeznaczenia żywieniowego) – nie stwierdzono nieprawidłowości. 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8. Podsumowanie</w:t>
      </w:r>
    </w:p>
    <w:p w:rsidR="003B7BFD" w:rsidRPr="003B7BFD" w:rsidRDefault="00035F7B" w:rsidP="00035F7B">
      <w:pPr>
        <w:jc w:val="both"/>
        <w:rPr>
          <w:rFonts w:hint="eastAsia"/>
          <w:lang w:eastAsia="en-US" w:bidi="ar-SA"/>
        </w:rPr>
      </w:pPr>
      <w:r>
        <w:t xml:space="preserve">       </w:t>
      </w:r>
      <w:r w:rsidR="003B7BFD" w:rsidRPr="00035F7B">
        <w:t>Stan sanitarny zakładów żywności i żywienia ulega poprawie. Nadal jednak należy dążyć do wzrostu świadomości przedsiębiorców w zakresie zapewnienia bezpieczeństwa produkowanej lub wprowadzanej</w:t>
      </w:r>
      <w:r>
        <w:t xml:space="preserve"> </w:t>
      </w:r>
      <w:r w:rsidR="003B7BFD" w:rsidRPr="00035F7B">
        <w:t>do obrotu żywności. W celu zapewnienia właściwego poziomu bezpieczeństwa zdrowotnego żywności w dalszym ciągu</w:t>
      </w:r>
      <w:r w:rsidR="003B7BFD" w:rsidRPr="003B7BFD">
        <w:rPr>
          <w:lang w:eastAsia="en-US" w:bidi="ar-SA"/>
        </w:rPr>
        <w:t xml:space="preserve"> będzie kontynuowany nadzór sanitarny szczególnie w </w:t>
      </w:r>
      <w:r w:rsidR="003B7BFD" w:rsidRPr="003B7BFD">
        <w:rPr>
          <w:lang w:eastAsia="en-US" w:bidi="ar-SA"/>
        </w:rPr>
        <w:lastRenderedPageBreak/>
        <w:t>zakresie:</w:t>
      </w:r>
    </w:p>
    <w:p w:rsidR="00CE1DD1" w:rsidRPr="00035F7B" w:rsidRDefault="003B7BFD" w:rsidP="00035F7B">
      <w:pPr>
        <w:jc w:val="both"/>
        <w:rPr>
          <w:rFonts w:hint="eastAsia"/>
        </w:rPr>
      </w:pPr>
      <w:r w:rsidRPr="00035F7B">
        <w:t>- zachowania łańcucha chłodniczego na całej drodze od surowca do gotowego produktu    wydawanego konsumentom, co ma szczególne znaczenie w przypadku środków  spożywczych łatwo psujących się,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- zachowania higieny osobistej i higieny miejsca pracy,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- identyfikowalności surowców i produktów,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- stosowania prawidłowych procesów mycia i dezynfekcji,</w:t>
      </w:r>
    </w:p>
    <w:p w:rsidR="003B7BFD" w:rsidRPr="00035F7B" w:rsidRDefault="003B7BFD" w:rsidP="00035F7B">
      <w:pPr>
        <w:jc w:val="both"/>
        <w:rPr>
          <w:rFonts w:hint="eastAsia"/>
        </w:rPr>
      </w:pPr>
      <w:r w:rsidRPr="00035F7B">
        <w:t>- wdrażania i skutecznego stosowania systemów kontroli wewnętrznej w obiektach żywności</w:t>
      </w:r>
      <w:r w:rsidR="00CE1DD1" w:rsidRPr="00035F7B">
        <w:t xml:space="preserve"> </w:t>
      </w:r>
      <w:r w:rsidRPr="00035F7B">
        <w:t xml:space="preserve"> </w:t>
      </w:r>
      <w:r w:rsidR="00035F7B">
        <w:t xml:space="preserve">                  </w:t>
      </w:r>
      <w:r w:rsidRPr="00035F7B">
        <w:t xml:space="preserve"> i  żywienia – zasad dobrej praktyki higienicznej (GHP), dobrej praktyki produkcyjnej (GMP)   oraz systemu HACCP (wraz z niezbędną dokumentacją),</w:t>
      </w:r>
    </w:p>
    <w:p w:rsidR="003B7BFD" w:rsidRDefault="003B7BFD" w:rsidP="00035F7B">
      <w:pPr>
        <w:jc w:val="both"/>
        <w:rPr>
          <w:rFonts w:hint="eastAsia"/>
        </w:rPr>
      </w:pPr>
      <w:r w:rsidRPr="00035F7B">
        <w:t>-  zasad stosowania  substancji dodatkowych.</w:t>
      </w:r>
    </w:p>
    <w:p w:rsidR="00035F7B" w:rsidRPr="00035F7B" w:rsidRDefault="00035F7B" w:rsidP="00035F7B">
      <w:pPr>
        <w:jc w:val="both"/>
        <w:rPr>
          <w:rFonts w:hint="eastAsia"/>
        </w:rPr>
      </w:pPr>
    </w:p>
    <w:p w:rsidR="003B7BFD" w:rsidRPr="00D96B7A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  <w:u w:val="single"/>
        </w:rPr>
      </w:pPr>
      <w:r w:rsidRPr="00D96B7A">
        <w:rPr>
          <w:b/>
          <w:bCs/>
          <w:sz w:val="28"/>
          <w:szCs w:val="28"/>
        </w:rPr>
        <w:t>Zapobiegawcz</w:t>
      </w:r>
      <w:r w:rsidR="00DA1FD5" w:rsidRPr="00D96B7A">
        <w:rPr>
          <w:b/>
          <w:bCs/>
          <w:sz w:val="28"/>
          <w:szCs w:val="28"/>
        </w:rPr>
        <w:t>y</w:t>
      </w:r>
      <w:r w:rsidRPr="00D96B7A">
        <w:rPr>
          <w:b/>
          <w:bCs/>
          <w:sz w:val="28"/>
          <w:szCs w:val="28"/>
        </w:rPr>
        <w:t xml:space="preserve"> Nadz</w:t>
      </w:r>
      <w:r w:rsidR="00DA1FD5" w:rsidRPr="00D96B7A">
        <w:rPr>
          <w:b/>
          <w:bCs/>
          <w:sz w:val="28"/>
          <w:szCs w:val="28"/>
        </w:rPr>
        <w:t>ór</w:t>
      </w:r>
      <w:r w:rsidRPr="00D96B7A">
        <w:rPr>
          <w:b/>
          <w:bCs/>
          <w:sz w:val="28"/>
          <w:szCs w:val="28"/>
        </w:rPr>
        <w:t xml:space="preserve"> Sanitarn</w:t>
      </w:r>
      <w:r w:rsidR="00DA1FD5" w:rsidRPr="00D96B7A">
        <w:rPr>
          <w:b/>
          <w:bCs/>
          <w:sz w:val="28"/>
          <w:szCs w:val="28"/>
        </w:rPr>
        <w:t>y</w:t>
      </w:r>
      <w:r w:rsidRPr="00D96B7A">
        <w:rPr>
          <w:b/>
          <w:bCs/>
          <w:sz w:val="28"/>
          <w:szCs w:val="28"/>
        </w:rPr>
        <w:t>.</w:t>
      </w:r>
      <w:r w:rsidR="002D3318" w:rsidRPr="00D96B7A">
        <w:rPr>
          <w:rFonts w:hint="eastAsia"/>
          <w:b/>
          <w:bCs/>
          <w:sz w:val="28"/>
          <w:szCs w:val="28"/>
          <w:u w:val="single"/>
        </w:rPr>
        <w:t xml:space="preserve"> </w:t>
      </w:r>
    </w:p>
    <w:p w:rsidR="00721162" w:rsidRPr="00721162" w:rsidRDefault="009053DD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t xml:space="preserve">       </w:t>
      </w:r>
      <w:r w:rsidR="00721162"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Państwowa Inspekcja Sanitarna w ramach sprawowania zapobiegawczego nadzoru sanitarnego dokonywała analizy projektowanych działań planistycznych, inwestycyjnych i systemowo-organizacyjnych odnoszących się do obszarów gmin, powiatu, rozwiązań techniczno-budowlanych obiektów i infrastruktury pod kątem wpływu ww. przedsięwzięć na zdrowie i życie ludzi. 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 2017 roku wydano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6 opinii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co do potrzeby przeprowadzenia oceny oddziaływania przedsięwzięcia na środowisko. Zapytanie o raport dotyczyło dróg gminnych – remont </w:t>
      </w:r>
      <w:r w:rsidR="004E7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i modernizacja oraz kanalizacji</w:t>
      </w:r>
      <w:r w:rsidR="004E7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sanitarnej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Składane wnioski w sprawie potrzeby przeprowadzenia oceny oddziaływania przedsięwzięcia na środowisko analizowano pod kątem wpływu realizacji inwestycji na stan środowiska, a tym samym warunki zdrowotne życia ludzi.</w:t>
      </w:r>
    </w:p>
    <w:p w:rsid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W procesie inwestycyjnym, na etapie projektowania obiektów budowlanych, w tym uzyskiwania decyzji o pozwoleniu na budowę, organy Państwowej Inspekcji Sanitarnej uzgadniały dokumentację projektową inwestycji.  W omawianym okresie zaopiniowano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dokumentacji projektowych.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    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2017 roku zajęto pozytywne stanowiska w sprawie dopuszczenia do użytkowania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11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obiektów budowlanych  w  trybie   art . 56  Prawo Budowlane.  Sprzeciwu nie wnoszono.                   W większości  przekazane  do użytkowania były obiekty typu usługowo-handlowe.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Przeprowadzono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34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oględzin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obiektów. Oględziny  związane były z ich dopuszczeniem do użytkowania bez nałożonego obowiązku uzyskania zezwolenia na użytkowanie </w:t>
      </w:r>
      <w:proofErr w:type="spellStart"/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t.j</w:t>
      </w:r>
      <w:proofErr w:type="spellEnd"/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oględziny obiektów służby zdrowia przed wydaniem opinii sanitarnych, decyzji zatwierdzających obiekty żywieniowe, oględziny nowych zakładów fryzjerskich, kosmetycznych i odnowy biologicznej i inne. 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Na wniosek stron, wydano  3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wstępne opinie  dotyczące m innymi:  gabinetu terapii bólu, dysfunkcji i masażu, gabinetu dietetyki i gabinetu masażu. 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Wydano 1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opinię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dla pomieszczeń Świetlicy Środowiskowej</w:t>
      </w:r>
      <w:r w:rsidR="004E7E8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2 opinie dla pomieszczeń apteki,  jedną dla punktu aptecznego , jedną dla sklepu medycznego.</w:t>
      </w:r>
    </w:p>
    <w:p w:rsidR="00721162" w:rsidRPr="00721162" w:rsidRDefault="00721162" w:rsidP="00721162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Zapobiegawczy nadzór sanitarny sprawowany przez Państwową Inspekcję Sanitarną  realizuje ustawowe obowiązki i zadania w zakresie ochrony zdrowia publicznego. </w:t>
      </w:r>
    </w:p>
    <w:p w:rsidR="00BE4DA7" w:rsidRDefault="00721162" w:rsidP="00BE4DA7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Stanowiska Państwowej Inspekcji Sanitarnej w zakresie zapobiegawczego nadzoru sanitarnego zajmowane były wyłącznie na wniosek z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ainteresowanych podmiotów lub </w:t>
      </w:r>
      <w:r w:rsidRPr="00721162">
        <w:rPr>
          <w:rFonts w:ascii="Times New Roman" w:eastAsia="Times New Roman" w:hAnsi="Times New Roman" w:cs="Times New Roman"/>
          <w:kern w:val="0"/>
          <w:lang w:eastAsia="pl-PL" w:bidi="ar-SA"/>
        </w:rPr>
        <w:t>w związku z wystąpieniami organów prowadzących postępowanie główne i dotyczyły planowanych inwestycji lub zagospodarowania terenu. Działalność Państwowej Inspekcji Sanitarnej w ramach zapobiegawczego nadzoru sanitarnego jest ściśle związana z liczbą przedsięwzięć planowanych do realizacji w powiecie.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BE4DA7" w:rsidRPr="00BE4DA7">
        <w:rPr>
          <w:rFonts w:ascii="Times New Roman" w:eastAsia="Times New Roman" w:hAnsi="Times New Roman" w:cs="Times New Roman"/>
          <w:kern w:val="0"/>
          <w:lang w:eastAsia="pl-PL" w:bidi="ar-SA"/>
        </w:rPr>
        <w:t>W roku 201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>7</w:t>
      </w:r>
      <w:r w:rsidR="00BE4DA7" w:rsidRPr="00BE4D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liczba zajętych stanowisk, łącznie z oględzinami oraz uczestnictwem w dopuszczeniu do użytkowania obiektów budowlanych, wydanymi decyzjami  wyniosła 1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>26</w:t>
      </w:r>
      <w:r w:rsidR="00BE4DA7" w:rsidRPr="00BE4D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(w roku 201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>6</w:t>
      </w:r>
      <w:r w:rsidR="00BE4DA7" w:rsidRPr="00BE4DA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- </w:t>
      </w:r>
      <w:r w:rsidR="00BE4DA7">
        <w:rPr>
          <w:rFonts w:ascii="Times New Roman" w:eastAsia="Times New Roman" w:hAnsi="Times New Roman" w:cs="Times New Roman"/>
          <w:kern w:val="0"/>
          <w:lang w:eastAsia="pl-PL" w:bidi="ar-SA"/>
        </w:rPr>
        <w:t>131</w:t>
      </w:r>
      <w:r w:rsidR="00BE4DA7" w:rsidRPr="00BE4DA7">
        <w:rPr>
          <w:rFonts w:ascii="Times New Roman" w:eastAsia="Times New Roman" w:hAnsi="Times New Roman" w:cs="Times New Roman"/>
          <w:kern w:val="0"/>
          <w:lang w:eastAsia="pl-PL" w:bidi="ar-SA"/>
        </w:rPr>
        <w:t>).</w:t>
      </w:r>
    </w:p>
    <w:p w:rsidR="00587B80" w:rsidRPr="00BE4DA7" w:rsidRDefault="00587B80" w:rsidP="00BE4DA7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32D76" w:rsidRPr="00C33473" w:rsidRDefault="00832D76" w:rsidP="00721162">
      <w:pPr>
        <w:jc w:val="both"/>
        <w:rPr>
          <w:rFonts w:hint="eastAsia"/>
          <w:b/>
          <w:bCs/>
          <w:sz w:val="28"/>
          <w:szCs w:val="28"/>
          <w:u w:val="single"/>
        </w:rPr>
      </w:pPr>
    </w:p>
    <w:p w:rsidR="001862B8" w:rsidRPr="00D96B7A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D96B7A">
        <w:rPr>
          <w:b/>
          <w:bCs/>
          <w:sz w:val="28"/>
          <w:szCs w:val="28"/>
        </w:rPr>
        <w:lastRenderedPageBreak/>
        <w:t>Obiekty Użyteczności Publicznej</w:t>
      </w:r>
      <w:r w:rsidR="00DA1FD5" w:rsidRPr="00D96B7A">
        <w:rPr>
          <w:b/>
          <w:bCs/>
          <w:sz w:val="28"/>
          <w:szCs w:val="28"/>
        </w:rPr>
        <w:t>.</w:t>
      </w:r>
    </w:p>
    <w:p w:rsidR="00DB5CE4" w:rsidRPr="00DB5CE4" w:rsidRDefault="00DB5CE4" w:rsidP="00DB5CE4">
      <w:pPr>
        <w:jc w:val="both"/>
        <w:textAlignment w:val="auto"/>
        <w:rPr>
          <w:rFonts w:hint="eastAsia"/>
        </w:rPr>
      </w:pPr>
      <w:r w:rsidRPr="00DB5CE4">
        <w:t xml:space="preserve">         Są to zakłady fryzjerskie, kosmetyczne, odnowy biologicznej. Jeden zakład na koniec roku oceniono jako zły ze względu na nieprawidłowości natury sanitarnej. Hotele, ustępy publiczne, dworzec autobusowy (zlikwidowany z dniem 30.06.2017 r.), pływalnie, jednostki pomocy społecznej, autobusy komunikacji publicznej, tereny rekreacyjne (parki, piaskownice), cmentarze, domy przedpogrzebowe i samochody do przewozu zwłok i </w:t>
      </w:r>
      <w:proofErr w:type="spellStart"/>
      <w:r w:rsidRPr="00DB5CE4">
        <w:t>szczątk</w:t>
      </w:r>
      <w:proofErr w:type="spellEnd"/>
      <w:r w:rsidRPr="00DB5CE4">
        <w:rPr>
          <w:rFonts w:hint="eastAsia"/>
        </w:rPr>
        <w:t>ó</w:t>
      </w:r>
      <w:r w:rsidRPr="00DB5CE4">
        <w:t xml:space="preserve">w ludzkich w dobrym stanie sanitarnym.  W grupie innych obiektów są trasy turystyczne z przystankami, osiedla mieszkaniowe, pralnia w których nie stwierdzono zaniedbań w zakresie stanu sanitarno-technicznego. </w:t>
      </w:r>
      <w:r w:rsidRPr="00DB5CE4">
        <w:br/>
        <w:t xml:space="preserve">Wydano 9 opinii sanitarnych dot. spełnienia wymagań sanitarnych (2 dla hoteli, 2 dot. imprez masowych, 4 dot. regulaminu utrzymania czystości i porządku w gminach, 1 dot. procedury zapewniającej ochronę przed zakażeniami i chorobami zakaźnymi). Prowadzono postępowanie administracyjne w 8 obiektach (nałożono 2 mandaty, upomnienie). Wydano 6 postanowień dot. sprowadzenia zwłok z zagranicy oraz 16 decyzji dot. ekshumacji zwłok lub szczątków. </w:t>
      </w:r>
    </w:p>
    <w:p w:rsidR="00DB5CE4" w:rsidRDefault="00DB5CE4" w:rsidP="00DB5CE4">
      <w:pPr>
        <w:jc w:val="both"/>
        <w:textAlignment w:val="auto"/>
        <w:rPr>
          <w:rFonts w:hint="eastAsia"/>
          <w:b/>
          <w:bCs/>
        </w:rPr>
      </w:pPr>
    </w:p>
    <w:p w:rsidR="00DB5CE4" w:rsidRPr="00DB5CE4" w:rsidRDefault="00DB5CE4" w:rsidP="00DB5CE4">
      <w:pPr>
        <w:jc w:val="both"/>
        <w:textAlignment w:val="auto"/>
        <w:rPr>
          <w:rFonts w:hint="eastAsia"/>
          <w:b/>
          <w:bCs/>
          <w:sz w:val="28"/>
          <w:szCs w:val="28"/>
        </w:rPr>
      </w:pPr>
      <w:r w:rsidRPr="00DB5CE4">
        <w:rPr>
          <w:b/>
          <w:bCs/>
          <w:sz w:val="28"/>
          <w:szCs w:val="28"/>
        </w:rPr>
        <w:t>Jakość wody.</w:t>
      </w:r>
    </w:p>
    <w:p w:rsidR="00DB5CE4" w:rsidRPr="00DB5CE4" w:rsidRDefault="00DB5CE4" w:rsidP="00DB5CE4">
      <w:pPr>
        <w:jc w:val="both"/>
        <w:textAlignment w:val="auto"/>
        <w:rPr>
          <w:rFonts w:hint="eastAsia"/>
        </w:rPr>
      </w:pPr>
      <w:r w:rsidRPr="00DB5CE4">
        <w:t xml:space="preserve">       Wodociągi -Nadzorem jakości wody objętych jest 8 wodociągów (Jasienica, Blizne, Wesoła-Ujazdy, Izdebki, Trześniów, Golcowa, Domaradz-Poręby, Haczów, Brzozów) zaopatrujących </w:t>
      </w:r>
      <w:r w:rsidRPr="00DB5CE4">
        <w:rPr>
          <w:rFonts w:ascii="Times New Roman" w:hAnsi="Times New Roman" w:cs="Times New Roman"/>
        </w:rPr>
        <w:t xml:space="preserve">ogółem 14 247 osób, </w:t>
      </w:r>
      <w:r w:rsidRPr="00DB5CE4">
        <w:t>pozostała część ludności korzysta z ujęć indywidualnych tzw. studni przydomowych. Z dniem 9.01 2017 r. wodociąg Jasienica Rosielna został wyłączony z eksploatacji, a odbiorcy zostali przyłączeni do wodociągu  101-1000 m</w:t>
      </w:r>
      <w:r w:rsidRPr="00DB5CE4">
        <w:rPr>
          <w:rFonts w:hint="eastAsia"/>
        </w:rPr>
        <w:t>³</w:t>
      </w:r>
      <w:r w:rsidRPr="00DB5CE4">
        <w:t>/d Blizne. Na koniec roku sprawozdawczego wodociągi produkowały wodę odpowiadającą wymaganiom rozporządzenia. Wydano 3 decyzje stwierdzające brak przydatności wody do spożycia z uwagi na zanieczyszczenia mikrobiologiczne, 3 decyzje stwierdzające przydatność wody do spożycia, 1 decyzję pozytywną ocenę higieniczną o materiałach i wyrobach stosowanych do uzdatniania wody. Na 3 wodociągach wystąpiły wahania w zakresie fizykochemicznym tj. manganu, sodu, jonu amonowego). Ponowny pobór wykazał poprawę jakości wody.</w:t>
      </w:r>
    </w:p>
    <w:p w:rsidR="00DB5CE4" w:rsidRPr="00DB5CE4" w:rsidRDefault="00DB5CE4" w:rsidP="00DB5CE4">
      <w:pPr>
        <w:jc w:val="both"/>
        <w:textAlignment w:val="auto"/>
        <w:rPr>
          <w:rFonts w:hint="eastAsia"/>
        </w:rPr>
      </w:pPr>
      <w:r w:rsidRPr="00DB5CE4">
        <w:t>Pływalnie - Wydano 3 zbiorcze oceny jakości wody na pływalni odpowiadającą wymaganiom.</w:t>
      </w:r>
    </w:p>
    <w:p w:rsidR="002B63E7" w:rsidRDefault="00502FB6" w:rsidP="006710C3">
      <w:pPr>
        <w:pStyle w:val="Standard"/>
        <w:jc w:val="both"/>
        <w:rPr>
          <w:rFonts w:hint="eastAsia"/>
        </w:rPr>
      </w:pPr>
      <w:r>
        <w:t xml:space="preserve">       </w:t>
      </w:r>
    </w:p>
    <w:p w:rsidR="001862B8" w:rsidRPr="00D96B7A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D96B7A">
        <w:rPr>
          <w:b/>
          <w:bCs/>
          <w:sz w:val="28"/>
          <w:szCs w:val="28"/>
        </w:rPr>
        <w:t>Nadzór nad warunkami sanitarno-epidemiologicznymi higieny środowiska pracy.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Bieżący nadzór sanitarny sprawowany przez pion higieny pracy Państwowej Inspekcji Sanitarnej obejmował kontrolę przestrzegania przepisów m. in. z zakresu: bezpieczeństwa i higieny pracy w zakładach pracy, wykonywania badań i pomiarów czynników szkodliwych dla zdrowia w środowisku pracy, przeprowadzania profilaktycznych badań lekarskich, występowania substancji chemicznych, ich mieszanin, czynników lub procesów technologicznych o działaniu rakotwórczym lub mutagennym w środowisku pracy, występowania szkodliwych czynników biologicznych w środowisku pracy, produktów biobójczych, detergentów oraz prekursorów narkotyków kategorii 2 </w:t>
      </w:r>
      <w:r>
        <w:rPr>
          <w:rFonts w:ascii="Times New Roman" w:eastAsia="Lucida Sans Unicode" w:hAnsi="Times New Roman"/>
          <w:kern w:val="1"/>
        </w:rPr>
        <w:t xml:space="preserve">        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i 3, a także oceny ryzyka zawodowego. 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Plan pracy obejmował również program wieloletni, tj. ocenę przygotowania pracodawców pod kątem przestrzegania przepisów i zasad bhp podczas usuwania bądź zabezpieczania wyrobów zawierających azbest w ramach rządowego „Programu Oczyszczania Kraju z Azbestu na lata 2009–2032” oraz </w:t>
      </w:r>
      <w:r w:rsidR="002B63E7" w:rsidRPr="002B63E7">
        <w:rPr>
          <w:rFonts w:ascii="Times New Roman" w:eastAsia="Lucida Sans Unicode" w:hAnsi="Times New Roman"/>
          <w:color w:val="000000"/>
          <w:kern w:val="1"/>
        </w:rPr>
        <w:t>wypełnianiem przez pracodawców obowiązków, wynikających z oceny ryzyka zawodowego pracowników zatrudnionych w zakładach sektora gospodarki odpadami i ściekami.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Pracownicy pionu nadzoru higieny pracy w roku 2017 przeprowadzili </w:t>
      </w:r>
      <w:r w:rsidR="002B63E7" w:rsidRPr="002B63E7">
        <w:rPr>
          <w:rFonts w:ascii="Times New Roman" w:eastAsia="Lucida Sans Unicode" w:hAnsi="Times New Roman"/>
          <w:color w:val="000000"/>
          <w:kern w:val="1"/>
        </w:rPr>
        <w:t>147</w:t>
      </w:r>
      <w:r w:rsidR="002B63E7" w:rsidRPr="002B63E7">
        <w:rPr>
          <w:rFonts w:ascii="Times New Roman" w:eastAsia="Lucida Sans Unicode" w:hAnsi="Times New Roman"/>
          <w:color w:val="FF3366"/>
          <w:kern w:val="1"/>
        </w:rPr>
        <w:t xml:space="preserve"> </w:t>
      </w:r>
      <w:r w:rsidR="002B63E7" w:rsidRPr="002B63E7">
        <w:rPr>
          <w:rFonts w:ascii="Times New Roman" w:eastAsia="Lucida Sans Unicode" w:hAnsi="Times New Roman"/>
          <w:kern w:val="1"/>
        </w:rPr>
        <w:t xml:space="preserve">kontrole sanitarne, </w:t>
      </w:r>
      <w:r>
        <w:rPr>
          <w:rFonts w:ascii="Times New Roman" w:eastAsia="Lucida Sans Unicode" w:hAnsi="Times New Roman"/>
          <w:kern w:val="1"/>
        </w:rPr>
        <w:t xml:space="preserve">                 </w:t>
      </w:r>
      <w:r w:rsidR="002B63E7" w:rsidRPr="002B63E7">
        <w:rPr>
          <w:rFonts w:ascii="Times New Roman" w:eastAsia="Lucida Sans Unicode" w:hAnsi="Times New Roman"/>
          <w:kern w:val="1"/>
        </w:rPr>
        <w:t>z których 88</w:t>
      </w:r>
      <w:r w:rsidR="002B63E7" w:rsidRPr="002B63E7">
        <w:rPr>
          <w:rFonts w:ascii="Times New Roman" w:eastAsia="Lucida Sans Unicode" w:hAnsi="Times New Roman"/>
          <w:color w:val="000000"/>
          <w:kern w:val="1"/>
        </w:rPr>
        <w:t xml:space="preserve"> </w:t>
      </w:r>
      <w:r w:rsidR="002B63E7" w:rsidRPr="002B63E7">
        <w:rPr>
          <w:rFonts w:ascii="Times New Roman" w:eastAsia="Lucida Sans Unicode" w:hAnsi="Times New Roman"/>
          <w:kern w:val="1"/>
        </w:rPr>
        <w:t xml:space="preserve">były to kontrole wynikające z planu pracy zaś pozostałe to kontrole związane </w:t>
      </w:r>
      <w:r>
        <w:rPr>
          <w:rFonts w:ascii="Times New Roman" w:eastAsia="Lucida Sans Unicode" w:hAnsi="Times New Roman"/>
          <w:kern w:val="1"/>
        </w:rPr>
        <w:t xml:space="preserve">                  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z prowadzonymi postępowaniami administracyjnymi - 39, kontrole tematyczne -16 oraz </w:t>
      </w:r>
      <w:r w:rsidR="00035F7B">
        <w:rPr>
          <w:rFonts w:ascii="Times New Roman" w:eastAsia="Lucida Sans Unicode" w:hAnsi="Times New Roman"/>
          <w:kern w:val="1"/>
        </w:rPr>
        <w:t xml:space="preserve">dotyczące chorób zawodowych – 4 </w:t>
      </w:r>
      <w:r w:rsidR="002B63E7" w:rsidRPr="002B63E7">
        <w:rPr>
          <w:rFonts w:ascii="Times New Roman" w:eastAsia="Lucida Sans Unicode" w:hAnsi="Times New Roman"/>
          <w:kern w:val="1"/>
        </w:rPr>
        <w:t xml:space="preserve">i nadzoru nad środkami zastępczymi-9. </w:t>
      </w:r>
      <w:r w:rsidR="002B63E7" w:rsidRPr="002B63E7">
        <w:rPr>
          <w:rFonts w:ascii="Times New Roman" w:eastAsia="Times New Roman" w:hAnsi="Times New Roman" w:cs="Times New Roman"/>
          <w:kern w:val="1"/>
        </w:rPr>
        <w:t xml:space="preserve">  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>Zakres przeprowadzanych kontroli planowych obejmował m. in. :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• </w:t>
      </w:r>
      <w:r w:rsidRPr="002B63E7">
        <w:rPr>
          <w:rFonts w:ascii="Times New Roman" w:eastAsia="Lucida Sans Unicode" w:hAnsi="Times New Roman"/>
          <w:kern w:val="1"/>
        </w:rPr>
        <w:t xml:space="preserve">nadzór nad substancjami chemicznymi i ich mieszaninami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• </w:t>
      </w:r>
      <w:r w:rsidRPr="002B63E7">
        <w:rPr>
          <w:rFonts w:ascii="Times New Roman" w:eastAsia="Lucida Sans Unicode" w:hAnsi="Times New Roman"/>
          <w:kern w:val="1"/>
        </w:rPr>
        <w:t xml:space="preserve">nadzór nad produktami biobójczymi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>•</w:t>
      </w:r>
      <w:r w:rsidRPr="002B63E7">
        <w:rPr>
          <w:rFonts w:ascii="Times New Roman" w:eastAsia="Lucida Sans Unicode" w:hAnsi="Times New Roman"/>
          <w:kern w:val="1"/>
        </w:rPr>
        <w:t xml:space="preserve">nadzór w zakresie substancji chemicznych, ich mieszanin, czynników lub procesów technologicznych o działaniu rakotwórczym lub mutagennym w środowisku pracy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lastRenderedPageBreak/>
        <w:t xml:space="preserve">• </w:t>
      </w:r>
      <w:r w:rsidRPr="002B63E7">
        <w:rPr>
          <w:rFonts w:ascii="Times New Roman" w:eastAsia="Lucida Sans Unicode" w:hAnsi="Times New Roman"/>
          <w:kern w:val="1"/>
        </w:rPr>
        <w:t xml:space="preserve">nadzór nad czynnikami biologicznymi w środowisku pracy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• </w:t>
      </w:r>
      <w:r w:rsidRPr="002B63E7">
        <w:rPr>
          <w:rFonts w:ascii="Times New Roman" w:eastAsia="Lucida Sans Unicode" w:hAnsi="Times New Roman"/>
          <w:kern w:val="1"/>
        </w:rPr>
        <w:t>nadzór w zakresie środków zastępczych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</w:t>
      </w:r>
      <w:r w:rsidR="002B63E7" w:rsidRPr="002B63E7">
        <w:rPr>
          <w:rFonts w:ascii="Times New Roman" w:eastAsia="Lucida Sans Unicode" w:hAnsi="Times New Roman"/>
          <w:kern w:val="1"/>
        </w:rPr>
        <w:t>Skutkiem stwierdzanych nieprawidłowości było wydawanie decyzji administracyjnych nakazujących usunięcie tych nieprawidłowości.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       </w:t>
      </w:r>
      <w:r w:rsidRPr="002B63E7">
        <w:rPr>
          <w:rFonts w:ascii="Times New Roman" w:eastAsia="Lucida Sans Unicode" w:hAnsi="Times New Roman"/>
          <w:kern w:val="1"/>
        </w:rPr>
        <w:t xml:space="preserve">Łącznie wydano </w:t>
      </w:r>
      <w:r w:rsidRPr="002B63E7">
        <w:rPr>
          <w:rFonts w:ascii="Times New Roman" w:eastAsia="Lucida Sans Unicode" w:hAnsi="Times New Roman"/>
          <w:color w:val="000000"/>
          <w:kern w:val="1"/>
        </w:rPr>
        <w:t>91</w:t>
      </w:r>
      <w:r w:rsidR="002B5968">
        <w:rPr>
          <w:rFonts w:ascii="Times New Roman" w:eastAsia="Lucida Sans Unicode" w:hAnsi="Times New Roman"/>
          <w:color w:val="000000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 xml:space="preserve">decyzji administracyjnych, z których 42 </w:t>
      </w:r>
      <w:r w:rsidRPr="002B63E7">
        <w:rPr>
          <w:rFonts w:ascii="Times New Roman" w:eastAsia="Lucida Sans Unicode" w:hAnsi="Times New Roman"/>
          <w:color w:val="000000"/>
          <w:kern w:val="1"/>
        </w:rPr>
        <w:t>t</w:t>
      </w:r>
      <w:r w:rsidRPr="002B63E7">
        <w:rPr>
          <w:rFonts w:ascii="Times New Roman" w:eastAsia="Lucida Sans Unicode" w:hAnsi="Times New Roman"/>
          <w:kern w:val="1"/>
        </w:rPr>
        <w:t>o decyzje nakazowe zawierające   nakazy  w zakresie m. in.:</w:t>
      </w:r>
      <w:r w:rsidRPr="002B63E7">
        <w:rPr>
          <w:rFonts w:ascii="Times New Roman" w:eastAsia="Times New Roman" w:hAnsi="Times New Roman" w:cs="Times New Roman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>badań i pomiarów czynników szkodliwych, oceny ryzyka zawodowego,</w:t>
      </w:r>
      <w:r w:rsidRPr="002B63E7">
        <w:rPr>
          <w:rFonts w:ascii="Times New Roman" w:eastAsia="Times New Roman" w:hAnsi="Times New Roman" w:cs="Times New Roman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>przekroczonych normatywów stężeń i natężeń czynników szkodliwych dla zdrowia, czynników biologicznych w środowisku pracy, substancji, mieszanin, czynników lub procesów technologicznych o działaniu rakotwórczym lub mutagennym w środowisku pracy, dotyczące uzupełnienia rejestru czynników szkodliwych dla zdrowia, dotyczące wyposażenia stanowisk w ochrony osobiste, dotyczące stanu san</w:t>
      </w:r>
      <w:r w:rsidR="009B61E2">
        <w:rPr>
          <w:rFonts w:ascii="Times New Roman" w:eastAsia="Lucida Sans Unicode" w:hAnsi="Times New Roman"/>
          <w:kern w:val="1"/>
        </w:rPr>
        <w:t>i</w:t>
      </w:r>
      <w:r w:rsidRPr="002B63E7">
        <w:rPr>
          <w:rFonts w:ascii="Times New Roman" w:eastAsia="Lucida Sans Unicode" w:hAnsi="Times New Roman"/>
          <w:kern w:val="1"/>
        </w:rPr>
        <w:t xml:space="preserve">tarno-technicznego pomieszczeń pracy lub </w:t>
      </w:r>
      <w:proofErr w:type="spellStart"/>
      <w:r w:rsidRPr="002B63E7">
        <w:rPr>
          <w:rFonts w:ascii="Times New Roman" w:eastAsia="Lucida Sans Unicode" w:hAnsi="Times New Roman"/>
          <w:kern w:val="1"/>
        </w:rPr>
        <w:t>socjalno</w:t>
      </w:r>
      <w:proofErr w:type="spellEnd"/>
      <w:r w:rsidRPr="002B63E7">
        <w:rPr>
          <w:rFonts w:ascii="Times New Roman" w:eastAsia="Lucida Sans Unicode" w:hAnsi="Times New Roman"/>
          <w:kern w:val="1"/>
        </w:rPr>
        <w:t xml:space="preserve"> – sanitarnych, dotyczące wyposażenia stanowisk w instrukcje BHP, dotyczące szkoleń bhp, </w:t>
      </w:r>
      <w:r w:rsidRPr="002B63E7">
        <w:rPr>
          <w:rFonts w:ascii="Times New Roman" w:eastAsia="Times New Roman" w:hAnsi="Times New Roman" w:cs="Times New Roman"/>
          <w:kern w:val="1"/>
        </w:rPr>
        <w:t xml:space="preserve">  </w:t>
      </w:r>
      <w:r w:rsidRPr="002B63E7">
        <w:rPr>
          <w:rFonts w:ascii="Times New Roman" w:eastAsia="Lucida Sans Unicode" w:hAnsi="Times New Roman"/>
          <w:kern w:val="1"/>
        </w:rPr>
        <w:t xml:space="preserve">dotyczące spisu stosowanych substancji i mieszanin niebezpiecznych, dotyczące kart charakterystyk stosowanych substancji niebezpiecznych. Pozostałe to decyzje </w:t>
      </w:r>
      <w:proofErr w:type="spellStart"/>
      <w:r w:rsidRPr="002B63E7">
        <w:rPr>
          <w:rFonts w:ascii="Times New Roman" w:eastAsia="Lucida Sans Unicode" w:hAnsi="Times New Roman"/>
          <w:kern w:val="1"/>
        </w:rPr>
        <w:t>opłatowe</w:t>
      </w:r>
      <w:proofErr w:type="spellEnd"/>
      <w:r w:rsidRPr="002B63E7">
        <w:rPr>
          <w:rFonts w:ascii="Times New Roman" w:eastAsia="Lucida Sans Unicode" w:hAnsi="Times New Roman"/>
          <w:kern w:val="1"/>
        </w:rPr>
        <w:t xml:space="preserve"> za kontrole negatywne lub decyzje umarzające postępowania administracyjne.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="002B63E7" w:rsidRPr="002B63E7">
        <w:rPr>
          <w:rFonts w:ascii="Times New Roman" w:eastAsia="Lucida Sans Unicode" w:hAnsi="Times New Roman"/>
          <w:color w:val="000000"/>
          <w:kern w:val="1"/>
        </w:rPr>
        <w:t>Wydano również jedną decyzję nakazującą wycofanie z obrotu produktu biobójczego, który nie spełniał wymagań przepisów prawnych w tym zakresie.</w:t>
      </w:r>
    </w:p>
    <w:p w:rsidR="002B63E7" w:rsidRPr="002B63E7" w:rsidRDefault="002B63E7" w:rsidP="002B63E7">
      <w:pPr>
        <w:autoSpaceDN/>
        <w:ind w:firstLine="510"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kern w:val="1"/>
        </w:rPr>
        <w:t>Nakazy wykonywane były przez pracodawców w terminach, w związku z tym nie wydawano postanowień  o nałożeniu grzywny celem przymuszenia do ich wykonania.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        </w:t>
      </w:r>
      <w:r w:rsidRPr="002B63E7">
        <w:rPr>
          <w:rFonts w:ascii="Times New Roman" w:eastAsia="Lucida Sans Unicode" w:hAnsi="Times New Roman"/>
          <w:color w:val="000000"/>
          <w:kern w:val="1"/>
        </w:rPr>
        <w:t>Nałożono jeden mandat karny w wysokości 200 zł za naganny stan sanitarny na terenie zakładu pracy.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Choroby zawodowe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kern w:val="1"/>
        </w:rPr>
        <w:tab/>
        <w:t xml:space="preserve">Organy Państwowej Inspekcji Sanitarnej, realizując zadania dotyczące nadzoru nad zdrowotnymi warunkami środowiska pracy, prowadziły również postępowanie administracyjne </w:t>
      </w:r>
      <w:r w:rsidRPr="002B63E7">
        <w:rPr>
          <w:rFonts w:ascii="Times New Roman" w:eastAsia="Lucida Sans Unicode" w:hAnsi="Times New Roman"/>
          <w:kern w:val="1"/>
        </w:rPr>
        <w:br/>
        <w:t xml:space="preserve">w zakresie występowania chorób zawodowych. </w:t>
      </w:r>
    </w:p>
    <w:p w:rsidR="002B63E7" w:rsidRPr="002B63E7" w:rsidRDefault="002B63E7" w:rsidP="002B63E7">
      <w:pPr>
        <w:autoSpaceDN/>
        <w:ind w:firstLine="735"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>PPIS w Brzozowie prowadzi postępowania wszczęte w latach ubiegłych, wpływające w roku bieżącym jak i postępowania pomocnicze w ramach współpracy z innymi Inspektorami Sanitarnymi oraz Wojewódzkim Ośrodkiem Medycyny Pracy.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color w:val="000000"/>
          <w:kern w:val="1"/>
        </w:rPr>
        <w:tab/>
        <w:t>W wyniku przeprowadzonych postępowań wyjaśniających i administracyjnych  wydano  3</w:t>
      </w:r>
      <w:r w:rsidRPr="002B63E7">
        <w:rPr>
          <w:rFonts w:ascii="Times New Roman" w:eastAsia="Lucida Sans Unicode" w:hAnsi="Times New Roman"/>
          <w:color w:val="FF3333"/>
          <w:kern w:val="1"/>
        </w:rPr>
        <w:t xml:space="preserve"> </w:t>
      </w:r>
      <w:r w:rsidRPr="002B63E7">
        <w:rPr>
          <w:rFonts w:ascii="Times New Roman" w:eastAsia="Lucida Sans Unicode" w:hAnsi="Times New Roman"/>
          <w:kern w:val="1"/>
        </w:rPr>
        <w:t xml:space="preserve">decyzje administracyjne, w tym </w:t>
      </w:r>
      <w:r w:rsidRPr="002B63E7">
        <w:rPr>
          <w:rFonts w:ascii="Times New Roman" w:eastAsia="Lucida Sans Unicode" w:hAnsi="Times New Roman"/>
          <w:color w:val="000000"/>
          <w:kern w:val="1"/>
        </w:rPr>
        <w:t>2</w:t>
      </w:r>
      <w:r w:rsidRPr="002B63E7">
        <w:rPr>
          <w:rFonts w:ascii="Times New Roman" w:eastAsia="Lucida Sans Unicode" w:hAnsi="Times New Roman"/>
          <w:kern w:val="1"/>
        </w:rPr>
        <w:t xml:space="preserve"> o stwierdzeniu choroby zawodowej, </w:t>
      </w:r>
      <w:r w:rsidRPr="002B63E7">
        <w:rPr>
          <w:rFonts w:ascii="Times New Roman" w:eastAsia="Lucida Sans Unicode" w:hAnsi="Times New Roman"/>
          <w:color w:val="000000"/>
          <w:kern w:val="1"/>
        </w:rPr>
        <w:t>1</w:t>
      </w:r>
      <w:r w:rsidRPr="002B63E7">
        <w:rPr>
          <w:rFonts w:ascii="Times New Roman" w:eastAsia="Lucida Sans Unicode" w:hAnsi="Times New Roman"/>
          <w:kern w:val="1"/>
        </w:rPr>
        <w:t xml:space="preserve"> o braku podstaw do stwierdzenia choroby zawodowej, a także 18 postanowień w /s chorób zawodowych.  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Nie zanotowano </w:t>
      </w:r>
      <w:proofErr w:type="spellStart"/>
      <w:r w:rsidR="002B63E7" w:rsidRPr="002B63E7">
        <w:rPr>
          <w:rFonts w:ascii="Times New Roman" w:eastAsia="Lucida Sans Unicode" w:hAnsi="Times New Roman"/>
          <w:kern w:val="1"/>
        </w:rPr>
        <w:t>odwołań</w:t>
      </w:r>
      <w:proofErr w:type="spellEnd"/>
      <w:r w:rsidR="002B63E7" w:rsidRPr="002B63E7">
        <w:rPr>
          <w:rFonts w:ascii="Times New Roman" w:eastAsia="Lucida Sans Unicode" w:hAnsi="Times New Roman"/>
          <w:kern w:val="1"/>
        </w:rPr>
        <w:t xml:space="preserve"> od wydanych decyzji w przedmiocie chorób zawodowych.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ab/>
        <w:t xml:space="preserve">Prowadzone postępowania dotyczą chorób zawodowych takich jak: zespół </w:t>
      </w:r>
      <w:proofErr w:type="spellStart"/>
      <w:r w:rsidRPr="002B63E7">
        <w:rPr>
          <w:rFonts w:ascii="Times New Roman" w:eastAsia="Times New Roman" w:hAnsi="Times New Roman" w:cs="Times New Roman"/>
          <w:kern w:val="1"/>
        </w:rPr>
        <w:t>cieśni</w:t>
      </w:r>
      <w:proofErr w:type="spellEnd"/>
      <w:r w:rsidRPr="002B63E7">
        <w:rPr>
          <w:rFonts w:ascii="Times New Roman" w:eastAsia="Times New Roman" w:hAnsi="Times New Roman" w:cs="Times New Roman"/>
          <w:kern w:val="1"/>
        </w:rPr>
        <w:t xml:space="preserve"> nadgarstka, borelioza, przewlekłe zapalenie </w:t>
      </w:r>
      <w:proofErr w:type="spellStart"/>
      <w:r w:rsidRPr="002B63E7">
        <w:rPr>
          <w:rFonts w:ascii="Times New Roman" w:eastAsia="Times New Roman" w:hAnsi="Times New Roman" w:cs="Times New Roman"/>
          <w:kern w:val="1"/>
        </w:rPr>
        <w:t>nadkłykcia</w:t>
      </w:r>
      <w:proofErr w:type="spellEnd"/>
      <w:r w:rsidRPr="002B63E7">
        <w:rPr>
          <w:rFonts w:ascii="Times New Roman" w:eastAsia="Times New Roman" w:hAnsi="Times New Roman" w:cs="Times New Roman"/>
          <w:kern w:val="1"/>
        </w:rPr>
        <w:t xml:space="preserve"> kości ramiennej, przewlekłe zapalenie okołostawowe barku, zespół wibracyjny, przewlekłe choroby narządu głosu spowodowane nadmiernym wysiłkiem głosowym.  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Środki zastępcze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 </w:t>
      </w:r>
      <w:r w:rsidR="002B63E7" w:rsidRPr="002B63E7">
        <w:rPr>
          <w:rFonts w:ascii="Times New Roman" w:eastAsia="Lucida Sans Unicode" w:hAnsi="Times New Roman"/>
          <w:kern w:val="1"/>
        </w:rPr>
        <w:t>Państwowa Inspekcja Sanitarna realizuje zadania w celu ochrony zdrowia ludzkiego, począwszy od października 2010 r. również w obszarze przeciwdziałania zagrożeniom życia lub zdrowia stwarzanym przez „dopalacze” – środki zastępcze.</w:t>
      </w:r>
    </w:p>
    <w:p w:rsidR="002B63E7" w:rsidRPr="002B63E7" w:rsidRDefault="002B5968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 </w:t>
      </w:r>
      <w:r w:rsidR="002B63E7" w:rsidRPr="002B63E7">
        <w:rPr>
          <w:rFonts w:ascii="Times New Roman" w:eastAsia="Lucida Sans Unicode" w:hAnsi="Times New Roman"/>
          <w:kern w:val="1"/>
        </w:rPr>
        <w:t xml:space="preserve">W omawianym okresie przedstawiciele Państwowego Powiatowego Inspektora Sanitarnego w Brzozowie przeprowadzili </w:t>
      </w:r>
      <w:r w:rsidR="002B63E7" w:rsidRPr="002B63E7">
        <w:rPr>
          <w:rFonts w:ascii="Times New Roman" w:eastAsia="Lucida Sans Unicode" w:hAnsi="Times New Roman"/>
          <w:color w:val="000000"/>
          <w:kern w:val="1"/>
        </w:rPr>
        <w:t>9</w:t>
      </w:r>
      <w:r w:rsidR="002B63E7" w:rsidRPr="002B63E7">
        <w:rPr>
          <w:rFonts w:ascii="Times New Roman" w:eastAsia="Lucida Sans Unicode" w:hAnsi="Times New Roman"/>
          <w:kern w:val="1"/>
        </w:rPr>
        <w:t xml:space="preserve"> kontroli sanitarnych. Były to tzw. kontrole rozpoznawcze </w:t>
      </w:r>
      <w:r w:rsidR="002B63E7" w:rsidRPr="002B63E7">
        <w:rPr>
          <w:rFonts w:ascii="Times New Roman" w:eastAsia="Lucida Sans Unicode" w:hAnsi="Times New Roman"/>
          <w:kern w:val="1"/>
        </w:rPr>
        <w:br/>
        <w:t xml:space="preserve">w wyrywko wybranych punktach handlowych. Ponadto ciągły charakter ma również monitoring prowadzony w tym zakresie na terenie powiatu.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Times New Roman" w:hAnsi="Times New Roman" w:cs="Times New Roman"/>
          <w:kern w:val="1"/>
        </w:rPr>
        <w:t xml:space="preserve">       </w:t>
      </w:r>
      <w:r w:rsidRPr="002B63E7">
        <w:rPr>
          <w:rFonts w:ascii="Times New Roman" w:eastAsia="Lucida Sans Unicode" w:hAnsi="Times New Roman"/>
          <w:kern w:val="1"/>
        </w:rPr>
        <w:t xml:space="preserve">W chwili obecnej nie funkcjonują na terenie powiatu punkty oferujące taką sprzedaż. </w:t>
      </w:r>
    </w:p>
    <w:p w:rsid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</w:t>
      </w:r>
      <w:r w:rsidRPr="002B63E7">
        <w:rPr>
          <w:rFonts w:ascii="Times New Roman" w:eastAsia="Lucida Sans Unicode" w:hAnsi="Times New Roman"/>
          <w:kern w:val="1"/>
        </w:rPr>
        <w:t>Problem wprowadzania „dopalaczy” „z ręki do ręki” oraz sprzedaż internetowa niweczą wysiłki Państwowej Inspekcji Sanitarnej w przeciwdziałaniu</w:t>
      </w:r>
      <w:r>
        <w:rPr>
          <w:rFonts w:ascii="Times New Roman" w:eastAsia="Lucida Sans Unicode" w:hAnsi="Times New Roman"/>
          <w:kern w:val="1"/>
        </w:rPr>
        <w:t xml:space="preserve"> ich funkcjonowania na rynku. 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Pr="002B63E7">
        <w:rPr>
          <w:rFonts w:ascii="Times New Roman" w:eastAsia="Lucida Sans Unicode" w:hAnsi="Times New Roman"/>
          <w:kern w:val="1"/>
        </w:rPr>
        <w:t>Najlepszym dowodem na to są zgłaszane przez szpital brzozowski przypadki zatruć tymi środkami.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 w:rsidRPr="002B63E7">
        <w:rPr>
          <w:rFonts w:ascii="Times New Roman" w:eastAsia="Lucida Sans Unicode" w:hAnsi="Times New Roman"/>
          <w:kern w:val="1"/>
        </w:rPr>
        <w:lastRenderedPageBreak/>
        <w:t xml:space="preserve"> </w:t>
      </w:r>
      <w:r>
        <w:rPr>
          <w:rFonts w:ascii="Times New Roman" w:eastAsia="Lucida Sans Unicode" w:hAnsi="Times New Roman"/>
          <w:kern w:val="1"/>
        </w:rPr>
        <w:t xml:space="preserve">       </w:t>
      </w:r>
      <w:r w:rsidRPr="002B63E7">
        <w:rPr>
          <w:rFonts w:ascii="Times New Roman" w:eastAsia="Lucida Sans Unicode" w:hAnsi="Times New Roman"/>
          <w:kern w:val="1"/>
        </w:rPr>
        <w:t>W roku 2017 zgłoszono jedno takie zatrucie u nieletniego mieszkańca powiatu.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Pr="002B63E7">
        <w:rPr>
          <w:rFonts w:ascii="Times New Roman" w:eastAsia="Lucida Sans Unicode" w:hAnsi="Times New Roman"/>
          <w:kern w:val="1"/>
        </w:rPr>
        <w:t>Podkreślać należy, że fundamentalne znaczenie w profilaktyce ma uświadamianie dzieci, młodzieży oraz rodziców o zagrożeniach związanych ze stosowaniem tzw. „dopalaczy”.</w:t>
      </w:r>
    </w:p>
    <w:p w:rsidR="002B63E7" w:rsidRPr="002B63E7" w:rsidRDefault="002B63E7" w:rsidP="002B63E7">
      <w:pPr>
        <w:autoSpaceDN/>
        <w:jc w:val="both"/>
        <w:textAlignment w:val="auto"/>
        <w:rPr>
          <w:rFonts w:ascii="Times New Roman" w:eastAsia="Lucida Sans Unicode" w:hAnsi="Times New Roman"/>
          <w:kern w:val="1"/>
        </w:rPr>
      </w:pPr>
      <w:r>
        <w:rPr>
          <w:rFonts w:ascii="Times New Roman" w:eastAsia="Lucida Sans Unicode" w:hAnsi="Times New Roman"/>
          <w:kern w:val="1"/>
        </w:rPr>
        <w:t xml:space="preserve">        </w:t>
      </w:r>
      <w:r w:rsidRPr="002B63E7">
        <w:rPr>
          <w:rFonts w:ascii="Times New Roman" w:eastAsia="Lucida Sans Unicode" w:hAnsi="Times New Roman"/>
          <w:kern w:val="1"/>
        </w:rPr>
        <w:t xml:space="preserve">W związku z tym przedstawiciele PPIS w Brzozowie prowadzą zakrojoną na szeroką skalę akcję edukacyjną opartą na rozdawnictwie ulotek, prowadzeniu prelekcji i pogadanek o tej tematyce. </w:t>
      </w:r>
    </w:p>
    <w:p w:rsidR="00587B80" w:rsidRDefault="00587B80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1862B8" w:rsidRPr="00DA7608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DA7608">
        <w:rPr>
          <w:b/>
          <w:bCs/>
          <w:sz w:val="28"/>
          <w:szCs w:val="28"/>
        </w:rPr>
        <w:t xml:space="preserve">Stan </w:t>
      </w:r>
      <w:r w:rsidR="00DA1FD5" w:rsidRPr="00DA7608">
        <w:rPr>
          <w:b/>
          <w:bCs/>
          <w:sz w:val="28"/>
          <w:szCs w:val="28"/>
        </w:rPr>
        <w:t>s</w:t>
      </w:r>
      <w:r w:rsidRPr="00DA7608">
        <w:rPr>
          <w:b/>
          <w:bCs/>
          <w:sz w:val="28"/>
          <w:szCs w:val="28"/>
        </w:rPr>
        <w:t>anitarny placówek dla dzieci i młodzieży</w:t>
      </w:r>
      <w:r w:rsidR="00DA1FD5" w:rsidRPr="00DA7608">
        <w:rPr>
          <w:b/>
          <w:bCs/>
          <w:sz w:val="28"/>
          <w:szCs w:val="28"/>
        </w:rPr>
        <w:t>.</w:t>
      </w:r>
    </w:p>
    <w:p w:rsidR="009B28EF" w:rsidRPr="009B28EF" w:rsidRDefault="000E585F" w:rsidP="009B28E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dniem 1.09.2017r w wyniku reformy edukacji i likwidacji gimnazjów większość Zespołów Szkół została przekształcona w Szkoły Podstawowe. Sytuacja taka miała miejsce w powiecie </w:t>
      </w:r>
      <w:r w:rsidR="009B61E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brzozowskim w 21 przypadkach. Pozostało 5 Zespołów Szkół, w których funkcjonują przedszkola. W związku z tym pod nadzorem PSSE w Brzozowie od 1.09.2017r pozostaje 66 stałych placówek nauczania i wychowania (1 żłobek, 15 samodzielnych przedszkoli, 38 szkół podstawowych, 5 z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społów szkół i 7 innych placówek opiekuńczo-wychowawczych w tym 2 Warsztaty Terapii Zaj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ę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ciowej, 1 Dom Opieki Społecznej dla Dzieci i 4 Świetlice Środowiskowe), dwa autobusy do prz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="009B28EF" w:rsidRPr="009B28EF">
        <w:rPr>
          <w:rFonts w:ascii="Times New Roman" w:eastAsia="Times New Roman" w:hAnsi="Times New Roman" w:cs="Times New Roman"/>
          <w:kern w:val="0"/>
          <w:lang w:eastAsia="pl-PL" w:bidi="ar-SA"/>
        </w:rPr>
        <w:t>wozu dzieci i 31 wodociągów szkolnych.</w:t>
      </w:r>
    </w:p>
    <w:p w:rsidR="009B28EF" w:rsidRPr="009B28EF" w:rsidRDefault="009B28EF" w:rsidP="009B28E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czasie ferii zimowych i wakacji letnich na terenie powiatu brzozowskiego funkcjonowało 16 turnusów wypoczynku dzieci i młodzieży. Nieprawidłowości nie stwierdzono. </w:t>
      </w:r>
    </w:p>
    <w:p w:rsidR="009B28EF" w:rsidRPr="009B28EF" w:rsidRDefault="009B28EF" w:rsidP="009B28E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W wypoczynku wzięło udział prawie 700 dzieci.</w:t>
      </w:r>
    </w:p>
    <w:p w:rsidR="009B28EF" w:rsidRPr="009B28EF" w:rsidRDefault="009B28EF" w:rsidP="009B28E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W 2017 roku przeprowadzono 148 kontroli w placówkach nauczania i wychowania. Stan san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tarny nadzorowanych obiektów stałych jest ogólnie dobry. Spełnione są normy sanitarne w obsz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rze zaplecza sanitarnego oraz warunków do utrzymania higieny osobistej,</w:t>
      </w:r>
      <w:r w:rsidRPr="009B28E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ergonomii wyposażenia ,</w:t>
      </w:r>
      <w:r w:rsidRPr="009B28E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zapewnienia miejsca na podręczniki i przybory szkolne,</w:t>
      </w:r>
      <w:r w:rsidRPr="009B28E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warunków do prowadzenia zajęć wych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wania fizycznego,</w:t>
      </w:r>
      <w:r w:rsidRPr="009B28E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rozkładu zajęć oraz organizacji czasu pobytu w szkole. Dożywianie objęte jest 3161 dzieci. Z posiłków dofinansowanych korzysta 1536 dzieci.</w:t>
      </w:r>
    </w:p>
    <w:p w:rsidR="00FC3AA6" w:rsidRDefault="009B28EF" w:rsidP="001103A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W 2017r</w:t>
      </w:r>
      <w:r w:rsidR="009B61E2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dokonano oddania jednego zespołu boisk ( Szkoła Podstawowa Wara ) i gruntownego remontu drugiego ( Szkoła Podstawowa Dydnia ). W dwóch szkołach trwa budowa </w:t>
      </w:r>
      <w:proofErr w:type="spellStart"/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sal</w:t>
      </w:r>
      <w:proofErr w:type="spellEnd"/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gimnastyc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Pr="009B28EF">
        <w:rPr>
          <w:rFonts w:ascii="Times New Roman" w:eastAsia="Times New Roman" w:hAnsi="Times New Roman" w:cs="Times New Roman"/>
          <w:kern w:val="0"/>
          <w:lang w:eastAsia="pl-PL" w:bidi="ar-SA"/>
        </w:rPr>
        <w:t>nych (Szkoła Podstawowa Turze Pole, Szkoła Podstawowa Zmiennica).</w:t>
      </w:r>
    </w:p>
    <w:p w:rsidR="001103AA" w:rsidRDefault="001103AA" w:rsidP="001103AA">
      <w:pPr>
        <w:widowControl/>
        <w:suppressAutoHyphens w:val="0"/>
        <w:autoSpaceDN/>
        <w:jc w:val="both"/>
        <w:textAlignment w:val="auto"/>
        <w:rPr>
          <w:rFonts w:hint="eastAsia"/>
          <w:b/>
          <w:bCs/>
        </w:rPr>
      </w:pPr>
      <w:bookmarkStart w:id="0" w:name="_GoBack"/>
      <w:bookmarkEnd w:id="0"/>
    </w:p>
    <w:p w:rsidR="001862B8" w:rsidRPr="00DA7608" w:rsidRDefault="0017285A" w:rsidP="006710C3">
      <w:pPr>
        <w:pStyle w:val="Standard"/>
        <w:jc w:val="both"/>
        <w:rPr>
          <w:rFonts w:hint="eastAsia"/>
          <w:b/>
          <w:bCs/>
          <w:sz w:val="28"/>
          <w:szCs w:val="28"/>
        </w:rPr>
      </w:pPr>
      <w:r w:rsidRPr="00DA7608">
        <w:rPr>
          <w:b/>
          <w:bCs/>
          <w:sz w:val="28"/>
          <w:szCs w:val="28"/>
        </w:rPr>
        <w:t>Działalność w zakresie oświaty zdrowotnej i promocji zdrowi</w:t>
      </w:r>
      <w:r w:rsidR="00BF7DEB" w:rsidRPr="00DA7608">
        <w:rPr>
          <w:b/>
          <w:bCs/>
          <w:sz w:val="28"/>
          <w:szCs w:val="28"/>
        </w:rPr>
        <w:t>a.</w:t>
      </w:r>
    </w:p>
    <w:p w:rsidR="002275EE" w:rsidRDefault="00E81A84" w:rsidP="00810478">
      <w:pPr>
        <w:pStyle w:val="ZnakZnakZnakZnak"/>
        <w:jc w:val="both"/>
      </w:pPr>
      <w:r>
        <w:t xml:space="preserve">      </w:t>
      </w:r>
      <w:r w:rsidR="00810478">
        <w:t xml:space="preserve">Kierunki działań </w:t>
      </w:r>
      <w:r w:rsidR="00810478" w:rsidRPr="00AD7216">
        <w:t xml:space="preserve"> przyjęte  do realizacji w 2017r.</w:t>
      </w:r>
      <w:r w:rsidR="009B61E2">
        <w:t xml:space="preserve"> </w:t>
      </w:r>
      <w:r w:rsidR="00810478">
        <w:t xml:space="preserve">przez Sekcję OZ i PZ </w:t>
      </w:r>
      <w:r w:rsidR="00810478" w:rsidRPr="00AD7216">
        <w:t xml:space="preserve"> wynikały z zadań N</w:t>
      </w:r>
      <w:r w:rsidR="00810478" w:rsidRPr="00AD7216">
        <w:t>a</w:t>
      </w:r>
      <w:r w:rsidR="00810478" w:rsidRPr="00AD7216">
        <w:t>rodowego Programu Zdrowia, problemów zdrowotnych i potrzeb środowiska lokalnego. Działa</w:t>
      </w:r>
      <w:r w:rsidR="00810478" w:rsidRPr="00AD7216">
        <w:t>l</w:t>
      </w:r>
      <w:r w:rsidR="00810478" w:rsidRPr="00AD7216">
        <w:t xml:space="preserve">ność </w:t>
      </w:r>
      <w:proofErr w:type="spellStart"/>
      <w:r w:rsidR="00810478" w:rsidRPr="00AD7216">
        <w:t>o.z</w:t>
      </w:r>
      <w:proofErr w:type="spellEnd"/>
      <w:r w:rsidR="00810478" w:rsidRPr="00AD7216">
        <w:t xml:space="preserve">. prowadzona była przez realizację programów ogólnopolskich ,wojewódzkich i lokalnych </w:t>
      </w:r>
      <w:proofErr w:type="spellStart"/>
      <w:r w:rsidR="00810478" w:rsidRPr="00AD7216">
        <w:t>tj</w:t>
      </w:r>
      <w:proofErr w:type="spellEnd"/>
      <w:r w:rsidR="00810478" w:rsidRPr="00AD7216">
        <w:t>; „Trzymaj formę</w:t>
      </w:r>
      <w:r w:rsidR="00810478" w:rsidRPr="002275EE">
        <w:t>”,</w:t>
      </w:r>
      <w:r w:rsidR="002275EE" w:rsidRPr="002275EE">
        <w:t xml:space="preserve"> </w:t>
      </w:r>
      <w:r w:rsidR="00810478" w:rsidRPr="002275EE">
        <w:t>„</w:t>
      </w:r>
      <w:r w:rsidR="00810478" w:rsidRPr="00AD7216">
        <w:t>Czyste powietrze wokół nas”, „Znajdź właściwe rozwiązanie” „Nie pal przy mnie proszę”, ”Bieg po zdrowie”, „ ARS czyli jak dbać o miłość” , „Nie pozwól odlecie</w:t>
      </w:r>
      <w:r w:rsidR="00810478">
        <w:t>ć swojemu szczęściu”</w:t>
      </w:r>
      <w:r w:rsidR="00810478" w:rsidRPr="00AD7216">
        <w:t>, „Zawsze razem „</w:t>
      </w:r>
      <w:r w:rsidR="00810478">
        <w:t xml:space="preserve"> </w:t>
      </w:r>
      <w:r w:rsidR="00810478" w:rsidRPr="00AD7216">
        <w:t>,”Zapobieganie HIV/AIDS- Edukacja młodzieży szkolnej”, ”Różowa wstążeczka”, „Znamię?! znam je”, „Wybierz życie- Pierwszy krok”, „Podstępne WZW”, ”Edukacja pacjentów z nadciśnieniem tętniczym”, „Moje dziecko idzie do szkoły”.</w:t>
      </w:r>
      <w:r w:rsidR="00FC3AA6" w:rsidRPr="00FC3AA6">
        <w:t xml:space="preserve"> </w:t>
      </w:r>
      <w:r w:rsidR="00FC3AA6">
        <w:t xml:space="preserve">Ogółem </w:t>
      </w:r>
      <w:r w:rsidR="002275EE">
        <w:t>w roku 2017 zre</w:t>
      </w:r>
      <w:r w:rsidR="002275EE">
        <w:t>a</w:t>
      </w:r>
      <w:r w:rsidR="002275EE">
        <w:t>lizowano 29</w:t>
      </w:r>
      <w:r w:rsidR="00FC3AA6" w:rsidRPr="00FC3AA6">
        <w:t xml:space="preserve"> program</w:t>
      </w:r>
      <w:r w:rsidR="00FC3AA6" w:rsidRPr="00FC3AA6">
        <w:rPr>
          <w:rFonts w:hint="eastAsia"/>
        </w:rPr>
        <w:t>ó</w:t>
      </w:r>
      <w:r w:rsidR="00FC3AA6" w:rsidRPr="00FC3AA6">
        <w:t xml:space="preserve">w edukacyjnych i przedsięwzięć prozdrowotnych </w:t>
      </w:r>
      <w:r w:rsidR="002275EE">
        <w:t>.</w:t>
      </w:r>
      <w:r w:rsidR="00810478">
        <w:t xml:space="preserve">   </w:t>
      </w:r>
    </w:p>
    <w:p w:rsidR="00810478" w:rsidRDefault="002275EE" w:rsidP="00810478">
      <w:pPr>
        <w:pStyle w:val="ZnakZnakZnakZnak"/>
        <w:jc w:val="both"/>
      </w:pPr>
      <w:r>
        <w:t xml:space="preserve">  </w:t>
      </w:r>
      <w:r w:rsidR="00810478">
        <w:t xml:space="preserve">   </w:t>
      </w:r>
      <w:r w:rsidR="00810478" w:rsidRPr="00AD7216">
        <w:t xml:space="preserve">W roku 2017 Sekcja organizowała również akcje-kampanie </w:t>
      </w:r>
      <w:proofErr w:type="spellStart"/>
      <w:r w:rsidR="00810478" w:rsidRPr="00AD7216">
        <w:t>o.z</w:t>
      </w:r>
      <w:proofErr w:type="spellEnd"/>
      <w:r w:rsidR="00810478" w:rsidRPr="00AD7216">
        <w:t xml:space="preserve">. </w:t>
      </w:r>
      <w:proofErr w:type="spellStart"/>
      <w:r w:rsidR="00810478" w:rsidRPr="00AD7216">
        <w:t>tj</w:t>
      </w:r>
      <w:proofErr w:type="spellEnd"/>
      <w:r w:rsidR="00810478" w:rsidRPr="00AD7216">
        <w:t>: ”Światowy Dzień Zdrowia” ,”Światowy Dzień bez Tytoniu” , ”Nowe narkotyki -dopalacze-zapobieganie”, ”Światowy Dzień Rzucania Palenia ” ,”Bezpieczne wakacje- akcja letnia” ,”Bezpieczne ferie”, „Zapobieganie Gr</w:t>
      </w:r>
      <w:r w:rsidR="00810478" w:rsidRPr="00AD7216">
        <w:t>y</w:t>
      </w:r>
      <w:r w:rsidR="00810478" w:rsidRPr="00AD7216">
        <w:t>pie”</w:t>
      </w:r>
      <w:r w:rsidR="00810478">
        <w:t xml:space="preserve">, </w:t>
      </w:r>
      <w:r w:rsidR="00810478" w:rsidRPr="00AD7216">
        <w:t xml:space="preserve">”Październik Miesiącem Zapobiegania Nowotworom” , ”Światowy Dzień HIV/AIDS”, ”Coś was łączy –zrób test na HIV” ,”Mój Walenty jest the </w:t>
      </w:r>
      <w:proofErr w:type="spellStart"/>
      <w:r w:rsidR="00810478" w:rsidRPr="00AD7216">
        <w:t>best</w:t>
      </w:r>
      <w:proofErr w:type="spellEnd"/>
      <w:r w:rsidR="00810478" w:rsidRPr="00AD7216">
        <w:t xml:space="preserve"> idzie ze mną zrobić test”, ”Profilaktyka zatruć grzybami”, ”Zapobieganie chorobom przenoszonym przez kleszcze”, „Mam czas rozm</w:t>
      </w:r>
      <w:r w:rsidR="00810478" w:rsidRPr="00AD7216">
        <w:t>a</w:t>
      </w:r>
      <w:r w:rsidR="00810478" w:rsidRPr="00AD7216">
        <w:t>wiać”, „Lekki tornister”,</w:t>
      </w:r>
      <w:r w:rsidR="00810478">
        <w:t xml:space="preserve"> ”Oddal to”. </w:t>
      </w:r>
      <w:r w:rsidR="00810478" w:rsidRPr="00AD7216">
        <w:t xml:space="preserve">Tematyka </w:t>
      </w:r>
      <w:r w:rsidR="00810478">
        <w:t xml:space="preserve">w/wym. programów i akcji </w:t>
      </w:r>
      <w:r w:rsidR="00810478" w:rsidRPr="00AD7216">
        <w:t>dotyczyła:  chorób  n</w:t>
      </w:r>
      <w:r w:rsidR="00810478" w:rsidRPr="00AD7216">
        <w:t>o</w:t>
      </w:r>
      <w:r w:rsidR="00810478" w:rsidRPr="00AD7216">
        <w:t xml:space="preserve">wotworowych, tematyki antytytoniowej, </w:t>
      </w:r>
      <w:r w:rsidR="00810478">
        <w:t>uzależnień ,chorób serca-zapobiegania</w:t>
      </w:r>
      <w:r w:rsidR="00810478" w:rsidRPr="00AD7216">
        <w:t xml:space="preserve"> nadciśnieniu tętn</w:t>
      </w:r>
      <w:r w:rsidR="00810478" w:rsidRPr="00AD7216">
        <w:t>i</w:t>
      </w:r>
      <w:r w:rsidR="00810478" w:rsidRPr="00AD7216">
        <w:t>czemu , zapobieganie HIV/AIDS i chorobom przenoszonym drogą płciową ,zapobiegania dopal</w:t>
      </w:r>
      <w:r w:rsidR="00810478" w:rsidRPr="00AD7216">
        <w:t>a</w:t>
      </w:r>
      <w:r w:rsidR="00810478" w:rsidRPr="00AD7216">
        <w:t>czom , higieny osobistej ,racjonalnego odży</w:t>
      </w:r>
      <w:r w:rsidR="00810478">
        <w:t>wiania  ,zapobiegania WZW ,</w:t>
      </w:r>
      <w:r w:rsidR="00810478" w:rsidRPr="00AD7216">
        <w:t>zdrowego stylu życia</w:t>
      </w:r>
      <w:r w:rsidR="00810478">
        <w:t xml:space="preserve"> itd</w:t>
      </w:r>
      <w:r w:rsidR="00810478" w:rsidRPr="00AD7216">
        <w:t>.</w:t>
      </w:r>
      <w:r w:rsidR="00810478">
        <w:t xml:space="preserve">  </w:t>
      </w:r>
    </w:p>
    <w:p w:rsidR="00810478" w:rsidRDefault="00810478" w:rsidP="00810478">
      <w:pPr>
        <w:pStyle w:val="ZnakZnakZnakZnak"/>
        <w:jc w:val="both"/>
      </w:pPr>
      <w:r>
        <w:t xml:space="preserve">      W  ramach nadzoru realizowanych  programów i wszystkich  akcji i kampanii  prowadzono: imprezy -podsumowania powiatowe  , instruktaże  , porady,  narady, szkolenia , wykłady , preze</w:t>
      </w:r>
      <w:r>
        <w:t>n</w:t>
      </w:r>
      <w:r>
        <w:lastRenderedPageBreak/>
        <w:t xml:space="preserve">tacje połączone z pokazami, wystawy, rozdawnictwo materiałów , konkursy, happeningi, ewaluacje i monitoring- ogółem 852 działania o charakterze profilaktycznym. </w:t>
      </w:r>
    </w:p>
    <w:p w:rsidR="00810478" w:rsidRPr="008E6B46" w:rsidRDefault="00810478" w:rsidP="00810478">
      <w:pPr>
        <w:pStyle w:val="ZnakZnakZnakZnak"/>
        <w:jc w:val="both"/>
      </w:pPr>
      <w:r>
        <w:t xml:space="preserve">     </w:t>
      </w:r>
      <w:r w:rsidRPr="009D22EE">
        <w:t>W ramach realizacji programów  oświato</w:t>
      </w:r>
      <w:r>
        <w:t>wo-zdrowotnych przeprowadzono 124</w:t>
      </w:r>
      <w:r w:rsidRPr="009D22EE">
        <w:t>- wizytacj</w:t>
      </w:r>
      <w:r>
        <w:t>e</w:t>
      </w:r>
      <w:r w:rsidRPr="009D22EE">
        <w:t xml:space="preserve"> dzi</w:t>
      </w:r>
      <w:r w:rsidRPr="009D22EE">
        <w:t>a</w:t>
      </w:r>
      <w:r w:rsidRPr="009D22EE">
        <w:t>łalności oświatowo-zdrowotnej i promocji zdrowia w powiecie brzozowskim</w:t>
      </w:r>
      <w:r>
        <w:t>.</w:t>
      </w:r>
    </w:p>
    <w:p w:rsidR="00502FB6" w:rsidRDefault="00502FB6" w:rsidP="00810478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</w:p>
    <w:p w:rsidR="006710C3" w:rsidRPr="00DA7608" w:rsidRDefault="006710C3" w:rsidP="006710C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  <w:r w:rsidRPr="00DA76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  <w:t>Oddział Laboratoryjny</w:t>
      </w:r>
    </w:p>
    <w:p w:rsidR="006710C3" w:rsidRPr="006710C3" w:rsidRDefault="006710C3" w:rsidP="00B724E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W wyniku pozytywnego </w:t>
      </w:r>
      <w:proofErr w:type="spellStart"/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auditu</w:t>
      </w:r>
      <w:proofErr w:type="spellEnd"/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Polskiego Centrum Akredytacji w 201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>7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r.  Laboratorium   utrzymało Certyfikat Akredytacji Laboratorium Badawczego, ważny do 29.08.2018 r. Laboratorium posiada uprawnieni</w:t>
      </w:r>
      <w:r w:rsidR="00A628FC">
        <w:rPr>
          <w:rFonts w:ascii="Times New Roman" w:eastAsia="Times New Roman" w:hAnsi="Times New Roman" w:cs="Times New Roman"/>
          <w:kern w:val="0"/>
          <w:lang w:eastAsia="pl-PL" w:bidi="ar-SA"/>
        </w:rPr>
        <w:t>a do wykonywania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24 akredytowanych parametrów w zakresie  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badań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: wody, środowiska pracy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B56828">
        <w:rPr>
          <w:rFonts w:ascii="Times New Roman" w:eastAsia="Times New Roman" w:hAnsi="Times New Roman" w:cs="Times New Roman"/>
          <w:kern w:val="0"/>
          <w:lang w:eastAsia="pl-PL" w:bidi="ar-SA"/>
        </w:rPr>
        <w:t>(zapylenie,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B56828">
        <w:rPr>
          <w:rFonts w:ascii="Times New Roman" w:eastAsia="Times New Roman" w:hAnsi="Times New Roman" w:cs="Times New Roman"/>
          <w:kern w:val="0"/>
          <w:lang w:eastAsia="pl-PL" w:bidi="ar-SA"/>
        </w:rPr>
        <w:t>hałas,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B56828">
        <w:rPr>
          <w:rFonts w:ascii="Times New Roman" w:eastAsia="Times New Roman" w:hAnsi="Times New Roman" w:cs="Times New Roman"/>
          <w:kern w:val="0"/>
          <w:lang w:eastAsia="pl-PL" w:bidi="ar-SA"/>
        </w:rPr>
        <w:t>oświetlenie)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diagnostyki medycz</w:t>
      </w:r>
      <w:r w:rsidR="000A2F01">
        <w:rPr>
          <w:rFonts w:ascii="Times New Roman" w:eastAsia="Times New Roman" w:hAnsi="Times New Roman" w:cs="Times New Roman"/>
          <w:kern w:val="0"/>
          <w:lang w:eastAsia="pl-PL" w:bidi="ar-SA"/>
        </w:rPr>
        <w:t>nej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>W 2017 r. uaktualniono</w:t>
      </w:r>
      <w:r w:rsidR="00B724E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ze względu na zmianę norm, 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zakres akr</w:t>
      </w:r>
      <w:r w:rsidR="00B724E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edytowanych badań </w:t>
      </w:r>
      <w:proofErr w:type="spellStart"/>
      <w:r w:rsidR="00B724E2">
        <w:rPr>
          <w:rFonts w:ascii="Times New Roman" w:eastAsia="Times New Roman" w:hAnsi="Times New Roman" w:cs="Times New Roman"/>
          <w:kern w:val="0"/>
          <w:lang w:eastAsia="pl-PL" w:bidi="ar-SA"/>
        </w:rPr>
        <w:t>dot.mętności</w:t>
      </w:r>
      <w:proofErr w:type="spellEnd"/>
      <w:r w:rsidR="00B724E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>żelaza</w:t>
      </w:r>
      <w:r w:rsidR="00B724E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wodzie  oraz drgań mechanicznych w środowisku pracy. </w:t>
      </w:r>
      <w:r w:rsidR="000A2F0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6710C3" w:rsidRPr="006710C3" w:rsidRDefault="00C14020" w:rsidP="006710C3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Liczba 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wykonanych  badań w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201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7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 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przedstawia  się  następująco 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6710C3" w:rsidRPr="006710C3" w:rsidRDefault="00363CB8" w:rsidP="002E286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rzebadano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>637 obiekt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ów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wodnych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(wodociągów, studni  przydomowych ,basenów) w kt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>ó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rych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wykonano 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1288 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badań</w:t>
      </w:r>
      <w:r w:rsidR="006710C3" w:rsidRPr="006710C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</w:t>
      </w:r>
      <w:r w:rsidR="00E35199">
        <w:rPr>
          <w:rFonts w:ascii="Times New Roman" w:eastAsia="Times New Roman" w:hAnsi="Times New Roman" w:cs="Times New Roman"/>
          <w:b/>
          <w:kern w:val="0"/>
          <w:lang w:eastAsia="pl-PL" w:bidi="ar-SA"/>
        </w:rPr>
        <w:t>(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fizycznych, chemicznych i mikrobiologicznych 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:rsidR="006710C3" w:rsidRPr="006710C3" w:rsidRDefault="00560E07" w:rsidP="006710C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>przebadano 50 zakładów pracy</w:t>
      </w:r>
      <w:r w:rsidR="002E2863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których wykonano 342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>bada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nia 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hałas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, drga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>ń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, oświetl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>ni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 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oraz zapyleni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710C3"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;   </w:t>
      </w:r>
    </w:p>
    <w:p w:rsidR="006710C3" w:rsidRPr="00C33473" w:rsidRDefault="006710C3" w:rsidP="00C14020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710C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C14020" w:rsidRPr="00C14020">
        <w:rPr>
          <w:rFonts w:ascii="Times New Roman" w:eastAsia="Times New Roman" w:hAnsi="Times New Roman" w:cs="Times New Roman"/>
          <w:kern w:val="0"/>
          <w:lang w:eastAsia="pl-PL" w:bidi="ar-SA"/>
        </w:rPr>
        <w:t>rzebadano</w:t>
      </w:r>
      <w:r w:rsidR="00C1402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571 osób 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w kierunku chorobotwórczych pałeczek jelitowych  z rodzaju Salm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nel</w:t>
      </w:r>
      <w:r w:rsidR="00C1402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la 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</w:t>
      </w:r>
      <w:proofErr w:type="spellStart"/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>Shigella</w:t>
      </w:r>
      <w:proofErr w:type="spellEnd"/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6710C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>u których wykonano 1607 badań</w:t>
      </w:r>
      <w:r w:rsidR="00C84A2D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="00E3519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63CB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84A2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6710C3" w:rsidRDefault="00363CB8" w:rsidP="00CF38B8">
      <w:pPr>
        <w:widowControl/>
        <w:suppressAutoHyphens w:val="0"/>
        <w:autoSpaceDN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1862B8" w:rsidRDefault="00FF4236" w:rsidP="00C33473">
      <w:pPr>
        <w:pStyle w:val="Standard"/>
        <w:jc w:val="both"/>
        <w:rPr>
          <w:rFonts w:hint="eastAsia"/>
        </w:rPr>
      </w:pPr>
      <w:r>
        <w:t xml:space="preserve">         W  roku </w:t>
      </w:r>
      <w:r w:rsidR="003B7BFD">
        <w:t>2017</w:t>
      </w:r>
      <w:r w:rsidR="0017285A">
        <w:t xml:space="preserve"> przeprowadzono ogółem </w:t>
      </w:r>
      <w:r w:rsidR="002D3318">
        <w:t>1</w:t>
      </w:r>
      <w:r w:rsidR="003B7BFD">
        <w:t>810</w:t>
      </w:r>
      <w:r w:rsidR="0017285A">
        <w:t xml:space="preserve"> kontroli, </w:t>
      </w:r>
      <w:r w:rsidR="00587B80">
        <w:t xml:space="preserve">nadzorem  objęto 883 obiekty, </w:t>
      </w:r>
      <w:r w:rsidR="0017285A">
        <w:t xml:space="preserve">wydano </w:t>
      </w:r>
      <w:r w:rsidR="003B7BFD">
        <w:t>330 decyzji administracyjnych,</w:t>
      </w:r>
      <w:r w:rsidR="0017285A">
        <w:t xml:space="preserve"> </w:t>
      </w:r>
      <w:r w:rsidR="00DA7608" w:rsidRPr="00DA7608">
        <w:rPr>
          <w:rFonts w:hint="eastAsia"/>
        </w:rPr>
        <w:t xml:space="preserve"> przeprowadzon</w:t>
      </w:r>
      <w:r w:rsidR="00DA7608">
        <w:t xml:space="preserve">o 503 </w:t>
      </w:r>
      <w:r w:rsidR="00DA7608" w:rsidRPr="00DA7608">
        <w:rPr>
          <w:rFonts w:hint="eastAsia"/>
        </w:rPr>
        <w:t xml:space="preserve"> dochodze</w:t>
      </w:r>
      <w:r w:rsidR="00DA7608">
        <w:t>nia</w:t>
      </w:r>
      <w:r w:rsidR="00DA7608" w:rsidRPr="00DA7608">
        <w:rPr>
          <w:rFonts w:hint="eastAsia"/>
        </w:rPr>
        <w:t xml:space="preserve"> epidemiologiczn</w:t>
      </w:r>
      <w:r w:rsidR="00DA7608">
        <w:t xml:space="preserve">e, </w:t>
      </w:r>
      <w:r w:rsidR="003B7BFD">
        <w:t>n</w:t>
      </w:r>
      <w:r w:rsidR="0017285A">
        <w:t>ałożono</w:t>
      </w:r>
      <w:r w:rsidR="003B7BFD">
        <w:t xml:space="preserve"> 11</w:t>
      </w:r>
      <w:r w:rsidR="0017285A">
        <w:t xml:space="preserve"> mandatów karnych na kwotę</w:t>
      </w:r>
      <w:r w:rsidR="002D3318">
        <w:t xml:space="preserve"> </w:t>
      </w:r>
      <w:r w:rsidR="003B7BFD">
        <w:t>2300</w:t>
      </w:r>
      <w:r w:rsidR="0017285A">
        <w:t xml:space="preserve"> zł</w:t>
      </w:r>
      <w:r w:rsidR="00C33473">
        <w:t>.</w:t>
      </w:r>
    </w:p>
    <w:p w:rsidR="00FC3AA6" w:rsidRPr="00FC3AA6" w:rsidRDefault="00FC3AA6" w:rsidP="00FC3AA6">
      <w:pPr>
        <w:pStyle w:val="Standard"/>
        <w:jc w:val="both"/>
        <w:rPr>
          <w:rFonts w:hint="eastAsia"/>
        </w:rPr>
      </w:pPr>
      <w:r>
        <w:rPr>
          <w:iCs/>
        </w:rPr>
        <w:t xml:space="preserve">         </w:t>
      </w:r>
      <w:r w:rsidRPr="00FC3AA6">
        <w:rPr>
          <w:iCs/>
        </w:rPr>
        <w:t xml:space="preserve">Podejmowane działania służą zapewnieniu bezpieczeństwa sanitarnego na podległym terenie </w:t>
      </w:r>
    </w:p>
    <w:p w:rsidR="00FC3AA6" w:rsidRPr="00FC3AA6" w:rsidRDefault="00FC3AA6" w:rsidP="00FC3AA6">
      <w:pPr>
        <w:pStyle w:val="Standard"/>
        <w:jc w:val="both"/>
        <w:rPr>
          <w:rFonts w:hint="eastAsia"/>
        </w:rPr>
      </w:pPr>
      <w:r w:rsidRPr="00FC3AA6">
        <w:rPr>
          <w:iCs/>
        </w:rPr>
        <w:t xml:space="preserve">poprzez sprawowanie zapobiegawczego i bieżącego nadzoru sanitarnego oraz prowadzenie działalności zapobiegawczej i przeciwepidemicznej w zakresie chorób zakaźnych i innych chorób powodowanych warunkami środowiska. Szczególne działania o szerokim zakresie prowadzone są w kierunku szerzenia oświaty zdrowotnej. </w:t>
      </w:r>
    </w:p>
    <w:p w:rsidR="00FC3AA6" w:rsidRPr="00FC3AA6" w:rsidRDefault="009B61E2" w:rsidP="00FC3AA6">
      <w:pPr>
        <w:pStyle w:val="Standard"/>
        <w:jc w:val="both"/>
        <w:rPr>
          <w:rFonts w:hint="eastAsia"/>
        </w:rPr>
      </w:pPr>
      <w:r>
        <w:rPr>
          <w:iCs/>
        </w:rPr>
        <w:t xml:space="preserve">         </w:t>
      </w:r>
      <w:r w:rsidR="00FC3AA6" w:rsidRPr="00FC3AA6">
        <w:rPr>
          <w:iCs/>
        </w:rPr>
        <w:t>Niniejsze opracowanie stanowi kompendium wszystkich działań podjętych przez Państwową Inspekcję Sanitarną na terenie powiatu brzozowskiego w 2017r. na rzecz poprawy stanu sanitarnego i sytuacji epidemiologicznej w powiecie.</w:t>
      </w:r>
    </w:p>
    <w:p w:rsidR="00C33473" w:rsidRDefault="00C33473" w:rsidP="00FC3AA6">
      <w:pPr>
        <w:pStyle w:val="Standard"/>
        <w:jc w:val="both"/>
        <w:rPr>
          <w:rFonts w:hint="eastAsia"/>
        </w:rPr>
      </w:pPr>
    </w:p>
    <w:sectPr w:rsidR="00C33473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B5" w:rsidRDefault="00C027B5">
      <w:pPr>
        <w:rPr>
          <w:rFonts w:hint="eastAsia"/>
        </w:rPr>
      </w:pPr>
      <w:r>
        <w:separator/>
      </w:r>
    </w:p>
  </w:endnote>
  <w:endnote w:type="continuationSeparator" w:id="0">
    <w:p w:rsidR="00C027B5" w:rsidRDefault="00C027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8787"/>
      <w:docPartObj>
        <w:docPartGallery w:val="Page Numbers (Bottom of Page)"/>
        <w:docPartUnique/>
      </w:docPartObj>
    </w:sdtPr>
    <w:sdtEndPr/>
    <w:sdtContent>
      <w:p w:rsidR="00622ED0" w:rsidRDefault="00622ED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AA">
          <w:rPr>
            <w:rFonts w:hint="eastAsia"/>
            <w:noProof/>
          </w:rPr>
          <w:t>9</w:t>
        </w:r>
        <w:r>
          <w:fldChar w:fldCharType="end"/>
        </w:r>
      </w:p>
    </w:sdtContent>
  </w:sdt>
  <w:p w:rsidR="00622ED0" w:rsidRDefault="00622ED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B5" w:rsidRDefault="00C027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27B5" w:rsidRDefault="00C027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08C"/>
    <w:multiLevelType w:val="hybridMultilevel"/>
    <w:tmpl w:val="99BA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4FBD"/>
    <w:multiLevelType w:val="multilevel"/>
    <w:tmpl w:val="C0C0F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A10CE6"/>
    <w:multiLevelType w:val="hybridMultilevel"/>
    <w:tmpl w:val="BD78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48D1"/>
    <w:multiLevelType w:val="hybridMultilevel"/>
    <w:tmpl w:val="CBF4E434"/>
    <w:lvl w:ilvl="0" w:tplc="44D8889A">
      <w:start w:val="1"/>
      <w:numFmt w:val="bullet"/>
      <w:lvlText w:val=""/>
      <w:lvlJc w:val="left"/>
      <w:pPr>
        <w:tabs>
          <w:tab w:val="num" w:pos="624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2B8"/>
    <w:rsid w:val="00012718"/>
    <w:rsid w:val="00035F7B"/>
    <w:rsid w:val="00072091"/>
    <w:rsid w:val="0009058E"/>
    <w:rsid w:val="00093F52"/>
    <w:rsid w:val="000A2F01"/>
    <w:rsid w:val="000D0C44"/>
    <w:rsid w:val="000E585F"/>
    <w:rsid w:val="00100FF0"/>
    <w:rsid w:val="001103AA"/>
    <w:rsid w:val="00112848"/>
    <w:rsid w:val="001164C3"/>
    <w:rsid w:val="00137EBC"/>
    <w:rsid w:val="00161892"/>
    <w:rsid w:val="00171F80"/>
    <w:rsid w:val="0017285A"/>
    <w:rsid w:val="00173047"/>
    <w:rsid w:val="0017515B"/>
    <w:rsid w:val="001757EA"/>
    <w:rsid w:val="00175DB5"/>
    <w:rsid w:val="001862B8"/>
    <w:rsid w:val="001866F0"/>
    <w:rsid w:val="001956EE"/>
    <w:rsid w:val="001A1506"/>
    <w:rsid w:val="001C4356"/>
    <w:rsid w:val="001D621F"/>
    <w:rsid w:val="00205D56"/>
    <w:rsid w:val="002078F5"/>
    <w:rsid w:val="00225359"/>
    <w:rsid w:val="002275EE"/>
    <w:rsid w:val="00235A3A"/>
    <w:rsid w:val="00255012"/>
    <w:rsid w:val="00274DB0"/>
    <w:rsid w:val="00276863"/>
    <w:rsid w:val="002815AF"/>
    <w:rsid w:val="00287638"/>
    <w:rsid w:val="00295A48"/>
    <w:rsid w:val="002B5968"/>
    <w:rsid w:val="002B63E7"/>
    <w:rsid w:val="002C7159"/>
    <w:rsid w:val="002D3318"/>
    <w:rsid w:val="002E2863"/>
    <w:rsid w:val="002E5CA5"/>
    <w:rsid w:val="003131C4"/>
    <w:rsid w:val="00325FF8"/>
    <w:rsid w:val="00331535"/>
    <w:rsid w:val="00335105"/>
    <w:rsid w:val="00340F2F"/>
    <w:rsid w:val="003555E4"/>
    <w:rsid w:val="00363CB8"/>
    <w:rsid w:val="00374E37"/>
    <w:rsid w:val="00392DD5"/>
    <w:rsid w:val="003B7BFD"/>
    <w:rsid w:val="003C3223"/>
    <w:rsid w:val="00411B54"/>
    <w:rsid w:val="004155B5"/>
    <w:rsid w:val="004171EC"/>
    <w:rsid w:val="00425CCF"/>
    <w:rsid w:val="00470E30"/>
    <w:rsid w:val="00471EFB"/>
    <w:rsid w:val="00475CB5"/>
    <w:rsid w:val="00476DCF"/>
    <w:rsid w:val="00483BA1"/>
    <w:rsid w:val="00495238"/>
    <w:rsid w:val="004B7E2E"/>
    <w:rsid w:val="004D2864"/>
    <w:rsid w:val="004D5B26"/>
    <w:rsid w:val="004E7E83"/>
    <w:rsid w:val="00502FB6"/>
    <w:rsid w:val="005106DB"/>
    <w:rsid w:val="00516609"/>
    <w:rsid w:val="005338DA"/>
    <w:rsid w:val="00560E07"/>
    <w:rsid w:val="00567EB2"/>
    <w:rsid w:val="00571F63"/>
    <w:rsid w:val="00572D9A"/>
    <w:rsid w:val="005735BF"/>
    <w:rsid w:val="00581490"/>
    <w:rsid w:val="00587B80"/>
    <w:rsid w:val="005A0DE1"/>
    <w:rsid w:val="005A2E90"/>
    <w:rsid w:val="005A3A43"/>
    <w:rsid w:val="005D6195"/>
    <w:rsid w:val="00603681"/>
    <w:rsid w:val="00622ED0"/>
    <w:rsid w:val="006368C5"/>
    <w:rsid w:val="0064476E"/>
    <w:rsid w:val="006710C3"/>
    <w:rsid w:val="00700926"/>
    <w:rsid w:val="0070191C"/>
    <w:rsid w:val="00711FAB"/>
    <w:rsid w:val="00721162"/>
    <w:rsid w:val="00725810"/>
    <w:rsid w:val="00762590"/>
    <w:rsid w:val="007A07ED"/>
    <w:rsid w:val="007A0810"/>
    <w:rsid w:val="007A0FCE"/>
    <w:rsid w:val="007A10D2"/>
    <w:rsid w:val="007A1FCF"/>
    <w:rsid w:val="007D0CA5"/>
    <w:rsid w:val="007E34D7"/>
    <w:rsid w:val="008014F5"/>
    <w:rsid w:val="008049DE"/>
    <w:rsid w:val="00810478"/>
    <w:rsid w:val="008108E7"/>
    <w:rsid w:val="00814F25"/>
    <w:rsid w:val="00832D76"/>
    <w:rsid w:val="008466EF"/>
    <w:rsid w:val="00856457"/>
    <w:rsid w:val="00893188"/>
    <w:rsid w:val="008A6265"/>
    <w:rsid w:val="008C5302"/>
    <w:rsid w:val="008C5EC1"/>
    <w:rsid w:val="008E6437"/>
    <w:rsid w:val="009053DD"/>
    <w:rsid w:val="00910109"/>
    <w:rsid w:val="00925876"/>
    <w:rsid w:val="00933FDD"/>
    <w:rsid w:val="00940616"/>
    <w:rsid w:val="00940748"/>
    <w:rsid w:val="00953C25"/>
    <w:rsid w:val="009B0129"/>
    <w:rsid w:val="009B28EF"/>
    <w:rsid w:val="009B61E2"/>
    <w:rsid w:val="009C4517"/>
    <w:rsid w:val="009E36C5"/>
    <w:rsid w:val="009F302B"/>
    <w:rsid w:val="00A07ADF"/>
    <w:rsid w:val="00A32EE9"/>
    <w:rsid w:val="00A47B41"/>
    <w:rsid w:val="00A628FC"/>
    <w:rsid w:val="00AB1D89"/>
    <w:rsid w:val="00AB241A"/>
    <w:rsid w:val="00AC608B"/>
    <w:rsid w:val="00AD12FD"/>
    <w:rsid w:val="00AF2C46"/>
    <w:rsid w:val="00AF5D4D"/>
    <w:rsid w:val="00B01D02"/>
    <w:rsid w:val="00B1358F"/>
    <w:rsid w:val="00B331F7"/>
    <w:rsid w:val="00B3479E"/>
    <w:rsid w:val="00B52BD9"/>
    <w:rsid w:val="00B55E85"/>
    <w:rsid w:val="00B56828"/>
    <w:rsid w:val="00B710FF"/>
    <w:rsid w:val="00B724E2"/>
    <w:rsid w:val="00B75A25"/>
    <w:rsid w:val="00B77236"/>
    <w:rsid w:val="00B855D7"/>
    <w:rsid w:val="00BA5B6B"/>
    <w:rsid w:val="00BE4DA7"/>
    <w:rsid w:val="00BE7D07"/>
    <w:rsid w:val="00BF7DEB"/>
    <w:rsid w:val="00C027B5"/>
    <w:rsid w:val="00C052F2"/>
    <w:rsid w:val="00C14020"/>
    <w:rsid w:val="00C31726"/>
    <w:rsid w:val="00C33473"/>
    <w:rsid w:val="00C41A13"/>
    <w:rsid w:val="00C742B0"/>
    <w:rsid w:val="00C84A2D"/>
    <w:rsid w:val="00C917C2"/>
    <w:rsid w:val="00CD4368"/>
    <w:rsid w:val="00CD5017"/>
    <w:rsid w:val="00CE1DD1"/>
    <w:rsid w:val="00CF38B8"/>
    <w:rsid w:val="00CF6E6F"/>
    <w:rsid w:val="00D0706A"/>
    <w:rsid w:val="00D07CB9"/>
    <w:rsid w:val="00D14DFE"/>
    <w:rsid w:val="00D24B12"/>
    <w:rsid w:val="00D75B34"/>
    <w:rsid w:val="00D83DFE"/>
    <w:rsid w:val="00D96B7A"/>
    <w:rsid w:val="00DA1FD5"/>
    <w:rsid w:val="00DA7608"/>
    <w:rsid w:val="00DB5CE4"/>
    <w:rsid w:val="00DD0551"/>
    <w:rsid w:val="00DD21FB"/>
    <w:rsid w:val="00E343C7"/>
    <w:rsid w:val="00E35199"/>
    <w:rsid w:val="00E5149E"/>
    <w:rsid w:val="00E62EA1"/>
    <w:rsid w:val="00E66770"/>
    <w:rsid w:val="00E6781D"/>
    <w:rsid w:val="00E81A84"/>
    <w:rsid w:val="00EC4DC0"/>
    <w:rsid w:val="00ED3823"/>
    <w:rsid w:val="00EF320F"/>
    <w:rsid w:val="00F00344"/>
    <w:rsid w:val="00F17B22"/>
    <w:rsid w:val="00F26524"/>
    <w:rsid w:val="00F72C5F"/>
    <w:rsid w:val="00F72DF5"/>
    <w:rsid w:val="00FA0DB8"/>
    <w:rsid w:val="00FA3BA9"/>
    <w:rsid w:val="00FB00E5"/>
    <w:rsid w:val="00FB7F63"/>
    <w:rsid w:val="00FC3AA6"/>
    <w:rsid w:val="00FD3DD5"/>
    <w:rsid w:val="00FE5DF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3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35"/>
    <w:rPr>
      <w:rFonts w:ascii="Tahoma" w:hAnsi="Tahoma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495238"/>
    <w:rPr>
      <w:color w:val="808080"/>
    </w:rPr>
  </w:style>
  <w:style w:type="table" w:styleId="Tabela-Siatka">
    <w:name w:val="Table Grid"/>
    <w:basedOn w:val="Standardowy"/>
    <w:rsid w:val="00832D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5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5AF"/>
    <w:rPr>
      <w:szCs w:val="21"/>
    </w:rPr>
  </w:style>
  <w:style w:type="paragraph" w:customStyle="1" w:styleId="ZnakZnakZnakZnak">
    <w:name w:val="Znak Znak Znak Znak"/>
    <w:basedOn w:val="Normalny"/>
    <w:rsid w:val="0081047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3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35"/>
    <w:rPr>
      <w:rFonts w:ascii="Tahoma" w:hAnsi="Tahoma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495238"/>
    <w:rPr>
      <w:color w:val="808080"/>
    </w:rPr>
  </w:style>
  <w:style w:type="table" w:styleId="Tabela-Siatka">
    <w:name w:val="Table Grid"/>
    <w:basedOn w:val="Standardowy"/>
    <w:rsid w:val="00832D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5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5AF"/>
    <w:rPr>
      <w:szCs w:val="21"/>
    </w:rPr>
  </w:style>
  <w:style w:type="paragraph" w:customStyle="1" w:styleId="ZnakZnakZnakZnak">
    <w:name w:val="Znak Znak Znak Znak"/>
    <w:basedOn w:val="Normalny"/>
    <w:rsid w:val="0081047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730F-DBA6-416F-AD94-7A89D82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4604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 Zapobiegawczy</dc:creator>
  <cp:lastModifiedBy>Użytkownik systemu Windows</cp:lastModifiedBy>
  <cp:revision>70</cp:revision>
  <cp:lastPrinted>2018-01-30T12:02:00Z</cp:lastPrinted>
  <dcterms:created xsi:type="dcterms:W3CDTF">2017-02-17T10:11:00Z</dcterms:created>
  <dcterms:modified xsi:type="dcterms:W3CDTF">2018-03-14T09:18:00Z</dcterms:modified>
</cp:coreProperties>
</file>