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92" w:rsidRPr="00DB2107" w:rsidRDefault="00BD259F" w:rsidP="00AD734B">
      <w:pPr>
        <w:spacing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DB2107">
        <w:rPr>
          <w:rFonts w:ascii="Times New Roman" w:hAnsi="Times New Roman"/>
        </w:rPr>
        <w:tab/>
      </w:r>
      <w:r w:rsidRPr="00DB2107">
        <w:rPr>
          <w:rFonts w:ascii="Times New Roman" w:hAnsi="Times New Roman"/>
        </w:rPr>
        <w:tab/>
      </w:r>
      <w:r w:rsidRPr="00DB2107">
        <w:rPr>
          <w:rFonts w:ascii="Times New Roman" w:hAnsi="Times New Roman"/>
        </w:rPr>
        <w:tab/>
      </w:r>
      <w:r w:rsidRPr="00DB2107">
        <w:rPr>
          <w:rFonts w:ascii="Times New Roman" w:hAnsi="Times New Roman"/>
        </w:rPr>
        <w:tab/>
      </w:r>
      <w:r w:rsidRPr="00DB2107">
        <w:rPr>
          <w:rFonts w:ascii="Times New Roman" w:hAnsi="Times New Roman"/>
        </w:rPr>
        <w:tab/>
      </w:r>
      <w:r w:rsidRPr="00DB2107">
        <w:rPr>
          <w:rFonts w:ascii="Times New Roman" w:hAnsi="Times New Roman"/>
        </w:rPr>
        <w:tab/>
      </w:r>
      <w:r w:rsidRPr="00DB2107">
        <w:rPr>
          <w:rFonts w:ascii="Times New Roman" w:hAnsi="Times New Roman"/>
        </w:rPr>
        <w:tab/>
      </w:r>
      <w:r w:rsidRPr="00DB2107">
        <w:rPr>
          <w:rFonts w:ascii="Times New Roman" w:hAnsi="Times New Roman"/>
        </w:rPr>
        <w:tab/>
      </w:r>
      <w:r w:rsidRPr="00DB2107">
        <w:rPr>
          <w:rFonts w:ascii="Times New Roman" w:hAnsi="Times New Roman"/>
        </w:rPr>
        <w:tab/>
      </w:r>
      <w:r w:rsidRPr="00DB2107">
        <w:rPr>
          <w:rFonts w:ascii="Times New Roman" w:hAnsi="Times New Roman"/>
        </w:rPr>
        <w:tab/>
      </w:r>
      <w:r w:rsidR="00426E61" w:rsidRPr="00DB2107">
        <w:rPr>
          <w:rFonts w:ascii="Times New Roman" w:hAnsi="Times New Roman"/>
        </w:rPr>
        <w:tab/>
      </w:r>
      <w:r w:rsidR="00426E61" w:rsidRPr="00DB2107">
        <w:rPr>
          <w:rFonts w:ascii="Times New Roman" w:hAnsi="Times New Roman"/>
        </w:rPr>
        <w:tab/>
      </w:r>
      <w:r w:rsidR="00426E61" w:rsidRPr="00DB2107">
        <w:rPr>
          <w:rFonts w:ascii="Times New Roman" w:hAnsi="Times New Roman"/>
        </w:rPr>
        <w:tab/>
      </w:r>
      <w:r w:rsidR="00426E61" w:rsidRPr="00DB2107">
        <w:rPr>
          <w:rFonts w:ascii="Times New Roman" w:hAnsi="Times New Roman"/>
        </w:rPr>
        <w:tab/>
      </w:r>
      <w:r w:rsidR="00426E61" w:rsidRPr="00DB2107">
        <w:rPr>
          <w:rFonts w:ascii="Times New Roman" w:hAnsi="Times New Roman"/>
        </w:rPr>
        <w:tab/>
      </w:r>
      <w:r w:rsidR="00426E61" w:rsidRPr="00DB2107">
        <w:rPr>
          <w:rFonts w:ascii="Times New Roman" w:hAnsi="Times New Roman"/>
        </w:rPr>
        <w:tab/>
      </w:r>
      <w:r w:rsidR="00426E61" w:rsidRPr="00DB2107">
        <w:rPr>
          <w:rFonts w:ascii="Times New Roman" w:hAnsi="Times New Roman"/>
        </w:rPr>
        <w:tab/>
        <w:t xml:space="preserve">          Załącznik nr 2</w:t>
      </w:r>
      <w:r w:rsidRPr="00DB2107">
        <w:rPr>
          <w:rFonts w:ascii="Times New Roman" w:hAnsi="Times New Roman"/>
        </w:rPr>
        <w:t xml:space="preserve">  </w:t>
      </w:r>
    </w:p>
    <w:p w:rsidR="00BD259F" w:rsidRPr="00DB2107" w:rsidRDefault="00BD259F" w:rsidP="00AD734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D92" w:rsidRPr="00DB2107" w:rsidRDefault="008B62FF" w:rsidP="008B62F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DB2107">
        <w:rPr>
          <w:rFonts w:ascii="Times New Roman" w:hAnsi="Times New Roman"/>
          <w:b/>
          <w:sz w:val="24"/>
          <w:szCs w:val="24"/>
        </w:rPr>
        <w:t>Część</w:t>
      </w:r>
      <w:r w:rsidR="007B3AC3" w:rsidRPr="00DB2107">
        <w:rPr>
          <w:rFonts w:ascii="Times New Roman" w:hAnsi="Times New Roman"/>
          <w:b/>
          <w:sz w:val="24"/>
          <w:szCs w:val="24"/>
        </w:rPr>
        <w:t xml:space="preserve"> </w:t>
      </w:r>
      <w:r w:rsidRPr="00DB2107">
        <w:rPr>
          <w:rFonts w:ascii="Times New Roman" w:hAnsi="Times New Roman"/>
          <w:b/>
          <w:sz w:val="24"/>
          <w:szCs w:val="24"/>
        </w:rPr>
        <w:t>2 O</w:t>
      </w:r>
      <w:r w:rsidR="00A93A12" w:rsidRPr="00DB2107">
        <w:rPr>
          <w:rFonts w:ascii="Times New Roman" w:hAnsi="Times New Roman"/>
          <w:b/>
          <w:sz w:val="24"/>
          <w:szCs w:val="24"/>
        </w:rPr>
        <w:t>toczenie symulacyjne</w:t>
      </w:r>
      <w:r w:rsidR="000D20F7">
        <w:rPr>
          <w:rFonts w:ascii="Times New Roman" w:hAnsi="Times New Roman"/>
          <w:b/>
          <w:sz w:val="24"/>
          <w:szCs w:val="24"/>
        </w:rPr>
        <w:t>-multimedia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6577"/>
        <w:gridCol w:w="1254"/>
        <w:gridCol w:w="1595"/>
        <w:gridCol w:w="3987"/>
      </w:tblGrid>
      <w:tr w:rsidR="00DB2107" w:rsidRPr="00DB2107" w:rsidTr="002E15E2">
        <w:trPr>
          <w:cantSplit/>
          <w:trHeight w:val="1401"/>
        </w:trPr>
        <w:tc>
          <w:tcPr>
            <w:tcW w:w="283" w:type="pct"/>
          </w:tcPr>
          <w:p w:rsidR="005C155C" w:rsidRPr="00DB2107" w:rsidRDefault="005C155C" w:rsidP="00AD734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155C" w:rsidRPr="00DB2107" w:rsidRDefault="005C155C" w:rsidP="00AD7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13" w:type="pct"/>
          </w:tcPr>
          <w:p w:rsidR="005C155C" w:rsidRPr="00DB2107" w:rsidRDefault="005C155C" w:rsidP="00AD7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55C" w:rsidRPr="00DB2107" w:rsidRDefault="005C155C" w:rsidP="00AD7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z w:val="24"/>
                <w:szCs w:val="24"/>
              </w:rPr>
              <w:t>WYMAGANE PARAMETRY</w:t>
            </w:r>
          </w:p>
        </w:tc>
        <w:tc>
          <w:tcPr>
            <w:tcW w:w="441" w:type="pct"/>
            <w:textDirection w:val="btLr"/>
            <w:vAlign w:val="center"/>
          </w:tcPr>
          <w:p w:rsidR="005C155C" w:rsidRPr="00DB2107" w:rsidRDefault="005C155C" w:rsidP="00AD73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107">
              <w:rPr>
                <w:rFonts w:ascii="Times New Roman" w:hAnsi="Times New Roman"/>
                <w:sz w:val="18"/>
                <w:szCs w:val="18"/>
              </w:rPr>
              <w:t xml:space="preserve">Sztuk </w:t>
            </w:r>
          </w:p>
        </w:tc>
        <w:tc>
          <w:tcPr>
            <w:tcW w:w="561" w:type="pct"/>
          </w:tcPr>
          <w:p w:rsidR="005C155C" w:rsidRPr="00DB2107" w:rsidRDefault="005C155C" w:rsidP="00AD7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55C" w:rsidRPr="00DB2107" w:rsidRDefault="00E073C9" w:rsidP="00AD734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z w:val="18"/>
                <w:szCs w:val="18"/>
              </w:rPr>
              <w:t>WYMAGANA ODPOWIEDŹ</w:t>
            </w:r>
          </w:p>
        </w:tc>
        <w:tc>
          <w:tcPr>
            <w:tcW w:w="1402" w:type="pct"/>
            <w:vAlign w:val="center"/>
          </w:tcPr>
          <w:p w:rsidR="005C155C" w:rsidRPr="00DB2107" w:rsidRDefault="001371C2" w:rsidP="005C1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107">
              <w:rPr>
                <w:rFonts w:ascii="Times New Roman" w:hAnsi="Times New Roman"/>
                <w:sz w:val="24"/>
                <w:szCs w:val="24"/>
              </w:rPr>
              <w:t>Szczegółowy opis</w:t>
            </w:r>
          </w:p>
        </w:tc>
      </w:tr>
      <w:tr w:rsidR="00DB2107" w:rsidRPr="00DB2107" w:rsidTr="002E15E2">
        <w:trPr>
          <w:trHeight w:val="571"/>
        </w:trPr>
        <w:tc>
          <w:tcPr>
            <w:tcW w:w="283" w:type="pct"/>
            <w:vMerge w:val="restart"/>
            <w:vAlign w:val="center"/>
          </w:tcPr>
          <w:p w:rsidR="005C155C" w:rsidRPr="00DB2107" w:rsidRDefault="005C155C" w:rsidP="005A1775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13" w:type="pct"/>
            <w:vMerge w:val="restart"/>
            <w:vAlign w:val="center"/>
          </w:tcPr>
          <w:p w:rsidR="005C155C" w:rsidRPr="00DB2107" w:rsidRDefault="005C155C" w:rsidP="005C155C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Stanowisko sterowania (sala wysokiej wierności, poz. 5 wniosku o dofinansowanie)</w:t>
            </w:r>
          </w:p>
        </w:tc>
        <w:tc>
          <w:tcPr>
            <w:tcW w:w="441" w:type="pct"/>
            <w:vMerge w:val="restar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Align w:val="center"/>
          </w:tcPr>
          <w:p w:rsidR="005C155C" w:rsidRPr="00DB2107" w:rsidRDefault="005C155C" w:rsidP="005C155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2107">
              <w:rPr>
                <w:rFonts w:ascii="Times New Roman" w:hAnsi="Times New Roman"/>
                <w:iCs/>
                <w:sz w:val="24"/>
                <w:szCs w:val="24"/>
              </w:rPr>
              <w:t xml:space="preserve">Producent </w:t>
            </w: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571"/>
        </w:trPr>
        <w:tc>
          <w:tcPr>
            <w:tcW w:w="283" w:type="pct"/>
            <w:vMerge/>
            <w:vAlign w:val="center"/>
          </w:tcPr>
          <w:p w:rsidR="005C155C" w:rsidRPr="00DB2107" w:rsidRDefault="005C155C" w:rsidP="005A1775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13" w:type="pct"/>
            <w:vMerge/>
          </w:tcPr>
          <w:p w:rsidR="005C155C" w:rsidRPr="00DB2107" w:rsidRDefault="005C155C" w:rsidP="005A177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vMerge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C155C" w:rsidRPr="00DB2107" w:rsidRDefault="005C155C" w:rsidP="005C1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Pr="00DB2107">
              <w:rPr>
                <w:rFonts w:ascii="Times New Roman" w:hAnsi="Times New Roman"/>
                <w:sz w:val="24"/>
                <w:szCs w:val="24"/>
              </w:rPr>
              <w:t>yp/model/rok produkcji</w:t>
            </w: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571"/>
        </w:trPr>
        <w:tc>
          <w:tcPr>
            <w:tcW w:w="283" w:type="pct"/>
            <w:vMerge/>
            <w:vAlign w:val="center"/>
          </w:tcPr>
          <w:p w:rsidR="005C155C" w:rsidRPr="00DB2107" w:rsidRDefault="005C155C" w:rsidP="005A1775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13" w:type="pct"/>
            <w:vMerge/>
          </w:tcPr>
          <w:p w:rsidR="005C155C" w:rsidRPr="00DB2107" w:rsidRDefault="005C155C" w:rsidP="005A177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vMerge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C155C" w:rsidRPr="00DB2107" w:rsidRDefault="005C155C" w:rsidP="005C155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2107">
              <w:rPr>
                <w:rFonts w:ascii="Times New Roman" w:hAnsi="Times New Roman"/>
                <w:iCs/>
                <w:sz w:val="24"/>
                <w:szCs w:val="24"/>
              </w:rPr>
              <w:t>TAK</w:t>
            </w:r>
          </w:p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571"/>
        </w:trPr>
        <w:tc>
          <w:tcPr>
            <w:tcW w:w="283" w:type="pct"/>
            <w:vAlign w:val="center"/>
          </w:tcPr>
          <w:p w:rsidR="005C155C" w:rsidRPr="00DB2107" w:rsidRDefault="00A974FF" w:rsidP="00A974FF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DB2107">
              <w:rPr>
                <w:rFonts w:ascii="Times New Roman" w:hAnsi="Times New Roman"/>
                <w:b/>
                <w:lang w:eastAsia="pl-PL"/>
              </w:rPr>
              <w:t>1.1.</w:t>
            </w:r>
          </w:p>
        </w:tc>
        <w:tc>
          <w:tcPr>
            <w:tcW w:w="2313" w:type="pct"/>
          </w:tcPr>
          <w:p w:rsidR="005C155C" w:rsidRPr="00DB2107" w:rsidRDefault="005C155C" w:rsidP="005A177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Oprogramowanie do sterowania systemem telewizyjnym z funkcjami: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Sterowanie kamerami zrobotyzowanymi</w:t>
            </w:r>
            <w:r w:rsidR="001371C2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Wyświetlanie na ekranie monitora obrazu z 1-6 kamer. Sterowania kamerami za pomocą klawiatury (skróty klawiszowe), myszki (naciśnięcie na obrazie kamery i wykonanie jej ruchu) oraz kontrolera zewnętrznego podłączanego do portu USB (kontroler dostarczony wraz z oprogramowaniem). Oprogramowanie musi umożliwiać przełączanie się pomiędzy salami symulacyjnymi min. 3, w których znajdują się kamery. Oprogramowanie powinno zapewnić sterowania mikserem wizji, poprzez minimalną funkcjonalność - wybranie przycisku pod oknem kamery (kliknięcie przycisku pierwszego – przełączenie 1danej kamery na tor 1 - program, kliknięcie przycisku drugiego – przełączenie danej kamery na tor 2 - </w:t>
            </w:r>
            <w:proofErr w:type="spellStart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preview</w:t>
            </w:r>
            <w:proofErr w:type="spellEnd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). Oprogramowanie musi posiadać funkcję ładowania scen kamer - zapamiętanych pozycji PTZ, poprzez kliknięcie na danej pozycji lewym przyciskiem myszy. Oprogramowanie skompilowane w architekturze 64-bitowej.</w:t>
            </w:r>
          </w:p>
        </w:tc>
        <w:tc>
          <w:tcPr>
            <w:tcW w:w="44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571"/>
        </w:trPr>
        <w:tc>
          <w:tcPr>
            <w:tcW w:w="283" w:type="pct"/>
            <w:vAlign w:val="center"/>
          </w:tcPr>
          <w:p w:rsidR="002E15E2" w:rsidRPr="00DB2107" w:rsidRDefault="002E15E2" w:rsidP="002E15E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13" w:type="pct"/>
          </w:tcPr>
          <w:p w:rsidR="002E15E2" w:rsidRPr="00DB2107" w:rsidRDefault="002E15E2" w:rsidP="005A1775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Pomieszczenie kontrolne </w:t>
            </w:r>
          </w:p>
        </w:tc>
        <w:tc>
          <w:tcPr>
            <w:tcW w:w="441" w:type="pct"/>
            <w:vAlign w:val="center"/>
          </w:tcPr>
          <w:p w:rsidR="002E15E2" w:rsidRPr="00DB2107" w:rsidRDefault="002E15E2" w:rsidP="005A177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2E15E2" w:rsidRPr="00DB2107" w:rsidRDefault="002E15E2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2E15E2" w:rsidRPr="00DB2107" w:rsidRDefault="002E15E2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571"/>
        </w:trPr>
        <w:tc>
          <w:tcPr>
            <w:tcW w:w="283" w:type="pct"/>
            <w:vAlign w:val="center"/>
          </w:tcPr>
          <w:p w:rsidR="005C155C" w:rsidRPr="00DB2107" w:rsidRDefault="00A974FF" w:rsidP="00A974FF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DB2107">
              <w:rPr>
                <w:rFonts w:ascii="Times New Roman" w:hAnsi="Times New Roman"/>
                <w:b/>
                <w:lang w:eastAsia="pl-PL"/>
              </w:rPr>
              <w:lastRenderedPageBreak/>
              <w:t>2.1.</w:t>
            </w:r>
          </w:p>
        </w:tc>
        <w:tc>
          <w:tcPr>
            <w:tcW w:w="2313" w:type="pct"/>
          </w:tcPr>
          <w:p w:rsidR="005C155C" w:rsidRPr="00DB2107" w:rsidRDefault="005C155C" w:rsidP="00B908D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Stacja robocza (do obsługi systemu):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Wyspecjalizowany komputer do montażu w obudowie </w:t>
            </w:r>
            <w:proofErr w:type="spellStart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rackowej</w:t>
            </w:r>
            <w:proofErr w:type="spellEnd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procesor co najmniej o ilości punktów </w:t>
            </w:r>
            <w:proofErr w:type="spellStart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passmark</w:t>
            </w:r>
            <w:proofErr w:type="spellEnd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11 tyś,  minimum 16 GB RAM, karta graficzna o ilości punktów </w:t>
            </w:r>
            <w:proofErr w:type="spellStart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passmark</w:t>
            </w:r>
            <w:proofErr w:type="spellEnd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najmniej 6,8 tyś. minimum jeden dysk  SSD 512GB oraz dwa dyski SATA 2TB). Wyposażony w kartę lub karty do przechwycenia łącznie </w:t>
            </w:r>
            <w:r w:rsidR="00B908D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czterech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sygnałów SDI na slot PCI-E</w:t>
            </w:r>
            <w:r w:rsidR="00B908D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Komputer skonfigurowany, przetestowany, gotowy do pracy.</w:t>
            </w:r>
          </w:p>
        </w:tc>
        <w:tc>
          <w:tcPr>
            <w:tcW w:w="44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171"/>
        </w:trPr>
        <w:tc>
          <w:tcPr>
            <w:tcW w:w="283" w:type="pct"/>
            <w:vAlign w:val="center"/>
          </w:tcPr>
          <w:p w:rsidR="005C155C" w:rsidRPr="00DB2107" w:rsidRDefault="00A974FF" w:rsidP="00A974FF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DB2107">
              <w:rPr>
                <w:rFonts w:ascii="Times New Roman" w:hAnsi="Times New Roman"/>
                <w:b/>
                <w:lang w:eastAsia="pl-PL"/>
              </w:rPr>
              <w:t>2.2.</w:t>
            </w:r>
          </w:p>
        </w:tc>
        <w:tc>
          <w:tcPr>
            <w:tcW w:w="2313" w:type="pct"/>
          </w:tcPr>
          <w:p w:rsidR="005C155C" w:rsidRPr="00DB2107" w:rsidRDefault="005C155C" w:rsidP="005A177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Oprogramowanie do </w:t>
            </w:r>
            <w:proofErr w:type="spellStart"/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compositingu</w:t>
            </w:r>
            <w:proofErr w:type="spellEnd"/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wideo/ rejestracji materiału -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audiowizualnym mikser programowym wyposażony w funkcje : - nagrywania materiału wynikowego, streamingu materiału do </w:t>
            </w:r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nternetu, podłączenia co najmniej 1000 wejść (grafik, animacji, plansz, itp.), pokazaniu ekranu wynikowego na pełnym ekranie drugiego monitora, zapisywaniu </w:t>
            </w:r>
            <w:proofErr w:type="spellStart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layout'ów</w:t>
            </w:r>
            <w:proofErr w:type="spellEnd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presetów</w:t>
            </w:r>
            <w:proofErr w:type="spellEnd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) kompozycji materiału wynikowego.</w:t>
            </w:r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Oprogramowanie musi być sprzężone z oprogramowaniem do sterowania systemem audiowizualnym poprzez automatyczną rejestrację pliku wideo, przy wyzwoleniu przycisku </w:t>
            </w:r>
            <w:proofErr w:type="spellStart"/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record</w:t>
            </w:r>
            <w:proofErr w:type="spellEnd"/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wyżej wymienionej aplikacji. Oprogramowanie musi być również sprzężone z systemem OSCE. </w:t>
            </w:r>
          </w:p>
        </w:tc>
        <w:tc>
          <w:tcPr>
            <w:tcW w:w="44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283"/>
        </w:trPr>
        <w:tc>
          <w:tcPr>
            <w:tcW w:w="283" w:type="pct"/>
            <w:vAlign w:val="center"/>
          </w:tcPr>
          <w:p w:rsidR="005C155C" w:rsidRPr="00DB2107" w:rsidRDefault="00A974FF" w:rsidP="00A974FF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DB2107">
              <w:rPr>
                <w:rFonts w:ascii="Times New Roman" w:hAnsi="Times New Roman"/>
                <w:b/>
                <w:lang w:eastAsia="pl-PL"/>
              </w:rPr>
              <w:t>2.3.</w:t>
            </w:r>
          </w:p>
        </w:tc>
        <w:tc>
          <w:tcPr>
            <w:tcW w:w="2313" w:type="pct"/>
          </w:tcPr>
          <w:p w:rsidR="005C155C" w:rsidRPr="00DB2107" w:rsidRDefault="005C155C" w:rsidP="005519AB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Monitor - LED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 przekątnej ekranu wynoszącej min. 23", rozdzielczości Full HD 1920 x 1080, czasie reakcji do 5 ms, złącze HDMI. Zestaw konwerterów do </w:t>
            </w:r>
            <w:proofErr w:type="spellStart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przesyłu</w:t>
            </w:r>
            <w:proofErr w:type="spellEnd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wizji z serwerowni do 6 monitorów</w:t>
            </w:r>
          </w:p>
        </w:tc>
        <w:tc>
          <w:tcPr>
            <w:tcW w:w="441" w:type="pct"/>
            <w:vAlign w:val="center"/>
          </w:tcPr>
          <w:p w:rsidR="005C155C" w:rsidRPr="00DB2107" w:rsidRDefault="005C155C" w:rsidP="005A1775">
            <w:pPr>
              <w:spacing w:after="0"/>
              <w:jc w:val="center"/>
            </w:pPr>
            <w:r w:rsidRPr="00DB2107">
              <w:t>3</w:t>
            </w:r>
          </w:p>
        </w:tc>
        <w:tc>
          <w:tcPr>
            <w:tcW w:w="56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283"/>
        </w:trPr>
        <w:tc>
          <w:tcPr>
            <w:tcW w:w="283" w:type="pct"/>
            <w:vAlign w:val="center"/>
          </w:tcPr>
          <w:p w:rsidR="005C155C" w:rsidRPr="00DB2107" w:rsidRDefault="00A974FF" w:rsidP="00A974FF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DB2107">
              <w:rPr>
                <w:rFonts w:ascii="Times New Roman" w:hAnsi="Times New Roman"/>
                <w:b/>
                <w:lang w:eastAsia="pl-PL"/>
              </w:rPr>
              <w:t>2.4.</w:t>
            </w:r>
          </w:p>
        </w:tc>
        <w:tc>
          <w:tcPr>
            <w:tcW w:w="2313" w:type="pct"/>
          </w:tcPr>
          <w:p w:rsidR="005C155C" w:rsidRPr="00DB2107" w:rsidRDefault="005C155C" w:rsidP="005A177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Profesjonalny mikser telewizyjny,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posiadający co najmniej: 8 wejść (SDI lub HDMI), 1 tor realizacyjny, 1 wyjście AUX, złącze Ethernet, 1 wyjście </w:t>
            </w:r>
            <w:proofErr w:type="spellStart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Multiview</w:t>
            </w:r>
            <w:proofErr w:type="spellEnd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. Działanie minimum w standardach SD i HD. Sterowanie i konfiguracja miksera poprzez dedykowaną aplikację na komputerze typu PC.</w:t>
            </w:r>
          </w:p>
        </w:tc>
        <w:tc>
          <w:tcPr>
            <w:tcW w:w="441" w:type="pct"/>
            <w:vAlign w:val="center"/>
          </w:tcPr>
          <w:p w:rsidR="005C155C" w:rsidRPr="00DB2107" w:rsidRDefault="005C155C" w:rsidP="005A1775">
            <w:pPr>
              <w:spacing w:after="0"/>
              <w:jc w:val="center"/>
            </w:pPr>
            <w:r w:rsidRPr="00DB2107">
              <w:t>1</w:t>
            </w:r>
          </w:p>
        </w:tc>
        <w:tc>
          <w:tcPr>
            <w:tcW w:w="56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283"/>
        </w:trPr>
        <w:tc>
          <w:tcPr>
            <w:tcW w:w="283" w:type="pct"/>
            <w:vAlign w:val="center"/>
          </w:tcPr>
          <w:p w:rsidR="002E15E2" w:rsidRPr="00DB2107" w:rsidRDefault="002E15E2" w:rsidP="005A1775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13" w:type="pct"/>
          </w:tcPr>
          <w:p w:rsidR="002E15E2" w:rsidRPr="00DB2107" w:rsidRDefault="002E15E2" w:rsidP="005A1775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Sala OSCE</w:t>
            </w:r>
          </w:p>
        </w:tc>
        <w:tc>
          <w:tcPr>
            <w:tcW w:w="441" w:type="pct"/>
            <w:vAlign w:val="center"/>
          </w:tcPr>
          <w:p w:rsidR="002E15E2" w:rsidRPr="00DB2107" w:rsidRDefault="002E15E2" w:rsidP="005A1775">
            <w:pPr>
              <w:spacing w:after="0"/>
              <w:jc w:val="center"/>
            </w:pPr>
          </w:p>
        </w:tc>
        <w:tc>
          <w:tcPr>
            <w:tcW w:w="561" w:type="pct"/>
            <w:vAlign w:val="center"/>
          </w:tcPr>
          <w:p w:rsidR="002E15E2" w:rsidRPr="00DB2107" w:rsidRDefault="002E15E2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2E15E2" w:rsidRPr="00DB2107" w:rsidRDefault="002E15E2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283"/>
        </w:trPr>
        <w:tc>
          <w:tcPr>
            <w:tcW w:w="283" w:type="pct"/>
            <w:vAlign w:val="center"/>
          </w:tcPr>
          <w:p w:rsidR="005C155C" w:rsidRPr="00DB2107" w:rsidRDefault="00A974FF" w:rsidP="00A974FF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lang w:eastAsia="pl-PL"/>
              </w:rPr>
            </w:pPr>
            <w:r w:rsidRPr="00DB2107">
              <w:rPr>
                <w:rFonts w:ascii="Times New Roman" w:hAnsi="Times New Roman"/>
                <w:b/>
                <w:lang w:eastAsia="pl-PL"/>
              </w:rPr>
              <w:t>3.1.</w:t>
            </w:r>
          </w:p>
        </w:tc>
        <w:tc>
          <w:tcPr>
            <w:tcW w:w="2313" w:type="pct"/>
          </w:tcPr>
          <w:p w:rsidR="005C155C" w:rsidRPr="00DB2107" w:rsidRDefault="005C155C" w:rsidP="005A177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Telewizyjna kamera zrobotyzowana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PTZ</w:t>
            </w:r>
            <w:r w:rsidR="00B908D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HD-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SDI, Przetwornik co najmniej ¼” CCD,  obrót o co najmniej 340 stopni w poziomie oraz od -30st. do +90st. w pionie, sterowanie za pomocą protokołu VISCA przy pomocy gniazda RS 485/232, zoom optyczny co najmniej 12x, możliwość pracy w dwóch trybach: automatycznym oraz manualnym (z opcją ustawienia ekspozycji: GAIN, IRIS, WB, SHUTTER) oraz funkcją automatycznej i manualnej regulacji ostrości. 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Możliwość zapamiętywania </w:t>
            </w:r>
            <w:proofErr w:type="spellStart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presetów</w:t>
            </w:r>
            <w:proofErr w:type="spellEnd"/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PTZ, trybów pracy oraz  parametrów ekspozycji w pamięci kamery (co najmniej sześć różnych ustawień). Możliwość pracy w pozycji odwróconej (umożliwiająca montaż sufitowy). Wyjście </w:t>
            </w:r>
            <w:r w:rsidR="00B908D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HD-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SDI.</w:t>
            </w:r>
          </w:p>
        </w:tc>
        <w:tc>
          <w:tcPr>
            <w:tcW w:w="441" w:type="pct"/>
            <w:vAlign w:val="center"/>
          </w:tcPr>
          <w:p w:rsidR="005C155C" w:rsidRPr="00DB2107" w:rsidRDefault="00BD1B05" w:rsidP="005A1775">
            <w:pPr>
              <w:spacing w:after="0"/>
              <w:jc w:val="center"/>
            </w:pPr>
            <w:r w:rsidRPr="00DB2107">
              <w:lastRenderedPageBreak/>
              <w:t>4</w:t>
            </w:r>
          </w:p>
        </w:tc>
        <w:tc>
          <w:tcPr>
            <w:tcW w:w="56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283"/>
        </w:trPr>
        <w:tc>
          <w:tcPr>
            <w:tcW w:w="283" w:type="pct"/>
            <w:vAlign w:val="center"/>
          </w:tcPr>
          <w:p w:rsidR="005C155C" w:rsidRPr="00DB2107" w:rsidRDefault="00A974FF" w:rsidP="00A974FF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lang w:eastAsia="pl-PL"/>
              </w:rPr>
            </w:pPr>
            <w:r w:rsidRPr="00DB2107">
              <w:rPr>
                <w:rFonts w:ascii="Times New Roman" w:hAnsi="Times New Roman"/>
                <w:b/>
                <w:lang w:eastAsia="pl-PL"/>
              </w:rPr>
              <w:lastRenderedPageBreak/>
              <w:t>3.2.</w:t>
            </w:r>
          </w:p>
        </w:tc>
        <w:tc>
          <w:tcPr>
            <w:tcW w:w="2313" w:type="pct"/>
          </w:tcPr>
          <w:p w:rsidR="005C155C" w:rsidRPr="00DB2107" w:rsidRDefault="005C155C" w:rsidP="00B908D5">
            <w:pPr>
              <w:pStyle w:val="Standard"/>
            </w:pPr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System przekazywania dźwięku na wybraną salę (interkom)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wzmacniacz dźwięku </w:t>
            </w:r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+ 4 gło</w:t>
            </w:r>
            <w:r w:rsidR="00A1756A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ś</w:t>
            </w:r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nik</w:t>
            </w:r>
            <w:r w:rsidR="001371C2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i (do zamontowania na suficie lub ścianie)</w:t>
            </w:r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+ mikrofon </w:t>
            </w:r>
            <w:proofErr w:type="spellStart"/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interkomowy</w:t>
            </w:r>
            <w:proofErr w:type="spellEnd"/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zestaw urządzeń służący do dwukierunkowej komunikacji w jednej z </w:t>
            </w:r>
            <w:proofErr w:type="spellStart"/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sal</w:t>
            </w:r>
            <w:proofErr w:type="spellEnd"/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do odbioru sygnał</w:t>
            </w:r>
            <w:r w:rsidR="001371C2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</w:t>
            </w:r>
            <w:r w:rsidR="001371C2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="00BD1B0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ali OSCE. System 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wyjściem 100 V zintegrowany z systemem wideo z możliwością nadawania dźwięku ze sterowni symulacji do wybranej sali symulacyjnej do głośników na niej zamontowanych </w:t>
            </w:r>
            <w:r w:rsidR="00B908D5"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>(opcja do rozbudowy – musi posiadać taką funkcjonalność pozwalającą tylko na podłączeniu kolejnych głośników w pozostałych salach)</w:t>
            </w:r>
          </w:p>
        </w:tc>
        <w:tc>
          <w:tcPr>
            <w:tcW w:w="441" w:type="pct"/>
            <w:vAlign w:val="center"/>
          </w:tcPr>
          <w:p w:rsidR="005C155C" w:rsidRPr="00DB2107" w:rsidRDefault="005C155C" w:rsidP="005A1775">
            <w:pPr>
              <w:spacing w:after="0"/>
              <w:jc w:val="center"/>
            </w:pPr>
            <w:r w:rsidRPr="00DB2107">
              <w:t>1</w:t>
            </w:r>
          </w:p>
        </w:tc>
        <w:tc>
          <w:tcPr>
            <w:tcW w:w="56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2E15E2">
        <w:trPr>
          <w:trHeight w:val="283"/>
        </w:trPr>
        <w:tc>
          <w:tcPr>
            <w:tcW w:w="283" w:type="pct"/>
            <w:vAlign w:val="center"/>
          </w:tcPr>
          <w:p w:rsidR="005C155C" w:rsidRPr="00DB2107" w:rsidRDefault="00A974FF" w:rsidP="00A974FF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lang w:eastAsia="pl-PL"/>
              </w:rPr>
            </w:pPr>
            <w:r w:rsidRPr="00DB2107">
              <w:rPr>
                <w:rFonts w:ascii="Times New Roman" w:hAnsi="Times New Roman"/>
                <w:b/>
                <w:lang w:eastAsia="pl-PL"/>
              </w:rPr>
              <w:t>3.3.</w:t>
            </w:r>
          </w:p>
        </w:tc>
        <w:tc>
          <w:tcPr>
            <w:tcW w:w="2313" w:type="pct"/>
          </w:tcPr>
          <w:p w:rsidR="005C155C" w:rsidRPr="00DB2107" w:rsidRDefault="005C155C" w:rsidP="005A177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210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Mikrofony przewodowe</w:t>
            </w:r>
            <w:r w:rsidRPr="00DB210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podwieszenia do sufitu, nad stanowiskami symulacyjnymi. Mikrofony zintegrowane z systemem wideo</w:t>
            </w:r>
          </w:p>
        </w:tc>
        <w:tc>
          <w:tcPr>
            <w:tcW w:w="441" w:type="pct"/>
            <w:vAlign w:val="center"/>
          </w:tcPr>
          <w:p w:rsidR="005C155C" w:rsidRPr="00DB2107" w:rsidRDefault="005C155C" w:rsidP="005A1775">
            <w:pPr>
              <w:spacing w:after="0"/>
              <w:jc w:val="center"/>
            </w:pPr>
            <w:r w:rsidRPr="00DB2107">
              <w:t>4</w:t>
            </w:r>
          </w:p>
        </w:tc>
        <w:tc>
          <w:tcPr>
            <w:tcW w:w="561" w:type="pct"/>
            <w:vAlign w:val="center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5C155C" w:rsidRPr="00DB2107" w:rsidRDefault="005C155C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1371C2">
        <w:trPr>
          <w:trHeight w:val="283"/>
        </w:trPr>
        <w:tc>
          <w:tcPr>
            <w:tcW w:w="5000" w:type="pct"/>
            <w:gridSpan w:val="5"/>
            <w:vAlign w:val="center"/>
          </w:tcPr>
          <w:p w:rsidR="001371C2" w:rsidRPr="00DB2107" w:rsidRDefault="001371C2" w:rsidP="005A177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b/>
                <w:sz w:val="24"/>
                <w:szCs w:val="24"/>
              </w:rPr>
              <w:t>WARUNKI SERWISU GWARANCYJNEGO</w:t>
            </w:r>
          </w:p>
        </w:tc>
      </w:tr>
      <w:tr w:rsidR="00DB2107" w:rsidRPr="00DB2107" w:rsidTr="001371C2">
        <w:trPr>
          <w:trHeight w:val="283"/>
        </w:trPr>
        <w:tc>
          <w:tcPr>
            <w:tcW w:w="283" w:type="pct"/>
            <w:vAlign w:val="center"/>
          </w:tcPr>
          <w:p w:rsidR="008B3514" w:rsidRPr="00DB2107" w:rsidRDefault="008B3514" w:rsidP="008B3514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pct"/>
            <w:vAlign w:val="center"/>
          </w:tcPr>
          <w:p w:rsidR="008B3514" w:rsidRPr="00DB2107" w:rsidRDefault="008B3514" w:rsidP="008B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z w:val="24"/>
                <w:szCs w:val="24"/>
              </w:rPr>
              <w:t xml:space="preserve">Okres gwarancji minimum </w:t>
            </w:r>
            <w:r w:rsidR="008B62FF" w:rsidRPr="00DB2107">
              <w:rPr>
                <w:rFonts w:ascii="Times New Roman" w:hAnsi="Times New Roman"/>
                <w:sz w:val="24"/>
                <w:szCs w:val="24"/>
              </w:rPr>
              <w:t>1 rok</w:t>
            </w:r>
            <w:r w:rsidRPr="00DB2107">
              <w:rPr>
                <w:rFonts w:ascii="Times New Roman" w:hAnsi="Times New Roman"/>
                <w:sz w:val="24"/>
                <w:szCs w:val="24"/>
              </w:rPr>
              <w:t xml:space="preserve"> od daty podpisania przez obie strony protokołu zdawczo – odbiorczego</w:t>
            </w:r>
          </w:p>
          <w:p w:rsidR="0031100A" w:rsidRPr="00DB2107" w:rsidRDefault="0031100A" w:rsidP="008B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i/>
                <w:sz w:val="24"/>
                <w:szCs w:val="24"/>
              </w:rPr>
              <w:t>(punkt ten jest oceniany jako jedno z kryteriów oceny ofert)</w:t>
            </w:r>
          </w:p>
          <w:p w:rsidR="008B62FF" w:rsidRPr="00DB2107" w:rsidRDefault="008B62FF" w:rsidP="008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07">
              <w:rPr>
                <w:rFonts w:ascii="Times New Roman" w:hAnsi="Times New Roman"/>
                <w:sz w:val="20"/>
                <w:szCs w:val="20"/>
              </w:rPr>
              <w:t>1 rok – 0pkt</w:t>
            </w:r>
          </w:p>
          <w:p w:rsidR="008B62FF" w:rsidRPr="00DB2107" w:rsidRDefault="008B62FF" w:rsidP="008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07">
              <w:rPr>
                <w:rFonts w:ascii="Times New Roman" w:hAnsi="Times New Roman"/>
                <w:sz w:val="20"/>
                <w:szCs w:val="20"/>
              </w:rPr>
              <w:t>2 lata – 10 pkt</w:t>
            </w:r>
          </w:p>
          <w:p w:rsidR="008B62FF" w:rsidRPr="00DB2107" w:rsidRDefault="008B62FF" w:rsidP="008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07">
              <w:rPr>
                <w:rFonts w:ascii="Times New Roman" w:hAnsi="Times New Roman"/>
                <w:sz w:val="20"/>
                <w:szCs w:val="20"/>
              </w:rPr>
              <w:t>3 lata – 20pkt</w:t>
            </w:r>
          </w:p>
          <w:p w:rsidR="008B62FF" w:rsidRPr="00DB2107" w:rsidRDefault="008B62FF" w:rsidP="008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07">
              <w:rPr>
                <w:rFonts w:ascii="Times New Roman" w:hAnsi="Times New Roman"/>
                <w:sz w:val="20"/>
                <w:szCs w:val="20"/>
              </w:rPr>
              <w:t>4 lata i więcej – 40 pkt</w:t>
            </w:r>
          </w:p>
          <w:p w:rsidR="008B62FF" w:rsidRPr="00DB2107" w:rsidRDefault="008B62FF" w:rsidP="008B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8B3514" w:rsidRPr="00DB2107" w:rsidRDefault="008B3514" w:rsidP="008B351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107">
              <w:rPr>
                <w:rFonts w:ascii="Times New Roman" w:hAnsi="Times New Roman"/>
                <w:sz w:val="20"/>
                <w:szCs w:val="24"/>
              </w:rPr>
              <w:t>TAK</w:t>
            </w:r>
          </w:p>
          <w:p w:rsidR="008B3514" w:rsidRPr="00DB2107" w:rsidRDefault="008B3514" w:rsidP="008B351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107">
              <w:rPr>
                <w:rFonts w:ascii="Times New Roman" w:hAnsi="Times New Roman"/>
                <w:sz w:val="20"/>
                <w:szCs w:val="24"/>
              </w:rPr>
              <w:t>Podać</w:t>
            </w:r>
          </w:p>
        </w:tc>
        <w:tc>
          <w:tcPr>
            <w:tcW w:w="1963" w:type="pct"/>
            <w:gridSpan w:val="2"/>
            <w:vAlign w:val="center"/>
          </w:tcPr>
          <w:p w:rsidR="008B3514" w:rsidRPr="00DB2107" w:rsidRDefault="008B3514" w:rsidP="008B351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1371C2">
        <w:trPr>
          <w:trHeight w:val="283"/>
        </w:trPr>
        <w:tc>
          <w:tcPr>
            <w:tcW w:w="283" w:type="pct"/>
            <w:vAlign w:val="center"/>
          </w:tcPr>
          <w:p w:rsidR="008B3514" w:rsidRPr="00DB2107" w:rsidRDefault="008B3514" w:rsidP="008B3514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pct"/>
          </w:tcPr>
          <w:p w:rsidR="008B3514" w:rsidRPr="00DB2107" w:rsidRDefault="008B3514" w:rsidP="008B351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Serwis Gwarancyjny świadczony będzie przez - </w:t>
            </w:r>
          </w:p>
        </w:tc>
        <w:tc>
          <w:tcPr>
            <w:tcW w:w="441" w:type="pct"/>
            <w:vAlign w:val="center"/>
          </w:tcPr>
          <w:p w:rsidR="008B3514" w:rsidRPr="00DB2107" w:rsidRDefault="008B3514" w:rsidP="008B351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107">
              <w:rPr>
                <w:rFonts w:ascii="Times New Roman" w:hAnsi="Times New Roman"/>
                <w:sz w:val="20"/>
                <w:szCs w:val="24"/>
              </w:rPr>
              <w:t>Podać</w:t>
            </w:r>
          </w:p>
        </w:tc>
        <w:tc>
          <w:tcPr>
            <w:tcW w:w="1963" w:type="pct"/>
            <w:gridSpan w:val="2"/>
            <w:vAlign w:val="center"/>
          </w:tcPr>
          <w:p w:rsidR="008B3514" w:rsidRPr="00DB2107" w:rsidRDefault="008B3514" w:rsidP="008B351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07" w:rsidRPr="00DB2107" w:rsidTr="001371C2">
        <w:trPr>
          <w:trHeight w:val="283"/>
        </w:trPr>
        <w:tc>
          <w:tcPr>
            <w:tcW w:w="283" w:type="pct"/>
            <w:vAlign w:val="center"/>
          </w:tcPr>
          <w:p w:rsidR="008B3514" w:rsidRPr="00DB2107" w:rsidRDefault="008B3514" w:rsidP="008B3514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pct"/>
            <w:vAlign w:val="center"/>
          </w:tcPr>
          <w:p w:rsidR="008B3514" w:rsidRPr="00DB2107" w:rsidRDefault="008B3514" w:rsidP="008B351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B2107">
              <w:rPr>
                <w:rFonts w:ascii="Times New Roman" w:hAnsi="Times New Roman"/>
                <w:snapToGrid w:val="0"/>
                <w:sz w:val="24"/>
                <w:szCs w:val="24"/>
              </w:rPr>
              <w:t>Forma zgłoszeń: telefonicznie, faxem, e-mail, pisemnie</w:t>
            </w:r>
          </w:p>
        </w:tc>
        <w:tc>
          <w:tcPr>
            <w:tcW w:w="441" w:type="pct"/>
            <w:vAlign w:val="center"/>
          </w:tcPr>
          <w:p w:rsidR="008B3514" w:rsidRPr="00DB2107" w:rsidRDefault="008B3514" w:rsidP="008B351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2107">
              <w:rPr>
                <w:rFonts w:ascii="Times New Roman" w:hAnsi="Times New Roman"/>
                <w:sz w:val="20"/>
                <w:szCs w:val="24"/>
              </w:rPr>
              <w:t>Podać</w:t>
            </w:r>
          </w:p>
        </w:tc>
        <w:tc>
          <w:tcPr>
            <w:tcW w:w="1963" w:type="pct"/>
            <w:gridSpan w:val="2"/>
            <w:vAlign w:val="center"/>
          </w:tcPr>
          <w:p w:rsidR="008B3514" w:rsidRPr="00DB2107" w:rsidRDefault="008B3514" w:rsidP="008B351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A74" w:rsidRPr="00DB2107" w:rsidRDefault="00573A74" w:rsidP="00AD734B">
      <w:pPr>
        <w:tabs>
          <w:tab w:val="left" w:pos="450"/>
        </w:tabs>
        <w:spacing w:after="0" w:line="276" w:lineRule="auto"/>
        <w:rPr>
          <w:rFonts w:ascii="Times New Roman" w:hAnsi="Times New Roman"/>
          <w:b/>
        </w:rPr>
      </w:pPr>
    </w:p>
    <w:p w:rsidR="009664F6" w:rsidRPr="00DB2107" w:rsidRDefault="009664F6" w:rsidP="009664F6">
      <w:pPr>
        <w:tabs>
          <w:tab w:val="left" w:pos="450"/>
        </w:tabs>
        <w:spacing w:after="0" w:line="276" w:lineRule="auto"/>
        <w:rPr>
          <w:rFonts w:ascii="Times New Roman" w:hAnsi="Times New Roman"/>
          <w:b/>
        </w:rPr>
      </w:pPr>
      <w:r w:rsidRPr="00DB2107">
        <w:rPr>
          <w:rFonts w:ascii="Times New Roman" w:hAnsi="Times New Roman"/>
          <w:b/>
        </w:rPr>
        <w:t xml:space="preserve">Wykonawca zobowiązany jest w formularzu </w:t>
      </w:r>
      <w:r w:rsidR="008B62FF" w:rsidRPr="00DB2107">
        <w:rPr>
          <w:rFonts w:ascii="Times New Roman" w:hAnsi="Times New Roman"/>
          <w:b/>
        </w:rPr>
        <w:t>rzeczowo-</w:t>
      </w:r>
      <w:r w:rsidRPr="00DB2107">
        <w:rPr>
          <w:rFonts w:ascii="Times New Roman" w:hAnsi="Times New Roman"/>
          <w:b/>
        </w:rPr>
        <w:t xml:space="preserve">cenowym (załącznik nr 1.1 do SIWZ) do podania osobnych cen dla sprzętu wyszczególnionego w pozycjach </w:t>
      </w:r>
      <w:r w:rsidR="00A974FF" w:rsidRPr="00DB2107">
        <w:rPr>
          <w:rFonts w:ascii="Times New Roman" w:hAnsi="Times New Roman"/>
          <w:b/>
        </w:rPr>
        <w:t>1, 2, 3.</w:t>
      </w:r>
    </w:p>
    <w:p w:rsidR="009664F6" w:rsidRPr="00DB2107" w:rsidRDefault="009664F6" w:rsidP="00AD734B">
      <w:pPr>
        <w:tabs>
          <w:tab w:val="left" w:pos="450"/>
        </w:tabs>
        <w:spacing w:after="0" w:line="276" w:lineRule="auto"/>
        <w:rPr>
          <w:rFonts w:ascii="Times New Roman" w:hAnsi="Times New Roman"/>
          <w:b/>
        </w:rPr>
      </w:pPr>
    </w:p>
    <w:sectPr w:rsidR="009664F6" w:rsidRPr="00DB2107" w:rsidSect="00B75D31">
      <w:headerReference w:type="default" r:id="rId8"/>
      <w:footerReference w:type="default" r:id="rId9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CF" w:rsidRDefault="003D36CF" w:rsidP="00B22E4B">
      <w:pPr>
        <w:spacing w:after="0" w:line="240" w:lineRule="auto"/>
      </w:pPr>
      <w:r>
        <w:separator/>
      </w:r>
    </w:p>
  </w:endnote>
  <w:endnote w:type="continuationSeparator" w:id="0">
    <w:p w:rsidR="003D36CF" w:rsidRDefault="003D36CF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75" w:rsidRPr="003D770B" w:rsidRDefault="005A1775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:rsidR="005A1775" w:rsidRDefault="005A1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CF" w:rsidRDefault="003D36CF" w:rsidP="00B22E4B">
      <w:pPr>
        <w:spacing w:after="0" w:line="240" w:lineRule="auto"/>
      </w:pPr>
      <w:r>
        <w:separator/>
      </w:r>
    </w:p>
  </w:footnote>
  <w:footnote w:type="continuationSeparator" w:id="0">
    <w:p w:rsidR="003D36CF" w:rsidRDefault="003D36CF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75" w:rsidRDefault="005A1775" w:rsidP="00B75D31">
    <w:pPr>
      <w:pStyle w:val="Nagwek"/>
      <w:jc w:val="center"/>
    </w:pPr>
    <w:r>
      <w:rPr>
        <w:b/>
        <w:noProof/>
        <w:lang w:eastAsia="pl-PL"/>
      </w:rPr>
      <w:drawing>
        <wp:inline distT="0" distB="0" distL="0" distR="0">
          <wp:extent cx="5740400" cy="6921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6869F0"/>
    <w:multiLevelType w:val="hybridMultilevel"/>
    <w:tmpl w:val="B7D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8E2919"/>
    <w:multiLevelType w:val="hybridMultilevel"/>
    <w:tmpl w:val="DFC080BA"/>
    <w:lvl w:ilvl="0" w:tplc="F9FAA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FB4736"/>
    <w:multiLevelType w:val="hybridMultilevel"/>
    <w:tmpl w:val="65969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1645"/>
    <w:multiLevelType w:val="hybridMultilevel"/>
    <w:tmpl w:val="4658EA06"/>
    <w:lvl w:ilvl="0" w:tplc="5442DF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07E07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97EF9"/>
    <w:multiLevelType w:val="multilevel"/>
    <w:tmpl w:val="E72AF94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65F37"/>
    <w:multiLevelType w:val="hybridMultilevel"/>
    <w:tmpl w:val="BF2C8DA8"/>
    <w:lvl w:ilvl="0" w:tplc="9C98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F0BBF"/>
    <w:multiLevelType w:val="hybridMultilevel"/>
    <w:tmpl w:val="96048B50"/>
    <w:lvl w:ilvl="0" w:tplc="C692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475E"/>
    <w:rsid w:val="00004CFF"/>
    <w:rsid w:val="000A5641"/>
    <w:rsid w:val="000C5DF7"/>
    <w:rsid w:val="000D1761"/>
    <w:rsid w:val="000D1CAB"/>
    <w:rsid w:val="000D20F7"/>
    <w:rsid w:val="000D658B"/>
    <w:rsid w:val="000E6C81"/>
    <w:rsid w:val="00111D5C"/>
    <w:rsid w:val="00116CFE"/>
    <w:rsid w:val="001371C2"/>
    <w:rsid w:val="001721B5"/>
    <w:rsid w:val="001B7D92"/>
    <w:rsid w:val="001D1469"/>
    <w:rsid w:val="00211639"/>
    <w:rsid w:val="0026075B"/>
    <w:rsid w:val="0028610E"/>
    <w:rsid w:val="002D74A2"/>
    <w:rsid w:val="002E15E2"/>
    <w:rsid w:val="002F28C9"/>
    <w:rsid w:val="0031100A"/>
    <w:rsid w:val="003548E0"/>
    <w:rsid w:val="0038246C"/>
    <w:rsid w:val="00392FF7"/>
    <w:rsid w:val="003D36CF"/>
    <w:rsid w:val="003D770B"/>
    <w:rsid w:val="00426E61"/>
    <w:rsid w:val="004B1C7A"/>
    <w:rsid w:val="004C3498"/>
    <w:rsid w:val="00531A2B"/>
    <w:rsid w:val="005519AB"/>
    <w:rsid w:val="00564DD5"/>
    <w:rsid w:val="00573A74"/>
    <w:rsid w:val="005A1775"/>
    <w:rsid w:val="005C155C"/>
    <w:rsid w:val="00611559"/>
    <w:rsid w:val="00624CD7"/>
    <w:rsid w:val="006337DA"/>
    <w:rsid w:val="00644603"/>
    <w:rsid w:val="00657E47"/>
    <w:rsid w:val="00660BF8"/>
    <w:rsid w:val="00676691"/>
    <w:rsid w:val="006B5463"/>
    <w:rsid w:val="006D3024"/>
    <w:rsid w:val="006D499F"/>
    <w:rsid w:val="00742589"/>
    <w:rsid w:val="00756681"/>
    <w:rsid w:val="00790967"/>
    <w:rsid w:val="007B3AC3"/>
    <w:rsid w:val="007D30F7"/>
    <w:rsid w:val="008131B3"/>
    <w:rsid w:val="00897301"/>
    <w:rsid w:val="008B1205"/>
    <w:rsid w:val="008B3514"/>
    <w:rsid w:val="008B62FF"/>
    <w:rsid w:val="00915886"/>
    <w:rsid w:val="00931A04"/>
    <w:rsid w:val="00946B19"/>
    <w:rsid w:val="009664F6"/>
    <w:rsid w:val="00973373"/>
    <w:rsid w:val="009B7F2C"/>
    <w:rsid w:val="009D7F0E"/>
    <w:rsid w:val="009F1222"/>
    <w:rsid w:val="00A1756A"/>
    <w:rsid w:val="00A23C11"/>
    <w:rsid w:val="00A54975"/>
    <w:rsid w:val="00A62935"/>
    <w:rsid w:val="00A65607"/>
    <w:rsid w:val="00A75500"/>
    <w:rsid w:val="00A93A12"/>
    <w:rsid w:val="00A93B95"/>
    <w:rsid w:val="00A974FF"/>
    <w:rsid w:val="00AD734B"/>
    <w:rsid w:val="00AE24E1"/>
    <w:rsid w:val="00B1328E"/>
    <w:rsid w:val="00B22E4B"/>
    <w:rsid w:val="00B46438"/>
    <w:rsid w:val="00B64ABA"/>
    <w:rsid w:val="00B75D31"/>
    <w:rsid w:val="00B908D5"/>
    <w:rsid w:val="00BA066F"/>
    <w:rsid w:val="00BC6218"/>
    <w:rsid w:val="00BC78D7"/>
    <w:rsid w:val="00BD06F7"/>
    <w:rsid w:val="00BD1B05"/>
    <w:rsid w:val="00BD259F"/>
    <w:rsid w:val="00BD2713"/>
    <w:rsid w:val="00BD43E7"/>
    <w:rsid w:val="00C44F9F"/>
    <w:rsid w:val="00C75950"/>
    <w:rsid w:val="00C80351"/>
    <w:rsid w:val="00C957AD"/>
    <w:rsid w:val="00CA35D3"/>
    <w:rsid w:val="00CB3D33"/>
    <w:rsid w:val="00CC0409"/>
    <w:rsid w:val="00CC75F3"/>
    <w:rsid w:val="00CE025E"/>
    <w:rsid w:val="00CF600E"/>
    <w:rsid w:val="00D40474"/>
    <w:rsid w:val="00D66DF5"/>
    <w:rsid w:val="00D7144C"/>
    <w:rsid w:val="00DB2107"/>
    <w:rsid w:val="00DD630F"/>
    <w:rsid w:val="00DE7625"/>
    <w:rsid w:val="00DF18FE"/>
    <w:rsid w:val="00E02FD9"/>
    <w:rsid w:val="00E073C9"/>
    <w:rsid w:val="00E22E5D"/>
    <w:rsid w:val="00E5018F"/>
    <w:rsid w:val="00E85166"/>
    <w:rsid w:val="00EA2CC5"/>
    <w:rsid w:val="00EB69C1"/>
    <w:rsid w:val="00EC6E93"/>
    <w:rsid w:val="00ED7C5E"/>
    <w:rsid w:val="00EF16A5"/>
    <w:rsid w:val="00EF216B"/>
    <w:rsid w:val="00F03A00"/>
    <w:rsid w:val="00F307C7"/>
    <w:rsid w:val="00F3683C"/>
    <w:rsid w:val="00F64AC1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425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1155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Akapitzlist1">
    <w:name w:val="Akapit z listą1"/>
    <w:basedOn w:val="Normalny"/>
    <w:rsid w:val="00611559"/>
    <w:pPr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8131B3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paragraph" w:customStyle="1" w:styleId="redniasiatka21">
    <w:name w:val="Średnia siatka 21"/>
    <w:qFormat/>
    <w:rsid w:val="008131B3"/>
    <w:pPr>
      <w:suppressAutoHyphens/>
    </w:pPr>
    <w:rPr>
      <w:rFonts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74258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yliczkreska">
    <w:name w:val="Wylicz_kreska"/>
    <w:basedOn w:val="Normalny"/>
    <w:rsid w:val="00BA066F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BA066F"/>
    <w:pPr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uiPriority w:val="99"/>
    <w:rsid w:val="00BA066F"/>
    <w:rPr>
      <w:rFonts w:ascii="Gotham Book" w:hAnsi="Gotham Book" w:cs="Gotham Book"/>
      <w:color w:val="000000"/>
      <w:sz w:val="18"/>
      <w:szCs w:val="18"/>
    </w:rPr>
  </w:style>
  <w:style w:type="paragraph" w:customStyle="1" w:styleId="Standard">
    <w:name w:val="Standard"/>
    <w:rsid w:val="00B908D5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3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3C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425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1155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Akapitzlist1">
    <w:name w:val="Akapit z listą1"/>
    <w:basedOn w:val="Normalny"/>
    <w:rsid w:val="00611559"/>
    <w:pPr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8131B3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paragraph" w:customStyle="1" w:styleId="redniasiatka21">
    <w:name w:val="Średnia siatka 21"/>
    <w:qFormat/>
    <w:rsid w:val="008131B3"/>
    <w:pPr>
      <w:suppressAutoHyphens/>
    </w:pPr>
    <w:rPr>
      <w:rFonts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74258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yliczkreska">
    <w:name w:val="Wylicz_kreska"/>
    <w:basedOn w:val="Normalny"/>
    <w:rsid w:val="00BA066F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BA066F"/>
    <w:pPr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uiPriority w:val="99"/>
    <w:rsid w:val="00BA066F"/>
    <w:rPr>
      <w:rFonts w:ascii="Gotham Book" w:hAnsi="Gotham Book" w:cs="Gotham Book"/>
      <w:color w:val="000000"/>
      <w:sz w:val="18"/>
      <w:szCs w:val="18"/>
    </w:rPr>
  </w:style>
  <w:style w:type="paragraph" w:customStyle="1" w:styleId="Standard">
    <w:name w:val="Standard"/>
    <w:rsid w:val="00B908D5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3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3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1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Symulant 3</dc:creator>
  <cp:lastModifiedBy>Iwona</cp:lastModifiedBy>
  <cp:revision>6</cp:revision>
  <cp:lastPrinted>2018-11-15T08:52:00Z</cp:lastPrinted>
  <dcterms:created xsi:type="dcterms:W3CDTF">2018-11-05T06:32:00Z</dcterms:created>
  <dcterms:modified xsi:type="dcterms:W3CDTF">2018-11-15T08:52:00Z</dcterms:modified>
</cp:coreProperties>
</file>